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2.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3.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4.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2.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3.xml" ContentType="application/vnd.openxmlformats-officedocument.drawingml.chart+xml"/>
  <Override PartName="/word/charts/chart44.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5.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6.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7.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8.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9.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0.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1.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2.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3.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4.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5.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6.xml" ContentType="application/vnd.openxmlformats-officedocument.drawingml.chart+xml"/>
  <Override PartName="/word/charts/chart57.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1.xml" ContentType="application/vnd.openxmlformats-officedocument.themeOverride+xml"/>
  <Override PartName="/word/charts/chart58.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9.xml" ContentType="application/vnd.openxmlformats-officedocument.drawingml.chart+xml"/>
  <Override PartName="/word/charts/chart60.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1.xml" ContentType="application/vnd.openxmlformats-officedocument.drawingml.chart+xml"/>
  <Override PartName="/word/charts/chart62.xml" ContentType="application/vnd.openxmlformats-officedocument.drawingml.chart+xml"/>
  <Override PartName="/word/theme/themeOverride2.xml" ContentType="application/vnd.openxmlformats-officedocument.themeOverride+xml"/>
  <Override PartName="/word/charts/chart63.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4.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5.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6.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7.xml" ContentType="application/vnd.openxmlformats-officedocument.drawingml.chart+xml"/>
  <Override PartName="/word/charts/chart68.xml" ContentType="application/vnd.openxmlformats-officedocument.drawingml.chart+xml"/>
  <Override PartName="/word/charts/style59.xml" ContentType="application/vnd.ms-office.chartstyle+xml"/>
  <Override PartName="/word/charts/colors5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6B168" w14:textId="77777777" w:rsidR="00C35AE5" w:rsidRPr="00422245" w:rsidRDefault="00C35AE5" w:rsidP="00C35AE5"/>
    <w:tbl>
      <w:tblPr>
        <w:tblStyle w:val="Forsidetabell"/>
        <w:tblpPr w:leftFromText="142" w:rightFromText="142" w:vertAnchor="page" w:horzAnchor="page" w:tblpX="455" w:tblpY="4055"/>
        <w:tblW w:w="11000" w:type="dxa"/>
        <w:tblLayout w:type="fixed"/>
        <w:tblCellMar>
          <w:top w:w="142" w:type="dxa"/>
          <w:left w:w="425" w:type="dxa"/>
          <w:bottom w:w="85" w:type="dxa"/>
          <w:right w:w="850" w:type="dxa"/>
        </w:tblCellMar>
        <w:tblLook w:val="04A0" w:firstRow="1" w:lastRow="0" w:firstColumn="1" w:lastColumn="0" w:noHBand="0" w:noVBand="1"/>
      </w:tblPr>
      <w:tblGrid>
        <w:gridCol w:w="11000"/>
      </w:tblGrid>
      <w:tr w:rsidR="00C35AE5" w:rsidRPr="00422245" w14:paraId="51577A2C" w14:textId="77777777" w:rsidTr="00C35AE5">
        <w:trPr>
          <w:cnfStyle w:val="100000000000" w:firstRow="1" w:lastRow="0" w:firstColumn="0" w:lastColumn="0" w:oddVBand="0" w:evenVBand="0" w:oddHBand="0" w:evenHBand="0" w:firstRowFirstColumn="0" w:firstRowLastColumn="0" w:lastRowFirstColumn="0" w:lastRowLastColumn="0"/>
          <w:trHeight w:hRule="exact" w:val="567"/>
        </w:trPr>
        <w:tc>
          <w:tcPr>
            <w:tcW w:w="11000" w:type="dxa"/>
            <w:tcMar>
              <w:right w:w="0" w:type="dxa"/>
            </w:tcMar>
          </w:tcPr>
          <w:p w14:paraId="1AD0A505" w14:textId="026B86D0" w:rsidR="00C35AE5" w:rsidRPr="00422245" w:rsidRDefault="00C35AE5">
            <w:pPr>
              <w:pStyle w:val="Forsidetekst"/>
              <w:jc w:val="right"/>
              <w:rPr>
                <w:lang w:val="nb-NO"/>
              </w:rPr>
            </w:pPr>
            <w:bookmarkStart w:id="0" w:name="_Ref161145840"/>
            <w:bookmarkEnd w:id="0"/>
            <w:r w:rsidRPr="00422245">
              <w:rPr>
                <w:lang w:val="nb-NO"/>
              </w:rPr>
              <w:t xml:space="preserve">Rapport nr. </w:t>
            </w:r>
            <w:sdt>
              <w:sdtPr>
                <w:rPr>
                  <w:lang w:val="nb-NO"/>
                </w:rPr>
                <w:alias w:val="Rapportnr"/>
                <w:tag w:val="Rapportnr"/>
                <w:id w:val="-1711326081"/>
                <w:placeholder>
                  <w:docPart w:val="F838AD971EA14E429C96A89C186B6C5E"/>
                </w:placeholder>
                <w:showingPlcHdr/>
                <w:dataBinding w:xpath="/root[1]/Rapportnr[1]" w:storeItemID="{FACD9DD9-BFF5-44E5-8A84-84FD01DB085F}"/>
                <w:text w:multiLine="1"/>
              </w:sdtPr>
              <w:sdtContent>
                <w:r w:rsidRPr="00422245">
                  <w:rPr>
                    <w:rStyle w:val="Plassholdertekst"/>
                    <w:lang w:val="nb-NO"/>
                  </w:rPr>
                  <w:t>[xx]</w:t>
                </w:r>
              </w:sdtContent>
            </w:sdt>
            <w:r w:rsidRPr="00422245">
              <w:rPr>
                <w:lang w:val="nb-NO"/>
              </w:rPr>
              <w:t>/</w:t>
            </w:r>
            <w:r w:rsidRPr="00422245">
              <w:rPr>
                <w:lang w:val="nb-NO"/>
              </w:rPr>
              <w:fldChar w:fldCharType="begin"/>
            </w:r>
            <w:r w:rsidRPr="00422245">
              <w:rPr>
                <w:lang w:val="nb-NO"/>
              </w:rPr>
              <w:instrText xml:space="preserve"> CREATEDATE  \@ "yyyy"  \* MERGEFORMAT </w:instrText>
            </w:r>
            <w:r w:rsidRPr="00422245">
              <w:rPr>
                <w:lang w:val="nb-NO"/>
              </w:rPr>
              <w:fldChar w:fldCharType="separate"/>
            </w:r>
            <w:r w:rsidR="00E625E9" w:rsidRPr="00422245">
              <w:rPr>
                <w:lang w:val="nb-NO"/>
              </w:rPr>
              <w:t>2024</w:t>
            </w:r>
            <w:r w:rsidRPr="00422245">
              <w:rPr>
                <w:lang w:val="nb-NO"/>
              </w:rPr>
              <w:fldChar w:fldCharType="end"/>
            </w:r>
          </w:p>
        </w:tc>
      </w:tr>
      <w:tr w:rsidR="00C35AE5" w:rsidRPr="00422245" w14:paraId="24194446" w14:textId="77777777" w:rsidTr="00C35AE5">
        <w:trPr>
          <w:trHeight w:hRule="exact" w:val="3260"/>
        </w:trPr>
        <w:tc>
          <w:tcPr>
            <w:tcW w:w="11000" w:type="dxa"/>
            <w:tcMar>
              <w:top w:w="709" w:type="dxa"/>
            </w:tcMar>
          </w:tcPr>
          <w:sdt>
            <w:sdtPr>
              <w:rPr>
                <w:rFonts w:hint="eastAsia"/>
              </w:rPr>
              <w:alias w:val="Tittel"/>
              <w:tag w:val=""/>
              <w:id w:val="-2031254581"/>
              <w:placeholder>
                <w:docPart w:val="3993E9E23CFD44A3AC8E103AB25B7157"/>
              </w:placeholder>
              <w:dataBinding w:prefixMappings="xmlns:ns0='http://purl.org/dc/elements/1.1/' xmlns:ns1='http://schemas.openxmlformats.org/package/2006/metadata/core-properties' " w:xpath="/ns1:coreProperties[1]/ns0:title[1]" w:storeItemID="{6C3C8BC8-F283-45AE-878A-BAB7291924A1}"/>
              <w:text/>
            </w:sdtPr>
            <w:sdtContent>
              <w:p w14:paraId="23F6BD28" w14:textId="38E599DD" w:rsidR="00C35AE5" w:rsidRPr="00422245" w:rsidRDefault="00197D64" w:rsidP="00C35AE5">
                <w:pPr>
                  <w:pStyle w:val="Tittel"/>
                </w:pPr>
                <w:r w:rsidRPr="00422245">
                  <w:t>Tilstandsrapport for høyere utdanning 2024</w:t>
                </w:r>
              </w:p>
            </w:sdtContent>
          </w:sdt>
          <w:p w14:paraId="4BC372D5" w14:textId="77777777" w:rsidR="00C35AE5" w:rsidRPr="00422245" w:rsidRDefault="00000000" w:rsidP="00C35AE5">
            <w:pPr>
              <w:pStyle w:val="Undertittel"/>
            </w:pPr>
            <w:sdt>
              <w:sdtPr>
                <w:alias w:val="Undertittel"/>
                <w:tag w:val="Undertittel"/>
                <w:id w:val="466091359"/>
                <w:placeholder>
                  <w:docPart w:val="AB08DF626BF14E0D867CFE0A61FF1DD7"/>
                </w:placeholder>
                <w:showingPlcHdr/>
                <w:dataBinding w:xpath="/root[1]/Undertittel[1]" w:storeItemID="{FACD9DD9-BFF5-44E5-8A84-84FD01DB085F}"/>
                <w:text w:multiLine="1"/>
              </w:sdtPr>
              <w:sdtContent>
                <w:r w:rsidR="00BE5C57" w:rsidRPr="00422245">
                  <w:t>[Undertittel]</w:t>
                </w:r>
              </w:sdtContent>
            </w:sdt>
          </w:p>
        </w:tc>
      </w:tr>
    </w:tbl>
    <w:p w14:paraId="785D04AC" w14:textId="764531CE" w:rsidR="00C35AE5" w:rsidRPr="00422245" w:rsidRDefault="00C35AE5" w:rsidP="00C35AE5">
      <w:r w:rsidRPr="00422245">
        <w:rPr>
          <w:noProof/>
        </w:rPr>
        <w:drawing>
          <wp:anchor distT="0" distB="0" distL="114300" distR="114300" simplePos="0" relativeHeight="251658240" behindDoc="0" locked="1" layoutInCell="1" allowOverlap="1" wp14:anchorId="6DD4F982" wp14:editId="2A60DFA0">
            <wp:simplePos x="0" y="0"/>
            <wp:positionH relativeFrom="page">
              <wp:posOffset>288290</wp:posOffset>
            </wp:positionH>
            <wp:positionV relativeFrom="page">
              <wp:posOffset>5346700</wp:posOffset>
            </wp:positionV>
            <wp:extent cx="6984000" cy="5054400"/>
            <wp:effectExtent l="0" t="0" r="7620" b="0"/>
            <wp:wrapNone/>
            <wp:docPr id="5" name="Bilde 5" descr="Et bilde som inneholder mønster, klær, stoff, innpakningspapi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mønster, klær, stoff, innpakningspapir&#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84000" cy="505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9331F" w14:textId="77777777" w:rsidR="00C35AE5" w:rsidRPr="00422245" w:rsidRDefault="00C35AE5" w:rsidP="00C35AE5">
      <w:r w:rsidRPr="00422245">
        <w:br w:type="page"/>
      </w:r>
    </w:p>
    <w:tbl>
      <w:tblPr>
        <w:tblStyle w:val="Forsidetabell"/>
        <w:tblpPr w:leftFromText="142" w:rightFromText="142" w:bottomFromText="198" w:horzAnchor="page" w:tblpX="455" w:tblpY="1"/>
        <w:tblW w:w="11000" w:type="dxa"/>
        <w:tblLayout w:type="fixed"/>
        <w:tblCellMar>
          <w:top w:w="142" w:type="dxa"/>
          <w:left w:w="964" w:type="dxa"/>
          <w:bottom w:w="142" w:type="dxa"/>
          <w:right w:w="850" w:type="dxa"/>
        </w:tblCellMar>
        <w:tblLook w:val="04A0" w:firstRow="1" w:lastRow="0" w:firstColumn="1" w:lastColumn="0" w:noHBand="0" w:noVBand="1"/>
      </w:tblPr>
      <w:tblGrid>
        <w:gridCol w:w="11000"/>
      </w:tblGrid>
      <w:tr w:rsidR="00C35AE5" w:rsidRPr="00422245" w14:paraId="6C361056" w14:textId="77777777">
        <w:trPr>
          <w:cnfStyle w:val="100000000000" w:firstRow="1" w:lastRow="0" w:firstColumn="0" w:lastColumn="0" w:oddVBand="0" w:evenVBand="0" w:oddHBand="0" w:evenHBand="0" w:firstRowFirstColumn="0" w:firstRowLastColumn="0" w:lastRowFirstColumn="0" w:lastRowLastColumn="0"/>
          <w:trHeight w:hRule="exact" w:val="2891"/>
        </w:trPr>
        <w:tc>
          <w:tcPr>
            <w:tcW w:w="11000" w:type="dxa"/>
            <w:vAlign w:val="bottom"/>
          </w:tcPr>
          <w:sdt>
            <w:sdtPr>
              <w:rPr>
                <w:b/>
                <w:bCs/>
                <w:lang w:val="nb-NO"/>
              </w:rPr>
              <w:alias w:val="Tittel"/>
              <w:tag w:val=""/>
              <w:id w:val="79489029"/>
              <w:placeholder>
                <w:docPart w:val="0E5E9112C5CF4573BAEDC19E476BBEC2"/>
              </w:placeholder>
              <w:dataBinding w:prefixMappings="xmlns:ns0='http://purl.org/dc/elements/1.1/' xmlns:ns1='http://schemas.openxmlformats.org/package/2006/metadata/core-properties' " w:xpath="/ns1:coreProperties[1]/ns0:title[1]" w:storeItemID="{6C3C8BC8-F283-45AE-878A-BAB7291924A1}"/>
              <w:text/>
            </w:sdtPr>
            <w:sdtContent>
              <w:p w14:paraId="617AF0D2" w14:textId="4981F5AF" w:rsidR="00C35AE5" w:rsidRPr="00422245" w:rsidRDefault="00197D64">
                <w:pPr>
                  <w:pStyle w:val="Forsidetekst"/>
                  <w:rPr>
                    <w:b/>
                    <w:bCs/>
                    <w:lang w:val="nb-NO"/>
                  </w:rPr>
                </w:pPr>
                <w:r w:rsidRPr="00422245">
                  <w:rPr>
                    <w:b/>
                    <w:bCs/>
                    <w:lang w:val="nb-NO"/>
                  </w:rPr>
                  <w:t>Tilstandsrapport for høyere utdanning 2024</w:t>
                </w:r>
              </w:p>
            </w:sdtContent>
          </w:sdt>
          <w:p w14:paraId="447589D9" w14:textId="4F22F6FF" w:rsidR="00C35AE5" w:rsidRPr="00422245" w:rsidRDefault="00C35AE5">
            <w:pPr>
              <w:pStyle w:val="Forsidetekst"/>
              <w:rPr>
                <w:lang w:val="nb-NO"/>
              </w:rPr>
            </w:pPr>
          </w:p>
        </w:tc>
      </w:tr>
    </w:tbl>
    <w:p w14:paraId="711DB085" w14:textId="77777777" w:rsidR="00C35AE5" w:rsidRPr="00422245" w:rsidRDefault="00C35AE5" w:rsidP="00C35AE5"/>
    <w:p w14:paraId="1B09D322" w14:textId="77777777" w:rsidR="00C35AE5" w:rsidRPr="00422245" w:rsidRDefault="00C35AE5" w:rsidP="00C35AE5">
      <w:pPr>
        <w:spacing w:after="0"/>
      </w:pPr>
      <w:r w:rsidRPr="00422245">
        <w:t>Redaktør:</w:t>
      </w:r>
    </w:p>
    <w:sdt>
      <w:sdtPr>
        <w:alias w:val="Redaktør"/>
        <w:tag w:val="Redaktør"/>
        <w:id w:val="-2021923024"/>
        <w:placeholder>
          <w:docPart w:val="F67120448B96444BA9811D3078E300A1"/>
        </w:placeholder>
        <w:text w:multiLine="1"/>
      </w:sdtPr>
      <w:sdtContent>
        <w:p w14:paraId="62F579B8" w14:textId="570A0A9D" w:rsidR="00C35AE5" w:rsidRPr="00422245" w:rsidRDefault="00197D64" w:rsidP="00C35AE5">
          <w:pPr>
            <w:spacing w:after="0"/>
          </w:pPr>
          <w:r w:rsidRPr="00422245">
            <w:t>Kristine Offerdal</w:t>
          </w:r>
        </w:p>
      </w:sdtContent>
    </w:sdt>
    <w:p w14:paraId="7E4B74C9" w14:textId="77777777" w:rsidR="00C35AE5" w:rsidRPr="00422245" w:rsidRDefault="00C35AE5" w:rsidP="00C35AE5">
      <w:pPr>
        <w:spacing w:before="200" w:after="0"/>
      </w:pPr>
      <w:r w:rsidRPr="00422245">
        <w:t>Forfattere:</w:t>
      </w:r>
    </w:p>
    <w:sdt>
      <w:sdtPr>
        <w:alias w:val="Forfattere"/>
        <w:tag w:val="Forfattere"/>
        <w:id w:val="1718081769"/>
        <w:placeholder>
          <w:docPart w:val="9036F35115B74BA3971899F5C471924C"/>
        </w:placeholder>
        <w:text w:multiLine="1"/>
      </w:sdtPr>
      <w:sdtContent>
        <w:p w14:paraId="2FCC4745" w14:textId="3D112452" w:rsidR="00C35AE5" w:rsidRPr="00422245" w:rsidRDefault="00197D64" w:rsidP="00C35AE5">
          <w:pPr>
            <w:spacing w:after="0"/>
          </w:pPr>
          <w:r w:rsidRPr="00422245">
            <w:t>Arne Haugen</w:t>
          </w:r>
        </w:p>
      </w:sdtContent>
    </w:sdt>
    <w:sdt>
      <w:sdtPr>
        <w:alias w:val="Forfattere"/>
        <w:tag w:val="Forfattere"/>
        <w:id w:val="-1488860842"/>
        <w:placeholder>
          <w:docPart w:val="84B2E5029EEC465AB355D6F477CDCED6"/>
        </w:placeholder>
        <w:text w:multiLine="1"/>
      </w:sdtPr>
      <w:sdtContent>
        <w:p w14:paraId="4AD6EC78" w14:textId="162B000E" w:rsidR="00C35AE5" w:rsidRPr="00422245" w:rsidRDefault="00197D64" w:rsidP="00C35AE5">
          <w:pPr>
            <w:spacing w:after="0"/>
          </w:pPr>
          <w:r w:rsidRPr="00422245">
            <w:t>Trude Holme</w:t>
          </w:r>
        </w:p>
      </w:sdtContent>
    </w:sdt>
    <w:p w14:paraId="346E8EA6" w14:textId="65B3C7FF" w:rsidR="00047397" w:rsidRPr="00422245" w:rsidRDefault="00047397" w:rsidP="00C35AE5">
      <w:pPr>
        <w:spacing w:after="0"/>
      </w:pPr>
      <w:r w:rsidRPr="00422245">
        <w:t>Bjarne Mundal</w:t>
      </w:r>
    </w:p>
    <w:sdt>
      <w:sdtPr>
        <w:alias w:val="Forfattere"/>
        <w:tag w:val="Forfattere"/>
        <w:id w:val="1565061158"/>
        <w:placeholder>
          <w:docPart w:val="7BA708C2D1764C3B9B9694596046C3DC"/>
        </w:placeholder>
        <w:text w:multiLine="1"/>
      </w:sdtPr>
      <w:sdtContent>
        <w:p w14:paraId="287C7313" w14:textId="2E81BB63" w:rsidR="00224EFC" w:rsidRPr="00422245" w:rsidRDefault="00224EFC" w:rsidP="00224EFC">
          <w:pPr>
            <w:spacing w:after="0"/>
          </w:pPr>
          <w:r w:rsidRPr="00422245">
            <w:t>Åsgeir Kjetland Rabben</w:t>
          </w:r>
        </w:p>
      </w:sdtContent>
    </w:sdt>
    <w:p w14:paraId="3865A62B" w14:textId="77777777" w:rsidR="00224EFC" w:rsidRPr="00422245" w:rsidRDefault="00224EFC" w:rsidP="00C35AE5">
      <w:pPr>
        <w:spacing w:after="0"/>
      </w:pPr>
    </w:p>
    <w:p w14:paraId="6059FD14" w14:textId="77777777" w:rsidR="00D14381" w:rsidRPr="00422245" w:rsidRDefault="00D14381">
      <w:pPr>
        <w:rPr>
          <w:rFonts w:asciiTheme="majorHAnsi" w:eastAsiaTheme="majorEastAsia" w:hAnsiTheme="majorHAnsi" w:cstheme="majorBidi"/>
          <w:b/>
          <w:bCs/>
          <w:sz w:val="32"/>
          <w:szCs w:val="32"/>
        </w:rPr>
      </w:pPr>
      <w:r w:rsidRPr="00422245">
        <w:br w:type="page"/>
      </w:r>
    </w:p>
    <w:p w14:paraId="0D6C0DB6" w14:textId="77777777" w:rsidR="00B17172" w:rsidRPr="00422245" w:rsidRDefault="00B17172" w:rsidP="001A54C2">
      <w:pPr>
        <w:pStyle w:val="Tittel"/>
        <w:rPr>
          <w:sz w:val="44"/>
          <w:szCs w:val="44"/>
        </w:rPr>
      </w:pPr>
      <w:bookmarkStart w:id="1" w:name="_Toc158968327"/>
      <w:r w:rsidRPr="00422245">
        <w:rPr>
          <w:sz w:val="32"/>
          <w:szCs w:val="32"/>
        </w:rPr>
        <w:lastRenderedPageBreak/>
        <w:t>Forord</w:t>
      </w:r>
      <w:bookmarkEnd w:id="1"/>
    </w:p>
    <w:p w14:paraId="59378090" w14:textId="77777777" w:rsidR="000F0D96" w:rsidRPr="00422245" w:rsidRDefault="000F0D96" w:rsidP="000F0D96"/>
    <w:p w14:paraId="11B46A02" w14:textId="2EED5E59" w:rsidR="00EF0126" w:rsidRPr="00422245" w:rsidRDefault="00CA785F" w:rsidP="000F0D96">
      <w:r w:rsidRPr="00422245">
        <w:t xml:space="preserve">Direktoratet for høyere utdanning og kompetanse utgir hvert år Tilstandsrapport for høyere utdanning på oppdrag fra Kunnskapsdepartementet. </w:t>
      </w:r>
      <w:r w:rsidR="00AE48EC" w:rsidRPr="00422245">
        <w:t xml:space="preserve">Rapporten er en del av grunnlaget for departementets etatsstyring av statlige universiteter og høyskoler, for dialogen med de private institusjonene og </w:t>
      </w:r>
      <w:r w:rsidR="00DF7BAA" w:rsidRPr="00422245">
        <w:t xml:space="preserve">skal gi </w:t>
      </w:r>
      <w:r w:rsidR="00AE48EC" w:rsidRPr="00422245">
        <w:t>et grunnlag for departementets budsjettarbeid og politikkutvikling.</w:t>
      </w:r>
    </w:p>
    <w:p w14:paraId="5F0E3F3D" w14:textId="0BE4C069" w:rsidR="003E2331" w:rsidRPr="00422245" w:rsidRDefault="00DA1042" w:rsidP="000F0D96">
      <w:r w:rsidRPr="00422245">
        <w:t xml:space="preserve">Med bakgrunn i en rekke ulike kilder presenterer </w:t>
      </w:r>
      <w:r w:rsidR="00095506" w:rsidRPr="00422245">
        <w:t xml:space="preserve">Tilstandsrapporten statistikk og analyser </w:t>
      </w:r>
      <w:r w:rsidR="00C75525" w:rsidRPr="00422245">
        <w:t xml:space="preserve">om </w:t>
      </w:r>
      <w:r w:rsidR="00A31968" w:rsidRPr="00422245">
        <w:t>utdanning og forskning</w:t>
      </w:r>
      <w:r w:rsidR="001C1509" w:rsidRPr="00422245">
        <w:t xml:space="preserve"> og</w:t>
      </w:r>
      <w:r w:rsidR="00C74A85" w:rsidRPr="00422245">
        <w:t xml:space="preserve"> om </w:t>
      </w:r>
      <w:r w:rsidR="00447904" w:rsidRPr="00422245">
        <w:t xml:space="preserve">institusjonenes </w:t>
      </w:r>
      <w:r w:rsidR="006178AD" w:rsidRPr="00422245">
        <w:t xml:space="preserve">menneskelige og økonomiske ressurser. </w:t>
      </w:r>
      <w:r w:rsidR="00BF0E24" w:rsidRPr="00422245">
        <w:t xml:space="preserve">En viktig del av rapporten er det digitale vedlegget </w:t>
      </w:r>
      <w:r w:rsidR="00F22B71" w:rsidRPr="00422245">
        <w:t xml:space="preserve">med </w:t>
      </w:r>
      <w:r w:rsidR="009918EB" w:rsidRPr="00422245">
        <w:t>detaljert statistikk i tidsserier (lenke).</w:t>
      </w:r>
      <w:r w:rsidR="00233482" w:rsidRPr="00422245">
        <w:t xml:space="preserve"> </w:t>
      </w:r>
      <w:r w:rsidR="00757B15" w:rsidRPr="00422245">
        <w:t>Det viktigste grunnlaget for rapporten er HK-dirs Database for statistikk om høyere utdanning (DBH). Øvrige data er levert av Statistisk sentralbyrå, Forskningsrådet, NOKUT, NIFU og Sikt. Årets tilstandsrapport er utarbeidet av medarbeidere i HK-dir, med viktige bidrag fra Forskningsrådet, NOKUT og Sikt. HK-dir takker for godt samarbeid og bidrag med dataleveranser, tekst og analyse.</w:t>
      </w:r>
    </w:p>
    <w:p w14:paraId="2FEB78C0" w14:textId="1C50437B" w:rsidR="00F44678" w:rsidRPr="00422245" w:rsidRDefault="00F44678" w:rsidP="000F0D96">
      <w:r w:rsidRPr="00422245">
        <w:t xml:space="preserve">Styringen av universiteter og høyskoler </w:t>
      </w:r>
      <w:r w:rsidR="004A5966" w:rsidRPr="00422245">
        <w:t xml:space="preserve">er endret </w:t>
      </w:r>
      <w:r w:rsidR="00756695" w:rsidRPr="00422245">
        <w:t xml:space="preserve">blant annet </w:t>
      </w:r>
      <w:r w:rsidR="004A5966" w:rsidRPr="00422245">
        <w:t xml:space="preserve">ved at de opprinnelige styringsparameterne ikke lenger </w:t>
      </w:r>
      <w:r w:rsidR="00C158EB" w:rsidRPr="00422245">
        <w:t xml:space="preserve">spiller en rolle i finansieringssystemet. </w:t>
      </w:r>
      <w:r w:rsidR="001C39E3" w:rsidRPr="00422245">
        <w:t>Som indikatorer for tilstand</w:t>
      </w:r>
      <w:r w:rsidR="004A258F" w:rsidRPr="00422245">
        <w:t>en</w:t>
      </w:r>
      <w:r w:rsidR="001C39E3" w:rsidRPr="00422245">
        <w:t xml:space="preserve"> i høyere utdanning vil</w:t>
      </w:r>
      <w:r w:rsidR="00113B1B" w:rsidRPr="00422245">
        <w:t xml:space="preserve"> de tidligere styringsparameterne likevel være viktige, </w:t>
      </w:r>
      <w:r w:rsidR="007B2AA1" w:rsidRPr="00422245">
        <w:t xml:space="preserve">og Tilstandsrapporten </w:t>
      </w:r>
      <w:r w:rsidR="003357A6" w:rsidRPr="00422245">
        <w:t xml:space="preserve">vil </w:t>
      </w:r>
      <w:r w:rsidR="006B25E3" w:rsidRPr="00422245">
        <w:t>derf</w:t>
      </w:r>
      <w:r w:rsidR="007A7185" w:rsidRPr="00422245">
        <w:t>or også framover ha oppmerkso</w:t>
      </w:r>
      <w:r w:rsidR="00907A3A" w:rsidRPr="00422245">
        <w:t>mhete</w:t>
      </w:r>
      <w:r w:rsidR="004B1CD4" w:rsidRPr="00422245">
        <w:t xml:space="preserve">n </w:t>
      </w:r>
      <w:r w:rsidR="00DF1E0A" w:rsidRPr="00422245">
        <w:t>rettet mo</w:t>
      </w:r>
      <w:r w:rsidR="00756695" w:rsidRPr="00422245">
        <w:t>t</w:t>
      </w:r>
      <w:r w:rsidR="00DF1E0A" w:rsidRPr="00422245">
        <w:t xml:space="preserve"> de tidligere styringsparameterne og andre sentrale in</w:t>
      </w:r>
      <w:r w:rsidR="00756695" w:rsidRPr="00422245">
        <w:t>dikatorer</w:t>
      </w:r>
      <w:r w:rsidR="00A3193E" w:rsidRPr="00422245">
        <w:t xml:space="preserve"> i oppfølgingen av universiteter og høyskoler.</w:t>
      </w:r>
    </w:p>
    <w:p w14:paraId="4A51F25E" w14:textId="4A464B4F" w:rsidR="002B1598" w:rsidRPr="00422245" w:rsidRDefault="00B7370F" w:rsidP="000F0D96">
      <w:r w:rsidRPr="00422245">
        <w:t xml:space="preserve">De som har fulgt </w:t>
      </w:r>
      <w:r w:rsidR="003D07C4" w:rsidRPr="00422245">
        <w:t>Tilstandsrapport</w:t>
      </w:r>
      <w:r w:rsidRPr="00422245">
        <w:t xml:space="preserve">en over tid, vil likevel </w:t>
      </w:r>
      <w:r w:rsidR="006A656F" w:rsidRPr="00422245">
        <w:t xml:space="preserve">oppdage at årets rapport </w:t>
      </w:r>
      <w:r w:rsidR="00073D20" w:rsidRPr="00422245">
        <w:t xml:space="preserve">skiller seg fra tidligere rapporter. </w:t>
      </w:r>
      <w:r w:rsidR="00D97047" w:rsidRPr="00422245">
        <w:t>Vi har ønsket å supplere oppfølgingen av enkeltindikatorer me</w:t>
      </w:r>
      <w:r w:rsidR="006E2CAF" w:rsidRPr="00422245">
        <w:t xml:space="preserve">d </w:t>
      </w:r>
      <w:r w:rsidR="00E62464" w:rsidRPr="00422245">
        <w:t>en mer overordnet</w:t>
      </w:r>
      <w:r w:rsidR="005803E1" w:rsidRPr="00422245">
        <w:t xml:space="preserve"> tematisk tilnærming</w:t>
      </w:r>
      <w:r w:rsidR="00AA4703" w:rsidRPr="00422245">
        <w:t xml:space="preserve"> og analyse.</w:t>
      </w:r>
      <w:r w:rsidR="001140F4" w:rsidRPr="00422245">
        <w:t xml:space="preserve"> Konkret inneb</w:t>
      </w:r>
      <w:r w:rsidR="00AF2996" w:rsidRPr="00422245">
        <w:t xml:space="preserve">ærer dette blant annet følgende endringer sammenliknet med tidligere: </w:t>
      </w:r>
      <w:r w:rsidR="0003561B" w:rsidRPr="00422245">
        <w:t xml:space="preserve">Vi har </w:t>
      </w:r>
      <w:r w:rsidR="006A348B" w:rsidRPr="00422245">
        <w:t>endret strukturen for å få fram andre samme</w:t>
      </w:r>
      <w:r w:rsidR="006038B1" w:rsidRPr="00422245">
        <w:t>nhenger</w:t>
      </w:r>
      <w:r w:rsidR="00D86B0A" w:rsidRPr="00422245">
        <w:t xml:space="preserve">, vi bruker et større </w:t>
      </w:r>
      <w:r w:rsidR="00F07C6D" w:rsidRPr="00422245">
        <w:t>datagrunnlag enn tidligere</w:t>
      </w:r>
      <w:r w:rsidR="006038B1" w:rsidRPr="00422245">
        <w:t xml:space="preserve"> og</w:t>
      </w:r>
      <w:r w:rsidR="00F07C6D" w:rsidRPr="00422245">
        <w:t xml:space="preserve"> vi </w:t>
      </w:r>
      <w:r w:rsidR="00EE20C0" w:rsidRPr="00422245">
        <w:t>utnytter</w:t>
      </w:r>
      <w:r w:rsidR="00AE70AE" w:rsidRPr="00422245">
        <w:t xml:space="preserve"> muligheten til å knytte utdanningsstatistikk til</w:t>
      </w:r>
      <w:r w:rsidR="00EE20C0" w:rsidRPr="00422245">
        <w:t xml:space="preserve"> andre registerdata. </w:t>
      </w:r>
    </w:p>
    <w:p w14:paraId="4D4ABFC3" w14:textId="0796E801" w:rsidR="00D604B7" w:rsidRPr="00422245" w:rsidRDefault="00D91BA7" w:rsidP="00D91BA7">
      <w:r w:rsidRPr="00422245">
        <w:t xml:space="preserve">Vi håper </w:t>
      </w:r>
      <w:r w:rsidR="00585803" w:rsidRPr="00422245">
        <w:t xml:space="preserve">på den måten å kunne videreutvikle Tilstandsrapporten til </w:t>
      </w:r>
      <w:r w:rsidR="00233482" w:rsidRPr="00422245">
        <w:t xml:space="preserve">et mer relevant og verdifullt </w:t>
      </w:r>
      <w:r w:rsidR="008B699B" w:rsidRPr="00422245">
        <w:t xml:space="preserve">kunnskapsgrunnlag </w:t>
      </w:r>
      <w:r w:rsidR="009B31E4" w:rsidRPr="00422245">
        <w:t>for så vel Kunnskapsdepartementet som alle med interesse for norsk hø</w:t>
      </w:r>
      <w:r w:rsidR="00B00197" w:rsidRPr="00422245">
        <w:t>yere utdanning. God lesning!</w:t>
      </w:r>
    </w:p>
    <w:p w14:paraId="535090CD" w14:textId="142899BF" w:rsidR="002F2B84" w:rsidRPr="00422245" w:rsidRDefault="002F2B84">
      <w:r w:rsidRPr="00422245">
        <w:br w:type="page"/>
      </w:r>
    </w:p>
    <w:p w14:paraId="749F0049" w14:textId="2EF1FEC1" w:rsidR="00905AA1" w:rsidRPr="00422245" w:rsidRDefault="00494F22" w:rsidP="000F0D96">
      <w:r>
        <w:lastRenderedPageBreak/>
        <w:t>SEKTORBILDE</w:t>
      </w:r>
      <w:r w:rsidR="00D91F6B">
        <w:t xml:space="preserve"> (pdf-versjon?)</w:t>
      </w:r>
    </w:p>
    <w:p w14:paraId="702EAE7E" w14:textId="29BB4F7F" w:rsidR="00FD7728" w:rsidRPr="00422245" w:rsidRDefault="00FD7728">
      <w:r w:rsidRPr="00422245">
        <w:br w:type="page"/>
      </w:r>
    </w:p>
    <w:sdt>
      <w:sdtPr>
        <w:rPr>
          <w:rFonts w:asciiTheme="minorHAnsi" w:eastAsiaTheme="minorEastAsia" w:hAnsiTheme="minorHAnsi" w:cstheme="minorBidi"/>
          <w:color w:val="auto"/>
          <w:sz w:val="22"/>
          <w:szCs w:val="22"/>
          <w:lang w:eastAsia="en-US"/>
        </w:rPr>
        <w:id w:val="1160582540"/>
        <w:docPartObj>
          <w:docPartGallery w:val="Table of Contents"/>
          <w:docPartUnique/>
        </w:docPartObj>
      </w:sdtPr>
      <w:sdtEndPr>
        <w:rPr>
          <w:b/>
        </w:rPr>
      </w:sdtEndPr>
      <w:sdtContent>
        <w:p w14:paraId="0870F00A" w14:textId="1EDD15B6" w:rsidR="00BE5C57" w:rsidRPr="00422245" w:rsidRDefault="00BE5C57">
          <w:pPr>
            <w:pStyle w:val="Overskriftforinnholdsfortegnelse"/>
          </w:pPr>
          <w:r w:rsidRPr="00422245">
            <w:t>Innhold</w:t>
          </w:r>
        </w:p>
        <w:p w14:paraId="255FE5DC" w14:textId="34FEFBD4" w:rsidR="00F70E5F" w:rsidRDefault="00BE5C57">
          <w:pPr>
            <w:pStyle w:val="INNH1"/>
            <w:rPr>
              <w:rFonts w:eastAsiaTheme="minorEastAsia"/>
              <w:noProof/>
              <w:kern w:val="2"/>
              <w:sz w:val="24"/>
              <w:szCs w:val="24"/>
              <w:lang w:eastAsia="nb-NO"/>
              <w14:ligatures w14:val="standardContextual"/>
            </w:rPr>
          </w:pPr>
          <w:r w:rsidRPr="00422245">
            <w:fldChar w:fldCharType="begin"/>
          </w:r>
          <w:r w:rsidRPr="00422245">
            <w:instrText xml:space="preserve"> TOC \o "1-3" \h \z \u </w:instrText>
          </w:r>
          <w:r w:rsidRPr="00422245">
            <w:fldChar w:fldCharType="separate"/>
          </w:r>
          <w:hyperlink w:anchor="_Toc163488384" w:history="1">
            <w:r w:rsidR="00F70E5F" w:rsidRPr="009D1DBD">
              <w:rPr>
                <w:rStyle w:val="Hyperkobling"/>
                <w:noProof/>
              </w:rPr>
              <w:t>1 Studentbefolkning og studier</w:t>
            </w:r>
            <w:r w:rsidR="00F70E5F">
              <w:rPr>
                <w:noProof/>
                <w:webHidden/>
              </w:rPr>
              <w:tab/>
            </w:r>
            <w:r w:rsidR="00F70E5F">
              <w:rPr>
                <w:noProof/>
                <w:webHidden/>
              </w:rPr>
              <w:fldChar w:fldCharType="begin"/>
            </w:r>
            <w:r w:rsidR="00F70E5F">
              <w:rPr>
                <w:noProof/>
                <w:webHidden/>
              </w:rPr>
              <w:instrText xml:space="preserve"> PAGEREF _Toc163488384 \h </w:instrText>
            </w:r>
            <w:r w:rsidR="00F70E5F">
              <w:rPr>
                <w:noProof/>
                <w:webHidden/>
              </w:rPr>
            </w:r>
            <w:r w:rsidR="00F70E5F">
              <w:rPr>
                <w:noProof/>
                <w:webHidden/>
              </w:rPr>
              <w:fldChar w:fldCharType="separate"/>
            </w:r>
            <w:r w:rsidR="00F70E5F">
              <w:rPr>
                <w:noProof/>
                <w:webHidden/>
              </w:rPr>
              <w:t>8</w:t>
            </w:r>
            <w:r w:rsidR="00F70E5F">
              <w:rPr>
                <w:noProof/>
                <w:webHidden/>
              </w:rPr>
              <w:fldChar w:fldCharType="end"/>
            </w:r>
          </w:hyperlink>
        </w:p>
        <w:p w14:paraId="6B01F845" w14:textId="569B39F1" w:rsidR="00F70E5F" w:rsidRDefault="00000000">
          <w:pPr>
            <w:pStyle w:val="INNH2"/>
            <w:rPr>
              <w:rFonts w:eastAsiaTheme="minorEastAsia"/>
              <w:noProof/>
              <w:kern w:val="2"/>
              <w:sz w:val="24"/>
              <w:szCs w:val="24"/>
              <w:lang w:eastAsia="nb-NO"/>
              <w14:ligatures w14:val="standardContextual"/>
            </w:rPr>
          </w:pPr>
          <w:hyperlink w:anchor="_Toc163488385" w:history="1">
            <w:r w:rsidR="00F70E5F" w:rsidRPr="009D1DBD">
              <w:rPr>
                <w:rStyle w:val="Hyperkobling"/>
                <w:noProof/>
              </w:rPr>
              <w:t>1.1 Studentpopulasjonen</w:t>
            </w:r>
            <w:r w:rsidR="00F70E5F">
              <w:rPr>
                <w:noProof/>
                <w:webHidden/>
              </w:rPr>
              <w:tab/>
            </w:r>
            <w:r w:rsidR="00F70E5F">
              <w:rPr>
                <w:noProof/>
                <w:webHidden/>
              </w:rPr>
              <w:fldChar w:fldCharType="begin"/>
            </w:r>
            <w:r w:rsidR="00F70E5F">
              <w:rPr>
                <w:noProof/>
                <w:webHidden/>
              </w:rPr>
              <w:instrText xml:space="preserve"> PAGEREF _Toc163488385 \h </w:instrText>
            </w:r>
            <w:r w:rsidR="00F70E5F">
              <w:rPr>
                <w:noProof/>
                <w:webHidden/>
              </w:rPr>
            </w:r>
            <w:r w:rsidR="00F70E5F">
              <w:rPr>
                <w:noProof/>
                <w:webHidden/>
              </w:rPr>
              <w:fldChar w:fldCharType="separate"/>
            </w:r>
            <w:r w:rsidR="00F70E5F">
              <w:rPr>
                <w:noProof/>
                <w:webHidden/>
              </w:rPr>
              <w:t>8</w:t>
            </w:r>
            <w:r w:rsidR="00F70E5F">
              <w:rPr>
                <w:noProof/>
                <w:webHidden/>
              </w:rPr>
              <w:fldChar w:fldCharType="end"/>
            </w:r>
          </w:hyperlink>
        </w:p>
        <w:p w14:paraId="459E6501" w14:textId="2E14FFFB" w:rsidR="00F70E5F" w:rsidRDefault="00000000">
          <w:pPr>
            <w:pStyle w:val="INNH2"/>
            <w:rPr>
              <w:rFonts w:eastAsiaTheme="minorEastAsia"/>
              <w:noProof/>
              <w:kern w:val="2"/>
              <w:sz w:val="24"/>
              <w:szCs w:val="24"/>
              <w:lang w:eastAsia="nb-NO"/>
              <w14:ligatures w14:val="standardContextual"/>
            </w:rPr>
          </w:pPr>
          <w:hyperlink w:anchor="_Toc163488386" w:history="1">
            <w:r w:rsidR="00F70E5F" w:rsidRPr="009D1DBD">
              <w:rPr>
                <w:rStyle w:val="Hyperkobling"/>
                <w:noProof/>
              </w:rPr>
              <w:t>1.2 Fagområder</w:t>
            </w:r>
            <w:r w:rsidR="00F70E5F">
              <w:rPr>
                <w:noProof/>
                <w:webHidden/>
              </w:rPr>
              <w:tab/>
            </w:r>
            <w:r w:rsidR="00F70E5F">
              <w:rPr>
                <w:noProof/>
                <w:webHidden/>
              </w:rPr>
              <w:fldChar w:fldCharType="begin"/>
            </w:r>
            <w:r w:rsidR="00F70E5F">
              <w:rPr>
                <w:noProof/>
                <w:webHidden/>
              </w:rPr>
              <w:instrText xml:space="preserve"> PAGEREF _Toc163488386 \h </w:instrText>
            </w:r>
            <w:r w:rsidR="00F70E5F">
              <w:rPr>
                <w:noProof/>
                <w:webHidden/>
              </w:rPr>
            </w:r>
            <w:r w:rsidR="00F70E5F">
              <w:rPr>
                <w:noProof/>
                <w:webHidden/>
              </w:rPr>
              <w:fldChar w:fldCharType="separate"/>
            </w:r>
            <w:r w:rsidR="00F70E5F">
              <w:rPr>
                <w:noProof/>
                <w:webHidden/>
              </w:rPr>
              <w:t>10</w:t>
            </w:r>
            <w:r w:rsidR="00F70E5F">
              <w:rPr>
                <w:noProof/>
                <w:webHidden/>
              </w:rPr>
              <w:fldChar w:fldCharType="end"/>
            </w:r>
          </w:hyperlink>
        </w:p>
        <w:p w14:paraId="6895AD9B" w14:textId="4D434B6A" w:rsidR="00F70E5F" w:rsidRDefault="00000000">
          <w:pPr>
            <w:pStyle w:val="INNH2"/>
            <w:rPr>
              <w:rFonts w:eastAsiaTheme="minorEastAsia"/>
              <w:noProof/>
              <w:kern w:val="2"/>
              <w:sz w:val="24"/>
              <w:szCs w:val="24"/>
              <w:lang w:eastAsia="nb-NO"/>
              <w14:ligatures w14:val="standardContextual"/>
            </w:rPr>
          </w:pPr>
          <w:hyperlink w:anchor="_Toc163488387" w:history="1">
            <w:r w:rsidR="00F70E5F" w:rsidRPr="009D1DBD">
              <w:rPr>
                <w:rStyle w:val="Hyperkobling"/>
                <w:noProof/>
              </w:rPr>
              <w:t>1.3 Akademisk nivå</w:t>
            </w:r>
            <w:r w:rsidR="00F70E5F">
              <w:rPr>
                <w:noProof/>
                <w:webHidden/>
              </w:rPr>
              <w:tab/>
            </w:r>
            <w:r w:rsidR="00F70E5F">
              <w:rPr>
                <w:noProof/>
                <w:webHidden/>
              </w:rPr>
              <w:fldChar w:fldCharType="begin"/>
            </w:r>
            <w:r w:rsidR="00F70E5F">
              <w:rPr>
                <w:noProof/>
                <w:webHidden/>
              </w:rPr>
              <w:instrText xml:space="preserve"> PAGEREF _Toc163488387 \h </w:instrText>
            </w:r>
            <w:r w:rsidR="00F70E5F">
              <w:rPr>
                <w:noProof/>
                <w:webHidden/>
              </w:rPr>
            </w:r>
            <w:r w:rsidR="00F70E5F">
              <w:rPr>
                <w:noProof/>
                <w:webHidden/>
              </w:rPr>
              <w:fldChar w:fldCharType="separate"/>
            </w:r>
            <w:r w:rsidR="00F70E5F">
              <w:rPr>
                <w:noProof/>
                <w:webHidden/>
              </w:rPr>
              <w:t>12</w:t>
            </w:r>
            <w:r w:rsidR="00F70E5F">
              <w:rPr>
                <w:noProof/>
                <w:webHidden/>
              </w:rPr>
              <w:fldChar w:fldCharType="end"/>
            </w:r>
          </w:hyperlink>
        </w:p>
        <w:p w14:paraId="5131EFC5" w14:textId="369706EF" w:rsidR="00F70E5F" w:rsidRDefault="00000000">
          <w:pPr>
            <w:pStyle w:val="INNH1"/>
            <w:rPr>
              <w:rFonts w:eastAsiaTheme="minorEastAsia"/>
              <w:noProof/>
              <w:kern w:val="2"/>
              <w:sz w:val="24"/>
              <w:szCs w:val="24"/>
              <w:lang w:eastAsia="nb-NO"/>
              <w14:ligatures w14:val="standardContextual"/>
            </w:rPr>
          </w:pPr>
          <w:hyperlink w:anchor="_Toc163488388" w:history="1">
            <w:r w:rsidR="00F70E5F" w:rsidRPr="009D1DBD">
              <w:rPr>
                <w:rStyle w:val="Hyperkobling"/>
                <w:noProof/>
              </w:rPr>
              <w:t>2 Hvem er studentene?</w:t>
            </w:r>
            <w:r w:rsidR="00F70E5F">
              <w:rPr>
                <w:noProof/>
                <w:webHidden/>
              </w:rPr>
              <w:tab/>
            </w:r>
            <w:r w:rsidR="00F70E5F">
              <w:rPr>
                <w:noProof/>
                <w:webHidden/>
              </w:rPr>
              <w:fldChar w:fldCharType="begin"/>
            </w:r>
            <w:r w:rsidR="00F70E5F">
              <w:rPr>
                <w:noProof/>
                <w:webHidden/>
              </w:rPr>
              <w:instrText xml:space="preserve"> PAGEREF _Toc163488388 \h </w:instrText>
            </w:r>
            <w:r w:rsidR="00F70E5F">
              <w:rPr>
                <w:noProof/>
                <w:webHidden/>
              </w:rPr>
            </w:r>
            <w:r w:rsidR="00F70E5F">
              <w:rPr>
                <w:noProof/>
                <w:webHidden/>
              </w:rPr>
              <w:fldChar w:fldCharType="separate"/>
            </w:r>
            <w:r w:rsidR="00F70E5F">
              <w:rPr>
                <w:noProof/>
                <w:webHidden/>
              </w:rPr>
              <w:t>16</w:t>
            </w:r>
            <w:r w:rsidR="00F70E5F">
              <w:rPr>
                <w:noProof/>
                <w:webHidden/>
              </w:rPr>
              <w:fldChar w:fldCharType="end"/>
            </w:r>
          </w:hyperlink>
        </w:p>
        <w:p w14:paraId="03C837F4" w14:textId="77649C25" w:rsidR="00F70E5F" w:rsidRDefault="00000000">
          <w:pPr>
            <w:pStyle w:val="INNH2"/>
            <w:rPr>
              <w:rFonts w:eastAsiaTheme="minorEastAsia"/>
              <w:noProof/>
              <w:kern w:val="2"/>
              <w:sz w:val="24"/>
              <w:szCs w:val="24"/>
              <w:lang w:eastAsia="nb-NO"/>
              <w14:ligatures w14:val="standardContextual"/>
            </w:rPr>
          </w:pPr>
          <w:hyperlink w:anchor="_Toc163488389" w:history="1">
            <w:r w:rsidR="00F70E5F" w:rsidRPr="009D1DBD">
              <w:rPr>
                <w:rStyle w:val="Hyperkobling"/>
                <w:noProof/>
              </w:rPr>
              <w:t>2.1 Stor spredning i alder</w:t>
            </w:r>
            <w:r w:rsidR="00F70E5F">
              <w:rPr>
                <w:noProof/>
                <w:webHidden/>
              </w:rPr>
              <w:tab/>
            </w:r>
            <w:r w:rsidR="00F70E5F">
              <w:rPr>
                <w:noProof/>
                <w:webHidden/>
              </w:rPr>
              <w:fldChar w:fldCharType="begin"/>
            </w:r>
            <w:r w:rsidR="00F70E5F">
              <w:rPr>
                <w:noProof/>
                <w:webHidden/>
              </w:rPr>
              <w:instrText xml:space="preserve"> PAGEREF _Toc163488389 \h </w:instrText>
            </w:r>
            <w:r w:rsidR="00F70E5F">
              <w:rPr>
                <w:noProof/>
                <w:webHidden/>
              </w:rPr>
            </w:r>
            <w:r w:rsidR="00F70E5F">
              <w:rPr>
                <w:noProof/>
                <w:webHidden/>
              </w:rPr>
              <w:fldChar w:fldCharType="separate"/>
            </w:r>
            <w:r w:rsidR="00F70E5F">
              <w:rPr>
                <w:noProof/>
                <w:webHidden/>
              </w:rPr>
              <w:t>16</w:t>
            </w:r>
            <w:r w:rsidR="00F70E5F">
              <w:rPr>
                <w:noProof/>
                <w:webHidden/>
              </w:rPr>
              <w:fldChar w:fldCharType="end"/>
            </w:r>
          </w:hyperlink>
        </w:p>
        <w:p w14:paraId="331747E2" w14:textId="26834072" w:rsidR="00F70E5F" w:rsidRDefault="00000000">
          <w:pPr>
            <w:pStyle w:val="INNH3"/>
            <w:rPr>
              <w:rFonts w:eastAsiaTheme="minorEastAsia"/>
              <w:noProof/>
              <w:kern w:val="2"/>
              <w:sz w:val="24"/>
              <w:szCs w:val="24"/>
              <w:lang w:eastAsia="nb-NO"/>
              <w14:ligatures w14:val="standardContextual"/>
            </w:rPr>
          </w:pPr>
          <w:hyperlink w:anchor="_Toc163488390" w:history="1">
            <w:r w:rsidR="00F70E5F" w:rsidRPr="009D1DBD">
              <w:rPr>
                <w:rStyle w:val="Hyperkobling"/>
                <w:noProof/>
              </w:rPr>
              <w:t>2.1.1 Økt studietilbøyelighet</w:t>
            </w:r>
            <w:r w:rsidR="00F70E5F">
              <w:rPr>
                <w:noProof/>
                <w:webHidden/>
              </w:rPr>
              <w:tab/>
            </w:r>
            <w:r w:rsidR="00F70E5F">
              <w:rPr>
                <w:noProof/>
                <w:webHidden/>
              </w:rPr>
              <w:fldChar w:fldCharType="begin"/>
            </w:r>
            <w:r w:rsidR="00F70E5F">
              <w:rPr>
                <w:noProof/>
                <w:webHidden/>
              </w:rPr>
              <w:instrText xml:space="preserve"> PAGEREF _Toc163488390 \h </w:instrText>
            </w:r>
            <w:r w:rsidR="00F70E5F">
              <w:rPr>
                <w:noProof/>
                <w:webHidden/>
              </w:rPr>
            </w:r>
            <w:r w:rsidR="00F70E5F">
              <w:rPr>
                <w:noProof/>
                <w:webHidden/>
              </w:rPr>
              <w:fldChar w:fldCharType="separate"/>
            </w:r>
            <w:r w:rsidR="00F70E5F">
              <w:rPr>
                <w:noProof/>
                <w:webHidden/>
              </w:rPr>
              <w:t>18</w:t>
            </w:r>
            <w:r w:rsidR="00F70E5F">
              <w:rPr>
                <w:noProof/>
                <w:webHidden/>
              </w:rPr>
              <w:fldChar w:fldCharType="end"/>
            </w:r>
          </w:hyperlink>
        </w:p>
        <w:p w14:paraId="1F2D8471" w14:textId="73F6B8ED" w:rsidR="00F70E5F" w:rsidRDefault="00000000">
          <w:pPr>
            <w:pStyle w:val="INNH2"/>
            <w:rPr>
              <w:rFonts w:eastAsiaTheme="minorEastAsia"/>
              <w:noProof/>
              <w:kern w:val="2"/>
              <w:sz w:val="24"/>
              <w:szCs w:val="24"/>
              <w:lang w:eastAsia="nb-NO"/>
              <w14:ligatures w14:val="standardContextual"/>
            </w:rPr>
          </w:pPr>
          <w:hyperlink w:anchor="_Toc163488391" w:history="1">
            <w:r w:rsidR="00F70E5F" w:rsidRPr="009D1DBD">
              <w:rPr>
                <w:rStyle w:val="Hyperkobling"/>
                <w:noProof/>
              </w:rPr>
              <w:t>2.2 Fortsatt kvinnedominans</w:t>
            </w:r>
            <w:r w:rsidR="00F70E5F">
              <w:rPr>
                <w:noProof/>
                <w:webHidden/>
              </w:rPr>
              <w:tab/>
            </w:r>
            <w:r w:rsidR="00F70E5F">
              <w:rPr>
                <w:noProof/>
                <w:webHidden/>
              </w:rPr>
              <w:fldChar w:fldCharType="begin"/>
            </w:r>
            <w:r w:rsidR="00F70E5F">
              <w:rPr>
                <w:noProof/>
                <w:webHidden/>
              </w:rPr>
              <w:instrText xml:space="preserve"> PAGEREF _Toc163488391 \h </w:instrText>
            </w:r>
            <w:r w:rsidR="00F70E5F">
              <w:rPr>
                <w:noProof/>
                <w:webHidden/>
              </w:rPr>
            </w:r>
            <w:r w:rsidR="00F70E5F">
              <w:rPr>
                <w:noProof/>
                <w:webHidden/>
              </w:rPr>
              <w:fldChar w:fldCharType="separate"/>
            </w:r>
            <w:r w:rsidR="00F70E5F">
              <w:rPr>
                <w:noProof/>
                <w:webHidden/>
              </w:rPr>
              <w:t>21</w:t>
            </w:r>
            <w:r w:rsidR="00F70E5F">
              <w:rPr>
                <w:noProof/>
                <w:webHidden/>
              </w:rPr>
              <w:fldChar w:fldCharType="end"/>
            </w:r>
          </w:hyperlink>
        </w:p>
        <w:p w14:paraId="303EA6A3" w14:textId="5128422D" w:rsidR="00F70E5F" w:rsidRDefault="00000000">
          <w:pPr>
            <w:pStyle w:val="INNH2"/>
            <w:rPr>
              <w:rFonts w:eastAsiaTheme="minorEastAsia"/>
              <w:noProof/>
              <w:kern w:val="2"/>
              <w:sz w:val="24"/>
              <w:szCs w:val="24"/>
              <w:lang w:eastAsia="nb-NO"/>
              <w14:ligatures w14:val="standardContextual"/>
            </w:rPr>
          </w:pPr>
          <w:hyperlink w:anchor="_Toc163488392" w:history="1">
            <w:r w:rsidR="00F70E5F" w:rsidRPr="009D1DBD">
              <w:rPr>
                <w:rStyle w:val="Hyperkobling"/>
                <w:noProof/>
              </w:rPr>
              <w:t>2.3 Geografi og mobilitet</w:t>
            </w:r>
            <w:r w:rsidR="00F70E5F">
              <w:rPr>
                <w:noProof/>
                <w:webHidden/>
              </w:rPr>
              <w:tab/>
            </w:r>
            <w:r w:rsidR="00F70E5F">
              <w:rPr>
                <w:noProof/>
                <w:webHidden/>
              </w:rPr>
              <w:fldChar w:fldCharType="begin"/>
            </w:r>
            <w:r w:rsidR="00F70E5F">
              <w:rPr>
                <w:noProof/>
                <w:webHidden/>
              </w:rPr>
              <w:instrText xml:space="preserve"> PAGEREF _Toc163488392 \h </w:instrText>
            </w:r>
            <w:r w:rsidR="00F70E5F">
              <w:rPr>
                <w:noProof/>
                <w:webHidden/>
              </w:rPr>
            </w:r>
            <w:r w:rsidR="00F70E5F">
              <w:rPr>
                <w:noProof/>
                <w:webHidden/>
              </w:rPr>
              <w:fldChar w:fldCharType="separate"/>
            </w:r>
            <w:r w:rsidR="00F70E5F">
              <w:rPr>
                <w:noProof/>
                <w:webHidden/>
              </w:rPr>
              <w:t>23</w:t>
            </w:r>
            <w:r w:rsidR="00F70E5F">
              <w:rPr>
                <w:noProof/>
                <w:webHidden/>
              </w:rPr>
              <w:fldChar w:fldCharType="end"/>
            </w:r>
          </w:hyperlink>
        </w:p>
        <w:p w14:paraId="6E8B8EE8" w14:textId="1616EC1A" w:rsidR="00F70E5F" w:rsidRDefault="00000000">
          <w:pPr>
            <w:pStyle w:val="INNH2"/>
            <w:rPr>
              <w:rFonts w:eastAsiaTheme="minorEastAsia"/>
              <w:noProof/>
              <w:kern w:val="2"/>
              <w:sz w:val="24"/>
              <w:szCs w:val="24"/>
              <w:lang w:eastAsia="nb-NO"/>
              <w14:ligatures w14:val="standardContextual"/>
            </w:rPr>
          </w:pPr>
          <w:hyperlink w:anchor="_Toc163488393" w:history="1">
            <w:r w:rsidR="00F70E5F" w:rsidRPr="009D1DBD">
              <w:rPr>
                <w:rStyle w:val="Hyperkobling"/>
                <w:noProof/>
              </w:rPr>
              <w:t>2.4 Sosial skjevrekruttering</w:t>
            </w:r>
            <w:r w:rsidR="00F70E5F">
              <w:rPr>
                <w:noProof/>
                <w:webHidden/>
              </w:rPr>
              <w:tab/>
            </w:r>
            <w:r w:rsidR="00F70E5F">
              <w:rPr>
                <w:noProof/>
                <w:webHidden/>
              </w:rPr>
              <w:fldChar w:fldCharType="begin"/>
            </w:r>
            <w:r w:rsidR="00F70E5F">
              <w:rPr>
                <w:noProof/>
                <w:webHidden/>
              </w:rPr>
              <w:instrText xml:space="preserve"> PAGEREF _Toc163488393 \h </w:instrText>
            </w:r>
            <w:r w:rsidR="00F70E5F">
              <w:rPr>
                <w:noProof/>
                <w:webHidden/>
              </w:rPr>
            </w:r>
            <w:r w:rsidR="00F70E5F">
              <w:rPr>
                <w:noProof/>
                <w:webHidden/>
              </w:rPr>
              <w:fldChar w:fldCharType="separate"/>
            </w:r>
            <w:r w:rsidR="00F70E5F">
              <w:rPr>
                <w:noProof/>
                <w:webHidden/>
              </w:rPr>
              <w:t>26</w:t>
            </w:r>
            <w:r w:rsidR="00F70E5F">
              <w:rPr>
                <w:noProof/>
                <w:webHidden/>
              </w:rPr>
              <w:fldChar w:fldCharType="end"/>
            </w:r>
          </w:hyperlink>
        </w:p>
        <w:p w14:paraId="7AF6565C" w14:textId="1CFB56C7" w:rsidR="00F70E5F" w:rsidRDefault="00000000">
          <w:pPr>
            <w:pStyle w:val="INNH2"/>
            <w:rPr>
              <w:rFonts w:eastAsiaTheme="minorEastAsia"/>
              <w:noProof/>
              <w:kern w:val="2"/>
              <w:sz w:val="24"/>
              <w:szCs w:val="24"/>
              <w:lang w:eastAsia="nb-NO"/>
              <w14:ligatures w14:val="standardContextual"/>
            </w:rPr>
          </w:pPr>
          <w:hyperlink w:anchor="_Toc163488394" w:history="1">
            <w:r w:rsidR="00F70E5F" w:rsidRPr="009D1DBD">
              <w:rPr>
                <w:rStyle w:val="Hyperkobling"/>
                <w:noProof/>
              </w:rPr>
              <w:t>2.5 Innvandrere</w:t>
            </w:r>
            <w:r w:rsidR="00F70E5F">
              <w:rPr>
                <w:noProof/>
                <w:webHidden/>
              </w:rPr>
              <w:tab/>
            </w:r>
            <w:r w:rsidR="00F70E5F">
              <w:rPr>
                <w:noProof/>
                <w:webHidden/>
              </w:rPr>
              <w:fldChar w:fldCharType="begin"/>
            </w:r>
            <w:r w:rsidR="00F70E5F">
              <w:rPr>
                <w:noProof/>
                <w:webHidden/>
              </w:rPr>
              <w:instrText xml:space="preserve"> PAGEREF _Toc163488394 \h </w:instrText>
            </w:r>
            <w:r w:rsidR="00F70E5F">
              <w:rPr>
                <w:noProof/>
                <w:webHidden/>
              </w:rPr>
            </w:r>
            <w:r w:rsidR="00F70E5F">
              <w:rPr>
                <w:noProof/>
                <w:webHidden/>
              </w:rPr>
              <w:fldChar w:fldCharType="separate"/>
            </w:r>
            <w:r w:rsidR="00F70E5F">
              <w:rPr>
                <w:noProof/>
                <w:webHidden/>
              </w:rPr>
              <w:t>28</w:t>
            </w:r>
            <w:r w:rsidR="00F70E5F">
              <w:rPr>
                <w:noProof/>
                <w:webHidden/>
              </w:rPr>
              <w:fldChar w:fldCharType="end"/>
            </w:r>
          </w:hyperlink>
        </w:p>
        <w:p w14:paraId="575BFFD5" w14:textId="6DAC89B6" w:rsidR="00F70E5F" w:rsidRDefault="00000000">
          <w:pPr>
            <w:pStyle w:val="INNH2"/>
            <w:rPr>
              <w:rFonts w:eastAsiaTheme="minorEastAsia"/>
              <w:noProof/>
              <w:kern w:val="2"/>
              <w:sz w:val="24"/>
              <w:szCs w:val="24"/>
              <w:lang w:eastAsia="nb-NO"/>
              <w14:ligatures w14:val="standardContextual"/>
            </w:rPr>
          </w:pPr>
          <w:hyperlink w:anchor="_Toc163488395" w:history="1">
            <w:r w:rsidR="00F70E5F" w:rsidRPr="009D1DBD">
              <w:rPr>
                <w:rStyle w:val="Hyperkobling"/>
                <w:noProof/>
              </w:rPr>
              <w:t>2.6 Institusjonsprofiler – studenter og fag</w:t>
            </w:r>
            <w:r w:rsidR="00F70E5F">
              <w:rPr>
                <w:noProof/>
                <w:webHidden/>
              </w:rPr>
              <w:tab/>
            </w:r>
            <w:r w:rsidR="00F70E5F">
              <w:rPr>
                <w:noProof/>
                <w:webHidden/>
              </w:rPr>
              <w:fldChar w:fldCharType="begin"/>
            </w:r>
            <w:r w:rsidR="00F70E5F">
              <w:rPr>
                <w:noProof/>
                <w:webHidden/>
              </w:rPr>
              <w:instrText xml:space="preserve"> PAGEREF _Toc163488395 \h </w:instrText>
            </w:r>
            <w:r w:rsidR="00F70E5F">
              <w:rPr>
                <w:noProof/>
                <w:webHidden/>
              </w:rPr>
            </w:r>
            <w:r w:rsidR="00F70E5F">
              <w:rPr>
                <w:noProof/>
                <w:webHidden/>
              </w:rPr>
              <w:fldChar w:fldCharType="separate"/>
            </w:r>
            <w:r w:rsidR="00F70E5F">
              <w:rPr>
                <w:noProof/>
                <w:webHidden/>
              </w:rPr>
              <w:t>28</w:t>
            </w:r>
            <w:r w:rsidR="00F70E5F">
              <w:rPr>
                <w:noProof/>
                <w:webHidden/>
              </w:rPr>
              <w:fldChar w:fldCharType="end"/>
            </w:r>
          </w:hyperlink>
        </w:p>
        <w:p w14:paraId="7F726451" w14:textId="074A9A9C" w:rsidR="00F70E5F" w:rsidRDefault="00000000">
          <w:pPr>
            <w:pStyle w:val="INNH1"/>
            <w:rPr>
              <w:rFonts w:eastAsiaTheme="minorEastAsia"/>
              <w:noProof/>
              <w:kern w:val="2"/>
              <w:sz w:val="24"/>
              <w:szCs w:val="24"/>
              <w:lang w:eastAsia="nb-NO"/>
              <w14:ligatures w14:val="standardContextual"/>
            </w:rPr>
          </w:pPr>
          <w:hyperlink w:anchor="_Toc163488396" w:history="1">
            <w:r w:rsidR="00F70E5F" w:rsidRPr="009D1DBD">
              <w:rPr>
                <w:rStyle w:val="Hyperkobling"/>
                <w:noProof/>
              </w:rPr>
              <w:t>3 Tilgjengelighet</w:t>
            </w:r>
            <w:r w:rsidR="00F70E5F">
              <w:rPr>
                <w:noProof/>
                <w:webHidden/>
              </w:rPr>
              <w:tab/>
            </w:r>
            <w:r w:rsidR="00F70E5F">
              <w:rPr>
                <w:noProof/>
                <w:webHidden/>
              </w:rPr>
              <w:fldChar w:fldCharType="begin"/>
            </w:r>
            <w:r w:rsidR="00F70E5F">
              <w:rPr>
                <w:noProof/>
                <w:webHidden/>
              </w:rPr>
              <w:instrText xml:space="preserve"> PAGEREF _Toc163488396 \h </w:instrText>
            </w:r>
            <w:r w:rsidR="00F70E5F">
              <w:rPr>
                <w:noProof/>
                <w:webHidden/>
              </w:rPr>
            </w:r>
            <w:r w:rsidR="00F70E5F">
              <w:rPr>
                <w:noProof/>
                <w:webHidden/>
              </w:rPr>
              <w:fldChar w:fldCharType="separate"/>
            </w:r>
            <w:r w:rsidR="00F70E5F">
              <w:rPr>
                <w:noProof/>
                <w:webHidden/>
              </w:rPr>
              <w:t>31</w:t>
            </w:r>
            <w:r w:rsidR="00F70E5F">
              <w:rPr>
                <w:noProof/>
                <w:webHidden/>
              </w:rPr>
              <w:fldChar w:fldCharType="end"/>
            </w:r>
          </w:hyperlink>
        </w:p>
        <w:p w14:paraId="627F84BD" w14:textId="63B0FCBB" w:rsidR="00F70E5F" w:rsidRDefault="00000000">
          <w:pPr>
            <w:pStyle w:val="INNH2"/>
            <w:rPr>
              <w:rFonts w:eastAsiaTheme="minorEastAsia"/>
              <w:noProof/>
              <w:kern w:val="2"/>
              <w:sz w:val="24"/>
              <w:szCs w:val="24"/>
              <w:lang w:eastAsia="nb-NO"/>
              <w14:ligatures w14:val="standardContextual"/>
            </w:rPr>
          </w:pPr>
          <w:hyperlink w:anchor="_Toc163488397" w:history="1">
            <w:r w:rsidR="00F70E5F" w:rsidRPr="009D1DBD">
              <w:rPr>
                <w:rStyle w:val="Hyperkobling"/>
                <w:noProof/>
              </w:rPr>
              <w:t>3.1 Fleksible studier og deltid</w:t>
            </w:r>
            <w:r w:rsidR="00F70E5F">
              <w:rPr>
                <w:noProof/>
                <w:webHidden/>
              </w:rPr>
              <w:tab/>
            </w:r>
            <w:r w:rsidR="00F70E5F">
              <w:rPr>
                <w:noProof/>
                <w:webHidden/>
              </w:rPr>
              <w:fldChar w:fldCharType="begin"/>
            </w:r>
            <w:r w:rsidR="00F70E5F">
              <w:rPr>
                <w:noProof/>
                <w:webHidden/>
              </w:rPr>
              <w:instrText xml:space="preserve"> PAGEREF _Toc163488397 \h </w:instrText>
            </w:r>
            <w:r w:rsidR="00F70E5F">
              <w:rPr>
                <w:noProof/>
                <w:webHidden/>
              </w:rPr>
            </w:r>
            <w:r w:rsidR="00F70E5F">
              <w:rPr>
                <w:noProof/>
                <w:webHidden/>
              </w:rPr>
              <w:fldChar w:fldCharType="separate"/>
            </w:r>
            <w:r w:rsidR="00F70E5F">
              <w:rPr>
                <w:noProof/>
                <w:webHidden/>
              </w:rPr>
              <w:t>31</w:t>
            </w:r>
            <w:r w:rsidR="00F70E5F">
              <w:rPr>
                <w:noProof/>
                <w:webHidden/>
              </w:rPr>
              <w:fldChar w:fldCharType="end"/>
            </w:r>
          </w:hyperlink>
        </w:p>
        <w:p w14:paraId="511436AD" w14:textId="5E2BD2BF" w:rsidR="00F70E5F" w:rsidRDefault="00000000">
          <w:pPr>
            <w:pStyle w:val="INNH3"/>
            <w:rPr>
              <w:rFonts w:eastAsiaTheme="minorEastAsia"/>
              <w:noProof/>
              <w:kern w:val="2"/>
              <w:sz w:val="24"/>
              <w:szCs w:val="24"/>
              <w:lang w:eastAsia="nb-NO"/>
              <w14:ligatures w14:val="standardContextual"/>
            </w:rPr>
          </w:pPr>
          <w:hyperlink w:anchor="_Toc163488398" w:history="1">
            <w:r w:rsidR="00F70E5F" w:rsidRPr="009D1DBD">
              <w:rPr>
                <w:rStyle w:val="Hyperkobling"/>
                <w:noProof/>
              </w:rPr>
              <w:t>3.1.1 Faglig profil preger institusjonsforskjeller</w:t>
            </w:r>
            <w:r w:rsidR="00F70E5F">
              <w:rPr>
                <w:noProof/>
                <w:webHidden/>
              </w:rPr>
              <w:tab/>
            </w:r>
            <w:r w:rsidR="00F70E5F">
              <w:rPr>
                <w:noProof/>
                <w:webHidden/>
              </w:rPr>
              <w:fldChar w:fldCharType="begin"/>
            </w:r>
            <w:r w:rsidR="00F70E5F">
              <w:rPr>
                <w:noProof/>
                <w:webHidden/>
              </w:rPr>
              <w:instrText xml:space="preserve"> PAGEREF _Toc163488398 \h </w:instrText>
            </w:r>
            <w:r w:rsidR="00F70E5F">
              <w:rPr>
                <w:noProof/>
                <w:webHidden/>
              </w:rPr>
            </w:r>
            <w:r w:rsidR="00F70E5F">
              <w:rPr>
                <w:noProof/>
                <w:webHidden/>
              </w:rPr>
              <w:fldChar w:fldCharType="separate"/>
            </w:r>
            <w:r w:rsidR="00F70E5F">
              <w:rPr>
                <w:noProof/>
                <w:webHidden/>
              </w:rPr>
              <w:t>35</w:t>
            </w:r>
            <w:r w:rsidR="00F70E5F">
              <w:rPr>
                <w:noProof/>
                <w:webHidden/>
              </w:rPr>
              <w:fldChar w:fldCharType="end"/>
            </w:r>
          </w:hyperlink>
        </w:p>
        <w:p w14:paraId="0F8279E5" w14:textId="537B3BE4" w:rsidR="00F70E5F" w:rsidRDefault="00000000">
          <w:pPr>
            <w:pStyle w:val="INNH3"/>
            <w:rPr>
              <w:rFonts w:eastAsiaTheme="minorEastAsia"/>
              <w:noProof/>
              <w:kern w:val="2"/>
              <w:sz w:val="24"/>
              <w:szCs w:val="24"/>
              <w:lang w:eastAsia="nb-NO"/>
              <w14:ligatures w14:val="standardContextual"/>
            </w:rPr>
          </w:pPr>
          <w:hyperlink w:anchor="_Toc163488399" w:history="1">
            <w:r w:rsidR="00F70E5F" w:rsidRPr="009D1DBD">
              <w:rPr>
                <w:rStyle w:val="Hyperkobling"/>
                <w:noProof/>
              </w:rPr>
              <w:t>3.1.2 Fleksible studieprogram</w:t>
            </w:r>
            <w:r w:rsidR="00F70E5F">
              <w:rPr>
                <w:noProof/>
                <w:webHidden/>
              </w:rPr>
              <w:tab/>
            </w:r>
            <w:r w:rsidR="00F70E5F">
              <w:rPr>
                <w:noProof/>
                <w:webHidden/>
              </w:rPr>
              <w:fldChar w:fldCharType="begin"/>
            </w:r>
            <w:r w:rsidR="00F70E5F">
              <w:rPr>
                <w:noProof/>
                <w:webHidden/>
              </w:rPr>
              <w:instrText xml:space="preserve"> PAGEREF _Toc163488399 \h </w:instrText>
            </w:r>
            <w:r w:rsidR="00F70E5F">
              <w:rPr>
                <w:noProof/>
                <w:webHidden/>
              </w:rPr>
            </w:r>
            <w:r w:rsidR="00F70E5F">
              <w:rPr>
                <w:noProof/>
                <w:webHidden/>
              </w:rPr>
              <w:fldChar w:fldCharType="separate"/>
            </w:r>
            <w:r w:rsidR="00F70E5F">
              <w:rPr>
                <w:noProof/>
                <w:webHidden/>
              </w:rPr>
              <w:t>36</w:t>
            </w:r>
            <w:r w:rsidR="00F70E5F">
              <w:rPr>
                <w:noProof/>
                <w:webHidden/>
              </w:rPr>
              <w:fldChar w:fldCharType="end"/>
            </w:r>
          </w:hyperlink>
        </w:p>
        <w:p w14:paraId="1B8B0103" w14:textId="062CF594" w:rsidR="00F70E5F" w:rsidRDefault="00000000">
          <w:pPr>
            <w:pStyle w:val="INNH2"/>
            <w:rPr>
              <w:rFonts w:eastAsiaTheme="minorEastAsia"/>
              <w:noProof/>
              <w:kern w:val="2"/>
              <w:sz w:val="24"/>
              <w:szCs w:val="24"/>
              <w:lang w:eastAsia="nb-NO"/>
              <w14:ligatures w14:val="standardContextual"/>
            </w:rPr>
          </w:pPr>
          <w:hyperlink w:anchor="_Toc163488400" w:history="1">
            <w:r w:rsidR="00F70E5F" w:rsidRPr="009D1DBD">
              <w:rPr>
                <w:rStyle w:val="Hyperkobling"/>
                <w:noProof/>
              </w:rPr>
              <w:t>3.2 Inkludering</w:t>
            </w:r>
            <w:r w:rsidR="00F70E5F">
              <w:rPr>
                <w:noProof/>
                <w:webHidden/>
              </w:rPr>
              <w:tab/>
            </w:r>
            <w:r w:rsidR="00F70E5F">
              <w:rPr>
                <w:noProof/>
                <w:webHidden/>
              </w:rPr>
              <w:fldChar w:fldCharType="begin"/>
            </w:r>
            <w:r w:rsidR="00F70E5F">
              <w:rPr>
                <w:noProof/>
                <w:webHidden/>
              </w:rPr>
              <w:instrText xml:space="preserve"> PAGEREF _Toc163488400 \h </w:instrText>
            </w:r>
            <w:r w:rsidR="00F70E5F">
              <w:rPr>
                <w:noProof/>
                <w:webHidden/>
              </w:rPr>
            </w:r>
            <w:r w:rsidR="00F70E5F">
              <w:rPr>
                <w:noProof/>
                <w:webHidden/>
              </w:rPr>
              <w:fldChar w:fldCharType="separate"/>
            </w:r>
            <w:r w:rsidR="00F70E5F">
              <w:rPr>
                <w:noProof/>
                <w:webHidden/>
              </w:rPr>
              <w:t>37</w:t>
            </w:r>
            <w:r w:rsidR="00F70E5F">
              <w:rPr>
                <w:noProof/>
                <w:webHidden/>
              </w:rPr>
              <w:fldChar w:fldCharType="end"/>
            </w:r>
          </w:hyperlink>
        </w:p>
        <w:p w14:paraId="3EB29A1F" w14:textId="74A3A0D7" w:rsidR="00F70E5F" w:rsidRDefault="00000000">
          <w:pPr>
            <w:pStyle w:val="INNH3"/>
            <w:rPr>
              <w:rFonts w:eastAsiaTheme="minorEastAsia"/>
              <w:noProof/>
              <w:kern w:val="2"/>
              <w:sz w:val="24"/>
              <w:szCs w:val="24"/>
              <w:lang w:eastAsia="nb-NO"/>
              <w14:ligatures w14:val="standardContextual"/>
            </w:rPr>
          </w:pPr>
          <w:hyperlink w:anchor="_Toc163488401" w:history="1">
            <w:r w:rsidR="00F70E5F" w:rsidRPr="009D1DBD">
              <w:rPr>
                <w:rStyle w:val="Hyperkobling"/>
                <w:noProof/>
              </w:rPr>
              <w:t>3.2.1 Økt bruk av Lånekassens tilleggsstipend</w:t>
            </w:r>
            <w:r w:rsidR="00F70E5F">
              <w:rPr>
                <w:noProof/>
                <w:webHidden/>
              </w:rPr>
              <w:tab/>
            </w:r>
            <w:r w:rsidR="00F70E5F">
              <w:rPr>
                <w:noProof/>
                <w:webHidden/>
              </w:rPr>
              <w:fldChar w:fldCharType="begin"/>
            </w:r>
            <w:r w:rsidR="00F70E5F">
              <w:rPr>
                <w:noProof/>
                <w:webHidden/>
              </w:rPr>
              <w:instrText xml:space="preserve"> PAGEREF _Toc163488401 \h </w:instrText>
            </w:r>
            <w:r w:rsidR="00F70E5F">
              <w:rPr>
                <w:noProof/>
                <w:webHidden/>
              </w:rPr>
            </w:r>
            <w:r w:rsidR="00F70E5F">
              <w:rPr>
                <w:noProof/>
                <w:webHidden/>
              </w:rPr>
              <w:fldChar w:fldCharType="separate"/>
            </w:r>
            <w:r w:rsidR="00F70E5F">
              <w:rPr>
                <w:noProof/>
                <w:webHidden/>
              </w:rPr>
              <w:t>39</w:t>
            </w:r>
            <w:r w:rsidR="00F70E5F">
              <w:rPr>
                <w:noProof/>
                <w:webHidden/>
              </w:rPr>
              <w:fldChar w:fldCharType="end"/>
            </w:r>
          </w:hyperlink>
        </w:p>
        <w:p w14:paraId="64CF5C6B" w14:textId="1AF4F9D7" w:rsidR="00F70E5F" w:rsidRDefault="00000000">
          <w:pPr>
            <w:pStyle w:val="INNH3"/>
            <w:rPr>
              <w:rFonts w:eastAsiaTheme="minorEastAsia"/>
              <w:noProof/>
              <w:kern w:val="2"/>
              <w:sz w:val="24"/>
              <w:szCs w:val="24"/>
              <w:lang w:eastAsia="nb-NO"/>
              <w14:ligatures w14:val="standardContextual"/>
            </w:rPr>
          </w:pPr>
          <w:hyperlink w:anchor="_Toc163488402" w:history="1">
            <w:r w:rsidR="00F70E5F" w:rsidRPr="009D1DBD">
              <w:rPr>
                <w:rStyle w:val="Hyperkobling"/>
                <w:noProof/>
              </w:rPr>
              <w:t>3.2.2 Tilrettelegging</w:t>
            </w:r>
            <w:r w:rsidR="00F70E5F">
              <w:rPr>
                <w:noProof/>
                <w:webHidden/>
              </w:rPr>
              <w:tab/>
            </w:r>
            <w:r w:rsidR="00F70E5F">
              <w:rPr>
                <w:noProof/>
                <w:webHidden/>
              </w:rPr>
              <w:fldChar w:fldCharType="begin"/>
            </w:r>
            <w:r w:rsidR="00F70E5F">
              <w:rPr>
                <w:noProof/>
                <w:webHidden/>
              </w:rPr>
              <w:instrText xml:space="preserve"> PAGEREF _Toc163488402 \h </w:instrText>
            </w:r>
            <w:r w:rsidR="00F70E5F">
              <w:rPr>
                <w:noProof/>
                <w:webHidden/>
              </w:rPr>
            </w:r>
            <w:r w:rsidR="00F70E5F">
              <w:rPr>
                <w:noProof/>
                <w:webHidden/>
              </w:rPr>
              <w:fldChar w:fldCharType="separate"/>
            </w:r>
            <w:r w:rsidR="00F70E5F">
              <w:rPr>
                <w:noProof/>
                <w:webHidden/>
              </w:rPr>
              <w:t>39</w:t>
            </w:r>
            <w:r w:rsidR="00F70E5F">
              <w:rPr>
                <w:noProof/>
                <w:webHidden/>
              </w:rPr>
              <w:fldChar w:fldCharType="end"/>
            </w:r>
          </w:hyperlink>
        </w:p>
        <w:p w14:paraId="021967D1" w14:textId="17CECDED" w:rsidR="00F70E5F" w:rsidRDefault="00000000">
          <w:pPr>
            <w:pStyle w:val="INNH2"/>
            <w:rPr>
              <w:rFonts w:eastAsiaTheme="minorEastAsia"/>
              <w:noProof/>
              <w:kern w:val="2"/>
              <w:sz w:val="24"/>
              <w:szCs w:val="24"/>
              <w:lang w:eastAsia="nb-NO"/>
              <w14:ligatures w14:val="standardContextual"/>
            </w:rPr>
          </w:pPr>
          <w:hyperlink w:anchor="_Toc163488403" w:history="1">
            <w:r w:rsidR="00F70E5F" w:rsidRPr="009D1DBD">
              <w:rPr>
                <w:rStyle w:val="Hyperkobling"/>
                <w:noProof/>
              </w:rPr>
              <w:t>3.3 Digitalisering og digital omstilling</w:t>
            </w:r>
            <w:r w:rsidR="00F70E5F">
              <w:rPr>
                <w:noProof/>
                <w:webHidden/>
              </w:rPr>
              <w:tab/>
            </w:r>
            <w:r w:rsidR="00F70E5F">
              <w:rPr>
                <w:noProof/>
                <w:webHidden/>
              </w:rPr>
              <w:fldChar w:fldCharType="begin"/>
            </w:r>
            <w:r w:rsidR="00F70E5F">
              <w:rPr>
                <w:noProof/>
                <w:webHidden/>
              </w:rPr>
              <w:instrText xml:space="preserve"> PAGEREF _Toc163488403 \h </w:instrText>
            </w:r>
            <w:r w:rsidR="00F70E5F">
              <w:rPr>
                <w:noProof/>
                <w:webHidden/>
              </w:rPr>
            </w:r>
            <w:r w:rsidR="00F70E5F">
              <w:rPr>
                <w:noProof/>
                <w:webHidden/>
              </w:rPr>
              <w:fldChar w:fldCharType="separate"/>
            </w:r>
            <w:r w:rsidR="00F70E5F">
              <w:rPr>
                <w:noProof/>
                <w:webHidden/>
              </w:rPr>
              <w:t>40</w:t>
            </w:r>
            <w:r w:rsidR="00F70E5F">
              <w:rPr>
                <w:noProof/>
                <w:webHidden/>
              </w:rPr>
              <w:fldChar w:fldCharType="end"/>
            </w:r>
          </w:hyperlink>
        </w:p>
        <w:p w14:paraId="23B06278" w14:textId="038CE376" w:rsidR="00F70E5F" w:rsidRDefault="00000000">
          <w:pPr>
            <w:pStyle w:val="INNH3"/>
            <w:rPr>
              <w:rFonts w:eastAsiaTheme="minorEastAsia"/>
              <w:noProof/>
              <w:kern w:val="2"/>
              <w:sz w:val="24"/>
              <w:szCs w:val="24"/>
              <w:lang w:eastAsia="nb-NO"/>
              <w14:ligatures w14:val="standardContextual"/>
            </w:rPr>
          </w:pPr>
          <w:hyperlink w:anchor="_Toc163488404" w:history="1">
            <w:r w:rsidR="00F70E5F" w:rsidRPr="009D1DBD">
              <w:rPr>
                <w:rStyle w:val="Hyperkobling"/>
                <w:noProof/>
              </w:rPr>
              <w:t>3.3.1 Mye gjort – men mye gjenstår</w:t>
            </w:r>
            <w:r w:rsidR="00F70E5F">
              <w:rPr>
                <w:noProof/>
                <w:webHidden/>
              </w:rPr>
              <w:tab/>
            </w:r>
            <w:r w:rsidR="00F70E5F">
              <w:rPr>
                <w:noProof/>
                <w:webHidden/>
              </w:rPr>
              <w:fldChar w:fldCharType="begin"/>
            </w:r>
            <w:r w:rsidR="00F70E5F">
              <w:rPr>
                <w:noProof/>
                <w:webHidden/>
              </w:rPr>
              <w:instrText xml:space="preserve"> PAGEREF _Toc163488404 \h </w:instrText>
            </w:r>
            <w:r w:rsidR="00F70E5F">
              <w:rPr>
                <w:noProof/>
                <w:webHidden/>
              </w:rPr>
            </w:r>
            <w:r w:rsidR="00F70E5F">
              <w:rPr>
                <w:noProof/>
                <w:webHidden/>
              </w:rPr>
              <w:fldChar w:fldCharType="separate"/>
            </w:r>
            <w:r w:rsidR="00F70E5F">
              <w:rPr>
                <w:noProof/>
                <w:webHidden/>
              </w:rPr>
              <w:t>40</w:t>
            </w:r>
            <w:r w:rsidR="00F70E5F">
              <w:rPr>
                <w:noProof/>
                <w:webHidden/>
              </w:rPr>
              <w:fldChar w:fldCharType="end"/>
            </w:r>
          </w:hyperlink>
        </w:p>
        <w:p w14:paraId="40BE4926" w14:textId="7AD6C496" w:rsidR="00F70E5F" w:rsidRDefault="00000000">
          <w:pPr>
            <w:pStyle w:val="INNH3"/>
            <w:rPr>
              <w:rFonts w:eastAsiaTheme="minorEastAsia"/>
              <w:noProof/>
              <w:kern w:val="2"/>
              <w:sz w:val="24"/>
              <w:szCs w:val="24"/>
              <w:lang w:eastAsia="nb-NO"/>
              <w14:ligatures w14:val="standardContextual"/>
            </w:rPr>
          </w:pPr>
          <w:hyperlink w:anchor="_Toc163488405" w:history="1">
            <w:r w:rsidR="00F70E5F" w:rsidRPr="009D1DBD">
              <w:rPr>
                <w:rStyle w:val="Hyperkobling"/>
                <w:noProof/>
              </w:rPr>
              <w:t>3.3.2 Digitaliseringens muligheter og utfordringer</w:t>
            </w:r>
            <w:r w:rsidR="00F70E5F">
              <w:rPr>
                <w:noProof/>
                <w:webHidden/>
              </w:rPr>
              <w:tab/>
            </w:r>
            <w:r w:rsidR="00F70E5F">
              <w:rPr>
                <w:noProof/>
                <w:webHidden/>
              </w:rPr>
              <w:fldChar w:fldCharType="begin"/>
            </w:r>
            <w:r w:rsidR="00F70E5F">
              <w:rPr>
                <w:noProof/>
                <w:webHidden/>
              </w:rPr>
              <w:instrText xml:space="preserve"> PAGEREF _Toc163488405 \h </w:instrText>
            </w:r>
            <w:r w:rsidR="00F70E5F">
              <w:rPr>
                <w:noProof/>
                <w:webHidden/>
              </w:rPr>
            </w:r>
            <w:r w:rsidR="00F70E5F">
              <w:rPr>
                <w:noProof/>
                <w:webHidden/>
              </w:rPr>
              <w:fldChar w:fldCharType="separate"/>
            </w:r>
            <w:r w:rsidR="00F70E5F">
              <w:rPr>
                <w:noProof/>
                <w:webHidden/>
              </w:rPr>
              <w:t>42</w:t>
            </w:r>
            <w:r w:rsidR="00F70E5F">
              <w:rPr>
                <w:noProof/>
                <w:webHidden/>
              </w:rPr>
              <w:fldChar w:fldCharType="end"/>
            </w:r>
          </w:hyperlink>
        </w:p>
        <w:p w14:paraId="5F090015" w14:textId="5590CBB5" w:rsidR="00F70E5F" w:rsidRDefault="00000000">
          <w:pPr>
            <w:pStyle w:val="INNH2"/>
            <w:rPr>
              <w:rFonts w:eastAsiaTheme="minorEastAsia"/>
              <w:noProof/>
              <w:kern w:val="2"/>
              <w:sz w:val="24"/>
              <w:szCs w:val="24"/>
              <w:lang w:eastAsia="nb-NO"/>
              <w14:ligatures w14:val="standardContextual"/>
            </w:rPr>
          </w:pPr>
          <w:hyperlink w:anchor="_Toc163488406" w:history="1">
            <w:r w:rsidR="00F70E5F" w:rsidRPr="009D1DBD">
              <w:rPr>
                <w:rStyle w:val="Hyperkobling"/>
                <w:noProof/>
              </w:rPr>
              <w:t>3.4 Språk</w:t>
            </w:r>
            <w:r w:rsidR="00F70E5F">
              <w:rPr>
                <w:noProof/>
                <w:webHidden/>
              </w:rPr>
              <w:tab/>
            </w:r>
            <w:r w:rsidR="00F70E5F">
              <w:rPr>
                <w:noProof/>
                <w:webHidden/>
              </w:rPr>
              <w:fldChar w:fldCharType="begin"/>
            </w:r>
            <w:r w:rsidR="00F70E5F">
              <w:rPr>
                <w:noProof/>
                <w:webHidden/>
              </w:rPr>
              <w:instrText xml:space="preserve"> PAGEREF _Toc163488406 \h </w:instrText>
            </w:r>
            <w:r w:rsidR="00F70E5F">
              <w:rPr>
                <w:noProof/>
                <w:webHidden/>
              </w:rPr>
            </w:r>
            <w:r w:rsidR="00F70E5F">
              <w:rPr>
                <w:noProof/>
                <w:webHidden/>
              </w:rPr>
              <w:fldChar w:fldCharType="separate"/>
            </w:r>
            <w:r w:rsidR="00F70E5F">
              <w:rPr>
                <w:noProof/>
                <w:webHidden/>
              </w:rPr>
              <w:t>43</w:t>
            </w:r>
            <w:r w:rsidR="00F70E5F">
              <w:rPr>
                <w:noProof/>
                <w:webHidden/>
              </w:rPr>
              <w:fldChar w:fldCharType="end"/>
            </w:r>
          </w:hyperlink>
        </w:p>
        <w:p w14:paraId="77551831" w14:textId="57E98A57" w:rsidR="00F70E5F" w:rsidRDefault="00000000">
          <w:pPr>
            <w:pStyle w:val="INNH1"/>
            <w:rPr>
              <w:rFonts w:eastAsiaTheme="minorEastAsia"/>
              <w:noProof/>
              <w:kern w:val="2"/>
              <w:sz w:val="24"/>
              <w:szCs w:val="24"/>
              <w:lang w:eastAsia="nb-NO"/>
              <w14:ligatures w14:val="standardContextual"/>
            </w:rPr>
          </w:pPr>
          <w:hyperlink w:anchor="_Toc163488407" w:history="1">
            <w:r w:rsidR="00F70E5F" w:rsidRPr="009D1DBD">
              <w:rPr>
                <w:rStyle w:val="Hyperkobling"/>
                <w:noProof/>
              </w:rPr>
              <w:t>4 Internasjonalisering</w:t>
            </w:r>
            <w:r w:rsidR="00F70E5F">
              <w:rPr>
                <w:noProof/>
                <w:webHidden/>
              </w:rPr>
              <w:tab/>
            </w:r>
            <w:r w:rsidR="00F70E5F">
              <w:rPr>
                <w:noProof/>
                <w:webHidden/>
              </w:rPr>
              <w:fldChar w:fldCharType="begin"/>
            </w:r>
            <w:r w:rsidR="00F70E5F">
              <w:rPr>
                <w:noProof/>
                <w:webHidden/>
              </w:rPr>
              <w:instrText xml:space="preserve"> PAGEREF _Toc163488407 \h </w:instrText>
            </w:r>
            <w:r w:rsidR="00F70E5F">
              <w:rPr>
                <w:noProof/>
                <w:webHidden/>
              </w:rPr>
            </w:r>
            <w:r w:rsidR="00F70E5F">
              <w:rPr>
                <w:noProof/>
                <w:webHidden/>
              </w:rPr>
              <w:fldChar w:fldCharType="separate"/>
            </w:r>
            <w:r w:rsidR="00F70E5F">
              <w:rPr>
                <w:noProof/>
                <w:webHidden/>
              </w:rPr>
              <w:t>45</w:t>
            </w:r>
            <w:r w:rsidR="00F70E5F">
              <w:rPr>
                <w:noProof/>
                <w:webHidden/>
              </w:rPr>
              <w:fldChar w:fldCharType="end"/>
            </w:r>
          </w:hyperlink>
        </w:p>
        <w:p w14:paraId="168E0597" w14:textId="28F540DB" w:rsidR="00F70E5F" w:rsidRDefault="00000000">
          <w:pPr>
            <w:pStyle w:val="INNH2"/>
            <w:rPr>
              <w:rFonts w:eastAsiaTheme="minorEastAsia"/>
              <w:noProof/>
              <w:kern w:val="2"/>
              <w:sz w:val="24"/>
              <w:szCs w:val="24"/>
              <w:lang w:eastAsia="nb-NO"/>
              <w14:ligatures w14:val="standardContextual"/>
            </w:rPr>
          </w:pPr>
          <w:hyperlink w:anchor="_Toc163488408" w:history="1">
            <w:r w:rsidR="00F70E5F" w:rsidRPr="009D1DBD">
              <w:rPr>
                <w:rStyle w:val="Hyperkobling"/>
                <w:noProof/>
              </w:rPr>
              <w:t>4.1 Rekordstor studentutveksling</w:t>
            </w:r>
            <w:r w:rsidR="00F70E5F">
              <w:rPr>
                <w:noProof/>
                <w:webHidden/>
              </w:rPr>
              <w:tab/>
            </w:r>
            <w:r w:rsidR="00F70E5F">
              <w:rPr>
                <w:noProof/>
                <w:webHidden/>
              </w:rPr>
              <w:fldChar w:fldCharType="begin"/>
            </w:r>
            <w:r w:rsidR="00F70E5F">
              <w:rPr>
                <w:noProof/>
                <w:webHidden/>
              </w:rPr>
              <w:instrText xml:space="preserve"> PAGEREF _Toc163488408 \h </w:instrText>
            </w:r>
            <w:r w:rsidR="00F70E5F">
              <w:rPr>
                <w:noProof/>
                <w:webHidden/>
              </w:rPr>
            </w:r>
            <w:r w:rsidR="00F70E5F">
              <w:rPr>
                <w:noProof/>
                <w:webHidden/>
              </w:rPr>
              <w:fldChar w:fldCharType="separate"/>
            </w:r>
            <w:r w:rsidR="00F70E5F">
              <w:rPr>
                <w:noProof/>
                <w:webHidden/>
              </w:rPr>
              <w:t>45</w:t>
            </w:r>
            <w:r w:rsidR="00F70E5F">
              <w:rPr>
                <w:noProof/>
                <w:webHidden/>
              </w:rPr>
              <w:fldChar w:fldCharType="end"/>
            </w:r>
          </w:hyperlink>
        </w:p>
        <w:p w14:paraId="61793A02" w14:textId="17EE1A40" w:rsidR="00F70E5F" w:rsidRDefault="00000000">
          <w:pPr>
            <w:pStyle w:val="INNH3"/>
            <w:rPr>
              <w:rFonts w:eastAsiaTheme="minorEastAsia"/>
              <w:noProof/>
              <w:kern w:val="2"/>
              <w:sz w:val="24"/>
              <w:szCs w:val="24"/>
              <w:lang w:eastAsia="nb-NO"/>
              <w14:ligatures w14:val="standardContextual"/>
            </w:rPr>
          </w:pPr>
          <w:hyperlink w:anchor="_Toc163488409" w:history="1">
            <w:r w:rsidR="00F70E5F" w:rsidRPr="009D1DBD">
              <w:rPr>
                <w:rStyle w:val="Hyperkobling"/>
                <w:noProof/>
              </w:rPr>
              <w:t>4.1.1 Langt unna målet</w:t>
            </w:r>
            <w:r w:rsidR="00F70E5F">
              <w:rPr>
                <w:noProof/>
                <w:webHidden/>
              </w:rPr>
              <w:tab/>
            </w:r>
            <w:r w:rsidR="00F70E5F">
              <w:rPr>
                <w:noProof/>
                <w:webHidden/>
              </w:rPr>
              <w:fldChar w:fldCharType="begin"/>
            </w:r>
            <w:r w:rsidR="00F70E5F">
              <w:rPr>
                <w:noProof/>
                <w:webHidden/>
              </w:rPr>
              <w:instrText xml:space="preserve"> PAGEREF _Toc163488409 \h </w:instrText>
            </w:r>
            <w:r w:rsidR="00F70E5F">
              <w:rPr>
                <w:noProof/>
                <w:webHidden/>
              </w:rPr>
            </w:r>
            <w:r w:rsidR="00F70E5F">
              <w:rPr>
                <w:noProof/>
                <w:webHidden/>
              </w:rPr>
              <w:fldChar w:fldCharType="separate"/>
            </w:r>
            <w:r w:rsidR="00F70E5F">
              <w:rPr>
                <w:noProof/>
                <w:webHidden/>
              </w:rPr>
              <w:t>47</w:t>
            </w:r>
            <w:r w:rsidR="00F70E5F">
              <w:rPr>
                <w:noProof/>
                <w:webHidden/>
              </w:rPr>
              <w:fldChar w:fldCharType="end"/>
            </w:r>
          </w:hyperlink>
        </w:p>
        <w:p w14:paraId="02B35BDC" w14:textId="2323655A" w:rsidR="00F70E5F" w:rsidRDefault="00000000">
          <w:pPr>
            <w:pStyle w:val="INNH3"/>
            <w:rPr>
              <w:rFonts w:eastAsiaTheme="minorEastAsia"/>
              <w:noProof/>
              <w:kern w:val="2"/>
              <w:sz w:val="24"/>
              <w:szCs w:val="24"/>
              <w:lang w:eastAsia="nb-NO"/>
              <w14:ligatures w14:val="standardContextual"/>
            </w:rPr>
          </w:pPr>
          <w:hyperlink w:anchor="_Toc163488410" w:history="1">
            <w:r w:rsidR="00F70E5F" w:rsidRPr="009D1DBD">
              <w:rPr>
                <w:rStyle w:val="Hyperkobling"/>
                <w:noProof/>
              </w:rPr>
              <w:t>4.1.2 Bergen på utvekslingstoppen</w:t>
            </w:r>
            <w:r w:rsidR="00F70E5F">
              <w:rPr>
                <w:noProof/>
                <w:webHidden/>
              </w:rPr>
              <w:tab/>
            </w:r>
            <w:r w:rsidR="00F70E5F">
              <w:rPr>
                <w:noProof/>
                <w:webHidden/>
              </w:rPr>
              <w:fldChar w:fldCharType="begin"/>
            </w:r>
            <w:r w:rsidR="00F70E5F">
              <w:rPr>
                <w:noProof/>
                <w:webHidden/>
              </w:rPr>
              <w:instrText xml:space="preserve"> PAGEREF _Toc163488410 \h </w:instrText>
            </w:r>
            <w:r w:rsidR="00F70E5F">
              <w:rPr>
                <w:noProof/>
                <w:webHidden/>
              </w:rPr>
            </w:r>
            <w:r w:rsidR="00F70E5F">
              <w:rPr>
                <w:noProof/>
                <w:webHidden/>
              </w:rPr>
              <w:fldChar w:fldCharType="separate"/>
            </w:r>
            <w:r w:rsidR="00F70E5F">
              <w:rPr>
                <w:noProof/>
                <w:webHidden/>
              </w:rPr>
              <w:t>48</w:t>
            </w:r>
            <w:r w:rsidR="00F70E5F">
              <w:rPr>
                <w:noProof/>
                <w:webHidden/>
              </w:rPr>
              <w:fldChar w:fldCharType="end"/>
            </w:r>
          </w:hyperlink>
        </w:p>
        <w:p w14:paraId="35D7C770" w14:textId="00133994" w:rsidR="00F70E5F" w:rsidRDefault="00000000">
          <w:pPr>
            <w:pStyle w:val="INNH2"/>
            <w:rPr>
              <w:rFonts w:eastAsiaTheme="minorEastAsia"/>
              <w:noProof/>
              <w:kern w:val="2"/>
              <w:sz w:val="24"/>
              <w:szCs w:val="24"/>
              <w:lang w:eastAsia="nb-NO"/>
              <w14:ligatures w14:val="standardContextual"/>
            </w:rPr>
          </w:pPr>
          <w:hyperlink w:anchor="_Toc163488411" w:history="1">
            <w:r w:rsidR="00F70E5F" w:rsidRPr="009D1DBD">
              <w:rPr>
                <w:rStyle w:val="Hyperkobling"/>
                <w:noProof/>
              </w:rPr>
              <w:t>4.2 Internasjonalt samarbeid</w:t>
            </w:r>
            <w:r w:rsidR="00F70E5F">
              <w:rPr>
                <w:noProof/>
                <w:webHidden/>
              </w:rPr>
              <w:tab/>
            </w:r>
            <w:r w:rsidR="00F70E5F">
              <w:rPr>
                <w:noProof/>
                <w:webHidden/>
              </w:rPr>
              <w:fldChar w:fldCharType="begin"/>
            </w:r>
            <w:r w:rsidR="00F70E5F">
              <w:rPr>
                <w:noProof/>
                <w:webHidden/>
              </w:rPr>
              <w:instrText xml:space="preserve"> PAGEREF _Toc163488411 \h </w:instrText>
            </w:r>
            <w:r w:rsidR="00F70E5F">
              <w:rPr>
                <w:noProof/>
                <w:webHidden/>
              </w:rPr>
            </w:r>
            <w:r w:rsidR="00F70E5F">
              <w:rPr>
                <w:noProof/>
                <w:webHidden/>
              </w:rPr>
              <w:fldChar w:fldCharType="separate"/>
            </w:r>
            <w:r w:rsidR="00F70E5F">
              <w:rPr>
                <w:noProof/>
                <w:webHidden/>
              </w:rPr>
              <w:t>49</w:t>
            </w:r>
            <w:r w:rsidR="00F70E5F">
              <w:rPr>
                <w:noProof/>
                <w:webHidden/>
              </w:rPr>
              <w:fldChar w:fldCharType="end"/>
            </w:r>
          </w:hyperlink>
        </w:p>
        <w:p w14:paraId="320AD63A" w14:textId="6E92AFC6" w:rsidR="00F70E5F" w:rsidRDefault="00000000">
          <w:pPr>
            <w:pStyle w:val="INNH3"/>
            <w:rPr>
              <w:rFonts w:eastAsiaTheme="minorEastAsia"/>
              <w:noProof/>
              <w:kern w:val="2"/>
              <w:sz w:val="24"/>
              <w:szCs w:val="24"/>
              <w:lang w:eastAsia="nb-NO"/>
              <w14:ligatures w14:val="standardContextual"/>
            </w:rPr>
          </w:pPr>
          <w:hyperlink w:anchor="_Toc163488412" w:history="1">
            <w:r w:rsidR="00F70E5F" w:rsidRPr="009D1DBD">
              <w:rPr>
                <w:rStyle w:val="Hyperkobling"/>
                <w:noProof/>
              </w:rPr>
              <w:t>4.2.1 Fortsatt høy mobilitet gjennom Erasmus+</w:t>
            </w:r>
            <w:r w:rsidR="00F70E5F">
              <w:rPr>
                <w:noProof/>
                <w:webHidden/>
              </w:rPr>
              <w:tab/>
            </w:r>
            <w:r w:rsidR="00F70E5F">
              <w:rPr>
                <w:noProof/>
                <w:webHidden/>
              </w:rPr>
              <w:fldChar w:fldCharType="begin"/>
            </w:r>
            <w:r w:rsidR="00F70E5F">
              <w:rPr>
                <w:noProof/>
                <w:webHidden/>
              </w:rPr>
              <w:instrText xml:space="preserve"> PAGEREF _Toc163488412 \h </w:instrText>
            </w:r>
            <w:r w:rsidR="00F70E5F">
              <w:rPr>
                <w:noProof/>
                <w:webHidden/>
              </w:rPr>
            </w:r>
            <w:r w:rsidR="00F70E5F">
              <w:rPr>
                <w:noProof/>
                <w:webHidden/>
              </w:rPr>
              <w:fldChar w:fldCharType="separate"/>
            </w:r>
            <w:r w:rsidR="00F70E5F">
              <w:rPr>
                <w:noProof/>
                <w:webHidden/>
              </w:rPr>
              <w:t>49</w:t>
            </w:r>
            <w:r w:rsidR="00F70E5F">
              <w:rPr>
                <w:noProof/>
                <w:webHidden/>
              </w:rPr>
              <w:fldChar w:fldCharType="end"/>
            </w:r>
          </w:hyperlink>
        </w:p>
        <w:p w14:paraId="64C944F0" w14:textId="58EE77D9" w:rsidR="00F70E5F" w:rsidRDefault="00000000">
          <w:pPr>
            <w:pStyle w:val="INNH2"/>
            <w:rPr>
              <w:rFonts w:eastAsiaTheme="minorEastAsia"/>
              <w:noProof/>
              <w:kern w:val="2"/>
              <w:sz w:val="24"/>
              <w:szCs w:val="24"/>
              <w:lang w:eastAsia="nb-NO"/>
              <w14:ligatures w14:val="standardContextual"/>
            </w:rPr>
          </w:pPr>
          <w:hyperlink w:anchor="_Toc163488413" w:history="1">
            <w:r w:rsidR="00F70E5F" w:rsidRPr="009D1DBD">
              <w:rPr>
                <w:rStyle w:val="Hyperkobling"/>
                <w:noProof/>
              </w:rPr>
              <w:t>4.3 Norske gradsstudenter i utlandet</w:t>
            </w:r>
            <w:r w:rsidR="00F70E5F">
              <w:rPr>
                <w:noProof/>
                <w:webHidden/>
              </w:rPr>
              <w:tab/>
            </w:r>
            <w:r w:rsidR="00F70E5F">
              <w:rPr>
                <w:noProof/>
                <w:webHidden/>
              </w:rPr>
              <w:fldChar w:fldCharType="begin"/>
            </w:r>
            <w:r w:rsidR="00F70E5F">
              <w:rPr>
                <w:noProof/>
                <w:webHidden/>
              </w:rPr>
              <w:instrText xml:space="preserve"> PAGEREF _Toc163488413 \h </w:instrText>
            </w:r>
            <w:r w:rsidR="00F70E5F">
              <w:rPr>
                <w:noProof/>
                <w:webHidden/>
              </w:rPr>
            </w:r>
            <w:r w:rsidR="00F70E5F">
              <w:rPr>
                <w:noProof/>
                <w:webHidden/>
              </w:rPr>
              <w:fldChar w:fldCharType="separate"/>
            </w:r>
            <w:r w:rsidR="00F70E5F">
              <w:rPr>
                <w:noProof/>
                <w:webHidden/>
              </w:rPr>
              <w:t>51</w:t>
            </w:r>
            <w:r w:rsidR="00F70E5F">
              <w:rPr>
                <w:noProof/>
                <w:webHidden/>
              </w:rPr>
              <w:fldChar w:fldCharType="end"/>
            </w:r>
          </w:hyperlink>
        </w:p>
        <w:p w14:paraId="18668B2C" w14:textId="484D30EC" w:rsidR="00F70E5F" w:rsidRDefault="00000000">
          <w:pPr>
            <w:pStyle w:val="INNH2"/>
            <w:rPr>
              <w:rFonts w:eastAsiaTheme="minorEastAsia"/>
              <w:noProof/>
              <w:kern w:val="2"/>
              <w:sz w:val="24"/>
              <w:szCs w:val="24"/>
              <w:lang w:eastAsia="nb-NO"/>
              <w14:ligatures w14:val="standardContextual"/>
            </w:rPr>
          </w:pPr>
          <w:hyperlink w:anchor="_Toc163488414" w:history="1">
            <w:r w:rsidR="00F70E5F" w:rsidRPr="009D1DBD">
              <w:rPr>
                <w:rStyle w:val="Hyperkobling"/>
                <w:noProof/>
              </w:rPr>
              <w:t>4.4 Internasjonale studenter i Norge</w:t>
            </w:r>
            <w:r w:rsidR="00F70E5F">
              <w:rPr>
                <w:noProof/>
                <w:webHidden/>
              </w:rPr>
              <w:tab/>
            </w:r>
            <w:r w:rsidR="00F70E5F">
              <w:rPr>
                <w:noProof/>
                <w:webHidden/>
              </w:rPr>
              <w:fldChar w:fldCharType="begin"/>
            </w:r>
            <w:r w:rsidR="00F70E5F">
              <w:rPr>
                <w:noProof/>
                <w:webHidden/>
              </w:rPr>
              <w:instrText xml:space="preserve"> PAGEREF _Toc163488414 \h </w:instrText>
            </w:r>
            <w:r w:rsidR="00F70E5F">
              <w:rPr>
                <w:noProof/>
                <w:webHidden/>
              </w:rPr>
            </w:r>
            <w:r w:rsidR="00F70E5F">
              <w:rPr>
                <w:noProof/>
                <w:webHidden/>
              </w:rPr>
              <w:fldChar w:fldCharType="separate"/>
            </w:r>
            <w:r w:rsidR="00F70E5F">
              <w:rPr>
                <w:noProof/>
                <w:webHidden/>
              </w:rPr>
              <w:t>53</w:t>
            </w:r>
            <w:r w:rsidR="00F70E5F">
              <w:rPr>
                <w:noProof/>
                <w:webHidden/>
              </w:rPr>
              <w:fldChar w:fldCharType="end"/>
            </w:r>
          </w:hyperlink>
        </w:p>
        <w:p w14:paraId="30F5E49D" w14:textId="1FC4893E" w:rsidR="00F70E5F" w:rsidRDefault="00000000">
          <w:pPr>
            <w:pStyle w:val="INNH2"/>
            <w:rPr>
              <w:rFonts w:eastAsiaTheme="minorEastAsia"/>
              <w:noProof/>
              <w:kern w:val="2"/>
              <w:sz w:val="24"/>
              <w:szCs w:val="24"/>
              <w:lang w:eastAsia="nb-NO"/>
              <w14:ligatures w14:val="standardContextual"/>
            </w:rPr>
          </w:pPr>
          <w:hyperlink w:anchor="_Toc163488415" w:history="1">
            <w:r w:rsidR="00F70E5F" w:rsidRPr="009D1DBD">
              <w:rPr>
                <w:rStyle w:val="Hyperkobling"/>
                <w:noProof/>
              </w:rPr>
              <w:t>4.5 Institusjonsprofiler - internasjonalisering</w:t>
            </w:r>
            <w:r w:rsidR="00F70E5F">
              <w:rPr>
                <w:noProof/>
                <w:webHidden/>
              </w:rPr>
              <w:tab/>
            </w:r>
            <w:r w:rsidR="00F70E5F">
              <w:rPr>
                <w:noProof/>
                <w:webHidden/>
              </w:rPr>
              <w:fldChar w:fldCharType="begin"/>
            </w:r>
            <w:r w:rsidR="00F70E5F">
              <w:rPr>
                <w:noProof/>
                <w:webHidden/>
              </w:rPr>
              <w:instrText xml:space="preserve"> PAGEREF _Toc163488415 \h </w:instrText>
            </w:r>
            <w:r w:rsidR="00F70E5F">
              <w:rPr>
                <w:noProof/>
                <w:webHidden/>
              </w:rPr>
            </w:r>
            <w:r w:rsidR="00F70E5F">
              <w:rPr>
                <w:noProof/>
                <w:webHidden/>
              </w:rPr>
              <w:fldChar w:fldCharType="separate"/>
            </w:r>
            <w:r w:rsidR="00F70E5F">
              <w:rPr>
                <w:noProof/>
                <w:webHidden/>
              </w:rPr>
              <w:t>54</w:t>
            </w:r>
            <w:r w:rsidR="00F70E5F">
              <w:rPr>
                <w:noProof/>
                <w:webHidden/>
              </w:rPr>
              <w:fldChar w:fldCharType="end"/>
            </w:r>
          </w:hyperlink>
        </w:p>
        <w:p w14:paraId="64501567" w14:textId="6B588998" w:rsidR="00F70E5F" w:rsidRDefault="00000000">
          <w:pPr>
            <w:pStyle w:val="INNH1"/>
            <w:rPr>
              <w:rFonts w:eastAsiaTheme="minorEastAsia"/>
              <w:noProof/>
              <w:kern w:val="2"/>
              <w:sz w:val="24"/>
              <w:szCs w:val="24"/>
              <w:lang w:eastAsia="nb-NO"/>
              <w14:ligatures w14:val="standardContextual"/>
            </w:rPr>
          </w:pPr>
          <w:hyperlink w:anchor="_Toc163488416" w:history="1">
            <w:r w:rsidR="00F70E5F" w:rsidRPr="009D1DBD">
              <w:rPr>
                <w:rStyle w:val="Hyperkobling"/>
                <w:noProof/>
              </w:rPr>
              <w:t>5 Studiekvalitet: Innsats og resultater</w:t>
            </w:r>
            <w:r w:rsidR="00F70E5F">
              <w:rPr>
                <w:noProof/>
                <w:webHidden/>
              </w:rPr>
              <w:tab/>
            </w:r>
            <w:r w:rsidR="00F70E5F">
              <w:rPr>
                <w:noProof/>
                <w:webHidden/>
              </w:rPr>
              <w:fldChar w:fldCharType="begin"/>
            </w:r>
            <w:r w:rsidR="00F70E5F">
              <w:rPr>
                <w:noProof/>
                <w:webHidden/>
              </w:rPr>
              <w:instrText xml:space="preserve"> PAGEREF _Toc163488416 \h </w:instrText>
            </w:r>
            <w:r w:rsidR="00F70E5F">
              <w:rPr>
                <w:noProof/>
                <w:webHidden/>
              </w:rPr>
            </w:r>
            <w:r w:rsidR="00F70E5F">
              <w:rPr>
                <w:noProof/>
                <w:webHidden/>
              </w:rPr>
              <w:fldChar w:fldCharType="separate"/>
            </w:r>
            <w:r w:rsidR="00F70E5F">
              <w:rPr>
                <w:noProof/>
                <w:webHidden/>
              </w:rPr>
              <w:t>55</w:t>
            </w:r>
            <w:r w:rsidR="00F70E5F">
              <w:rPr>
                <w:noProof/>
                <w:webHidden/>
              </w:rPr>
              <w:fldChar w:fldCharType="end"/>
            </w:r>
          </w:hyperlink>
        </w:p>
        <w:p w14:paraId="6F51FD5C" w14:textId="359756F9" w:rsidR="00F70E5F" w:rsidRDefault="00000000">
          <w:pPr>
            <w:pStyle w:val="INNH2"/>
            <w:rPr>
              <w:rFonts w:eastAsiaTheme="minorEastAsia"/>
              <w:noProof/>
              <w:kern w:val="2"/>
              <w:sz w:val="24"/>
              <w:szCs w:val="24"/>
              <w:lang w:eastAsia="nb-NO"/>
              <w14:ligatures w14:val="standardContextual"/>
            </w:rPr>
          </w:pPr>
          <w:hyperlink w:anchor="_Toc163488417" w:history="1">
            <w:r w:rsidR="00F70E5F" w:rsidRPr="009D1DBD">
              <w:rPr>
                <w:rStyle w:val="Hyperkobling"/>
                <w:noProof/>
              </w:rPr>
              <w:t>5.1 Inntaks- og innsatsfaktorer</w:t>
            </w:r>
            <w:r w:rsidR="00F70E5F">
              <w:rPr>
                <w:noProof/>
                <w:webHidden/>
              </w:rPr>
              <w:tab/>
            </w:r>
            <w:r w:rsidR="00F70E5F">
              <w:rPr>
                <w:noProof/>
                <w:webHidden/>
              </w:rPr>
              <w:fldChar w:fldCharType="begin"/>
            </w:r>
            <w:r w:rsidR="00F70E5F">
              <w:rPr>
                <w:noProof/>
                <w:webHidden/>
              </w:rPr>
              <w:instrText xml:space="preserve"> PAGEREF _Toc163488417 \h </w:instrText>
            </w:r>
            <w:r w:rsidR="00F70E5F">
              <w:rPr>
                <w:noProof/>
                <w:webHidden/>
              </w:rPr>
            </w:r>
            <w:r w:rsidR="00F70E5F">
              <w:rPr>
                <w:noProof/>
                <w:webHidden/>
              </w:rPr>
              <w:fldChar w:fldCharType="separate"/>
            </w:r>
            <w:r w:rsidR="00F70E5F">
              <w:rPr>
                <w:noProof/>
                <w:webHidden/>
              </w:rPr>
              <w:t>55</w:t>
            </w:r>
            <w:r w:rsidR="00F70E5F">
              <w:rPr>
                <w:noProof/>
                <w:webHidden/>
              </w:rPr>
              <w:fldChar w:fldCharType="end"/>
            </w:r>
          </w:hyperlink>
        </w:p>
        <w:p w14:paraId="3771B6AC" w14:textId="6BA1E2B1" w:rsidR="00F70E5F" w:rsidRDefault="00000000">
          <w:pPr>
            <w:pStyle w:val="INNH3"/>
            <w:rPr>
              <w:rFonts w:eastAsiaTheme="minorEastAsia"/>
              <w:noProof/>
              <w:kern w:val="2"/>
              <w:sz w:val="24"/>
              <w:szCs w:val="24"/>
              <w:lang w:eastAsia="nb-NO"/>
              <w14:ligatures w14:val="standardContextual"/>
            </w:rPr>
          </w:pPr>
          <w:hyperlink w:anchor="_Toc163488418" w:history="1">
            <w:r w:rsidR="00F70E5F" w:rsidRPr="009D1DBD">
              <w:rPr>
                <w:rStyle w:val="Hyperkobling"/>
                <w:noProof/>
              </w:rPr>
              <w:t>5.1.1 Stabile søkertall siste år</w:t>
            </w:r>
            <w:r w:rsidR="00F70E5F">
              <w:rPr>
                <w:noProof/>
                <w:webHidden/>
              </w:rPr>
              <w:tab/>
            </w:r>
            <w:r w:rsidR="00F70E5F">
              <w:rPr>
                <w:noProof/>
                <w:webHidden/>
              </w:rPr>
              <w:fldChar w:fldCharType="begin"/>
            </w:r>
            <w:r w:rsidR="00F70E5F">
              <w:rPr>
                <w:noProof/>
                <w:webHidden/>
              </w:rPr>
              <w:instrText xml:space="preserve"> PAGEREF _Toc163488418 \h </w:instrText>
            </w:r>
            <w:r w:rsidR="00F70E5F">
              <w:rPr>
                <w:noProof/>
                <w:webHidden/>
              </w:rPr>
            </w:r>
            <w:r w:rsidR="00F70E5F">
              <w:rPr>
                <w:noProof/>
                <w:webHidden/>
              </w:rPr>
              <w:fldChar w:fldCharType="separate"/>
            </w:r>
            <w:r w:rsidR="00F70E5F">
              <w:rPr>
                <w:noProof/>
                <w:webHidden/>
              </w:rPr>
              <w:t>55</w:t>
            </w:r>
            <w:r w:rsidR="00F70E5F">
              <w:rPr>
                <w:noProof/>
                <w:webHidden/>
              </w:rPr>
              <w:fldChar w:fldCharType="end"/>
            </w:r>
          </w:hyperlink>
        </w:p>
        <w:p w14:paraId="2079AEE4" w14:textId="5AE2B0A3" w:rsidR="00F70E5F" w:rsidRDefault="00000000">
          <w:pPr>
            <w:pStyle w:val="INNH3"/>
            <w:rPr>
              <w:rFonts w:eastAsiaTheme="minorEastAsia"/>
              <w:noProof/>
              <w:kern w:val="2"/>
              <w:sz w:val="24"/>
              <w:szCs w:val="24"/>
              <w:lang w:eastAsia="nb-NO"/>
              <w14:ligatures w14:val="standardContextual"/>
            </w:rPr>
          </w:pPr>
          <w:hyperlink w:anchor="_Toc163488419" w:history="1">
            <w:r w:rsidR="00F70E5F" w:rsidRPr="009D1DBD">
              <w:rPr>
                <w:rStyle w:val="Hyperkobling"/>
                <w:noProof/>
              </w:rPr>
              <w:t>5.1.2 Startkompetansen til studentene - stadig bedre?</w:t>
            </w:r>
            <w:r w:rsidR="00F70E5F">
              <w:rPr>
                <w:noProof/>
                <w:webHidden/>
              </w:rPr>
              <w:tab/>
            </w:r>
            <w:r w:rsidR="00F70E5F">
              <w:rPr>
                <w:noProof/>
                <w:webHidden/>
              </w:rPr>
              <w:fldChar w:fldCharType="begin"/>
            </w:r>
            <w:r w:rsidR="00F70E5F">
              <w:rPr>
                <w:noProof/>
                <w:webHidden/>
              </w:rPr>
              <w:instrText xml:space="preserve"> PAGEREF _Toc163488419 \h </w:instrText>
            </w:r>
            <w:r w:rsidR="00F70E5F">
              <w:rPr>
                <w:noProof/>
                <w:webHidden/>
              </w:rPr>
            </w:r>
            <w:r w:rsidR="00F70E5F">
              <w:rPr>
                <w:noProof/>
                <w:webHidden/>
              </w:rPr>
              <w:fldChar w:fldCharType="separate"/>
            </w:r>
            <w:r w:rsidR="00F70E5F">
              <w:rPr>
                <w:noProof/>
                <w:webHidden/>
              </w:rPr>
              <w:t>57</w:t>
            </w:r>
            <w:r w:rsidR="00F70E5F">
              <w:rPr>
                <w:noProof/>
                <w:webHidden/>
              </w:rPr>
              <w:fldChar w:fldCharType="end"/>
            </w:r>
          </w:hyperlink>
        </w:p>
        <w:p w14:paraId="77372276" w14:textId="1A39FC4E" w:rsidR="00F70E5F" w:rsidRDefault="00000000">
          <w:pPr>
            <w:pStyle w:val="INNH3"/>
            <w:rPr>
              <w:rFonts w:eastAsiaTheme="minorEastAsia"/>
              <w:noProof/>
              <w:kern w:val="2"/>
              <w:sz w:val="24"/>
              <w:szCs w:val="24"/>
              <w:lang w:eastAsia="nb-NO"/>
              <w14:ligatures w14:val="standardContextual"/>
            </w:rPr>
          </w:pPr>
          <w:hyperlink w:anchor="_Toc163488420" w:history="1">
            <w:r w:rsidR="00F70E5F" w:rsidRPr="009D1DBD">
              <w:rPr>
                <w:rStyle w:val="Hyperkobling"/>
                <w:noProof/>
              </w:rPr>
              <w:t>5.1.3 Tidsbruk</w:t>
            </w:r>
            <w:r w:rsidR="00F70E5F">
              <w:rPr>
                <w:noProof/>
                <w:webHidden/>
              </w:rPr>
              <w:tab/>
            </w:r>
            <w:r w:rsidR="00F70E5F">
              <w:rPr>
                <w:noProof/>
                <w:webHidden/>
              </w:rPr>
              <w:fldChar w:fldCharType="begin"/>
            </w:r>
            <w:r w:rsidR="00F70E5F">
              <w:rPr>
                <w:noProof/>
                <w:webHidden/>
              </w:rPr>
              <w:instrText xml:space="preserve"> PAGEREF _Toc163488420 \h </w:instrText>
            </w:r>
            <w:r w:rsidR="00F70E5F">
              <w:rPr>
                <w:noProof/>
                <w:webHidden/>
              </w:rPr>
            </w:r>
            <w:r w:rsidR="00F70E5F">
              <w:rPr>
                <w:noProof/>
                <w:webHidden/>
              </w:rPr>
              <w:fldChar w:fldCharType="separate"/>
            </w:r>
            <w:r w:rsidR="00F70E5F">
              <w:rPr>
                <w:noProof/>
                <w:webHidden/>
              </w:rPr>
              <w:t>59</w:t>
            </w:r>
            <w:r w:rsidR="00F70E5F">
              <w:rPr>
                <w:noProof/>
                <w:webHidden/>
              </w:rPr>
              <w:fldChar w:fldCharType="end"/>
            </w:r>
          </w:hyperlink>
        </w:p>
        <w:p w14:paraId="19320D91" w14:textId="7C8A6F53" w:rsidR="00F70E5F" w:rsidRDefault="00000000">
          <w:pPr>
            <w:pStyle w:val="INNH2"/>
            <w:rPr>
              <w:rFonts w:eastAsiaTheme="minorEastAsia"/>
              <w:noProof/>
              <w:kern w:val="2"/>
              <w:sz w:val="24"/>
              <w:szCs w:val="24"/>
              <w:lang w:eastAsia="nb-NO"/>
              <w14:ligatures w14:val="standardContextual"/>
            </w:rPr>
          </w:pPr>
          <w:hyperlink w:anchor="_Toc163488421" w:history="1">
            <w:r w:rsidR="00F70E5F" w:rsidRPr="009D1DBD">
              <w:rPr>
                <w:rStyle w:val="Hyperkobling"/>
                <w:noProof/>
              </w:rPr>
              <w:t>5.2 Resultatfaktorer</w:t>
            </w:r>
            <w:r w:rsidR="00F70E5F">
              <w:rPr>
                <w:noProof/>
                <w:webHidden/>
              </w:rPr>
              <w:tab/>
            </w:r>
            <w:r w:rsidR="00F70E5F">
              <w:rPr>
                <w:noProof/>
                <w:webHidden/>
              </w:rPr>
              <w:fldChar w:fldCharType="begin"/>
            </w:r>
            <w:r w:rsidR="00F70E5F">
              <w:rPr>
                <w:noProof/>
                <w:webHidden/>
              </w:rPr>
              <w:instrText xml:space="preserve"> PAGEREF _Toc163488421 \h </w:instrText>
            </w:r>
            <w:r w:rsidR="00F70E5F">
              <w:rPr>
                <w:noProof/>
                <w:webHidden/>
              </w:rPr>
            </w:r>
            <w:r w:rsidR="00F70E5F">
              <w:rPr>
                <w:noProof/>
                <w:webHidden/>
              </w:rPr>
              <w:fldChar w:fldCharType="separate"/>
            </w:r>
            <w:r w:rsidR="00F70E5F">
              <w:rPr>
                <w:noProof/>
                <w:webHidden/>
              </w:rPr>
              <w:t>62</w:t>
            </w:r>
            <w:r w:rsidR="00F70E5F">
              <w:rPr>
                <w:noProof/>
                <w:webHidden/>
              </w:rPr>
              <w:fldChar w:fldCharType="end"/>
            </w:r>
          </w:hyperlink>
        </w:p>
        <w:p w14:paraId="303F4187" w14:textId="4760DDA1" w:rsidR="00F70E5F" w:rsidRDefault="00000000">
          <w:pPr>
            <w:pStyle w:val="INNH3"/>
            <w:rPr>
              <w:rFonts w:eastAsiaTheme="minorEastAsia"/>
              <w:noProof/>
              <w:kern w:val="2"/>
              <w:sz w:val="24"/>
              <w:szCs w:val="24"/>
              <w:lang w:eastAsia="nb-NO"/>
              <w14:ligatures w14:val="standardContextual"/>
            </w:rPr>
          </w:pPr>
          <w:hyperlink w:anchor="_Toc163488422" w:history="1">
            <w:r w:rsidR="00F70E5F" w:rsidRPr="009D1DBD">
              <w:rPr>
                <w:rStyle w:val="Hyperkobling"/>
                <w:noProof/>
              </w:rPr>
              <w:t>5.2.1 Nytt tallgrunnlag gir mindre økning i gjennomføring</w:t>
            </w:r>
            <w:r w:rsidR="00F70E5F">
              <w:rPr>
                <w:noProof/>
                <w:webHidden/>
              </w:rPr>
              <w:tab/>
            </w:r>
            <w:r w:rsidR="00F70E5F">
              <w:rPr>
                <w:noProof/>
                <w:webHidden/>
              </w:rPr>
              <w:fldChar w:fldCharType="begin"/>
            </w:r>
            <w:r w:rsidR="00F70E5F">
              <w:rPr>
                <w:noProof/>
                <w:webHidden/>
              </w:rPr>
              <w:instrText xml:space="preserve"> PAGEREF _Toc163488422 \h </w:instrText>
            </w:r>
            <w:r w:rsidR="00F70E5F">
              <w:rPr>
                <w:noProof/>
                <w:webHidden/>
              </w:rPr>
            </w:r>
            <w:r w:rsidR="00F70E5F">
              <w:rPr>
                <w:noProof/>
                <w:webHidden/>
              </w:rPr>
              <w:fldChar w:fldCharType="separate"/>
            </w:r>
            <w:r w:rsidR="00F70E5F">
              <w:rPr>
                <w:noProof/>
                <w:webHidden/>
              </w:rPr>
              <w:t>62</w:t>
            </w:r>
            <w:r w:rsidR="00F70E5F">
              <w:rPr>
                <w:noProof/>
                <w:webHidden/>
              </w:rPr>
              <w:fldChar w:fldCharType="end"/>
            </w:r>
          </w:hyperlink>
        </w:p>
        <w:p w14:paraId="05C1A752" w14:textId="3571B5FC" w:rsidR="00F70E5F" w:rsidRDefault="00000000">
          <w:pPr>
            <w:pStyle w:val="INNH3"/>
            <w:rPr>
              <w:rFonts w:eastAsiaTheme="minorEastAsia"/>
              <w:noProof/>
              <w:kern w:val="2"/>
              <w:sz w:val="24"/>
              <w:szCs w:val="24"/>
              <w:lang w:eastAsia="nb-NO"/>
              <w14:ligatures w14:val="standardContextual"/>
            </w:rPr>
          </w:pPr>
          <w:hyperlink w:anchor="_Toc163488423" w:history="1">
            <w:r w:rsidR="00F70E5F" w:rsidRPr="009D1DBD">
              <w:rPr>
                <w:rStyle w:val="Hyperkobling"/>
                <w:noProof/>
                <w:lang w:eastAsia="nb-NO"/>
              </w:rPr>
              <w:t>5.2.2 Uteksaminerte</w:t>
            </w:r>
            <w:r w:rsidR="00F70E5F">
              <w:rPr>
                <w:noProof/>
                <w:webHidden/>
              </w:rPr>
              <w:tab/>
            </w:r>
            <w:r w:rsidR="00F70E5F">
              <w:rPr>
                <w:noProof/>
                <w:webHidden/>
              </w:rPr>
              <w:fldChar w:fldCharType="begin"/>
            </w:r>
            <w:r w:rsidR="00F70E5F">
              <w:rPr>
                <w:noProof/>
                <w:webHidden/>
              </w:rPr>
              <w:instrText xml:space="preserve"> PAGEREF _Toc163488423 \h </w:instrText>
            </w:r>
            <w:r w:rsidR="00F70E5F">
              <w:rPr>
                <w:noProof/>
                <w:webHidden/>
              </w:rPr>
            </w:r>
            <w:r w:rsidR="00F70E5F">
              <w:rPr>
                <w:noProof/>
                <w:webHidden/>
              </w:rPr>
              <w:fldChar w:fldCharType="separate"/>
            </w:r>
            <w:r w:rsidR="00F70E5F">
              <w:rPr>
                <w:noProof/>
                <w:webHidden/>
              </w:rPr>
              <w:t>74</w:t>
            </w:r>
            <w:r w:rsidR="00F70E5F">
              <w:rPr>
                <w:noProof/>
                <w:webHidden/>
              </w:rPr>
              <w:fldChar w:fldCharType="end"/>
            </w:r>
          </w:hyperlink>
        </w:p>
        <w:p w14:paraId="713CAF01" w14:textId="5D5D0B53" w:rsidR="00F70E5F" w:rsidRDefault="00000000">
          <w:pPr>
            <w:pStyle w:val="INNH3"/>
            <w:rPr>
              <w:rFonts w:eastAsiaTheme="minorEastAsia"/>
              <w:noProof/>
              <w:kern w:val="2"/>
              <w:sz w:val="24"/>
              <w:szCs w:val="24"/>
              <w:lang w:eastAsia="nb-NO"/>
              <w14:ligatures w14:val="standardContextual"/>
            </w:rPr>
          </w:pPr>
          <w:hyperlink w:anchor="_Toc163488424" w:history="1">
            <w:r w:rsidR="00F70E5F" w:rsidRPr="009D1DBD">
              <w:rPr>
                <w:rStyle w:val="Hyperkobling"/>
                <w:noProof/>
                <w:lang w:eastAsia="nb-NO"/>
              </w:rPr>
              <w:t>5.2.3</w:t>
            </w:r>
            <w:r w:rsidR="00F70E5F" w:rsidRPr="009D1DBD">
              <w:rPr>
                <w:rStyle w:val="Hyperkobling"/>
                <w:noProof/>
              </w:rPr>
              <w:t xml:space="preserve"> Tilfredshet</w:t>
            </w:r>
            <w:r w:rsidR="00F70E5F">
              <w:rPr>
                <w:noProof/>
                <w:webHidden/>
              </w:rPr>
              <w:tab/>
            </w:r>
            <w:r w:rsidR="00F70E5F">
              <w:rPr>
                <w:noProof/>
                <w:webHidden/>
              </w:rPr>
              <w:fldChar w:fldCharType="begin"/>
            </w:r>
            <w:r w:rsidR="00F70E5F">
              <w:rPr>
                <w:noProof/>
                <w:webHidden/>
              </w:rPr>
              <w:instrText xml:space="preserve"> PAGEREF _Toc163488424 \h </w:instrText>
            </w:r>
            <w:r w:rsidR="00F70E5F">
              <w:rPr>
                <w:noProof/>
                <w:webHidden/>
              </w:rPr>
            </w:r>
            <w:r w:rsidR="00F70E5F">
              <w:rPr>
                <w:noProof/>
                <w:webHidden/>
              </w:rPr>
              <w:fldChar w:fldCharType="separate"/>
            </w:r>
            <w:r w:rsidR="00F70E5F">
              <w:rPr>
                <w:noProof/>
                <w:webHidden/>
              </w:rPr>
              <w:t>79</w:t>
            </w:r>
            <w:r w:rsidR="00F70E5F">
              <w:rPr>
                <w:noProof/>
                <w:webHidden/>
              </w:rPr>
              <w:fldChar w:fldCharType="end"/>
            </w:r>
          </w:hyperlink>
        </w:p>
        <w:p w14:paraId="4012BEBC" w14:textId="6570DFEF" w:rsidR="00F70E5F" w:rsidRDefault="00000000">
          <w:pPr>
            <w:pStyle w:val="INNH2"/>
            <w:rPr>
              <w:rFonts w:eastAsiaTheme="minorEastAsia"/>
              <w:noProof/>
              <w:kern w:val="2"/>
              <w:sz w:val="24"/>
              <w:szCs w:val="24"/>
              <w:lang w:eastAsia="nb-NO"/>
              <w14:ligatures w14:val="standardContextual"/>
            </w:rPr>
          </w:pPr>
          <w:hyperlink w:anchor="_Toc163488425" w:history="1">
            <w:r w:rsidR="00F70E5F" w:rsidRPr="009D1DBD">
              <w:rPr>
                <w:rStyle w:val="Hyperkobling"/>
                <w:noProof/>
              </w:rPr>
              <w:t>5.3 Sammenhenger mellom innsats og resultat</w:t>
            </w:r>
            <w:r w:rsidR="00F70E5F">
              <w:rPr>
                <w:noProof/>
                <w:webHidden/>
              </w:rPr>
              <w:tab/>
            </w:r>
            <w:r w:rsidR="00F70E5F">
              <w:rPr>
                <w:noProof/>
                <w:webHidden/>
              </w:rPr>
              <w:fldChar w:fldCharType="begin"/>
            </w:r>
            <w:r w:rsidR="00F70E5F">
              <w:rPr>
                <w:noProof/>
                <w:webHidden/>
              </w:rPr>
              <w:instrText xml:space="preserve"> PAGEREF _Toc163488425 \h </w:instrText>
            </w:r>
            <w:r w:rsidR="00F70E5F">
              <w:rPr>
                <w:noProof/>
                <w:webHidden/>
              </w:rPr>
            </w:r>
            <w:r w:rsidR="00F70E5F">
              <w:rPr>
                <w:noProof/>
                <w:webHidden/>
              </w:rPr>
              <w:fldChar w:fldCharType="separate"/>
            </w:r>
            <w:r w:rsidR="00F70E5F">
              <w:rPr>
                <w:noProof/>
                <w:webHidden/>
              </w:rPr>
              <w:t>81</w:t>
            </w:r>
            <w:r w:rsidR="00F70E5F">
              <w:rPr>
                <w:noProof/>
                <w:webHidden/>
              </w:rPr>
              <w:fldChar w:fldCharType="end"/>
            </w:r>
          </w:hyperlink>
        </w:p>
        <w:p w14:paraId="2A2C186D" w14:textId="3FE1F86F" w:rsidR="00F70E5F" w:rsidRDefault="00000000">
          <w:pPr>
            <w:pStyle w:val="INNH3"/>
            <w:rPr>
              <w:rFonts w:eastAsiaTheme="minorEastAsia"/>
              <w:noProof/>
              <w:kern w:val="2"/>
              <w:sz w:val="24"/>
              <w:szCs w:val="24"/>
              <w:lang w:eastAsia="nb-NO"/>
              <w14:ligatures w14:val="standardContextual"/>
            </w:rPr>
          </w:pPr>
          <w:hyperlink w:anchor="_Toc163488426" w:history="1">
            <w:r w:rsidR="00F70E5F" w:rsidRPr="009D1DBD">
              <w:rPr>
                <w:rStyle w:val="Hyperkobling"/>
                <w:noProof/>
              </w:rPr>
              <w:t>5.3.1 Nasjonale deleksamener</w:t>
            </w:r>
            <w:r w:rsidR="00F70E5F">
              <w:rPr>
                <w:noProof/>
                <w:webHidden/>
              </w:rPr>
              <w:tab/>
            </w:r>
            <w:r w:rsidR="00F70E5F">
              <w:rPr>
                <w:noProof/>
                <w:webHidden/>
              </w:rPr>
              <w:fldChar w:fldCharType="begin"/>
            </w:r>
            <w:r w:rsidR="00F70E5F">
              <w:rPr>
                <w:noProof/>
                <w:webHidden/>
              </w:rPr>
              <w:instrText xml:space="preserve"> PAGEREF _Toc163488426 \h </w:instrText>
            </w:r>
            <w:r w:rsidR="00F70E5F">
              <w:rPr>
                <w:noProof/>
                <w:webHidden/>
              </w:rPr>
            </w:r>
            <w:r w:rsidR="00F70E5F">
              <w:rPr>
                <w:noProof/>
                <w:webHidden/>
              </w:rPr>
              <w:fldChar w:fldCharType="separate"/>
            </w:r>
            <w:r w:rsidR="00F70E5F">
              <w:rPr>
                <w:noProof/>
                <w:webHidden/>
              </w:rPr>
              <w:t>81</w:t>
            </w:r>
            <w:r w:rsidR="00F70E5F">
              <w:rPr>
                <w:noProof/>
                <w:webHidden/>
              </w:rPr>
              <w:fldChar w:fldCharType="end"/>
            </w:r>
          </w:hyperlink>
        </w:p>
        <w:p w14:paraId="78B1D72D" w14:textId="559BCA33" w:rsidR="00F70E5F" w:rsidRDefault="00000000">
          <w:pPr>
            <w:pStyle w:val="INNH3"/>
            <w:rPr>
              <w:rFonts w:eastAsiaTheme="minorEastAsia"/>
              <w:noProof/>
              <w:kern w:val="2"/>
              <w:sz w:val="24"/>
              <w:szCs w:val="24"/>
              <w:lang w:eastAsia="nb-NO"/>
              <w14:ligatures w14:val="standardContextual"/>
            </w:rPr>
          </w:pPr>
          <w:hyperlink w:anchor="_Toc163488427" w:history="1">
            <w:r w:rsidR="00F70E5F" w:rsidRPr="009D1DBD">
              <w:rPr>
                <w:rStyle w:val="Hyperkobling"/>
                <w:noProof/>
              </w:rPr>
              <w:t>5.3.2 Studiepoeng per faglige årsverk</w:t>
            </w:r>
            <w:r w:rsidR="00F70E5F">
              <w:rPr>
                <w:noProof/>
                <w:webHidden/>
              </w:rPr>
              <w:tab/>
            </w:r>
            <w:r w:rsidR="00F70E5F">
              <w:rPr>
                <w:noProof/>
                <w:webHidden/>
              </w:rPr>
              <w:fldChar w:fldCharType="begin"/>
            </w:r>
            <w:r w:rsidR="00F70E5F">
              <w:rPr>
                <w:noProof/>
                <w:webHidden/>
              </w:rPr>
              <w:instrText xml:space="preserve"> PAGEREF _Toc163488427 \h </w:instrText>
            </w:r>
            <w:r w:rsidR="00F70E5F">
              <w:rPr>
                <w:noProof/>
                <w:webHidden/>
              </w:rPr>
            </w:r>
            <w:r w:rsidR="00F70E5F">
              <w:rPr>
                <w:noProof/>
                <w:webHidden/>
              </w:rPr>
              <w:fldChar w:fldCharType="separate"/>
            </w:r>
            <w:r w:rsidR="00F70E5F">
              <w:rPr>
                <w:noProof/>
                <w:webHidden/>
              </w:rPr>
              <w:t>81</w:t>
            </w:r>
            <w:r w:rsidR="00F70E5F">
              <w:rPr>
                <w:noProof/>
                <w:webHidden/>
              </w:rPr>
              <w:fldChar w:fldCharType="end"/>
            </w:r>
          </w:hyperlink>
        </w:p>
        <w:p w14:paraId="5998C16C" w14:textId="5B0BB75D" w:rsidR="00F70E5F" w:rsidRDefault="00000000">
          <w:pPr>
            <w:pStyle w:val="INNH3"/>
            <w:rPr>
              <w:rFonts w:eastAsiaTheme="minorEastAsia"/>
              <w:noProof/>
              <w:kern w:val="2"/>
              <w:sz w:val="24"/>
              <w:szCs w:val="24"/>
              <w:lang w:eastAsia="nb-NO"/>
              <w14:ligatures w14:val="standardContextual"/>
            </w:rPr>
          </w:pPr>
          <w:hyperlink w:anchor="_Toc163488428" w:history="1">
            <w:r w:rsidR="00F70E5F" w:rsidRPr="009D1DBD">
              <w:rPr>
                <w:rStyle w:val="Hyperkobling"/>
                <w:noProof/>
              </w:rPr>
              <w:t>5.3.3 Statistiske sammenhenger</w:t>
            </w:r>
            <w:r w:rsidR="00F70E5F">
              <w:rPr>
                <w:noProof/>
                <w:webHidden/>
              </w:rPr>
              <w:tab/>
            </w:r>
            <w:r w:rsidR="00F70E5F">
              <w:rPr>
                <w:noProof/>
                <w:webHidden/>
              </w:rPr>
              <w:fldChar w:fldCharType="begin"/>
            </w:r>
            <w:r w:rsidR="00F70E5F">
              <w:rPr>
                <w:noProof/>
                <w:webHidden/>
              </w:rPr>
              <w:instrText xml:space="preserve"> PAGEREF _Toc163488428 \h </w:instrText>
            </w:r>
            <w:r w:rsidR="00F70E5F">
              <w:rPr>
                <w:noProof/>
                <w:webHidden/>
              </w:rPr>
            </w:r>
            <w:r w:rsidR="00F70E5F">
              <w:rPr>
                <w:noProof/>
                <w:webHidden/>
              </w:rPr>
              <w:fldChar w:fldCharType="separate"/>
            </w:r>
            <w:r w:rsidR="00F70E5F">
              <w:rPr>
                <w:noProof/>
                <w:webHidden/>
              </w:rPr>
              <w:t>83</w:t>
            </w:r>
            <w:r w:rsidR="00F70E5F">
              <w:rPr>
                <w:noProof/>
                <w:webHidden/>
              </w:rPr>
              <w:fldChar w:fldCharType="end"/>
            </w:r>
          </w:hyperlink>
        </w:p>
        <w:p w14:paraId="5441319D" w14:textId="79631EF5" w:rsidR="00F70E5F" w:rsidRDefault="00000000">
          <w:pPr>
            <w:pStyle w:val="INNH2"/>
            <w:rPr>
              <w:rFonts w:eastAsiaTheme="minorEastAsia"/>
              <w:noProof/>
              <w:kern w:val="2"/>
              <w:sz w:val="24"/>
              <w:szCs w:val="24"/>
              <w:lang w:eastAsia="nb-NO"/>
              <w14:ligatures w14:val="standardContextual"/>
            </w:rPr>
          </w:pPr>
          <w:hyperlink w:anchor="_Toc163488429" w:history="1">
            <w:r w:rsidR="00F70E5F" w:rsidRPr="009D1DBD">
              <w:rPr>
                <w:rStyle w:val="Hyperkobling"/>
                <w:noProof/>
              </w:rPr>
              <w:t>5.4 Institusjonsprofiler</w:t>
            </w:r>
            <w:r w:rsidR="00F70E5F">
              <w:rPr>
                <w:noProof/>
                <w:webHidden/>
              </w:rPr>
              <w:tab/>
            </w:r>
            <w:r w:rsidR="00F70E5F">
              <w:rPr>
                <w:noProof/>
                <w:webHidden/>
              </w:rPr>
              <w:fldChar w:fldCharType="begin"/>
            </w:r>
            <w:r w:rsidR="00F70E5F">
              <w:rPr>
                <w:noProof/>
                <w:webHidden/>
              </w:rPr>
              <w:instrText xml:space="preserve"> PAGEREF _Toc163488429 \h </w:instrText>
            </w:r>
            <w:r w:rsidR="00F70E5F">
              <w:rPr>
                <w:noProof/>
                <w:webHidden/>
              </w:rPr>
            </w:r>
            <w:r w:rsidR="00F70E5F">
              <w:rPr>
                <w:noProof/>
                <w:webHidden/>
              </w:rPr>
              <w:fldChar w:fldCharType="separate"/>
            </w:r>
            <w:r w:rsidR="00F70E5F">
              <w:rPr>
                <w:noProof/>
                <w:webHidden/>
              </w:rPr>
              <w:t>83</w:t>
            </w:r>
            <w:r w:rsidR="00F70E5F">
              <w:rPr>
                <w:noProof/>
                <w:webHidden/>
              </w:rPr>
              <w:fldChar w:fldCharType="end"/>
            </w:r>
          </w:hyperlink>
        </w:p>
        <w:p w14:paraId="641924A8" w14:textId="50118063" w:rsidR="00F70E5F" w:rsidRDefault="00000000">
          <w:pPr>
            <w:pStyle w:val="INNH1"/>
            <w:rPr>
              <w:rFonts w:eastAsiaTheme="minorEastAsia"/>
              <w:noProof/>
              <w:kern w:val="2"/>
              <w:sz w:val="24"/>
              <w:szCs w:val="24"/>
              <w:lang w:eastAsia="nb-NO"/>
              <w14:ligatures w14:val="standardContextual"/>
            </w:rPr>
          </w:pPr>
          <w:hyperlink w:anchor="_Toc163488430" w:history="1">
            <w:r w:rsidR="00F70E5F" w:rsidRPr="009D1DBD">
              <w:rPr>
                <w:rStyle w:val="Hyperkobling"/>
                <w:noProof/>
              </w:rPr>
              <w:t>6 Utdanning, arbeidsliv og sysselsetting</w:t>
            </w:r>
            <w:r w:rsidR="00F70E5F">
              <w:rPr>
                <w:noProof/>
                <w:webHidden/>
              </w:rPr>
              <w:tab/>
            </w:r>
            <w:r w:rsidR="00F70E5F">
              <w:rPr>
                <w:noProof/>
                <w:webHidden/>
              </w:rPr>
              <w:fldChar w:fldCharType="begin"/>
            </w:r>
            <w:r w:rsidR="00F70E5F">
              <w:rPr>
                <w:noProof/>
                <w:webHidden/>
              </w:rPr>
              <w:instrText xml:space="preserve"> PAGEREF _Toc163488430 \h </w:instrText>
            </w:r>
            <w:r w:rsidR="00F70E5F">
              <w:rPr>
                <w:noProof/>
                <w:webHidden/>
              </w:rPr>
            </w:r>
            <w:r w:rsidR="00F70E5F">
              <w:rPr>
                <w:noProof/>
                <w:webHidden/>
              </w:rPr>
              <w:fldChar w:fldCharType="separate"/>
            </w:r>
            <w:r w:rsidR="00F70E5F">
              <w:rPr>
                <w:noProof/>
                <w:webHidden/>
              </w:rPr>
              <w:t>84</w:t>
            </w:r>
            <w:r w:rsidR="00F70E5F">
              <w:rPr>
                <w:noProof/>
                <w:webHidden/>
              </w:rPr>
              <w:fldChar w:fldCharType="end"/>
            </w:r>
          </w:hyperlink>
        </w:p>
        <w:p w14:paraId="33A02BF4" w14:textId="5AD9E376" w:rsidR="00F70E5F" w:rsidRDefault="00000000">
          <w:pPr>
            <w:pStyle w:val="INNH2"/>
            <w:rPr>
              <w:rFonts w:eastAsiaTheme="minorEastAsia"/>
              <w:noProof/>
              <w:kern w:val="2"/>
              <w:sz w:val="24"/>
              <w:szCs w:val="24"/>
              <w:lang w:eastAsia="nb-NO"/>
              <w14:ligatures w14:val="standardContextual"/>
            </w:rPr>
          </w:pPr>
          <w:hyperlink w:anchor="_Toc163488431" w:history="1">
            <w:r w:rsidR="00F70E5F" w:rsidRPr="009D1DBD">
              <w:rPr>
                <w:rStyle w:val="Hyperkobling"/>
                <w:noProof/>
              </w:rPr>
              <w:t>6.1 Uteksaminerte kandidater på arbeidsmarkedet</w:t>
            </w:r>
            <w:r w:rsidR="00F70E5F">
              <w:rPr>
                <w:noProof/>
                <w:webHidden/>
              </w:rPr>
              <w:tab/>
            </w:r>
            <w:r w:rsidR="00F70E5F">
              <w:rPr>
                <w:noProof/>
                <w:webHidden/>
              </w:rPr>
              <w:fldChar w:fldCharType="begin"/>
            </w:r>
            <w:r w:rsidR="00F70E5F">
              <w:rPr>
                <w:noProof/>
                <w:webHidden/>
              </w:rPr>
              <w:instrText xml:space="preserve"> PAGEREF _Toc163488431 \h </w:instrText>
            </w:r>
            <w:r w:rsidR="00F70E5F">
              <w:rPr>
                <w:noProof/>
                <w:webHidden/>
              </w:rPr>
            </w:r>
            <w:r w:rsidR="00F70E5F">
              <w:rPr>
                <w:noProof/>
                <w:webHidden/>
              </w:rPr>
              <w:fldChar w:fldCharType="separate"/>
            </w:r>
            <w:r w:rsidR="00F70E5F">
              <w:rPr>
                <w:noProof/>
                <w:webHidden/>
              </w:rPr>
              <w:t>84</w:t>
            </w:r>
            <w:r w:rsidR="00F70E5F">
              <w:rPr>
                <w:noProof/>
                <w:webHidden/>
              </w:rPr>
              <w:fldChar w:fldCharType="end"/>
            </w:r>
          </w:hyperlink>
        </w:p>
        <w:p w14:paraId="22C31133" w14:textId="60006D3C" w:rsidR="00F70E5F" w:rsidRDefault="00000000">
          <w:pPr>
            <w:pStyle w:val="INNH3"/>
            <w:rPr>
              <w:rFonts w:eastAsiaTheme="minorEastAsia"/>
              <w:noProof/>
              <w:kern w:val="2"/>
              <w:sz w:val="24"/>
              <w:szCs w:val="24"/>
              <w:lang w:eastAsia="nb-NO"/>
              <w14:ligatures w14:val="standardContextual"/>
            </w:rPr>
          </w:pPr>
          <w:hyperlink w:anchor="_Toc163488432" w:history="1">
            <w:r w:rsidR="00F70E5F" w:rsidRPr="009D1DBD">
              <w:rPr>
                <w:rStyle w:val="Hyperkobling"/>
                <w:noProof/>
              </w:rPr>
              <w:t>6.1.1 Forventning om økende underskudd bare for visse utdanningstyper</w:t>
            </w:r>
            <w:r w:rsidR="00F70E5F">
              <w:rPr>
                <w:noProof/>
                <w:webHidden/>
              </w:rPr>
              <w:tab/>
            </w:r>
            <w:r w:rsidR="00F70E5F">
              <w:rPr>
                <w:noProof/>
                <w:webHidden/>
              </w:rPr>
              <w:fldChar w:fldCharType="begin"/>
            </w:r>
            <w:r w:rsidR="00F70E5F">
              <w:rPr>
                <w:noProof/>
                <w:webHidden/>
              </w:rPr>
              <w:instrText xml:space="preserve"> PAGEREF _Toc163488432 \h </w:instrText>
            </w:r>
            <w:r w:rsidR="00F70E5F">
              <w:rPr>
                <w:noProof/>
                <w:webHidden/>
              </w:rPr>
            </w:r>
            <w:r w:rsidR="00F70E5F">
              <w:rPr>
                <w:noProof/>
                <w:webHidden/>
              </w:rPr>
              <w:fldChar w:fldCharType="separate"/>
            </w:r>
            <w:r w:rsidR="00F70E5F">
              <w:rPr>
                <w:noProof/>
                <w:webHidden/>
              </w:rPr>
              <w:t>85</w:t>
            </w:r>
            <w:r w:rsidR="00F70E5F">
              <w:rPr>
                <w:noProof/>
                <w:webHidden/>
              </w:rPr>
              <w:fldChar w:fldCharType="end"/>
            </w:r>
          </w:hyperlink>
        </w:p>
        <w:p w14:paraId="30779809" w14:textId="050A1181" w:rsidR="00F70E5F" w:rsidRDefault="00000000">
          <w:pPr>
            <w:pStyle w:val="INNH3"/>
            <w:rPr>
              <w:rFonts w:eastAsiaTheme="minorEastAsia"/>
              <w:noProof/>
              <w:kern w:val="2"/>
              <w:sz w:val="24"/>
              <w:szCs w:val="24"/>
              <w:lang w:eastAsia="nb-NO"/>
              <w14:ligatures w14:val="standardContextual"/>
            </w:rPr>
          </w:pPr>
          <w:hyperlink w:anchor="_Toc163488433" w:history="1">
            <w:r w:rsidR="00F70E5F" w:rsidRPr="009D1DBD">
              <w:rPr>
                <w:rStyle w:val="Hyperkobling"/>
                <w:noProof/>
              </w:rPr>
              <w:t>6.1.2 Bedre situasjon for andre helseutdanninger</w:t>
            </w:r>
            <w:r w:rsidR="00F70E5F">
              <w:rPr>
                <w:noProof/>
                <w:webHidden/>
              </w:rPr>
              <w:tab/>
            </w:r>
            <w:r w:rsidR="00F70E5F">
              <w:rPr>
                <w:noProof/>
                <w:webHidden/>
              </w:rPr>
              <w:fldChar w:fldCharType="begin"/>
            </w:r>
            <w:r w:rsidR="00F70E5F">
              <w:rPr>
                <w:noProof/>
                <w:webHidden/>
              </w:rPr>
              <w:instrText xml:space="preserve"> PAGEREF _Toc163488433 \h </w:instrText>
            </w:r>
            <w:r w:rsidR="00F70E5F">
              <w:rPr>
                <w:noProof/>
                <w:webHidden/>
              </w:rPr>
            </w:r>
            <w:r w:rsidR="00F70E5F">
              <w:rPr>
                <w:noProof/>
                <w:webHidden/>
              </w:rPr>
              <w:fldChar w:fldCharType="separate"/>
            </w:r>
            <w:r w:rsidR="00F70E5F">
              <w:rPr>
                <w:noProof/>
                <w:webHidden/>
              </w:rPr>
              <w:t>87</w:t>
            </w:r>
            <w:r w:rsidR="00F70E5F">
              <w:rPr>
                <w:noProof/>
                <w:webHidden/>
              </w:rPr>
              <w:fldChar w:fldCharType="end"/>
            </w:r>
          </w:hyperlink>
        </w:p>
        <w:p w14:paraId="7710682F" w14:textId="3D787856" w:rsidR="00F70E5F" w:rsidRDefault="00000000">
          <w:pPr>
            <w:pStyle w:val="INNH3"/>
            <w:rPr>
              <w:rFonts w:eastAsiaTheme="minorEastAsia"/>
              <w:noProof/>
              <w:kern w:val="2"/>
              <w:sz w:val="24"/>
              <w:szCs w:val="24"/>
              <w:lang w:eastAsia="nb-NO"/>
              <w14:ligatures w14:val="standardContextual"/>
            </w:rPr>
          </w:pPr>
          <w:hyperlink w:anchor="_Toc163488434" w:history="1">
            <w:r w:rsidR="00F70E5F" w:rsidRPr="009D1DBD">
              <w:rPr>
                <w:rStyle w:val="Hyperkobling"/>
                <w:noProof/>
              </w:rPr>
              <w:t>6.1.1 Måltallene avvikles</w:t>
            </w:r>
            <w:r w:rsidR="00F70E5F">
              <w:rPr>
                <w:noProof/>
                <w:webHidden/>
              </w:rPr>
              <w:tab/>
            </w:r>
            <w:r w:rsidR="00F70E5F">
              <w:rPr>
                <w:noProof/>
                <w:webHidden/>
              </w:rPr>
              <w:fldChar w:fldCharType="begin"/>
            </w:r>
            <w:r w:rsidR="00F70E5F">
              <w:rPr>
                <w:noProof/>
                <w:webHidden/>
              </w:rPr>
              <w:instrText xml:space="preserve"> PAGEREF _Toc163488434 \h </w:instrText>
            </w:r>
            <w:r w:rsidR="00F70E5F">
              <w:rPr>
                <w:noProof/>
                <w:webHidden/>
              </w:rPr>
            </w:r>
            <w:r w:rsidR="00F70E5F">
              <w:rPr>
                <w:noProof/>
                <w:webHidden/>
              </w:rPr>
              <w:fldChar w:fldCharType="separate"/>
            </w:r>
            <w:r w:rsidR="00F70E5F">
              <w:rPr>
                <w:noProof/>
                <w:webHidden/>
              </w:rPr>
              <w:t>89</w:t>
            </w:r>
            <w:r w:rsidR="00F70E5F">
              <w:rPr>
                <w:noProof/>
                <w:webHidden/>
              </w:rPr>
              <w:fldChar w:fldCharType="end"/>
            </w:r>
          </w:hyperlink>
        </w:p>
        <w:p w14:paraId="4B79C7E3" w14:textId="6A529217" w:rsidR="00F70E5F" w:rsidRDefault="00000000">
          <w:pPr>
            <w:pStyle w:val="INNH2"/>
            <w:rPr>
              <w:rFonts w:eastAsiaTheme="minorEastAsia"/>
              <w:noProof/>
              <w:kern w:val="2"/>
              <w:sz w:val="24"/>
              <w:szCs w:val="24"/>
              <w:lang w:eastAsia="nb-NO"/>
              <w14:ligatures w14:val="standardContextual"/>
            </w:rPr>
          </w:pPr>
          <w:hyperlink w:anchor="_Toc163488435" w:history="1">
            <w:r w:rsidR="00F70E5F" w:rsidRPr="009D1DBD">
              <w:rPr>
                <w:rStyle w:val="Hyperkobling"/>
                <w:noProof/>
              </w:rPr>
              <w:t>6.2 Tilpasning på arbeidsmarkedet</w:t>
            </w:r>
            <w:r w:rsidR="00F70E5F">
              <w:rPr>
                <w:noProof/>
                <w:webHidden/>
              </w:rPr>
              <w:tab/>
            </w:r>
            <w:r w:rsidR="00F70E5F">
              <w:rPr>
                <w:noProof/>
                <w:webHidden/>
              </w:rPr>
              <w:fldChar w:fldCharType="begin"/>
            </w:r>
            <w:r w:rsidR="00F70E5F">
              <w:rPr>
                <w:noProof/>
                <w:webHidden/>
              </w:rPr>
              <w:instrText xml:space="preserve"> PAGEREF _Toc163488435 \h </w:instrText>
            </w:r>
            <w:r w:rsidR="00F70E5F">
              <w:rPr>
                <w:noProof/>
                <w:webHidden/>
              </w:rPr>
            </w:r>
            <w:r w:rsidR="00F70E5F">
              <w:rPr>
                <w:noProof/>
                <w:webHidden/>
              </w:rPr>
              <w:fldChar w:fldCharType="separate"/>
            </w:r>
            <w:r w:rsidR="00F70E5F">
              <w:rPr>
                <w:noProof/>
                <w:webHidden/>
              </w:rPr>
              <w:t>90</w:t>
            </w:r>
            <w:r w:rsidR="00F70E5F">
              <w:rPr>
                <w:noProof/>
                <w:webHidden/>
              </w:rPr>
              <w:fldChar w:fldCharType="end"/>
            </w:r>
          </w:hyperlink>
        </w:p>
        <w:p w14:paraId="19F63033" w14:textId="297728EA" w:rsidR="00F70E5F" w:rsidRDefault="00000000">
          <w:pPr>
            <w:pStyle w:val="INNH2"/>
            <w:rPr>
              <w:rFonts w:eastAsiaTheme="minorEastAsia"/>
              <w:noProof/>
              <w:kern w:val="2"/>
              <w:sz w:val="24"/>
              <w:szCs w:val="24"/>
              <w:lang w:eastAsia="nb-NO"/>
              <w14:ligatures w14:val="standardContextual"/>
            </w:rPr>
          </w:pPr>
          <w:hyperlink w:anchor="_Toc163488436" w:history="1">
            <w:r w:rsidR="00F70E5F" w:rsidRPr="009D1DBD">
              <w:rPr>
                <w:rStyle w:val="Hyperkobling"/>
                <w:noProof/>
              </w:rPr>
              <w:t>6.3 Sysselsetting for utvalgte utdanninger</w:t>
            </w:r>
            <w:r w:rsidR="00F70E5F">
              <w:rPr>
                <w:noProof/>
                <w:webHidden/>
              </w:rPr>
              <w:tab/>
            </w:r>
            <w:r w:rsidR="00F70E5F">
              <w:rPr>
                <w:noProof/>
                <w:webHidden/>
              </w:rPr>
              <w:fldChar w:fldCharType="begin"/>
            </w:r>
            <w:r w:rsidR="00F70E5F">
              <w:rPr>
                <w:noProof/>
                <w:webHidden/>
              </w:rPr>
              <w:instrText xml:space="preserve"> PAGEREF _Toc163488436 \h </w:instrText>
            </w:r>
            <w:r w:rsidR="00F70E5F">
              <w:rPr>
                <w:noProof/>
                <w:webHidden/>
              </w:rPr>
            </w:r>
            <w:r w:rsidR="00F70E5F">
              <w:rPr>
                <w:noProof/>
                <w:webHidden/>
              </w:rPr>
              <w:fldChar w:fldCharType="separate"/>
            </w:r>
            <w:r w:rsidR="00F70E5F">
              <w:rPr>
                <w:noProof/>
                <w:webHidden/>
              </w:rPr>
              <w:t>90</w:t>
            </w:r>
            <w:r w:rsidR="00F70E5F">
              <w:rPr>
                <w:noProof/>
                <w:webHidden/>
              </w:rPr>
              <w:fldChar w:fldCharType="end"/>
            </w:r>
          </w:hyperlink>
        </w:p>
        <w:p w14:paraId="14A3DB1D" w14:textId="223747F9" w:rsidR="00F70E5F" w:rsidRDefault="00000000">
          <w:pPr>
            <w:pStyle w:val="INNH1"/>
            <w:rPr>
              <w:rFonts w:eastAsiaTheme="minorEastAsia"/>
              <w:noProof/>
              <w:kern w:val="2"/>
              <w:sz w:val="24"/>
              <w:szCs w:val="24"/>
              <w:lang w:eastAsia="nb-NO"/>
              <w14:ligatures w14:val="standardContextual"/>
            </w:rPr>
          </w:pPr>
          <w:hyperlink w:anchor="_Toc163488437" w:history="1">
            <w:r w:rsidR="00F70E5F" w:rsidRPr="009D1DBD">
              <w:rPr>
                <w:rStyle w:val="Hyperkobling"/>
                <w:noProof/>
              </w:rPr>
              <w:t>7 Forskerutdanning</w:t>
            </w:r>
            <w:r w:rsidR="00F70E5F">
              <w:rPr>
                <w:noProof/>
                <w:webHidden/>
              </w:rPr>
              <w:tab/>
            </w:r>
            <w:r w:rsidR="00F70E5F">
              <w:rPr>
                <w:noProof/>
                <w:webHidden/>
              </w:rPr>
              <w:fldChar w:fldCharType="begin"/>
            </w:r>
            <w:r w:rsidR="00F70E5F">
              <w:rPr>
                <w:noProof/>
                <w:webHidden/>
              </w:rPr>
              <w:instrText xml:space="preserve"> PAGEREF _Toc163488437 \h </w:instrText>
            </w:r>
            <w:r w:rsidR="00F70E5F">
              <w:rPr>
                <w:noProof/>
                <w:webHidden/>
              </w:rPr>
            </w:r>
            <w:r w:rsidR="00F70E5F">
              <w:rPr>
                <w:noProof/>
                <w:webHidden/>
              </w:rPr>
              <w:fldChar w:fldCharType="separate"/>
            </w:r>
            <w:r w:rsidR="00F70E5F">
              <w:rPr>
                <w:noProof/>
                <w:webHidden/>
              </w:rPr>
              <w:t>94</w:t>
            </w:r>
            <w:r w:rsidR="00F70E5F">
              <w:rPr>
                <w:noProof/>
                <w:webHidden/>
              </w:rPr>
              <w:fldChar w:fldCharType="end"/>
            </w:r>
          </w:hyperlink>
        </w:p>
        <w:p w14:paraId="6D199F0E" w14:textId="51DF0527" w:rsidR="00F70E5F" w:rsidRDefault="00000000">
          <w:pPr>
            <w:pStyle w:val="INNH2"/>
            <w:rPr>
              <w:rFonts w:eastAsiaTheme="minorEastAsia"/>
              <w:noProof/>
              <w:kern w:val="2"/>
              <w:sz w:val="24"/>
              <w:szCs w:val="24"/>
              <w:lang w:eastAsia="nb-NO"/>
              <w14:ligatures w14:val="standardContextual"/>
            </w:rPr>
          </w:pPr>
          <w:hyperlink w:anchor="_Toc163488438" w:history="1">
            <w:r w:rsidR="00F70E5F" w:rsidRPr="009D1DBD">
              <w:rPr>
                <w:rStyle w:val="Hyperkobling"/>
                <w:noProof/>
              </w:rPr>
              <w:t>7.1 Stipendiater</w:t>
            </w:r>
            <w:r w:rsidR="00F70E5F">
              <w:rPr>
                <w:noProof/>
                <w:webHidden/>
              </w:rPr>
              <w:tab/>
            </w:r>
            <w:r w:rsidR="00F70E5F">
              <w:rPr>
                <w:noProof/>
                <w:webHidden/>
              </w:rPr>
              <w:fldChar w:fldCharType="begin"/>
            </w:r>
            <w:r w:rsidR="00F70E5F">
              <w:rPr>
                <w:noProof/>
                <w:webHidden/>
              </w:rPr>
              <w:instrText xml:space="preserve"> PAGEREF _Toc163488438 \h </w:instrText>
            </w:r>
            <w:r w:rsidR="00F70E5F">
              <w:rPr>
                <w:noProof/>
                <w:webHidden/>
              </w:rPr>
            </w:r>
            <w:r w:rsidR="00F70E5F">
              <w:rPr>
                <w:noProof/>
                <w:webHidden/>
              </w:rPr>
              <w:fldChar w:fldCharType="separate"/>
            </w:r>
            <w:r w:rsidR="00F70E5F">
              <w:rPr>
                <w:noProof/>
                <w:webHidden/>
              </w:rPr>
              <w:t>94</w:t>
            </w:r>
            <w:r w:rsidR="00F70E5F">
              <w:rPr>
                <w:noProof/>
                <w:webHidden/>
              </w:rPr>
              <w:fldChar w:fldCharType="end"/>
            </w:r>
          </w:hyperlink>
        </w:p>
        <w:p w14:paraId="0AF7CCC8" w14:textId="150F809A" w:rsidR="00F70E5F" w:rsidRDefault="00000000">
          <w:pPr>
            <w:pStyle w:val="INNH2"/>
            <w:rPr>
              <w:rFonts w:eastAsiaTheme="minorEastAsia"/>
              <w:noProof/>
              <w:kern w:val="2"/>
              <w:sz w:val="24"/>
              <w:szCs w:val="24"/>
              <w:lang w:eastAsia="nb-NO"/>
              <w14:ligatures w14:val="standardContextual"/>
            </w:rPr>
          </w:pPr>
          <w:hyperlink w:anchor="_Toc163488439" w:history="1">
            <w:r w:rsidR="00F70E5F" w:rsidRPr="009D1DBD">
              <w:rPr>
                <w:rStyle w:val="Hyperkobling"/>
                <w:noProof/>
              </w:rPr>
              <w:t>7.2 Avlagte doktorgrader (Flere avla doktorgrad i 2023)</w:t>
            </w:r>
            <w:r w:rsidR="00F70E5F">
              <w:rPr>
                <w:noProof/>
                <w:webHidden/>
              </w:rPr>
              <w:tab/>
            </w:r>
            <w:r w:rsidR="00F70E5F">
              <w:rPr>
                <w:noProof/>
                <w:webHidden/>
              </w:rPr>
              <w:fldChar w:fldCharType="begin"/>
            </w:r>
            <w:r w:rsidR="00F70E5F">
              <w:rPr>
                <w:noProof/>
                <w:webHidden/>
              </w:rPr>
              <w:instrText xml:space="preserve"> PAGEREF _Toc163488439 \h </w:instrText>
            </w:r>
            <w:r w:rsidR="00F70E5F">
              <w:rPr>
                <w:noProof/>
                <w:webHidden/>
              </w:rPr>
            </w:r>
            <w:r w:rsidR="00F70E5F">
              <w:rPr>
                <w:noProof/>
                <w:webHidden/>
              </w:rPr>
              <w:fldChar w:fldCharType="separate"/>
            </w:r>
            <w:r w:rsidR="00F70E5F">
              <w:rPr>
                <w:noProof/>
                <w:webHidden/>
              </w:rPr>
              <w:t>96</w:t>
            </w:r>
            <w:r w:rsidR="00F70E5F">
              <w:rPr>
                <w:noProof/>
                <w:webHidden/>
              </w:rPr>
              <w:fldChar w:fldCharType="end"/>
            </w:r>
          </w:hyperlink>
        </w:p>
        <w:p w14:paraId="5F77CF53" w14:textId="30DDC8DA" w:rsidR="00F70E5F" w:rsidRDefault="00000000">
          <w:pPr>
            <w:pStyle w:val="INNH2"/>
            <w:rPr>
              <w:rFonts w:eastAsiaTheme="minorEastAsia"/>
              <w:noProof/>
              <w:kern w:val="2"/>
              <w:sz w:val="24"/>
              <w:szCs w:val="24"/>
              <w:lang w:eastAsia="nb-NO"/>
              <w14:ligatures w14:val="standardContextual"/>
            </w:rPr>
          </w:pPr>
          <w:hyperlink w:anchor="_Toc163488440" w:history="1">
            <w:r w:rsidR="00F70E5F" w:rsidRPr="009D1DBD">
              <w:rPr>
                <w:rStyle w:val="Hyperkobling"/>
                <w:noProof/>
              </w:rPr>
              <w:t>7.3 Gjennomføring i doktorgradsutdanning</w:t>
            </w:r>
            <w:r w:rsidR="00F70E5F">
              <w:rPr>
                <w:noProof/>
                <w:webHidden/>
              </w:rPr>
              <w:tab/>
            </w:r>
            <w:r w:rsidR="00F70E5F">
              <w:rPr>
                <w:noProof/>
                <w:webHidden/>
              </w:rPr>
              <w:fldChar w:fldCharType="begin"/>
            </w:r>
            <w:r w:rsidR="00F70E5F">
              <w:rPr>
                <w:noProof/>
                <w:webHidden/>
              </w:rPr>
              <w:instrText xml:space="preserve"> PAGEREF _Toc163488440 \h </w:instrText>
            </w:r>
            <w:r w:rsidR="00F70E5F">
              <w:rPr>
                <w:noProof/>
                <w:webHidden/>
              </w:rPr>
            </w:r>
            <w:r w:rsidR="00F70E5F">
              <w:rPr>
                <w:noProof/>
                <w:webHidden/>
              </w:rPr>
              <w:fldChar w:fldCharType="separate"/>
            </w:r>
            <w:r w:rsidR="00F70E5F">
              <w:rPr>
                <w:noProof/>
                <w:webHidden/>
              </w:rPr>
              <w:t>98</w:t>
            </w:r>
            <w:r w:rsidR="00F70E5F">
              <w:rPr>
                <w:noProof/>
                <w:webHidden/>
              </w:rPr>
              <w:fldChar w:fldCharType="end"/>
            </w:r>
          </w:hyperlink>
        </w:p>
        <w:p w14:paraId="1259859C" w14:textId="7AF6FDBC" w:rsidR="00F70E5F" w:rsidRDefault="00000000">
          <w:pPr>
            <w:pStyle w:val="INNH2"/>
            <w:rPr>
              <w:rFonts w:eastAsiaTheme="minorEastAsia"/>
              <w:noProof/>
              <w:kern w:val="2"/>
              <w:sz w:val="24"/>
              <w:szCs w:val="24"/>
              <w:lang w:eastAsia="nb-NO"/>
              <w14:ligatures w14:val="standardContextual"/>
            </w:rPr>
          </w:pPr>
          <w:hyperlink w:anchor="_Toc163488441" w:history="1">
            <w:r w:rsidR="00F70E5F" w:rsidRPr="009D1DBD">
              <w:rPr>
                <w:rStyle w:val="Hyperkobling"/>
                <w:noProof/>
              </w:rPr>
              <w:t>7.4 Avlagte doktorgrader – fagområder og statsborgerskap</w:t>
            </w:r>
            <w:r w:rsidR="00F70E5F">
              <w:rPr>
                <w:noProof/>
                <w:webHidden/>
              </w:rPr>
              <w:tab/>
            </w:r>
            <w:r w:rsidR="00F70E5F">
              <w:rPr>
                <w:noProof/>
                <w:webHidden/>
              </w:rPr>
              <w:fldChar w:fldCharType="begin"/>
            </w:r>
            <w:r w:rsidR="00F70E5F">
              <w:rPr>
                <w:noProof/>
                <w:webHidden/>
              </w:rPr>
              <w:instrText xml:space="preserve"> PAGEREF _Toc163488441 \h </w:instrText>
            </w:r>
            <w:r w:rsidR="00F70E5F">
              <w:rPr>
                <w:noProof/>
                <w:webHidden/>
              </w:rPr>
            </w:r>
            <w:r w:rsidR="00F70E5F">
              <w:rPr>
                <w:noProof/>
                <w:webHidden/>
              </w:rPr>
              <w:fldChar w:fldCharType="separate"/>
            </w:r>
            <w:r w:rsidR="00F70E5F">
              <w:rPr>
                <w:noProof/>
                <w:webHidden/>
              </w:rPr>
              <w:t>100</w:t>
            </w:r>
            <w:r w:rsidR="00F70E5F">
              <w:rPr>
                <w:noProof/>
                <w:webHidden/>
              </w:rPr>
              <w:fldChar w:fldCharType="end"/>
            </w:r>
          </w:hyperlink>
        </w:p>
        <w:p w14:paraId="0F677F13" w14:textId="18122078" w:rsidR="00F70E5F" w:rsidRDefault="00000000">
          <w:pPr>
            <w:pStyle w:val="INNH2"/>
            <w:rPr>
              <w:rFonts w:eastAsiaTheme="minorEastAsia"/>
              <w:noProof/>
              <w:kern w:val="2"/>
              <w:sz w:val="24"/>
              <w:szCs w:val="24"/>
              <w:lang w:eastAsia="nb-NO"/>
              <w14:ligatures w14:val="standardContextual"/>
            </w:rPr>
          </w:pPr>
          <w:hyperlink w:anchor="_Toc163488442" w:history="1">
            <w:r w:rsidR="00F70E5F" w:rsidRPr="009D1DBD">
              <w:rPr>
                <w:rStyle w:val="Hyperkobling"/>
                <w:noProof/>
              </w:rPr>
              <w:t>7.5 Norge i nordisk perspektiv</w:t>
            </w:r>
            <w:r w:rsidR="00F70E5F">
              <w:rPr>
                <w:noProof/>
                <w:webHidden/>
              </w:rPr>
              <w:tab/>
            </w:r>
            <w:r w:rsidR="00F70E5F">
              <w:rPr>
                <w:noProof/>
                <w:webHidden/>
              </w:rPr>
              <w:fldChar w:fldCharType="begin"/>
            </w:r>
            <w:r w:rsidR="00F70E5F">
              <w:rPr>
                <w:noProof/>
                <w:webHidden/>
              </w:rPr>
              <w:instrText xml:space="preserve"> PAGEREF _Toc163488442 \h </w:instrText>
            </w:r>
            <w:r w:rsidR="00F70E5F">
              <w:rPr>
                <w:noProof/>
                <w:webHidden/>
              </w:rPr>
            </w:r>
            <w:r w:rsidR="00F70E5F">
              <w:rPr>
                <w:noProof/>
                <w:webHidden/>
              </w:rPr>
              <w:fldChar w:fldCharType="separate"/>
            </w:r>
            <w:r w:rsidR="00F70E5F">
              <w:rPr>
                <w:noProof/>
                <w:webHidden/>
              </w:rPr>
              <w:t>104</w:t>
            </w:r>
            <w:r w:rsidR="00F70E5F">
              <w:rPr>
                <w:noProof/>
                <w:webHidden/>
              </w:rPr>
              <w:fldChar w:fldCharType="end"/>
            </w:r>
          </w:hyperlink>
        </w:p>
        <w:p w14:paraId="1082C7BC" w14:textId="474C40E1" w:rsidR="00F70E5F" w:rsidRDefault="00000000">
          <w:pPr>
            <w:pStyle w:val="INNH1"/>
            <w:rPr>
              <w:rFonts w:eastAsiaTheme="minorEastAsia"/>
              <w:noProof/>
              <w:kern w:val="2"/>
              <w:sz w:val="24"/>
              <w:szCs w:val="24"/>
              <w:lang w:eastAsia="nb-NO"/>
              <w14:ligatures w14:val="standardContextual"/>
            </w:rPr>
          </w:pPr>
          <w:hyperlink w:anchor="_Toc163488443" w:history="1">
            <w:r w:rsidR="00F70E5F" w:rsidRPr="009D1DBD">
              <w:rPr>
                <w:rStyle w:val="Hyperkobling"/>
                <w:noProof/>
              </w:rPr>
              <w:t>8 Forskning</w:t>
            </w:r>
            <w:r w:rsidR="00F70E5F">
              <w:rPr>
                <w:noProof/>
                <w:webHidden/>
              </w:rPr>
              <w:tab/>
            </w:r>
            <w:r w:rsidR="00F70E5F">
              <w:rPr>
                <w:noProof/>
                <w:webHidden/>
              </w:rPr>
              <w:fldChar w:fldCharType="begin"/>
            </w:r>
            <w:r w:rsidR="00F70E5F">
              <w:rPr>
                <w:noProof/>
                <w:webHidden/>
              </w:rPr>
              <w:instrText xml:space="preserve"> PAGEREF _Toc163488443 \h </w:instrText>
            </w:r>
            <w:r w:rsidR="00F70E5F">
              <w:rPr>
                <w:noProof/>
                <w:webHidden/>
              </w:rPr>
            </w:r>
            <w:r w:rsidR="00F70E5F">
              <w:rPr>
                <w:noProof/>
                <w:webHidden/>
              </w:rPr>
              <w:fldChar w:fldCharType="separate"/>
            </w:r>
            <w:r w:rsidR="00F70E5F">
              <w:rPr>
                <w:noProof/>
                <w:webHidden/>
              </w:rPr>
              <w:t>106</w:t>
            </w:r>
            <w:r w:rsidR="00F70E5F">
              <w:rPr>
                <w:noProof/>
                <w:webHidden/>
              </w:rPr>
              <w:fldChar w:fldCharType="end"/>
            </w:r>
          </w:hyperlink>
        </w:p>
        <w:p w14:paraId="043523E2" w14:textId="765F9151" w:rsidR="00F70E5F" w:rsidRDefault="00000000">
          <w:pPr>
            <w:pStyle w:val="INNH2"/>
            <w:rPr>
              <w:rFonts w:eastAsiaTheme="minorEastAsia"/>
              <w:noProof/>
              <w:kern w:val="2"/>
              <w:sz w:val="24"/>
              <w:szCs w:val="24"/>
              <w:lang w:eastAsia="nb-NO"/>
              <w14:ligatures w14:val="standardContextual"/>
            </w:rPr>
          </w:pPr>
          <w:hyperlink w:anchor="_Toc163488444" w:history="1">
            <w:r w:rsidR="00F70E5F" w:rsidRPr="009D1DBD">
              <w:rPr>
                <w:rStyle w:val="Hyperkobling"/>
                <w:noProof/>
              </w:rPr>
              <w:t>8.1 Vitenskapelig publisering (publiseringspoeng og åpen tilgang)</w:t>
            </w:r>
            <w:r w:rsidR="00F70E5F">
              <w:rPr>
                <w:noProof/>
                <w:webHidden/>
              </w:rPr>
              <w:tab/>
            </w:r>
            <w:r w:rsidR="00F70E5F">
              <w:rPr>
                <w:noProof/>
                <w:webHidden/>
              </w:rPr>
              <w:fldChar w:fldCharType="begin"/>
            </w:r>
            <w:r w:rsidR="00F70E5F">
              <w:rPr>
                <w:noProof/>
                <w:webHidden/>
              </w:rPr>
              <w:instrText xml:space="preserve"> PAGEREF _Toc163488444 \h </w:instrText>
            </w:r>
            <w:r w:rsidR="00F70E5F">
              <w:rPr>
                <w:noProof/>
                <w:webHidden/>
              </w:rPr>
            </w:r>
            <w:r w:rsidR="00F70E5F">
              <w:rPr>
                <w:noProof/>
                <w:webHidden/>
              </w:rPr>
              <w:fldChar w:fldCharType="separate"/>
            </w:r>
            <w:r w:rsidR="00F70E5F">
              <w:rPr>
                <w:noProof/>
                <w:webHidden/>
              </w:rPr>
              <w:t>106</w:t>
            </w:r>
            <w:r w:rsidR="00F70E5F">
              <w:rPr>
                <w:noProof/>
                <w:webHidden/>
              </w:rPr>
              <w:fldChar w:fldCharType="end"/>
            </w:r>
          </w:hyperlink>
        </w:p>
        <w:p w14:paraId="05AE4B81" w14:textId="251DAB7D" w:rsidR="00F70E5F" w:rsidRDefault="00000000">
          <w:pPr>
            <w:pStyle w:val="INNH3"/>
            <w:rPr>
              <w:rFonts w:eastAsiaTheme="minorEastAsia"/>
              <w:noProof/>
              <w:kern w:val="2"/>
              <w:sz w:val="24"/>
              <w:szCs w:val="24"/>
              <w:lang w:eastAsia="nb-NO"/>
              <w14:ligatures w14:val="standardContextual"/>
            </w:rPr>
          </w:pPr>
          <w:hyperlink w:anchor="_Toc163488445" w:history="1">
            <w:r w:rsidR="00F70E5F" w:rsidRPr="009D1DBD">
              <w:rPr>
                <w:rStyle w:val="Hyperkobling"/>
                <w:noProof/>
              </w:rPr>
              <w:t>8.1.1 Publiseringspoeng (GENRELL INTRO, IKKE OPPDATERT INNHOLD 2023)</w:t>
            </w:r>
            <w:r w:rsidR="00F70E5F">
              <w:rPr>
                <w:noProof/>
                <w:webHidden/>
              </w:rPr>
              <w:tab/>
            </w:r>
            <w:r w:rsidR="00F70E5F">
              <w:rPr>
                <w:noProof/>
                <w:webHidden/>
              </w:rPr>
              <w:fldChar w:fldCharType="begin"/>
            </w:r>
            <w:r w:rsidR="00F70E5F">
              <w:rPr>
                <w:noProof/>
                <w:webHidden/>
              </w:rPr>
              <w:instrText xml:space="preserve"> PAGEREF _Toc163488445 \h </w:instrText>
            </w:r>
            <w:r w:rsidR="00F70E5F">
              <w:rPr>
                <w:noProof/>
                <w:webHidden/>
              </w:rPr>
            </w:r>
            <w:r w:rsidR="00F70E5F">
              <w:rPr>
                <w:noProof/>
                <w:webHidden/>
              </w:rPr>
              <w:fldChar w:fldCharType="separate"/>
            </w:r>
            <w:r w:rsidR="00F70E5F">
              <w:rPr>
                <w:noProof/>
                <w:webHidden/>
              </w:rPr>
              <w:t>106</w:t>
            </w:r>
            <w:r w:rsidR="00F70E5F">
              <w:rPr>
                <w:noProof/>
                <w:webHidden/>
              </w:rPr>
              <w:fldChar w:fldCharType="end"/>
            </w:r>
          </w:hyperlink>
        </w:p>
        <w:p w14:paraId="0A934266" w14:textId="6FFA7615" w:rsidR="00F70E5F" w:rsidRDefault="00000000">
          <w:pPr>
            <w:pStyle w:val="INNH3"/>
            <w:rPr>
              <w:rFonts w:eastAsiaTheme="minorEastAsia"/>
              <w:noProof/>
              <w:kern w:val="2"/>
              <w:sz w:val="24"/>
              <w:szCs w:val="24"/>
              <w:lang w:eastAsia="nb-NO"/>
              <w14:ligatures w14:val="standardContextual"/>
            </w:rPr>
          </w:pPr>
          <w:hyperlink w:anchor="_Toc163488446" w:history="1">
            <w:r w:rsidR="00F70E5F" w:rsidRPr="009D1DBD">
              <w:rPr>
                <w:rStyle w:val="Hyperkobling"/>
                <w:noProof/>
              </w:rPr>
              <w:t>8.1.2 Åpen publisering</w:t>
            </w:r>
            <w:r w:rsidR="00F70E5F">
              <w:rPr>
                <w:noProof/>
                <w:webHidden/>
              </w:rPr>
              <w:tab/>
            </w:r>
            <w:r w:rsidR="00F70E5F">
              <w:rPr>
                <w:noProof/>
                <w:webHidden/>
              </w:rPr>
              <w:fldChar w:fldCharType="begin"/>
            </w:r>
            <w:r w:rsidR="00F70E5F">
              <w:rPr>
                <w:noProof/>
                <w:webHidden/>
              </w:rPr>
              <w:instrText xml:space="preserve"> PAGEREF _Toc163488446 \h </w:instrText>
            </w:r>
            <w:r w:rsidR="00F70E5F">
              <w:rPr>
                <w:noProof/>
                <w:webHidden/>
              </w:rPr>
            </w:r>
            <w:r w:rsidR="00F70E5F">
              <w:rPr>
                <w:noProof/>
                <w:webHidden/>
              </w:rPr>
              <w:fldChar w:fldCharType="separate"/>
            </w:r>
            <w:r w:rsidR="00F70E5F">
              <w:rPr>
                <w:noProof/>
                <w:webHidden/>
              </w:rPr>
              <w:t>106</w:t>
            </w:r>
            <w:r w:rsidR="00F70E5F">
              <w:rPr>
                <w:noProof/>
                <w:webHidden/>
              </w:rPr>
              <w:fldChar w:fldCharType="end"/>
            </w:r>
          </w:hyperlink>
        </w:p>
        <w:p w14:paraId="4E66EED0" w14:textId="0AACB1B9" w:rsidR="00F70E5F" w:rsidRDefault="00000000">
          <w:pPr>
            <w:pStyle w:val="INNH2"/>
            <w:rPr>
              <w:rFonts w:eastAsiaTheme="minorEastAsia"/>
              <w:noProof/>
              <w:kern w:val="2"/>
              <w:sz w:val="24"/>
              <w:szCs w:val="24"/>
              <w:lang w:eastAsia="nb-NO"/>
              <w14:ligatures w14:val="standardContextual"/>
            </w:rPr>
          </w:pPr>
          <w:hyperlink w:anchor="_Toc163488447" w:history="1">
            <w:r w:rsidR="00F70E5F" w:rsidRPr="009D1DBD">
              <w:rPr>
                <w:rStyle w:val="Hyperkobling"/>
                <w:noProof/>
              </w:rPr>
              <w:t>8.2 Forskning og fagområder</w:t>
            </w:r>
            <w:r w:rsidR="00F70E5F">
              <w:rPr>
                <w:noProof/>
                <w:webHidden/>
              </w:rPr>
              <w:tab/>
            </w:r>
            <w:r w:rsidR="00F70E5F">
              <w:rPr>
                <w:noProof/>
                <w:webHidden/>
              </w:rPr>
              <w:fldChar w:fldCharType="begin"/>
            </w:r>
            <w:r w:rsidR="00F70E5F">
              <w:rPr>
                <w:noProof/>
                <w:webHidden/>
              </w:rPr>
              <w:instrText xml:space="preserve"> PAGEREF _Toc163488447 \h </w:instrText>
            </w:r>
            <w:r w:rsidR="00F70E5F">
              <w:rPr>
                <w:noProof/>
                <w:webHidden/>
              </w:rPr>
            </w:r>
            <w:r w:rsidR="00F70E5F">
              <w:rPr>
                <w:noProof/>
                <w:webHidden/>
              </w:rPr>
              <w:fldChar w:fldCharType="separate"/>
            </w:r>
            <w:r w:rsidR="00F70E5F">
              <w:rPr>
                <w:noProof/>
                <w:webHidden/>
              </w:rPr>
              <w:t>106</w:t>
            </w:r>
            <w:r w:rsidR="00F70E5F">
              <w:rPr>
                <w:noProof/>
                <w:webHidden/>
              </w:rPr>
              <w:fldChar w:fldCharType="end"/>
            </w:r>
          </w:hyperlink>
        </w:p>
        <w:p w14:paraId="5DE47E66" w14:textId="30739E13" w:rsidR="00F70E5F" w:rsidRDefault="00000000">
          <w:pPr>
            <w:pStyle w:val="INNH2"/>
            <w:rPr>
              <w:rFonts w:eastAsiaTheme="minorEastAsia"/>
              <w:noProof/>
              <w:kern w:val="2"/>
              <w:sz w:val="24"/>
              <w:szCs w:val="24"/>
              <w:lang w:eastAsia="nb-NO"/>
              <w14:ligatures w14:val="standardContextual"/>
            </w:rPr>
          </w:pPr>
          <w:hyperlink w:anchor="_Toc163488448" w:history="1">
            <w:r w:rsidR="00F70E5F" w:rsidRPr="009D1DBD">
              <w:rPr>
                <w:rStyle w:val="Hyperkobling"/>
                <w:noProof/>
              </w:rPr>
              <w:t>8.3 Institusjonenes inntekter fra Forskningsrådet</w:t>
            </w:r>
            <w:r w:rsidR="00F70E5F">
              <w:rPr>
                <w:noProof/>
                <w:webHidden/>
              </w:rPr>
              <w:tab/>
            </w:r>
            <w:r w:rsidR="00F70E5F">
              <w:rPr>
                <w:noProof/>
                <w:webHidden/>
              </w:rPr>
              <w:fldChar w:fldCharType="begin"/>
            </w:r>
            <w:r w:rsidR="00F70E5F">
              <w:rPr>
                <w:noProof/>
                <w:webHidden/>
              </w:rPr>
              <w:instrText xml:space="preserve"> PAGEREF _Toc163488448 \h </w:instrText>
            </w:r>
            <w:r w:rsidR="00F70E5F">
              <w:rPr>
                <w:noProof/>
                <w:webHidden/>
              </w:rPr>
            </w:r>
            <w:r w:rsidR="00F70E5F">
              <w:rPr>
                <w:noProof/>
                <w:webHidden/>
              </w:rPr>
              <w:fldChar w:fldCharType="separate"/>
            </w:r>
            <w:r w:rsidR="00F70E5F">
              <w:rPr>
                <w:noProof/>
                <w:webHidden/>
              </w:rPr>
              <w:t>109</w:t>
            </w:r>
            <w:r w:rsidR="00F70E5F">
              <w:rPr>
                <w:noProof/>
                <w:webHidden/>
              </w:rPr>
              <w:fldChar w:fldCharType="end"/>
            </w:r>
          </w:hyperlink>
        </w:p>
        <w:p w14:paraId="21D1EAEB" w14:textId="520C85F9" w:rsidR="00F70E5F" w:rsidRDefault="00000000">
          <w:pPr>
            <w:pStyle w:val="INNH2"/>
            <w:rPr>
              <w:rFonts w:eastAsiaTheme="minorEastAsia"/>
              <w:noProof/>
              <w:kern w:val="2"/>
              <w:sz w:val="24"/>
              <w:szCs w:val="24"/>
              <w:lang w:eastAsia="nb-NO"/>
              <w14:ligatures w14:val="standardContextual"/>
            </w:rPr>
          </w:pPr>
          <w:hyperlink w:anchor="_Toc163488449" w:history="1">
            <w:r w:rsidR="00F70E5F" w:rsidRPr="009D1DBD">
              <w:rPr>
                <w:rStyle w:val="Hyperkobling"/>
                <w:noProof/>
              </w:rPr>
              <w:t>8.4 Europeisk samarbeid og finansiering fra EUs rammeprogram</w:t>
            </w:r>
            <w:r w:rsidR="00F70E5F">
              <w:rPr>
                <w:noProof/>
                <w:webHidden/>
              </w:rPr>
              <w:tab/>
            </w:r>
            <w:r w:rsidR="00F70E5F">
              <w:rPr>
                <w:noProof/>
                <w:webHidden/>
              </w:rPr>
              <w:fldChar w:fldCharType="begin"/>
            </w:r>
            <w:r w:rsidR="00F70E5F">
              <w:rPr>
                <w:noProof/>
                <w:webHidden/>
              </w:rPr>
              <w:instrText xml:space="preserve"> PAGEREF _Toc163488449 \h </w:instrText>
            </w:r>
            <w:r w:rsidR="00F70E5F">
              <w:rPr>
                <w:noProof/>
                <w:webHidden/>
              </w:rPr>
            </w:r>
            <w:r w:rsidR="00F70E5F">
              <w:rPr>
                <w:noProof/>
                <w:webHidden/>
              </w:rPr>
              <w:fldChar w:fldCharType="separate"/>
            </w:r>
            <w:r w:rsidR="00F70E5F">
              <w:rPr>
                <w:noProof/>
                <w:webHidden/>
              </w:rPr>
              <w:t>112</w:t>
            </w:r>
            <w:r w:rsidR="00F70E5F">
              <w:rPr>
                <w:noProof/>
                <w:webHidden/>
              </w:rPr>
              <w:fldChar w:fldCharType="end"/>
            </w:r>
          </w:hyperlink>
        </w:p>
        <w:p w14:paraId="0D2E0760" w14:textId="2730A033" w:rsidR="00F70E5F" w:rsidRDefault="00000000">
          <w:pPr>
            <w:pStyle w:val="INNH2"/>
            <w:rPr>
              <w:rFonts w:eastAsiaTheme="minorEastAsia"/>
              <w:noProof/>
              <w:kern w:val="2"/>
              <w:sz w:val="24"/>
              <w:szCs w:val="24"/>
              <w:lang w:eastAsia="nb-NO"/>
              <w14:ligatures w14:val="standardContextual"/>
            </w:rPr>
          </w:pPr>
          <w:hyperlink w:anchor="_Toc163488450" w:history="1">
            <w:r w:rsidR="00F70E5F" w:rsidRPr="009D1DBD">
              <w:rPr>
                <w:rStyle w:val="Hyperkobling"/>
                <w:noProof/>
              </w:rPr>
              <w:t>8.5 Institusjonsprofiler – forskning og forskerutdanning</w:t>
            </w:r>
            <w:r w:rsidR="00F70E5F">
              <w:rPr>
                <w:noProof/>
                <w:webHidden/>
              </w:rPr>
              <w:tab/>
            </w:r>
            <w:r w:rsidR="00F70E5F">
              <w:rPr>
                <w:noProof/>
                <w:webHidden/>
              </w:rPr>
              <w:fldChar w:fldCharType="begin"/>
            </w:r>
            <w:r w:rsidR="00F70E5F">
              <w:rPr>
                <w:noProof/>
                <w:webHidden/>
              </w:rPr>
              <w:instrText xml:space="preserve"> PAGEREF _Toc163488450 \h </w:instrText>
            </w:r>
            <w:r w:rsidR="00F70E5F">
              <w:rPr>
                <w:noProof/>
                <w:webHidden/>
              </w:rPr>
            </w:r>
            <w:r w:rsidR="00F70E5F">
              <w:rPr>
                <w:noProof/>
                <w:webHidden/>
              </w:rPr>
              <w:fldChar w:fldCharType="separate"/>
            </w:r>
            <w:r w:rsidR="00F70E5F">
              <w:rPr>
                <w:noProof/>
                <w:webHidden/>
              </w:rPr>
              <w:t>115</w:t>
            </w:r>
            <w:r w:rsidR="00F70E5F">
              <w:rPr>
                <w:noProof/>
                <w:webHidden/>
              </w:rPr>
              <w:fldChar w:fldCharType="end"/>
            </w:r>
          </w:hyperlink>
        </w:p>
        <w:p w14:paraId="39DDA4B9" w14:textId="77A3A0D3" w:rsidR="00F70E5F" w:rsidRDefault="00000000">
          <w:pPr>
            <w:pStyle w:val="INNH1"/>
            <w:rPr>
              <w:rFonts w:eastAsiaTheme="minorEastAsia"/>
              <w:noProof/>
              <w:kern w:val="2"/>
              <w:sz w:val="24"/>
              <w:szCs w:val="24"/>
              <w:lang w:eastAsia="nb-NO"/>
              <w14:ligatures w14:val="standardContextual"/>
            </w:rPr>
          </w:pPr>
          <w:hyperlink w:anchor="_Toc163488451" w:history="1">
            <w:r w:rsidR="00F70E5F" w:rsidRPr="009D1DBD">
              <w:rPr>
                <w:rStyle w:val="Hyperkobling"/>
                <w:noProof/>
              </w:rPr>
              <w:t>9 Personal og økonomi</w:t>
            </w:r>
            <w:r w:rsidR="00F70E5F">
              <w:rPr>
                <w:noProof/>
                <w:webHidden/>
              </w:rPr>
              <w:tab/>
            </w:r>
            <w:r w:rsidR="00F70E5F">
              <w:rPr>
                <w:noProof/>
                <w:webHidden/>
              </w:rPr>
              <w:fldChar w:fldCharType="begin"/>
            </w:r>
            <w:r w:rsidR="00F70E5F">
              <w:rPr>
                <w:noProof/>
                <w:webHidden/>
              </w:rPr>
              <w:instrText xml:space="preserve"> PAGEREF _Toc163488451 \h </w:instrText>
            </w:r>
            <w:r w:rsidR="00F70E5F">
              <w:rPr>
                <w:noProof/>
                <w:webHidden/>
              </w:rPr>
            </w:r>
            <w:r w:rsidR="00F70E5F">
              <w:rPr>
                <w:noProof/>
                <w:webHidden/>
              </w:rPr>
              <w:fldChar w:fldCharType="separate"/>
            </w:r>
            <w:r w:rsidR="00F70E5F">
              <w:rPr>
                <w:noProof/>
                <w:webHidden/>
              </w:rPr>
              <w:t>118</w:t>
            </w:r>
            <w:r w:rsidR="00F70E5F">
              <w:rPr>
                <w:noProof/>
                <w:webHidden/>
              </w:rPr>
              <w:fldChar w:fldCharType="end"/>
            </w:r>
          </w:hyperlink>
        </w:p>
        <w:p w14:paraId="0705258D" w14:textId="417BF74D" w:rsidR="00F70E5F" w:rsidRDefault="00000000">
          <w:pPr>
            <w:pStyle w:val="INNH2"/>
            <w:rPr>
              <w:rFonts w:eastAsiaTheme="minorEastAsia"/>
              <w:noProof/>
              <w:kern w:val="2"/>
              <w:sz w:val="24"/>
              <w:szCs w:val="24"/>
              <w:lang w:eastAsia="nb-NO"/>
              <w14:ligatures w14:val="standardContextual"/>
            </w:rPr>
          </w:pPr>
          <w:hyperlink w:anchor="_Toc163488452" w:history="1">
            <w:r w:rsidR="00F70E5F" w:rsidRPr="009D1DBD">
              <w:rPr>
                <w:rStyle w:val="Hyperkobling"/>
                <w:noProof/>
              </w:rPr>
              <w:t>9.1 Finansielle ressurser</w:t>
            </w:r>
            <w:r w:rsidR="00F70E5F">
              <w:rPr>
                <w:noProof/>
                <w:webHidden/>
              </w:rPr>
              <w:tab/>
            </w:r>
            <w:r w:rsidR="00F70E5F">
              <w:rPr>
                <w:noProof/>
                <w:webHidden/>
              </w:rPr>
              <w:fldChar w:fldCharType="begin"/>
            </w:r>
            <w:r w:rsidR="00F70E5F">
              <w:rPr>
                <w:noProof/>
                <w:webHidden/>
              </w:rPr>
              <w:instrText xml:space="preserve"> PAGEREF _Toc163488452 \h </w:instrText>
            </w:r>
            <w:r w:rsidR="00F70E5F">
              <w:rPr>
                <w:noProof/>
                <w:webHidden/>
              </w:rPr>
            </w:r>
            <w:r w:rsidR="00F70E5F">
              <w:rPr>
                <w:noProof/>
                <w:webHidden/>
              </w:rPr>
              <w:fldChar w:fldCharType="separate"/>
            </w:r>
            <w:r w:rsidR="00F70E5F">
              <w:rPr>
                <w:noProof/>
                <w:webHidden/>
              </w:rPr>
              <w:t>118</w:t>
            </w:r>
            <w:r w:rsidR="00F70E5F">
              <w:rPr>
                <w:noProof/>
                <w:webHidden/>
              </w:rPr>
              <w:fldChar w:fldCharType="end"/>
            </w:r>
          </w:hyperlink>
        </w:p>
        <w:p w14:paraId="6B7E4B9E" w14:textId="33FE59D7" w:rsidR="00F70E5F" w:rsidRDefault="00000000">
          <w:pPr>
            <w:pStyle w:val="INNH2"/>
            <w:rPr>
              <w:rFonts w:eastAsiaTheme="minorEastAsia"/>
              <w:noProof/>
              <w:kern w:val="2"/>
              <w:sz w:val="24"/>
              <w:szCs w:val="24"/>
              <w:lang w:eastAsia="nb-NO"/>
              <w14:ligatures w14:val="standardContextual"/>
            </w:rPr>
          </w:pPr>
          <w:hyperlink w:anchor="_Toc163488453" w:history="1">
            <w:r w:rsidR="00F70E5F" w:rsidRPr="009D1DBD">
              <w:rPr>
                <w:rStyle w:val="Hyperkobling"/>
                <w:noProof/>
              </w:rPr>
              <w:t>9.2 Studie- og eksamensavgifter ved private høyskoler</w:t>
            </w:r>
            <w:r w:rsidR="00F70E5F">
              <w:rPr>
                <w:noProof/>
                <w:webHidden/>
              </w:rPr>
              <w:tab/>
            </w:r>
            <w:r w:rsidR="00F70E5F">
              <w:rPr>
                <w:noProof/>
                <w:webHidden/>
              </w:rPr>
              <w:fldChar w:fldCharType="begin"/>
            </w:r>
            <w:r w:rsidR="00F70E5F">
              <w:rPr>
                <w:noProof/>
                <w:webHidden/>
              </w:rPr>
              <w:instrText xml:space="preserve"> PAGEREF _Toc163488453 \h </w:instrText>
            </w:r>
            <w:r w:rsidR="00F70E5F">
              <w:rPr>
                <w:noProof/>
                <w:webHidden/>
              </w:rPr>
            </w:r>
            <w:r w:rsidR="00F70E5F">
              <w:rPr>
                <w:noProof/>
                <w:webHidden/>
              </w:rPr>
              <w:fldChar w:fldCharType="separate"/>
            </w:r>
            <w:r w:rsidR="00F70E5F">
              <w:rPr>
                <w:noProof/>
                <w:webHidden/>
              </w:rPr>
              <w:t>121</w:t>
            </w:r>
            <w:r w:rsidR="00F70E5F">
              <w:rPr>
                <w:noProof/>
                <w:webHidden/>
              </w:rPr>
              <w:fldChar w:fldCharType="end"/>
            </w:r>
          </w:hyperlink>
        </w:p>
        <w:p w14:paraId="6727CB7B" w14:textId="2871F01E" w:rsidR="00F70E5F" w:rsidRDefault="00000000">
          <w:pPr>
            <w:pStyle w:val="INNH2"/>
            <w:rPr>
              <w:rFonts w:eastAsiaTheme="minorEastAsia"/>
              <w:noProof/>
              <w:kern w:val="2"/>
              <w:sz w:val="24"/>
              <w:szCs w:val="24"/>
              <w:lang w:eastAsia="nb-NO"/>
              <w14:ligatures w14:val="standardContextual"/>
            </w:rPr>
          </w:pPr>
          <w:hyperlink w:anchor="_Toc163488454" w:history="1">
            <w:r w:rsidR="00F70E5F" w:rsidRPr="009D1DBD">
              <w:rPr>
                <w:rStyle w:val="Hyperkobling"/>
                <w:noProof/>
              </w:rPr>
              <w:t>9.3 Kompetanseprofil</w:t>
            </w:r>
            <w:r w:rsidR="00F70E5F">
              <w:rPr>
                <w:noProof/>
                <w:webHidden/>
              </w:rPr>
              <w:tab/>
            </w:r>
            <w:r w:rsidR="00F70E5F">
              <w:rPr>
                <w:noProof/>
                <w:webHidden/>
              </w:rPr>
              <w:fldChar w:fldCharType="begin"/>
            </w:r>
            <w:r w:rsidR="00F70E5F">
              <w:rPr>
                <w:noProof/>
                <w:webHidden/>
              </w:rPr>
              <w:instrText xml:space="preserve"> PAGEREF _Toc163488454 \h </w:instrText>
            </w:r>
            <w:r w:rsidR="00F70E5F">
              <w:rPr>
                <w:noProof/>
                <w:webHidden/>
              </w:rPr>
            </w:r>
            <w:r w:rsidR="00F70E5F">
              <w:rPr>
                <w:noProof/>
                <w:webHidden/>
              </w:rPr>
              <w:fldChar w:fldCharType="separate"/>
            </w:r>
            <w:r w:rsidR="00F70E5F">
              <w:rPr>
                <w:noProof/>
                <w:webHidden/>
              </w:rPr>
              <w:t>123</w:t>
            </w:r>
            <w:r w:rsidR="00F70E5F">
              <w:rPr>
                <w:noProof/>
                <w:webHidden/>
              </w:rPr>
              <w:fldChar w:fldCharType="end"/>
            </w:r>
          </w:hyperlink>
        </w:p>
        <w:p w14:paraId="7CB61ADA" w14:textId="37B1CF64" w:rsidR="00F70E5F" w:rsidRDefault="00000000">
          <w:pPr>
            <w:pStyle w:val="INNH2"/>
            <w:rPr>
              <w:rFonts w:eastAsiaTheme="minorEastAsia"/>
              <w:noProof/>
              <w:kern w:val="2"/>
              <w:sz w:val="24"/>
              <w:szCs w:val="24"/>
              <w:lang w:eastAsia="nb-NO"/>
              <w14:ligatures w14:val="standardContextual"/>
            </w:rPr>
          </w:pPr>
          <w:hyperlink w:anchor="_Toc163488455" w:history="1">
            <w:r w:rsidR="00F70E5F" w:rsidRPr="009D1DBD">
              <w:rPr>
                <w:rStyle w:val="Hyperkobling"/>
                <w:noProof/>
              </w:rPr>
              <w:t>9.4 Ansatte og stillingstyper</w:t>
            </w:r>
            <w:r w:rsidR="00F70E5F">
              <w:rPr>
                <w:noProof/>
                <w:webHidden/>
              </w:rPr>
              <w:tab/>
            </w:r>
            <w:r w:rsidR="00F70E5F">
              <w:rPr>
                <w:noProof/>
                <w:webHidden/>
              </w:rPr>
              <w:fldChar w:fldCharType="begin"/>
            </w:r>
            <w:r w:rsidR="00F70E5F">
              <w:rPr>
                <w:noProof/>
                <w:webHidden/>
              </w:rPr>
              <w:instrText xml:space="preserve"> PAGEREF _Toc163488455 \h </w:instrText>
            </w:r>
            <w:r w:rsidR="00F70E5F">
              <w:rPr>
                <w:noProof/>
                <w:webHidden/>
              </w:rPr>
            </w:r>
            <w:r w:rsidR="00F70E5F">
              <w:rPr>
                <w:noProof/>
                <w:webHidden/>
              </w:rPr>
              <w:fldChar w:fldCharType="separate"/>
            </w:r>
            <w:r w:rsidR="00F70E5F">
              <w:rPr>
                <w:noProof/>
                <w:webHidden/>
              </w:rPr>
              <w:t>129</w:t>
            </w:r>
            <w:r w:rsidR="00F70E5F">
              <w:rPr>
                <w:noProof/>
                <w:webHidden/>
              </w:rPr>
              <w:fldChar w:fldCharType="end"/>
            </w:r>
          </w:hyperlink>
        </w:p>
        <w:p w14:paraId="71310FFC" w14:textId="2B836519" w:rsidR="00F70E5F" w:rsidRDefault="00000000">
          <w:pPr>
            <w:pStyle w:val="INNH2"/>
            <w:rPr>
              <w:rFonts w:eastAsiaTheme="minorEastAsia"/>
              <w:noProof/>
              <w:kern w:val="2"/>
              <w:sz w:val="24"/>
              <w:szCs w:val="24"/>
              <w:lang w:eastAsia="nb-NO"/>
              <w14:ligatures w14:val="standardContextual"/>
            </w:rPr>
          </w:pPr>
          <w:hyperlink w:anchor="_Toc163488456" w:history="1">
            <w:r w:rsidR="00F70E5F" w:rsidRPr="009D1DBD">
              <w:rPr>
                <w:rStyle w:val="Hyperkobling"/>
                <w:noProof/>
              </w:rPr>
              <w:t>9.5 Kjønnsbalansen blant faglig ansatte i høyere utdanning</w:t>
            </w:r>
            <w:r w:rsidR="00F70E5F">
              <w:rPr>
                <w:noProof/>
                <w:webHidden/>
              </w:rPr>
              <w:tab/>
            </w:r>
            <w:r w:rsidR="00F70E5F">
              <w:rPr>
                <w:noProof/>
                <w:webHidden/>
              </w:rPr>
              <w:fldChar w:fldCharType="begin"/>
            </w:r>
            <w:r w:rsidR="00F70E5F">
              <w:rPr>
                <w:noProof/>
                <w:webHidden/>
              </w:rPr>
              <w:instrText xml:space="preserve"> PAGEREF _Toc163488456 \h </w:instrText>
            </w:r>
            <w:r w:rsidR="00F70E5F">
              <w:rPr>
                <w:noProof/>
                <w:webHidden/>
              </w:rPr>
            </w:r>
            <w:r w:rsidR="00F70E5F">
              <w:rPr>
                <w:noProof/>
                <w:webHidden/>
              </w:rPr>
              <w:fldChar w:fldCharType="separate"/>
            </w:r>
            <w:r w:rsidR="00F70E5F">
              <w:rPr>
                <w:noProof/>
                <w:webHidden/>
              </w:rPr>
              <w:t>132</w:t>
            </w:r>
            <w:r w:rsidR="00F70E5F">
              <w:rPr>
                <w:noProof/>
                <w:webHidden/>
              </w:rPr>
              <w:fldChar w:fldCharType="end"/>
            </w:r>
          </w:hyperlink>
        </w:p>
        <w:p w14:paraId="023F1AE1" w14:textId="6684C687" w:rsidR="00F70E5F" w:rsidRDefault="00000000">
          <w:pPr>
            <w:pStyle w:val="INNH2"/>
            <w:rPr>
              <w:rFonts w:eastAsiaTheme="minorEastAsia"/>
              <w:noProof/>
              <w:kern w:val="2"/>
              <w:sz w:val="24"/>
              <w:szCs w:val="24"/>
              <w:lang w:eastAsia="nb-NO"/>
              <w14:ligatures w14:val="standardContextual"/>
            </w:rPr>
          </w:pPr>
          <w:hyperlink w:anchor="_Toc163488457" w:history="1">
            <w:r w:rsidR="00F70E5F" w:rsidRPr="009D1DBD">
              <w:rPr>
                <w:rStyle w:val="Hyperkobling"/>
                <w:noProof/>
              </w:rPr>
              <w:t>9.6 Midlertidige ansettelser ved universiteter og høyskoler</w:t>
            </w:r>
            <w:r w:rsidR="00F70E5F">
              <w:rPr>
                <w:noProof/>
                <w:webHidden/>
              </w:rPr>
              <w:tab/>
            </w:r>
            <w:r w:rsidR="00F70E5F">
              <w:rPr>
                <w:noProof/>
                <w:webHidden/>
              </w:rPr>
              <w:fldChar w:fldCharType="begin"/>
            </w:r>
            <w:r w:rsidR="00F70E5F">
              <w:rPr>
                <w:noProof/>
                <w:webHidden/>
              </w:rPr>
              <w:instrText xml:space="preserve"> PAGEREF _Toc163488457 \h </w:instrText>
            </w:r>
            <w:r w:rsidR="00F70E5F">
              <w:rPr>
                <w:noProof/>
                <w:webHidden/>
              </w:rPr>
            </w:r>
            <w:r w:rsidR="00F70E5F">
              <w:rPr>
                <w:noProof/>
                <w:webHidden/>
              </w:rPr>
              <w:fldChar w:fldCharType="separate"/>
            </w:r>
            <w:r w:rsidR="00F70E5F">
              <w:rPr>
                <w:noProof/>
                <w:webHidden/>
              </w:rPr>
              <w:t>135</w:t>
            </w:r>
            <w:r w:rsidR="00F70E5F">
              <w:rPr>
                <w:noProof/>
                <w:webHidden/>
              </w:rPr>
              <w:fldChar w:fldCharType="end"/>
            </w:r>
          </w:hyperlink>
        </w:p>
        <w:p w14:paraId="0780E64A" w14:textId="49F6E59B" w:rsidR="00985CD3" w:rsidRPr="00422245" w:rsidRDefault="00BE5C57" w:rsidP="000F0D96">
          <w:r w:rsidRPr="00422245">
            <w:rPr>
              <w:b/>
              <w:bCs/>
            </w:rPr>
            <w:fldChar w:fldCharType="end"/>
          </w:r>
        </w:p>
      </w:sdtContent>
    </w:sdt>
    <w:p w14:paraId="5C5AAEDE" w14:textId="77777777" w:rsidR="001E6CD9" w:rsidRPr="00422245" w:rsidRDefault="001E6CD9">
      <w:pPr>
        <w:rPr>
          <w:rFonts w:asciiTheme="majorHAnsi" w:eastAsiaTheme="majorEastAsia" w:hAnsiTheme="majorHAnsi" w:cstheme="majorBidi"/>
          <w:b/>
          <w:bCs/>
          <w:sz w:val="32"/>
          <w:szCs w:val="32"/>
        </w:rPr>
      </w:pPr>
      <w:r w:rsidRPr="00422245">
        <w:br w:type="page"/>
      </w:r>
    </w:p>
    <w:p w14:paraId="2D717BD1" w14:textId="69E69B69" w:rsidR="00142E74" w:rsidRDefault="00521D2E" w:rsidP="00142E74">
      <w:pPr>
        <w:pStyle w:val="Overskrift1"/>
        <w:spacing w:after="168"/>
      </w:pPr>
      <w:bookmarkStart w:id="2" w:name="_Ref158709775"/>
      <w:bookmarkStart w:id="3" w:name="_Toc158968328"/>
      <w:bookmarkStart w:id="4" w:name="_Ref161840944"/>
      <w:bookmarkStart w:id="5" w:name="_Toc163488384"/>
      <w:r w:rsidRPr="00422245">
        <w:lastRenderedPageBreak/>
        <w:t>Student</w:t>
      </w:r>
      <w:bookmarkEnd w:id="2"/>
      <w:bookmarkEnd w:id="3"/>
      <w:bookmarkEnd w:id="4"/>
      <w:r w:rsidR="00420C45">
        <w:t>befolkning</w:t>
      </w:r>
      <w:r w:rsidR="002161FA">
        <w:t xml:space="preserve"> og </w:t>
      </w:r>
      <w:r w:rsidR="001B4C22">
        <w:t>studier</w:t>
      </w:r>
      <w:bookmarkEnd w:id="5"/>
    </w:p>
    <w:p w14:paraId="58E59A21" w14:textId="6794D618" w:rsidR="00FA2E6A" w:rsidRPr="00304A40" w:rsidRDefault="009875F4" w:rsidP="00304A40">
      <w:r>
        <w:t xml:space="preserve">Kapitlet gir en oversikt </w:t>
      </w:r>
      <w:r w:rsidR="002D7294">
        <w:t>over</w:t>
      </w:r>
      <w:r w:rsidR="001E268B">
        <w:t xml:space="preserve"> </w:t>
      </w:r>
      <w:r>
        <w:t xml:space="preserve">høyere utdanning, </w:t>
      </w:r>
      <w:r w:rsidR="009645C5">
        <w:t>ved hjelp av oppdater</w:t>
      </w:r>
      <w:r w:rsidR="00024133">
        <w:t xml:space="preserve">te </w:t>
      </w:r>
      <w:r w:rsidR="00C6670E">
        <w:t>nøkkel</w:t>
      </w:r>
      <w:r w:rsidR="00024133">
        <w:t xml:space="preserve">tall </w:t>
      </w:r>
      <w:r w:rsidR="00423605">
        <w:t xml:space="preserve">for </w:t>
      </w:r>
      <w:r>
        <w:t>student</w:t>
      </w:r>
      <w:r w:rsidR="00024133">
        <w:t>volum</w:t>
      </w:r>
      <w:r w:rsidR="00344411">
        <w:t xml:space="preserve"> og studentenes fordeling </w:t>
      </w:r>
      <w:r w:rsidR="00ED533A">
        <w:t xml:space="preserve">på tvers av </w:t>
      </w:r>
      <w:r>
        <w:t>fagområder</w:t>
      </w:r>
      <w:r w:rsidR="00ED533A">
        <w:t xml:space="preserve"> og </w:t>
      </w:r>
      <w:r w:rsidR="0061597B">
        <w:t>akademisk nivå</w:t>
      </w:r>
      <w:r w:rsidR="00ED533A">
        <w:t xml:space="preserve">. </w:t>
      </w:r>
      <w:r w:rsidR="009D1D51">
        <w:t xml:space="preserve">I tillegg </w:t>
      </w:r>
      <w:r w:rsidR="006F0FF5">
        <w:t xml:space="preserve">gir kapitlet en deskriptiv framstilling av </w:t>
      </w:r>
      <w:r w:rsidR="001D63A3">
        <w:t xml:space="preserve">hvordan studenter, fagområder og </w:t>
      </w:r>
      <w:r w:rsidR="00945DB6">
        <w:t xml:space="preserve">akademisk nivå varierer i </w:t>
      </w:r>
      <w:r w:rsidR="009D1D51" w:rsidRPr="009D1D51">
        <w:t>institusjon</w:t>
      </w:r>
      <w:r w:rsidR="00945DB6">
        <w:t>slandskapet</w:t>
      </w:r>
      <w:r w:rsidR="00886FB5">
        <w:t xml:space="preserve">. </w:t>
      </w:r>
      <w:r w:rsidR="00E433D1">
        <w:t xml:space="preserve">Formålet med kapitlet er å </w:t>
      </w:r>
      <w:r w:rsidR="00D05A44">
        <w:t xml:space="preserve">skissere </w:t>
      </w:r>
      <w:r w:rsidR="00670849">
        <w:t xml:space="preserve">det overordnede bildet, </w:t>
      </w:r>
      <w:r w:rsidR="0075475B">
        <w:t>o</w:t>
      </w:r>
      <w:r w:rsidR="0075475B" w:rsidRPr="0075475B">
        <w:t>g legge grunnlaget for en dypere utforskning av de temaene som vil bli behandlet i de påfølgende kapitlene</w:t>
      </w:r>
      <w:r>
        <w:t>.</w:t>
      </w:r>
    </w:p>
    <w:p w14:paraId="42C05F5C" w14:textId="0B5E6B24" w:rsidR="00BE53A5" w:rsidRPr="00422245" w:rsidRDefault="003E0DF4" w:rsidP="00660DC0">
      <w:pPr>
        <w:pStyle w:val="Overskrift2"/>
      </w:pPr>
      <w:bookmarkStart w:id="6" w:name="_Toc158968329"/>
      <w:bookmarkStart w:id="7" w:name="_Toc163488385"/>
      <w:r w:rsidRPr="00422245">
        <w:t>Studentpopulasjon</w:t>
      </w:r>
      <w:bookmarkEnd w:id="6"/>
      <w:r w:rsidR="00A167ED" w:rsidRPr="00422245">
        <w:t>en</w:t>
      </w:r>
      <w:bookmarkEnd w:id="7"/>
    </w:p>
    <w:p w14:paraId="65286530" w14:textId="2BC10638" w:rsidR="00AC6460" w:rsidRDefault="00A7194A" w:rsidP="00800D13">
      <w:r>
        <w:t xml:space="preserve">Siden </w:t>
      </w:r>
      <w:r w:rsidR="003E3B3B">
        <w:t xml:space="preserve">årtusenskiftet har det vært </w:t>
      </w:r>
      <w:r w:rsidR="00951C7D">
        <w:t>betydelig</w:t>
      </w:r>
      <w:r w:rsidR="00827929">
        <w:t xml:space="preserve"> vekst i </w:t>
      </w:r>
      <w:r w:rsidR="00B519EE">
        <w:t xml:space="preserve">den norske </w:t>
      </w:r>
      <w:r w:rsidR="00B97532">
        <w:t>studentbefolkningen</w:t>
      </w:r>
      <w:r w:rsidR="00667048">
        <w:t xml:space="preserve">, </w:t>
      </w:r>
      <w:r w:rsidR="00B519EE">
        <w:t xml:space="preserve">fra </w:t>
      </w:r>
      <w:r w:rsidR="00B259CA" w:rsidRPr="00B259CA">
        <w:t>186</w:t>
      </w:r>
      <w:r w:rsidR="00B259CA">
        <w:t> </w:t>
      </w:r>
      <w:r w:rsidR="00B259CA" w:rsidRPr="00B259CA">
        <w:t>00</w:t>
      </w:r>
      <w:r w:rsidR="00B259CA">
        <w:t>0</w:t>
      </w:r>
      <w:r w:rsidR="00B259CA" w:rsidRPr="00B259CA">
        <w:t xml:space="preserve"> </w:t>
      </w:r>
      <w:r w:rsidR="00551BEA">
        <w:t xml:space="preserve">i 2000 til </w:t>
      </w:r>
      <w:r w:rsidR="00551BEA" w:rsidRPr="00551BEA">
        <w:t xml:space="preserve">299 000 studenter </w:t>
      </w:r>
      <w:r w:rsidR="00551BEA">
        <w:t>i 2023</w:t>
      </w:r>
      <w:r w:rsidR="00A8057D">
        <w:t>. S</w:t>
      </w:r>
      <w:r w:rsidR="00A8057D" w:rsidRPr="009406AC">
        <w:t>e</w:t>
      </w:r>
      <w:r w:rsidR="00BA52FB">
        <w:t xml:space="preserve"> </w:t>
      </w:r>
      <w:r w:rsidR="00BA52FB">
        <w:fldChar w:fldCharType="begin"/>
      </w:r>
      <w:r w:rsidR="00BA52FB">
        <w:instrText xml:space="preserve"> REF _Ref163466920 \h </w:instrText>
      </w:r>
      <w:r w:rsidR="00BA52FB">
        <w:fldChar w:fldCharType="separate"/>
      </w:r>
      <w:r w:rsidR="00BA52FB">
        <w:t xml:space="preserve">Figur </w:t>
      </w:r>
      <w:r w:rsidR="00BA52FB">
        <w:rPr>
          <w:noProof/>
        </w:rPr>
        <w:t>1</w:t>
      </w:r>
      <w:r w:rsidR="00BA52FB">
        <w:noBreakHyphen/>
      </w:r>
      <w:r w:rsidR="00BA52FB">
        <w:rPr>
          <w:noProof/>
        </w:rPr>
        <w:t>1</w:t>
      </w:r>
      <w:r w:rsidR="00BA52FB">
        <w:fldChar w:fldCharType="end"/>
      </w:r>
      <w:r w:rsidR="00551BEA">
        <w:t xml:space="preserve">. </w:t>
      </w:r>
      <w:r w:rsidR="00DD50F3">
        <w:t xml:space="preserve">Dette tilsvarer en vekst på </w:t>
      </w:r>
      <w:r w:rsidR="00667048">
        <w:t>hele 61 prosent</w:t>
      </w:r>
      <w:r w:rsidR="00B97532">
        <w:t xml:space="preserve">. </w:t>
      </w:r>
      <w:r w:rsidR="003A4AC8">
        <w:t>S</w:t>
      </w:r>
      <w:r w:rsidR="009B1FB7">
        <w:t xml:space="preserve">tudentvolumet </w:t>
      </w:r>
      <w:r w:rsidR="003A4AC8">
        <w:t>holder seg stabilt siste år.</w:t>
      </w:r>
      <w:r w:rsidR="00DE297D">
        <w:t xml:space="preserve"> </w:t>
      </w:r>
      <w:r w:rsidR="00BE53A5" w:rsidRPr="00422245">
        <w:t>I</w:t>
      </w:r>
      <w:r w:rsidR="00DA5AB5" w:rsidRPr="00422245">
        <w:t>følge tall fra Statistisk sentralbyrå (SSB)</w:t>
      </w:r>
      <w:r w:rsidR="00DA5AB5">
        <w:t xml:space="preserve"> var det</w:t>
      </w:r>
      <w:r w:rsidR="00BE53A5" w:rsidRPr="00422245">
        <w:t xml:space="preserve"> </w:t>
      </w:r>
      <w:r w:rsidR="00F84BC2">
        <w:t xml:space="preserve">i </w:t>
      </w:r>
      <w:r w:rsidR="00BE53A5" w:rsidRPr="00422245">
        <w:t xml:space="preserve">2023 en </w:t>
      </w:r>
      <w:r w:rsidR="00E30216">
        <w:t>oppgang</w:t>
      </w:r>
      <w:r w:rsidR="00BE53A5" w:rsidRPr="00422245">
        <w:t xml:space="preserve"> på </w:t>
      </w:r>
      <w:r w:rsidR="00E30216">
        <w:t>1 300</w:t>
      </w:r>
      <w:r w:rsidR="00BE53A5" w:rsidRPr="00422245">
        <w:t xml:space="preserve"> studenter</w:t>
      </w:r>
      <w:r w:rsidR="00E30216">
        <w:t xml:space="preserve"> </w:t>
      </w:r>
      <w:r w:rsidR="00BE53A5" w:rsidRPr="00422245">
        <w:t xml:space="preserve">fra året før. </w:t>
      </w:r>
      <w:r w:rsidR="00AC6460" w:rsidRPr="00422245">
        <w:t xml:space="preserve">Tall fra DBH viser </w:t>
      </w:r>
      <w:r w:rsidR="0045655B">
        <w:t xml:space="preserve">derimot </w:t>
      </w:r>
      <w:r w:rsidR="0045655B" w:rsidRPr="0045655B">
        <w:t xml:space="preserve">en </w:t>
      </w:r>
      <w:r w:rsidR="00495DA5">
        <w:t xml:space="preserve">omtrent like </w:t>
      </w:r>
      <w:r w:rsidR="009D2F04">
        <w:t>stor</w:t>
      </w:r>
      <w:r w:rsidR="00495DA5">
        <w:t xml:space="preserve"> </w:t>
      </w:r>
      <w:r w:rsidR="0045655B" w:rsidRPr="00495DA5">
        <w:rPr>
          <w:i/>
          <w:iCs/>
        </w:rPr>
        <w:t>nedgang</w:t>
      </w:r>
      <w:r w:rsidR="0045655B" w:rsidRPr="0045655B">
        <w:t xml:space="preserve"> </w:t>
      </w:r>
      <w:r w:rsidR="007A0556">
        <w:t xml:space="preserve">siste år </w:t>
      </w:r>
      <w:r w:rsidR="0045655B" w:rsidRPr="0045655B">
        <w:t>på 1 000 studenter</w:t>
      </w:r>
      <w:r w:rsidR="00495DA5">
        <w:t xml:space="preserve">, </w:t>
      </w:r>
      <w:r w:rsidR="009965F7">
        <w:t>til</w:t>
      </w:r>
      <w:r w:rsidR="00AC6460" w:rsidRPr="00422245">
        <w:t xml:space="preserve"> </w:t>
      </w:r>
      <w:r w:rsidR="00EB11A3">
        <w:t xml:space="preserve">et totalt antall på </w:t>
      </w:r>
      <w:r w:rsidR="00AC6460" w:rsidRPr="00422245">
        <w:t>27</w:t>
      </w:r>
      <w:r w:rsidR="009279E1" w:rsidRPr="00422245">
        <w:t>7</w:t>
      </w:r>
      <w:r w:rsidR="00B924AF" w:rsidRPr="00422245">
        <w:t> </w:t>
      </w:r>
      <w:r w:rsidR="00AC6460" w:rsidRPr="00422245">
        <w:t>000 studenter høsten 202</w:t>
      </w:r>
      <w:r w:rsidR="009279E1" w:rsidRPr="00422245">
        <w:t>3</w:t>
      </w:r>
      <w:r w:rsidR="0035204F" w:rsidRPr="00422245">
        <w:t>.</w:t>
      </w:r>
      <w:r w:rsidR="00A459DA">
        <w:t xml:space="preserve"> </w:t>
      </w:r>
      <w:r w:rsidR="00EB2BB3">
        <w:t>Forskjellene</w:t>
      </w:r>
      <w:r w:rsidR="00A459DA">
        <w:t xml:space="preserve"> </w:t>
      </w:r>
      <w:r w:rsidR="00645AC6">
        <w:t xml:space="preserve">i tallgrunnlag skyldes ulike </w:t>
      </w:r>
      <w:r w:rsidR="002A2FFA">
        <w:t xml:space="preserve">beregningsmåter og </w:t>
      </w:r>
      <w:r w:rsidR="00D1752E">
        <w:t>utvalg</w:t>
      </w:r>
      <w:r w:rsidR="00C861BC">
        <w:t>.</w:t>
      </w:r>
      <w:r w:rsidR="00095CA4" w:rsidRPr="00422245">
        <w:rPr>
          <w:rStyle w:val="Fotnotereferanse"/>
        </w:rPr>
        <w:footnoteReference w:id="2"/>
      </w:r>
      <w:r w:rsidR="00495DA5" w:rsidRPr="00495DA5">
        <w:t xml:space="preserve"> </w:t>
      </w:r>
    </w:p>
    <w:p w14:paraId="6378E5A1" w14:textId="5AFD049C" w:rsidR="004D1D9F" w:rsidRDefault="004D1D9F" w:rsidP="004D1D9F">
      <w:pPr>
        <w:spacing w:before="240"/>
      </w:pPr>
      <w:r w:rsidRPr="00422245">
        <w:t xml:space="preserve">NTNU er fremdeles den klart største utdanningsinstitusjonen i Norge med over 41 000 registrerte studenter. Dernest følger UiO med over 25 000 studenter, BI med 20 600 studenter og OsloMet med 20 500 studenter. </w:t>
      </w:r>
      <w:r>
        <w:t xml:space="preserve">Dette går fram av </w:t>
      </w:r>
      <w:r>
        <w:lastRenderedPageBreak/>
        <w:t>v</w:t>
      </w:r>
      <w:r w:rsidRPr="00E93A1E">
        <w:t>edleggstabell</w:t>
      </w:r>
      <w:r>
        <w:t>ene V2.7 og V2.8, som begge framstiller antall studenter per institusjon siste ti år, men med noe ulikt beregningsgrunnlag.</w:t>
      </w:r>
      <w:r>
        <w:rPr>
          <w:rStyle w:val="Fotnotereferanse"/>
        </w:rPr>
        <w:footnoteReference w:id="3"/>
      </w:r>
      <w:r>
        <w:t xml:space="preserve"> </w:t>
      </w:r>
    </w:p>
    <w:p w14:paraId="79F49B2E" w14:textId="36D21B8C" w:rsidR="006E1D94" w:rsidRDefault="006E1D94" w:rsidP="006E1D94">
      <w:pPr>
        <w:pStyle w:val="Bildetekst"/>
        <w:keepNext/>
        <w:keepLines/>
      </w:pPr>
      <w:bookmarkStart w:id="8" w:name="_Ref163466920"/>
      <w:r>
        <w:t xml:space="preserve">Figur </w:t>
      </w:r>
      <w:r>
        <w:fldChar w:fldCharType="begin"/>
      </w:r>
      <w:r>
        <w:instrText xml:space="preserve"> STYLEREF 1 \s </w:instrText>
      </w:r>
      <w:r>
        <w:fldChar w:fldCharType="separate"/>
      </w:r>
      <w:r>
        <w:rPr>
          <w:noProof/>
        </w:rPr>
        <w:t>1</w:t>
      </w:r>
      <w:r>
        <w:fldChar w:fldCharType="end"/>
      </w:r>
      <w:r>
        <w:noBreakHyphen/>
      </w:r>
      <w:r>
        <w:fldChar w:fldCharType="begin"/>
      </w:r>
      <w:r>
        <w:instrText xml:space="preserve"> SEQ Figur \* ARABIC \s 1 </w:instrText>
      </w:r>
      <w:r>
        <w:fldChar w:fldCharType="separate"/>
      </w:r>
      <w:r>
        <w:rPr>
          <w:noProof/>
        </w:rPr>
        <w:t>1</w:t>
      </w:r>
      <w:r>
        <w:fldChar w:fldCharType="end"/>
      </w:r>
      <w:bookmarkEnd w:id="8"/>
      <w:r>
        <w:t xml:space="preserve"> Antall studenter i høyere utdanning, 2000 - 2023</w:t>
      </w:r>
    </w:p>
    <w:p w14:paraId="1FFC3B97" w14:textId="4ADF4517" w:rsidR="00903F0B" w:rsidRDefault="00903F0B" w:rsidP="006E1D94">
      <w:pPr>
        <w:keepNext/>
        <w:keepLines/>
      </w:pPr>
      <w:r>
        <w:rPr>
          <w:noProof/>
        </w:rPr>
        <w:drawing>
          <wp:inline distT="0" distB="0" distL="0" distR="0" wp14:anchorId="726A65CF" wp14:editId="36B78041">
            <wp:extent cx="5704205" cy="2545308"/>
            <wp:effectExtent l="0" t="0" r="10795" b="7620"/>
            <wp:docPr id="238953026" name="Diagram 1">
              <a:extLst xmlns:a="http://schemas.openxmlformats.org/drawingml/2006/main">
                <a:ext uri="{FF2B5EF4-FFF2-40B4-BE49-F238E27FC236}">
                  <a16:creationId xmlns:a16="http://schemas.microsoft.com/office/drawing/2014/main" id="{B721D418-9467-730F-7E7E-E5C827D942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BA2434" w14:textId="5BDA1F89" w:rsidR="001C2DCE" w:rsidRDefault="001C2DCE" w:rsidP="001C2DCE">
      <w:pPr>
        <w:pStyle w:val="Kilde"/>
      </w:pPr>
      <w:r w:rsidRPr="004E373E">
        <w:rPr>
          <w:b/>
        </w:rPr>
        <w:t>Kilde</w:t>
      </w:r>
      <w:r>
        <w:t>: SSB</w:t>
      </w:r>
    </w:p>
    <w:p w14:paraId="78F5547C" w14:textId="708FD7BC" w:rsidR="002364CB" w:rsidRPr="00422245" w:rsidRDefault="00B7771C" w:rsidP="003071CB">
      <w:pPr>
        <w:spacing w:before="240"/>
      </w:pPr>
      <w:r w:rsidRPr="00422245">
        <w:t xml:space="preserve">Til sammen har de private lærestedene mistet 1 362 studenter i forhold til 2022, mens de statlige har om lag like mange studenter som året før. </w:t>
      </w:r>
      <w:r w:rsidR="00BF489D" w:rsidRPr="00422245">
        <w:t xml:space="preserve">Størst vekst </w:t>
      </w:r>
      <w:r w:rsidR="001051FF" w:rsidRPr="00422245">
        <w:t xml:space="preserve">siste år </w:t>
      </w:r>
      <w:r w:rsidR="00BF489D" w:rsidRPr="00422245">
        <w:t xml:space="preserve">har NMBU med </w:t>
      </w:r>
      <w:r w:rsidR="003071CB" w:rsidRPr="00422245">
        <w:t>1 000 flere studenter</w:t>
      </w:r>
      <w:r w:rsidR="003F5DAE" w:rsidRPr="00422245">
        <w:t>, en økning på 16 prosent.</w:t>
      </w:r>
      <w:r w:rsidR="00CA50CA" w:rsidRPr="00422245">
        <w:t xml:space="preserve"> </w:t>
      </w:r>
      <w:r w:rsidR="00E3510A" w:rsidRPr="00422245">
        <w:t xml:space="preserve">Størst nedgang </w:t>
      </w:r>
      <w:r w:rsidR="00B808E0" w:rsidRPr="00422245">
        <w:t xml:space="preserve">i antallet studenter </w:t>
      </w:r>
      <w:r w:rsidR="00E3510A" w:rsidRPr="00422245">
        <w:t xml:space="preserve">har Høyskolen Kristiania (HK) </w:t>
      </w:r>
      <w:r w:rsidR="009233EC" w:rsidRPr="00422245">
        <w:t xml:space="preserve">og Universitetet i Tromsø (UiT) </w:t>
      </w:r>
      <w:r w:rsidR="00E3510A" w:rsidRPr="00422245">
        <w:t xml:space="preserve">med </w:t>
      </w:r>
      <w:r w:rsidR="00766B7A" w:rsidRPr="00422245">
        <w:t xml:space="preserve">henholdsvis </w:t>
      </w:r>
      <w:r w:rsidR="00E3510A" w:rsidRPr="00422245">
        <w:t xml:space="preserve">nær 1 000 </w:t>
      </w:r>
      <w:r w:rsidR="00766B7A" w:rsidRPr="00422245">
        <w:t>og</w:t>
      </w:r>
      <w:r w:rsidR="009233EC" w:rsidRPr="00422245">
        <w:t xml:space="preserve"> 900 færre </w:t>
      </w:r>
      <w:r w:rsidR="00766B7A" w:rsidRPr="00422245">
        <w:t xml:space="preserve">studenter </w:t>
      </w:r>
      <w:r w:rsidR="009233EC" w:rsidRPr="00422245">
        <w:t>enn året før</w:t>
      </w:r>
      <w:r w:rsidR="00766B7A" w:rsidRPr="00422245">
        <w:t xml:space="preserve">. </w:t>
      </w:r>
    </w:p>
    <w:p w14:paraId="1AC33E0E" w14:textId="09FE4E6E" w:rsidR="00214137" w:rsidRPr="00422245" w:rsidRDefault="00A51E92" w:rsidP="003071CB">
      <w:pPr>
        <w:spacing w:before="240"/>
      </w:pPr>
      <w:r w:rsidRPr="00422245">
        <w:t xml:space="preserve">Nedgangen </w:t>
      </w:r>
      <w:r w:rsidR="007F0B5F" w:rsidRPr="00422245">
        <w:t>til</w:t>
      </w:r>
      <w:r w:rsidRPr="00422245">
        <w:t xml:space="preserve"> HK står i </w:t>
      </w:r>
      <w:r w:rsidR="009D3063" w:rsidRPr="00422245">
        <w:t>kontrast</w:t>
      </w:r>
      <w:r w:rsidRPr="00422245">
        <w:t xml:space="preserve"> til den </w:t>
      </w:r>
      <w:r w:rsidR="00B808E0" w:rsidRPr="00422245">
        <w:t xml:space="preserve">sterke veksten </w:t>
      </w:r>
      <w:r w:rsidR="007F0B5F" w:rsidRPr="00422245">
        <w:t>den private høyskolen har hatt d</w:t>
      </w:r>
      <w:r w:rsidR="002E0507" w:rsidRPr="00422245">
        <w:t>e siste ti årene</w:t>
      </w:r>
      <w:r w:rsidR="002C53F0" w:rsidRPr="00422245">
        <w:t xml:space="preserve"> totalt</w:t>
      </w:r>
      <w:r w:rsidR="007F0B5F" w:rsidRPr="00422245">
        <w:t xml:space="preserve">. Fra </w:t>
      </w:r>
      <w:r w:rsidR="00AE5B00" w:rsidRPr="00422245">
        <w:t xml:space="preserve">2014 til </w:t>
      </w:r>
      <w:r w:rsidR="002C53F0" w:rsidRPr="00422245">
        <w:t xml:space="preserve">2023 økte antallet studenter med </w:t>
      </w:r>
      <w:r w:rsidR="002634DC" w:rsidRPr="00422245">
        <w:t>over 11 000, en vekst på 275 prosent.</w:t>
      </w:r>
      <w:r w:rsidR="00D82255">
        <w:t xml:space="preserve"> Mens </w:t>
      </w:r>
      <w:r w:rsidR="00BE491E">
        <w:t xml:space="preserve">HK hadde </w:t>
      </w:r>
      <w:r w:rsidR="00520759">
        <w:t xml:space="preserve">12 prosent av </w:t>
      </w:r>
      <w:r w:rsidR="00C22B9F">
        <w:t xml:space="preserve">studentene </w:t>
      </w:r>
      <w:r w:rsidR="00101919">
        <w:t>ved de private høyskolene</w:t>
      </w:r>
      <w:r w:rsidR="00556D46" w:rsidRPr="00556D46">
        <w:t xml:space="preserve"> </w:t>
      </w:r>
      <w:r w:rsidR="00556D46">
        <w:t>i 2014</w:t>
      </w:r>
      <w:r w:rsidR="00101919">
        <w:t xml:space="preserve">, </w:t>
      </w:r>
      <w:r w:rsidR="001B5BF4">
        <w:t>ha</w:t>
      </w:r>
      <w:r w:rsidR="00A04F8E">
        <w:t>r</w:t>
      </w:r>
      <w:r w:rsidR="001B5BF4">
        <w:t xml:space="preserve"> </w:t>
      </w:r>
      <w:r w:rsidR="00873E38">
        <w:t>tallet</w:t>
      </w:r>
      <w:r w:rsidR="001B5BF4">
        <w:t xml:space="preserve"> økt til 31 prosent i </w:t>
      </w:r>
      <w:r w:rsidR="00873E38">
        <w:t>2023</w:t>
      </w:r>
      <w:r w:rsidR="00195014">
        <w:t>.</w:t>
      </w:r>
      <w:r w:rsidR="007D5C63">
        <w:t xml:space="preserve"> I samme periode </w:t>
      </w:r>
      <w:r w:rsidR="00A04F8E">
        <w:t>har</w:t>
      </w:r>
      <w:r w:rsidR="007D5C63">
        <w:t xml:space="preserve"> HK </w:t>
      </w:r>
      <w:r w:rsidR="00A04F8E">
        <w:t xml:space="preserve">økt </w:t>
      </w:r>
      <w:r w:rsidR="007D5C63">
        <w:t xml:space="preserve">sin totale sektorandel </w:t>
      </w:r>
      <w:r w:rsidR="00313C4D">
        <w:t xml:space="preserve">fra 2 til 6 prosent </w:t>
      </w:r>
      <w:r w:rsidR="0027688A">
        <w:t xml:space="preserve">av alle </w:t>
      </w:r>
      <w:r w:rsidR="00A04F8E">
        <w:t xml:space="preserve">registrerte </w:t>
      </w:r>
      <w:r w:rsidR="0027688A">
        <w:t xml:space="preserve">studenter </w:t>
      </w:r>
      <w:r w:rsidR="0098471E">
        <w:t xml:space="preserve">i </w:t>
      </w:r>
      <w:r w:rsidR="00A04F8E">
        <w:t>Norge</w:t>
      </w:r>
      <w:r w:rsidR="0098471E">
        <w:t xml:space="preserve">. </w:t>
      </w:r>
      <w:r w:rsidR="00267D4D" w:rsidRPr="00422245">
        <w:t>Utviklingen</w:t>
      </w:r>
      <w:r w:rsidR="002620EC" w:rsidRPr="00422245">
        <w:t xml:space="preserve"> </w:t>
      </w:r>
      <w:r w:rsidR="00DA03C4" w:rsidRPr="00422245">
        <w:t xml:space="preserve">til HK </w:t>
      </w:r>
      <w:r w:rsidR="002620EC" w:rsidRPr="00422245">
        <w:t xml:space="preserve">var særlig sterk </w:t>
      </w:r>
      <w:r w:rsidR="00267D4D" w:rsidRPr="00422245">
        <w:t xml:space="preserve">under </w:t>
      </w:r>
      <w:r w:rsidR="007767FB" w:rsidRPr="00422245">
        <w:t xml:space="preserve">konjunkturnedgangen i 2014-16 og </w:t>
      </w:r>
      <w:r w:rsidR="00F864F3" w:rsidRPr="00422245">
        <w:t xml:space="preserve">i </w:t>
      </w:r>
      <w:r w:rsidR="00267D4D" w:rsidRPr="00422245">
        <w:t>pandemi</w:t>
      </w:r>
      <w:r w:rsidR="0000774B" w:rsidRPr="00422245">
        <w:t>årene 20</w:t>
      </w:r>
      <w:r w:rsidR="008C6C2B" w:rsidRPr="00422245">
        <w:t>20 og 2021</w:t>
      </w:r>
      <w:r w:rsidR="00C3398B" w:rsidRPr="00422245">
        <w:t xml:space="preserve">. </w:t>
      </w:r>
      <w:r w:rsidR="003E1FA3" w:rsidRPr="00422245">
        <w:t xml:space="preserve">De siste </w:t>
      </w:r>
      <w:r w:rsidR="00616A6F" w:rsidRPr="00422245">
        <w:t xml:space="preserve">to årene har derimot </w:t>
      </w:r>
      <w:r w:rsidR="00560B85" w:rsidRPr="00422245">
        <w:t>antall studenter gått ned</w:t>
      </w:r>
      <w:r w:rsidR="008254D1" w:rsidRPr="00422245">
        <w:t xml:space="preserve">. Allikevel </w:t>
      </w:r>
      <w:r w:rsidR="00907B45" w:rsidRPr="00422245">
        <w:t>har HK 61 prosent flere studenter i 2023 enn før pandemien i 2019</w:t>
      </w:r>
      <w:r w:rsidR="004620C9" w:rsidRPr="00422245">
        <w:t xml:space="preserve">. </w:t>
      </w:r>
    </w:p>
    <w:p w14:paraId="27B6D121" w14:textId="6E4A57BE" w:rsidR="00084C6B" w:rsidRDefault="002634DC" w:rsidP="003540F1">
      <w:pPr>
        <w:spacing w:before="240"/>
      </w:pPr>
      <w:r w:rsidRPr="00422245">
        <w:lastRenderedPageBreak/>
        <w:t>Også andre private institusjoner har vokst mye i tiårsperiod</w:t>
      </w:r>
      <w:r w:rsidR="000818A7" w:rsidRPr="00422245">
        <w:t>en</w:t>
      </w:r>
      <w:r w:rsidRPr="00422245">
        <w:t xml:space="preserve">, slik at </w:t>
      </w:r>
      <w:r w:rsidR="007D75E9" w:rsidRPr="00422245">
        <w:t xml:space="preserve">den </w:t>
      </w:r>
      <w:r w:rsidR="00312DEC" w:rsidRPr="00422245">
        <w:t>samlede</w:t>
      </w:r>
      <w:r w:rsidR="007D75E9" w:rsidRPr="00422245">
        <w:t xml:space="preserve"> veksten blant </w:t>
      </w:r>
      <w:r w:rsidR="00193798" w:rsidRPr="00422245">
        <w:t xml:space="preserve">de private </w:t>
      </w:r>
      <w:r w:rsidR="007D75E9" w:rsidRPr="00422245">
        <w:t xml:space="preserve">er på </w:t>
      </w:r>
      <w:r w:rsidR="00312DEC" w:rsidRPr="00422245">
        <w:t xml:space="preserve">43 prosent. </w:t>
      </w:r>
      <w:r w:rsidR="002D1AF1" w:rsidRPr="00422245">
        <w:t xml:space="preserve">Tilsvarende tall for de statlige institusjonene er 13 prosent. </w:t>
      </w:r>
      <w:r w:rsidR="005D34D6">
        <w:t xml:space="preserve">På ti år har de statlige lærestedene mistet </w:t>
      </w:r>
      <w:r w:rsidR="00CC10A3">
        <w:t>3</w:t>
      </w:r>
      <w:r w:rsidR="00175166">
        <w:t xml:space="preserve"> prosent</w:t>
      </w:r>
      <w:r w:rsidR="00F069DD">
        <w:t>poeng</w:t>
      </w:r>
      <w:r w:rsidR="00175166">
        <w:t xml:space="preserve"> av </w:t>
      </w:r>
      <w:r w:rsidR="00F72971">
        <w:t xml:space="preserve">sin sektorandel </w:t>
      </w:r>
      <w:r w:rsidR="00CC10A3">
        <w:t xml:space="preserve">til </w:t>
      </w:r>
      <w:r w:rsidR="00F72971">
        <w:t xml:space="preserve">de private: </w:t>
      </w:r>
      <w:r w:rsidR="00EC07BD">
        <w:t xml:space="preserve">Mens </w:t>
      </w:r>
      <w:r w:rsidR="00463F28">
        <w:t>85 prosent av studentene var registrert ved e</w:t>
      </w:r>
      <w:r w:rsidR="00A423FA">
        <w:t>t</w:t>
      </w:r>
      <w:r w:rsidR="00463F28">
        <w:t xml:space="preserve"> statlig </w:t>
      </w:r>
      <w:r w:rsidR="00A423FA">
        <w:t xml:space="preserve">universitet eller høyskole for ti år siden, </w:t>
      </w:r>
      <w:r w:rsidR="0098380E">
        <w:t>er</w:t>
      </w:r>
      <w:r w:rsidR="009455F5">
        <w:t xml:space="preserve"> </w:t>
      </w:r>
      <w:r w:rsidR="005575F0">
        <w:t xml:space="preserve">tallet nå </w:t>
      </w:r>
      <w:r w:rsidR="0098380E">
        <w:t xml:space="preserve">82 prosent. </w:t>
      </w:r>
      <w:r w:rsidR="00216471">
        <w:t>I rene tall</w:t>
      </w:r>
      <w:r w:rsidR="004A0E51" w:rsidRPr="00422245">
        <w:t xml:space="preserve"> utgjør allikevel </w:t>
      </w:r>
      <w:r w:rsidR="007A4648" w:rsidRPr="00422245">
        <w:t>veksten i den statlige delen av sektoren e</w:t>
      </w:r>
      <w:r w:rsidR="000D1395">
        <w:t>t</w:t>
      </w:r>
      <w:r w:rsidR="007C3157" w:rsidRPr="00422245">
        <w:t xml:space="preserve"> </w:t>
      </w:r>
      <w:r w:rsidR="005E7ED4" w:rsidRPr="00422245">
        <w:t xml:space="preserve">større </w:t>
      </w:r>
      <w:r w:rsidR="000D1395">
        <w:t>volum</w:t>
      </w:r>
      <w:r w:rsidR="00B65616" w:rsidRPr="00422245">
        <w:t xml:space="preserve">, med over 25 000 flere studenter </w:t>
      </w:r>
      <w:r w:rsidR="00E379A5" w:rsidRPr="00422245">
        <w:t xml:space="preserve">de siste ti årene. De private lærestedene har en økning på </w:t>
      </w:r>
      <w:r w:rsidR="004D377B" w:rsidRPr="00422245">
        <w:t>nær 15 000 studenter i tiårsperioden.</w:t>
      </w:r>
    </w:p>
    <w:p w14:paraId="104119D1" w14:textId="4A26E71E" w:rsidR="00DC15FF" w:rsidRDefault="00160014" w:rsidP="00DC15FF">
      <w:pPr>
        <w:pStyle w:val="Overskrift2"/>
      </w:pPr>
      <w:bookmarkStart w:id="9" w:name="_Toc163488386"/>
      <w:r>
        <w:t>F</w:t>
      </w:r>
      <w:r w:rsidR="004946F7">
        <w:t>agområder</w:t>
      </w:r>
      <w:bookmarkEnd w:id="9"/>
    </w:p>
    <w:p w14:paraId="1D5EEBF0" w14:textId="1A709DC3" w:rsidR="003C2AFC" w:rsidRDefault="006A5087" w:rsidP="003C2AFC">
      <w:pPr>
        <w:spacing w:before="240"/>
      </w:pPr>
      <w:r w:rsidRPr="006A5087">
        <w:t>De største fagområdene målt i antall studenter er økonomiske og administrative fag og helse-, sosial- og idrettsfag</w:t>
      </w:r>
      <w:r w:rsidR="003C2AFC" w:rsidRPr="006A5087">
        <w:t>. Hver</w:t>
      </w:r>
      <w:r w:rsidR="003C2AFC">
        <w:t xml:space="preserve"> av disse har 21 prosent av studentene i 2023 (</w:t>
      </w:r>
      <w:proofErr w:type="spellStart"/>
      <w:r w:rsidR="003C2AFC">
        <w:t>DBH</w:t>
      </w:r>
      <w:proofErr w:type="spellEnd"/>
      <w:r w:rsidR="003C2AFC">
        <w:t xml:space="preserve">), se </w:t>
      </w:r>
      <w:r w:rsidR="00BA52FB">
        <w:fldChar w:fldCharType="begin"/>
      </w:r>
      <w:r w:rsidR="00BA52FB">
        <w:instrText xml:space="preserve"> REF _Ref163466983 \h </w:instrText>
      </w:r>
      <w:r w:rsidR="00BA52FB">
        <w:fldChar w:fldCharType="separate"/>
      </w:r>
      <w:r w:rsidR="00BA52FB">
        <w:t xml:space="preserve">Figur </w:t>
      </w:r>
      <w:r w:rsidR="00BA52FB">
        <w:rPr>
          <w:noProof/>
        </w:rPr>
        <w:t>1</w:t>
      </w:r>
      <w:r w:rsidR="00BA52FB">
        <w:noBreakHyphen/>
      </w:r>
      <w:r w:rsidR="00BA52FB">
        <w:rPr>
          <w:noProof/>
        </w:rPr>
        <w:t>2</w:t>
      </w:r>
      <w:r w:rsidR="00BA52FB">
        <w:fldChar w:fldCharType="end"/>
      </w:r>
      <w:r w:rsidR="003C2AFC">
        <w:t xml:space="preserve">. Rett etter følger naturvitenskaplige fag og tekniske fag med 19 prosent av alle studentene. Dette er også de fagområdene som har hatt størst vekst de siste 10 årene. Mens økonomiske og administrative fag har hatt 25 prosent økning i antall studenter i </w:t>
      </w:r>
      <w:r w:rsidR="001964BB">
        <w:t>tiårs</w:t>
      </w:r>
      <w:r w:rsidR="003C2AFC">
        <w:t xml:space="preserve">perioden, har helse, sosial- og idrettsfag hatt en økning på 22 prosent. Til sammenligning har </w:t>
      </w:r>
      <w:r w:rsidR="000B0C56">
        <w:t>den samlede studentpopulasjonen</w:t>
      </w:r>
      <w:r w:rsidR="003C2AFC">
        <w:t xml:space="preserve"> økt med 17 prosent de siste ti årene. Lavest har veksten vært innenfor </w:t>
      </w:r>
      <w:r w:rsidR="00A13F55">
        <w:t xml:space="preserve">de </w:t>
      </w:r>
      <w:r w:rsidR="003C2AFC">
        <w:t>humanistiske og estetiske fagene</w:t>
      </w:r>
      <w:r w:rsidR="00A13F55">
        <w:t xml:space="preserve">, </w:t>
      </w:r>
      <w:r w:rsidR="003C2AFC">
        <w:t>4 prosent. For ytterligere detaljer om antall og andel studenter per fagområde, se vedleggstabell V2.11.</w:t>
      </w:r>
    </w:p>
    <w:p w14:paraId="5D8E1E58" w14:textId="5ED6386D" w:rsidR="003C2AFC" w:rsidRDefault="00E047FC" w:rsidP="00E047FC">
      <w:pPr>
        <w:pStyle w:val="Bildetekst"/>
        <w:keepNext/>
        <w:keepLines/>
      </w:pPr>
      <w:bookmarkStart w:id="10" w:name="_Ref163466983"/>
      <w:r>
        <w:lastRenderedPageBreak/>
        <w:t xml:space="preserve">Figur </w:t>
      </w:r>
      <w:r w:rsidR="006E1D94">
        <w:fldChar w:fldCharType="begin"/>
      </w:r>
      <w:r w:rsidR="006E1D94">
        <w:instrText xml:space="preserve"> STYLEREF 1 \s </w:instrText>
      </w:r>
      <w:r w:rsidR="006E1D94">
        <w:fldChar w:fldCharType="separate"/>
      </w:r>
      <w:r w:rsidR="006E1D94">
        <w:rPr>
          <w:noProof/>
        </w:rPr>
        <w:t>1</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10"/>
      <w:r>
        <w:t xml:space="preserve"> </w:t>
      </w:r>
      <w:r w:rsidR="003C2AFC">
        <w:t>Andel studenter per fagområde</w:t>
      </w:r>
      <w:r w:rsidR="005B55BE">
        <w:t>,</w:t>
      </w:r>
      <w:r w:rsidR="003C2AFC">
        <w:t xml:space="preserve"> 2023</w:t>
      </w:r>
    </w:p>
    <w:p w14:paraId="302EECBD" w14:textId="1B81835D" w:rsidR="003C2AFC" w:rsidRDefault="00E047FC" w:rsidP="00E047FC">
      <w:pPr>
        <w:keepNext/>
        <w:keepLines/>
        <w:spacing w:before="240"/>
      </w:pPr>
      <w:r>
        <w:rPr>
          <w:noProof/>
        </w:rPr>
        <w:drawing>
          <wp:inline distT="0" distB="0" distL="0" distR="0" wp14:anchorId="52994ABF" wp14:editId="4763D5B2">
            <wp:extent cx="5718175" cy="3098042"/>
            <wp:effectExtent l="0" t="0" r="15875" b="7620"/>
            <wp:docPr id="616619575" name="Diagram 1">
              <a:extLst xmlns:a="http://schemas.openxmlformats.org/drawingml/2006/main">
                <a:ext uri="{FF2B5EF4-FFF2-40B4-BE49-F238E27FC236}">
                  <a16:creationId xmlns:a16="http://schemas.microsoft.com/office/drawing/2014/main" id="{4125F3F1-193D-8BCF-5072-17D413CA58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33CCF2D" w14:textId="77777777" w:rsidR="003C2AFC" w:rsidRDefault="003C2AFC" w:rsidP="001C2DCE">
      <w:pPr>
        <w:pStyle w:val="Kilde"/>
      </w:pPr>
      <w:r w:rsidRPr="004E373E">
        <w:rPr>
          <w:b/>
        </w:rPr>
        <w:t>Kilde</w:t>
      </w:r>
      <w:r>
        <w:t>: DBH</w:t>
      </w:r>
    </w:p>
    <w:p w14:paraId="23C31562" w14:textId="77777777" w:rsidR="003E67E6" w:rsidRDefault="003C2AFC" w:rsidP="005B55BE">
      <w:pPr>
        <w:spacing w:before="240"/>
      </w:pPr>
      <w:r>
        <w:t xml:space="preserve">Manglende rekruttering til humanistiske og estetiske fag har ført til nedleggelse av programmer de siste 20 årene, samt en rekke debatter om hvordan man best kan verne små og utsatte fag innen fagområdet. Allikevel er det innenfor de humanistiske og estetiske fagene vi finner det største antallet studieprogram i 2023, med over 800 unike tilbud, se vedleggstabell V2.2. Lavest er antallet studieprogram innenfor økonomiske og administrative fag og samfunnsfag og juridiske fag, med rundt 430 ulike studietilbud. Mens det samlede studietilbudet innen humanistiske fag har gått ned med 7 prosent de siste ti årene, har nedgangen vært størst innenfor lærerutdanninger og utdanninger i pedagogikk på 12 prosent. </w:t>
      </w:r>
    </w:p>
    <w:p w14:paraId="1EE4B3E3" w14:textId="1CB1783E" w:rsidR="003C2AFC" w:rsidRDefault="003C2AFC" w:rsidP="008D30F0">
      <w:pPr>
        <w:spacing w:before="240"/>
      </w:pPr>
      <w:r>
        <w:t>Totalt tilbyr universiteter og høyskoler om lag 200 færre studieprogram nå enn for ti år siden, en nedgang på 5 prosent.</w:t>
      </w:r>
      <w:r w:rsidR="006B6926">
        <w:t xml:space="preserve"> </w:t>
      </w:r>
      <w:r w:rsidR="00A3284D">
        <w:t xml:space="preserve">Nedgangen har vært </w:t>
      </w:r>
      <w:r w:rsidR="00931A78">
        <w:t>k</w:t>
      </w:r>
      <w:r w:rsidR="00675955">
        <w:t xml:space="preserve">ontinuerlig </w:t>
      </w:r>
      <w:r w:rsidR="00E60D6A">
        <w:t xml:space="preserve">for </w:t>
      </w:r>
      <w:r w:rsidR="00CF6B36">
        <w:t>hvert år siden 2015, med unntak av koronaåret 2021</w:t>
      </w:r>
      <w:r w:rsidR="00D838E4">
        <w:t xml:space="preserve">. </w:t>
      </w:r>
      <w:r w:rsidR="00E93EED">
        <w:t xml:space="preserve">Tidsmessig faller nedgangen </w:t>
      </w:r>
      <w:r w:rsidR="008F6FF5">
        <w:t xml:space="preserve">dermed </w:t>
      </w:r>
      <w:r w:rsidR="00E93EED">
        <w:t xml:space="preserve">sammen med </w:t>
      </w:r>
      <w:r w:rsidR="009A201F">
        <w:t xml:space="preserve">innføringen av </w:t>
      </w:r>
      <w:r w:rsidR="008D30F0">
        <w:t>Strukturreformen</w:t>
      </w:r>
      <w:r w:rsidR="00196709">
        <w:t xml:space="preserve"> i 2015</w:t>
      </w:r>
      <w:r w:rsidR="009A201F">
        <w:t>, hvor</w:t>
      </w:r>
      <w:r w:rsidR="008D30F0">
        <w:t xml:space="preserve"> åtte universiteter og høyskoler ble fusjonert.</w:t>
      </w:r>
      <w:r w:rsidR="000717FF" w:rsidRPr="000717FF">
        <w:t xml:space="preserve"> </w:t>
      </w:r>
      <w:r w:rsidR="000717FF">
        <w:t>En av h</w:t>
      </w:r>
      <w:r w:rsidR="000717FF" w:rsidRPr="000717FF">
        <w:t>ensikten</w:t>
      </w:r>
      <w:r w:rsidR="000717FF">
        <w:t>e</w:t>
      </w:r>
      <w:r w:rsidR="000717FF" w:rsidRPr="000717FF">
        <w:t xml:space="preserve"> med reformen var å gjøre ressursbruken ved høyere utdanningsinstitusjoner mer effektiv</w:t>
      </w:r>
      <w:r w:rsidR="001F4C5A">
        <w:t xml:space="preserve">. </w:t>
      </w:r>
      <w:r w:rsidR="00BE60EF">
        <w:t xml:space="preserve">Gjennom å </w:t>
      </w:r>
      <w:r w:rsidR="002724A5">
        <w:t xml:space="preserve">forene </w:t>
      </w:r>
      <w:r w:rsidR="00CB17D2">
        <w:t xml:space="preserve">fagmiljøer, undervisningskrefter og slå sammen </w:t>
      </w:r>
      <w:r w:rsidR="00E01EA1">
        <w:t>like</w:t>
      </w:r>
      <w:r w:rsidR="003F489D">
        <w:t xml:space="preserve"> studieprogram </w:t>
      </w:r>
      <w:r w:rsidR="008E1F64">
        <w:t xml:space="preserve">skulle </w:t>
      </w:r>
      <w:r w:rsidR="000D02A7">
        <w:t xml:space="preserve">fusjonerte </w:t>
      </w:r>
      <w:r w:rsidR="00BD2C12">
        <w:t xml:space="preserve">læresteder </w:t>
      </w:r>
      <w:r w:rsidR="003E399F">
        <w:t xml:space="preserve">effektivisere og </w:t>
      </w:r>
      <w:r w:rsidR="00BE5441">
        <w:t>øke kvaliteten</w:t>
      </w:r>
      <w:r w:rsidR="003F489D">
        <w:t xml:space="preserve"> </w:t>
      </w:r>
      <w:r w:rsidR="00F674AF">
        <w:t>i utdanninge</w:t>
      </w:r>
      <w:r w:rsidR="00AD7B71">
        <w:t>ne sine.</w:t>
      </w:r>
      <w:r w:rsidR="0072136B">
        <w:t xml:space="preserve"> </w:t>
      </w:r>
    </w:p>
    <w:p w14:paraId="4672934B" w14:textId="77777777" w:rsidR="0041414D" w:rsidRDefault="003C2AFC" w:rsidP="003C2AFC">
      <w:pPr>
        <w:spacing w:before="240"/>
      </w:pPr>
      <w:r>
        <w:lastRenderedPageBreak/>
        <w:t xml:space="preserve">Samtidig har antallet studenter per studieprogram økt fra 56 til 68 de siste ti årene. Dette tilsvarer en økning på 11 prosent. Blant de store fagområdene (over 25 000 studenter) har økningen i antall studenter per studieprogram vært størst innen helse-sosial og idrettsfag med 14 prosent de siste ti årene. Lavest har økningen vært innen humanistiske og estetiske fag, med 3 prosent. </w:t>
      </w:r>
    </w:p>
    <w:p w14:paraId="4B9167C4" w14:textId="77777777" w:rsidR="00B52E4E" w:rsidRDefault="0041414D" w:rsidP="003C2AFC">
      <w:pPr>
        <w:spacing w:before="240"/>
      </w:pPr>
      <w:r w:rsidRPr="0041414D">
        <w:t>Volumet av studenter innenfor de ulike fagområdene i høyere utdanning er nokså stabilt fra år til år. Et unntak i 2023 er lærerutdanninger og utdanninger i pedagogikk, som har en nedgang på 6 prosent fra året før. Nedgangen tilsvarer nær 2</w:t>
      </w:r>
      <w:r w:rsidR="00314FF2">
        <w:t> </w:t>
      </w:r>
      <w:r w:rsidRPr="0041414D">
        <w:t xml:space="preserve">500 studenter i absolutte tall. De siste to årene har disse utdanningene hatt en samlet nedgang på 10 prosent. En viktig årsak til dette er at søkertallene til lærerutdanningene har falt kraftig flere år på rad. Dette vil rapporten komme nærmere inn på i kapittel </w:t>
      </w:r>
      <w:r w:rsidR="007A7719">
        <w:fldChar w:fldCharType="begin"/>
      </w:r>
      <w:r w:rsidR="007A7719">
        <w:instrText xml:space="preserve"> REF _Ref161827766 \r \h </w:instrText>
      </w:r>
      <w:r w:rsidR="007A7719">
        <w:fldChar w:fldCharType="separate"/>
      </w:r>
      <w:r w:rsidR="007A7719">
        <w:t>5</w:t>
      </w:r>
      <w:r w:rsidR="007A7719">
        <w:fldChar w:fldCharType="end"/>
      </w:r>
      <w:r w:rsidRPr="0041414D">
        <w:t xml:space="preserve">. </w:t>
      </w:r>
    </w:p>
    <w:p w14:paraId="4B46D60B" w14:textId="4DE59A4E" w:rsidR="005B1047" w:rsidRDefault="0041414D" w:rsidP="003C2AFC">
      <w:pPr>
        <w:spacing w:before="240"/>
      </w:pPr>
      <w:r w:rsidRPr="0041414D">
        <w:t xml:space="preserve">I et tiårsperspektiv har </w:t>
      </w:r>
      <w:r w:rsidR="00C52A42">
        <w:t>riktignok</w:t>
      </w:r>
      <w:r w:rsidR="00C52A42" w:rsidRPr="0041414D">
        <w:t xml:space="preserve"> </w:t>
      </w:r>
      <w:r w:rsidR="004B1CD5" w:rsidRPr="004B1CD5">
        <w:t xml:space="preserve">antall studenter </w:t>
      </w:r>
      <w:r w:rsidR="004B1CD5">
        <w:t xml:space="preserve">i </w:t>
      </w:r>
      <w:r w:rsidRPr="0041414D">
        <w:t xml:space="preserve">lærerutdanninger og utdanninger i pedagogikk </w:t>
      </w:r>
      <w:r w:rsidR="004B1CD5">
        <w:t>økt med</w:t>
      </w:r>
      <w:r w:rsidRPr="0041414D">
        <w:t xml:space="preserve"> 8 prosent</w:t>
      </w:r>
      <w:r w:rsidR="00B52E4E">
        <w:t xml:space="preserve">, men </w:t>
      </w:r>
      <w:r w:rsidR="00C52A42">
        <w:t>de</w:t>
      </w:r>
      <w:r w:rsidR="00CA1020">
        <w:t>n</w:t>
      </w:r>
      <w:r w:rsidR="00C52A42">
        <w:t xml:space="preserve"> </w:t>
      </w:r>
      <w:r w:rsidR="00196E41">
        <w:t>samlede</w:t>
      </w:r>
      <w:r w:rsidR="00C52A42">
        <w:t xml:space="preserve"> student</w:t>
      </w:r>
      <w:r w:rsidR="00CA1020">
        <w:t>befolkningen</w:t>
      </w:r>
      <w:r w:rsidR="00202DED">
        <w:t xml:space="preserve"> </w:t>
      </w:r>
      <w:r w:rsidR="004B1CD5">
        <w:t>har økt</w:t>
      </w:r>
      <w:r w:rsidR="00202DED">
        <w:t xml:space="preserve"> vesentlig mer</w:t>
      </w:r>
      <w:r w:rsidR="00CA1020">
        <w:t xml:space="preserve"> i </w:t>
      </w:r>
      <w:r w:rsidR="00802403">
        <w:t xml:space="preserve">samme </w:t>
      </w:r>
      <w:r w:rsidR="00CA1020">
        <w:t>periode</w:t>
      </w:r>
      <w:r w:rsidR="00482232">
        <w:t xml:space="preserve"> (17 prosent)</w:t>
      </w:r>
      <w:r w:rsidR="00CA1020">
        <w:t xml:space="preserve">. </w:t>
      </w:r>
      <w:r w:rsidR="00055225">
        <w:t>Lærer</w:t>
      </w:r>
      <w:r w:rsidR="005440E2">
        <w:t>- og pedagogikk</w:t>
      </w:r>
      <w:r w:rsidR="00D07875" w:rsidRPr="0041414D">
        <w:t>utdanninge</w:t>
      </w:r>
      <w:r w:rsidR="006A4FBE">
        <w:t>ne</w:t>
      </w:r>
      <w:r w:rsidR="00055225">
        <w:t>s</w:t>
      </w:r>
      <w:r w:rsidR="006A4FBE">
        <w:t xml:space="preserve"> </w:t>
      </w:r>
      <w:r w:rsidR="00146E38" w:rsidRPr="00146E38">
        <w:t xml:space="preserve">andel av </w:t>
      </w:r>
      <w:r w:rsidR="0096368E">
        <w:t>alle studenter</w:t>
      </w:r>
      <w:r w:rsidR="00146E38" w:rsidRPr="00146E38">
        <w:t xml:space="preserve"> </w:t>
      </w:r>
      <w:r w:rsidR="005440E2">
        <w:t xml:space="preserve">har ligget relativt stabilt på </w:t>
      </w:r>
      <w:r w:rsidR="00D14471">
        <w:t xml:space="preserve">15 prosent </w:t>
      </w:r>
      <w:r w:rsidR="00123F98">
        <w:t xml:space="preserve">siden </w:t>
      </w:r>
      <w:r w:rsidR="002763E4">
        <w:t>201</w:t>
      </w:r>
      <w:r w:rsidR="002214F2">
        <w:t>0</w:t>
      </w:r>
      <w:r w:rsidR="009A1438">
        <w:t xml:space="preserve">. </w:t>
      </w:r>
      <w:r w:rsidR="00E47C8C">
        <w:t xml:space="preserve">Dette til tross for at </w:t>
      </w:r>
      <w:r w:rsidR="00DF7394">
        <w:t>flere lærerutdanninger</w:t>
      </w:r>
      <w:r w:rsidR="00780D59">
        <w:t xml:space="preserve"> </w:t>
      </w:r>
      <w:r w:rsidR="009C3C6E">
        <w:t>har blitt</w:t>
      </w:r>
      <w:r w:rsidR="00780D59">
        <w:t xml:space="preserve"> utvidet </w:t>
      </w:r>
      <w:r w:rsidR="00DF7394">
        <w:t>fra fire- til femårig</w:t>
      </w:r>
      <w:r w:rsidR="00BC2CCA">
        <w:t>e løp i</w:t>
      </w:r>
      <w:r w:rsidR="0008511B">
        <w:t xml:space="preserve"> </w:t>
      </w:r>
      <w:r w:rsidR="009C3C6E">
        <w:t xml:space="preserve">perioden; i </w:t>
      </w:r>
      <w:r w:rsidR="0008511B">
        <w:t xml:space="preserve">2014 </w:t>
      </w:r>
      <w:r w:rsidR="00BC2CCA">
        <w:t>(lekto</w:t>
      </w:r>
      <w:r w:rsidR="00CE190D">
        <w:t>r</w:t>
      </w:r>
      <w:r w:rsidR="00D30277">
        <w:t xml:space="preserve"> 8-13</w:t>
      </w:r>
      <w:r w:rsidR="00BC2CCA">
        <w:t>)</w:t>
      </w:r>
      <w:r w:rsidR="002D525D">
        <w:t xml:space="preserve">, </w:t>
      </w:r>
      <w:r w:rsidR="0008511B">
        <w:t xml:space="preserve">2017 </w:t>
      </w:r>
      <w:r w:rsidR="00CE190D">
        <w:t xml:space="preserve">(GLU </w:t>
      </w:r>
      <w:r w:rsidR="002B7633">
        <w:t>1-7 og 5-10)</w:t>
      </w:r>
      <w:r w:rsidR="002D525D">
        <w:t xml:space="preserve"> og 2023 (</w:t>
      </w:r>
      <w:r w:rsidR="002D525D" w:rsidRPr="002D525D">
        <w:t>LUPE</w:t>
      </w:r>
      <w:r w:rsidR="002D525D">
        <w:t>)</w:t>
      </w:r>
      <w:r w:rsidR="002B7633">
        <w:t>.</w:t>
      </w:r>
      <w:r w:rsidR="00AF5640">
        <w:rPr>
          <w:rStyle w:val="Fotnotereferanse"/>
        </w:rPr>
        <w:footnoteReference w:id="4"/>
      </w:r>
      <w:r w:rsidR="002B7633">
        <w:t xml:space="preserve"> </w:t>
      </w:r>
      <w:r w:rsidR="004C1BC1">
        <w:t>Disse utdanningene</w:t>
      </w:r>
      <w:r w:rsidR="002B7633">
        <w:t xml:space="preserve"> har </w:t>
      </w:r>
      <w:r w:rsidR="004C1BC1">
        <w:t xml:space="preserve">med andre ord </w:t>
      </w:r>
      <w:r w:rsidR="002B7633" w:rsidRPr="002B7633">
        <w:t>gått fr</w:t>
      </w:r>
      <w:r w:rsidR="004C1BC1">
        <w:t>a</w:t>
      </w:r>
      <w:r w:rsidR="002B7633" w:rsidRPr="002B7633">
        <w:t xml:space="preserve"> </w:t>
      </w:r>
      <w:r w:rsidR="004C1BC1">
        <w:t>fire</w:t>
      </w:r>
      <w:r w:rsidR="002B7633" w:rsidRPr="002B7633">
        <w:t xml:space="preserve"> til </w:t>
      </w:r>
      <w:r w:rsidR="004C1BC1">
        <w:t>fem</w:t>
      </w:r>
      <w:r w:rsidR="002B7633" w:rsidRPr="002B7633">
        <w:t xml:space="preserve"> </w:t>
      </w:r>
      <w:r w:rsidR="0067293A" w:rsidRPr="000164F6">
        <w:rPr>
          <w:i/>
          <w:iCs/>
        </w:rPr>
        <w:t>samtidige</w:t>
      </w:r>
      <w:r w:rsidR="0067293A">
        <w:t xml:space="preserve"> </w:t>
      </w:r>
      <w:r w:rsidR="002B7633" w:rsidRPr="000164F6">
        <w:rPr>
          <w:i/>
          <w:iCs/>
        </w:rPr>
        <w:t>kull</w:t>
      </w:r>
      <w:r w:rsidR="002B7633" w:rsidRPr="002B7633">
        <w:t xml:space="preserve"> med lær</w:t>
      </w:r>
      <w:r w:rsidR="0067293A">
        <w:t>e</w:t>
      </w:r>
      <w:r w:rsidR="002B7633" w:rsidRPr="002B7633">
        <w:t>rstudent</w:t>
      </w:r>
      <w:r w:rsidR="004C1BC1">
        <w:t>e</w:t>
      </w:r>
      <w:r w:rsidR="002B7633" w:rsidRPr="002B7633">
        <w:t>r</w:t>
      </w:r>
      <w:r w:rsidR="0067293A">
        <w:t xml:space="preserve">, noe som </w:t>
      </w:r>
      <w:r w:rsidR="0089184A">
        <w:t>kunne</w:t>
      </w:r>
      <w:r w:rsidR="0067293A">
        <w:t xml:space="preserve"> borge for en </w:t>
      </w:r>
      <w:r w:rsidR="0089184A">
        <w:t xml:space="preserve">større </w:t>
      </w:r>
      <w:r w:rsidR="00474E6A">
        <w:t>student</w:t>
      </w:r>
      <w:r w:rsidR="00035C17">
        <w:t>vekst</w:t>
      </w:r>
      <w:r w:rsidR="0089184A">
        <w:t xml:space="preserve"> </w:t>
      </w:r>
      <w:r w:rsidR="00474E6A">
        <w:t xml:space="preserve">for fagområdet </w:t>
      </w:r>
      <w:r w:rsidR="00035C17">
        <w:t xml:space="preserve">enn det </w:t>
      </w:r>
      <w:r w:rsidR="00341003">
        <w:t>tallene her viser</w:t>
      </w:r>
      <w:r w:rsidR="002B7633" w:rsidRPr="002B7633">
        <w:t xml:space="preserve">. </w:t>
      </w:r>
    </w:p>
    <w:p w14:paraId="46D5CA54" w14:textId="2551B984" w:rsidR="003C2AFC" w:rsidRDefault="0041414D" w:rsidP="003C2AFC">
      <w:pPr>
        <w:spacing w:before="240"/>
      </w:pPr>
      <w:r w:rsidRPr="0041414D">
        <w:t>For å forhindre at den negative utviklingen i rekrutteringen til lærerutdanningene fører til økt lærermangel i hele eller deler av landet på sikt, la regjeringen og elleve organisasjoner i februar 2024 fram en felles strategi for å styrke attraktiviteten til lærerutdanningene og læreryrket.</w:t>
      </w:r>
    </w:p>
    <w:p w14:paraId="3C88B103" w14:textId="339257F1" w:rsidR="0068427D" w:rsidRDefault="00E55E1A" w:rsidP="00CF5D29">
      <w:pPr>
        <w:pStyle w:val="Overskrift2"/>
      </w:pPr>
      <w:bookmarkStart w:id="11" w:name="_Toc163488387"/>
      <w:r>
        <w:t>Akademisk nivå</w:t>
      </w:r>
      <w:bookmarkEnd w:id="11"/>
    </w:p>
    <w:p w14:paraId="4A26C8E9" w14:textId="77777777" w:rsidR="00CD00EB" w:rsidRDefault="002F3F3A" w:rsidP="003C2AFC">
      <w:pPr>
        <w:spacing w:before="240"/>
      </w:pPr>
      <w:r>
        <w:t xml:space="preserve">Nær halvparten av studentene (47 prosent) er registrert på lavere grads studier i 2023. Dette er seks prosentpoeng færre enn for ti år siden. I samme periode har andelen masterstudenter økt med 9 prosentpoeng, til 36 prosent av studentene. </w:t>
      </w:r>
      <w:r w:rsidR="00CD00EB" w:rsidRPr="00CD00EB">
        <w:t xml:space="preserve">I tillegg er 17 prosent av studentene registrert på korte, ikke gradsgivende studier </w:t>
      </w:r>
      <w:r w:rsidR="00CD00EB" w:rsidRPr="00CD00EB">
        <w:lastRenderedPageBreak/>
        <w:t>som årskurs og korte studieprogram. Denne andelen har vært relativt stabil i tiårsperioden, om enn med en liten nedgang på 3 prosentpoeng.</w:t>
      </w:r>
    </w:p>
    <w:p w14:paraId="7860A0A7" w14:textId="7767B192" w:rsidR="002F3F3A" w:rsidRDefault="00CD00EB" w:rsidP="003C2AFC">
      <w:pPr>
        <w:spacing w:before="240"/>
      </w:pPr>
      <w:r>
        <w:t>En del</w:t>
      </w:r>
      <w:r w:rsidR="002F3F3A">
        <w:t xml:space="preserve"> av økningen i antall studenter </w:t>
      </w:r>
      <w:r w:rsidR="00BE602D">
        <w:t>på</w:t>
      </w:r>
      <w:r w:rsidR="002F3F3A">
        <w:t xml:space="preserve"> høyere grad </w:t>
      </w:r>
      <w:r>
        <w:t xml:space="preserve">den siste tiårsperioden </w:t>
      </w:r>
      <w:r w:rsidR="002F3F3A">
        <w:t xml:space="preserve">skyldes at </w:t>
      </w:r>
      <w:r w:rsidR="002F3F3A" w:rsidRPr="002F3F3A">
        <w:t>grunnskolelærerutdanning</w:t>
      </w:r>
      <w:r w:rsidR="002F3F3A">
        <w:t>ene fra h</w:t>
      </w:r>
      <w:r w:rsidR="002F3F3A" w:rsidRPr="002F3F3A">
        <w:t xml:space="preserve">østen 2017 </w:t>
      </w:r>
      <w:r w:rsidR="002F3F3A">
        <w:t xml:space="preserve">gikk fra fireårige </w:t>
      </w:r>
      <w:r w:rsidR="00DF7A72">
        <w:t>utdanninger på lavere nivå til</w:t>
      </w:r>
      <w:r w:rsidR="002F3F3A">
        <w:t xml:space="preserve"> </w:t>
      </w:r>
      <w:r w:rsidR="002F3F3A" w:rsidRPr="002F3F3A">
        <w:t>femårig</w:t>
      </w:r>
      <w:r w:rsidR="002F3F3A">
        <w:t xml:space="preserve">e </w:t>
      </w:r>
      <w:r w:rsidR="00DF7A72">
        <w:t xml:space="preserve">integrerte </w:t>
      </w:r>
      <w:r w:rsidR="002F3F3A">
        <w:t>masterutdanninger</w:t>
      </w:r>
      <w:r w:rsidR="002F3F3A" w:rsidRPr="002F3F3A">
        <w:t>.</w:t>
      </w:r>
      <w:r w:rsidR="00DF7A72">
        <w:t xml:space="preserve"> </w:t>
      </w:r>
      <w:r w:rsidR="0035482F">
        <w:t xml:space="preserve">Da hadde allerede </w:t>
      </w:r>
      <w:r w:rsidR="0035482F" w:rsidRPr="0035482F">
        <w:t>lektorutdanning</w:t>
      </w:r>
      <w:r w:rsidR="00E750AF">
        <w:t>en</w:t>
      </w:r>
      <w:r w:rsidR="0035482F" w:rsidRPr="0035482F">
        <w:t xml:space="preserve"> for 8-13. trinn</w:t>
      </w:r>
      <w:r w:rsidR="0035482F">
        <w:t xml:space="preserve"> </w:t>
      </w:r>
      <w:r w:rsidR="00E750AF">
        <w:t>blitt femårig</w:t>
      </w:r>
      <w:r w:rsidR="00B34EA8">
        <w:t>, og i</w:t>
      </w:r>
      <w:r w:rsidR="00FA2E6A" w:rsidRPr="00FA2E6A">
        <w:t xml:space="preserve"> 2019 ble det innført krav om mastergrad for opptak til PPU.</w:t>
      </w:r>
      <w:r w:rsidR="00FA2E6A">
        <w:t xml:space="preserve"> </w:t>
      </w:r>
      <w:r w:rsidR="00360171">
        <w:t xml:space="preserve">Siste opptak </w:t>
      </w:r>
      <w:r w:rsidR="00AB255A">
        <w:t>til</w:t>
      </w:r>
      <w:r w:rsidR="00360171">
        <w:t xml:space="preserve"> fireårig grunnskolelærerutdanning var </w:t>
      </w:r>
      <w:r w:rsidR="00AB255A">
        <w:t xml:space="preserve">i </w:t>
      </w:r>
      <w:r w:rsidR="00360171">
        <w:t>2016</w:t>
      </w:r>
      <w:r w:rsidR="00D65E3C">
        <w:t>,</w:t>
      </w:r>
      <w:r w:rsidR="00AB255A">
        <w:t xml:space="preserve"> og </w:t>
      </w:r>
      <w:r w:rsidR="00360171">
        <w:t xml:space="preserve">2020 </w:t>
      </w:r>
      <w:r w:rsidR="00AB255A">
        <w:t>var dermed</w:t>
      </w:r>
      <w:r w:rsidR="00360171">
        <w:t xml:space="preserve"> siste år for gjennomføring på normert tid. </w:t>
      </w:r>
      <w:r>
        <w:t xml:space="preserve">Mesteparten av studentveksten på høyere grad, og tilsvarende nedgang på lavere grad, kom nettopp i denne perioden. </w:t>
      </w:r>
    </w:p>
    <w:p w14:paraId="181585BB" w14:textId="6CCF80D7" w:rsidR="00DF7A72" w:rsidRPr="00CD00EB" w:rsidRDefault="00083BB3" w:rsidP="003C2AFC">
      <w:pPr>
        <w:spacing w:before="240"/>
      </w:pPr>
      <w:r>
        <w:fldChar w:fldCharType="begin"/>
      </w:r>
      <w:r>
        <w:instrText xml:space="preserve"> REF _Ref163292823 \h </w:instrText>
      </w:r>
      <w:r>
        <w:fldChar w:fldCharType="separate"/>
      </w:r>
      <w:r>
        <w:t xml:space="preserve">Figur </w:t>
      </w:r>
      <w:r>
        <w:rPr>
          <w:noProof/>
        </w:rPr>
        <w:t>1</w:t>
      </w:r>
      <w:r>
        <w:noBreakHyphen/>
      </w:r>
      <w:r>
        <w:rPr>
          <w:noProof/>
        </w:rPr>
        <w:t>3</w:t>
      </w:r>
      <w:r>
        <w:fldChar w:fldCharType="end"/>
      </w:r>
      <w:r>
        <w:t xml:space="preserve"> </w:t>
      </w:r>
      <w:r w:rsidR="00DF7A72">
        <w:t xml:space="preserve">viser hvordan disse </w:t>
      </w:r>
      <w:r w:rsidR="00CD00EB">
        <w:t xml:space="preserve">utdanningsnivåene fordeler seg på ulike fagområder. </w:t>
      </w:r>
      <w:r w:rsidR="00CD00EB" w:rsidRPr="00CD00EB">
        <w:t xml:space="preserve">Nettopp lærerutdanning og pedagogikk har </w:t>
      </w:r>
      <w:r w:rsidR="00CD00EB">
        <w:t>den</w:t>
      </w:r>
      <w:r w:rsidR="00CD00EB" w:rsidRPr="00CD00EB">
        <w:t xml:space="preserve"> høyeste </w:t>
      </w:r>
      <w:r w:rsidR="00CD00EB">
        <w:t>andelen studenter på høyere grads nivå av samtlige fagområder</w:t>
      </w:r>
      <w:r w:rsidR="001F379F">
        <w:t xml:space="preserve">, </w:t>
      </w:r>
      <w:r w:rsidR="00C83A09">
        <w:t>55</w:t>
      </w:r>
      <w:r w:rsidR="001F379F">
        <w:t xml:space="preserve"> prosent</w:t>
      </w:r>
      <w:r w:rsidR="00CD00EB">
        <w:t xml:space="preserve">. </w:t>
      </w:r>
      <w:r w:rsidR="00716AEF">
        <w:t xml:space="preserve">Lavest </w:t>
      </w:r>
      <w:r w:rsidR="00C70CFD">
        <w:t xml:space="preserve">andel masterstudier </w:t>
      </w:r>
      <w:r w:rsidR="004960CE">
        <w:t>eller tilsvarende har økonomi og administrasjon</w:t>
      </w:r>
      <w:r w:rsidR="00022A5A">
        <w:t xml:space="preserve"> med 19 prosent og</w:t>
      </w:r>
      <w:r w:rsidR="004960CE">
        <w:t xml:space="preserve"> humanistiske</w:t>
      </w:r>
      <w:r w:rsidR="00022A5A">
        <w:t xml:space="preserve"> og estetiske</w:t>
      </w:r>
      <w:r w:rsidR="004960CE">
        <w:t xml:space="preserve"> fag </w:t>
      </w:r>
      <w:r w:rsidR="00022A5A">
        <w:t xml:space="preserve">med 22 prosent. </w:t>
      </w:r>
      <w:r w:rsidR="00185931">
        <w:t xml:space="preserve">Spesielt sistnevnte fagområde har en høy andel </w:t>
      </w:r>
      <w:r w:rsidR="00355B7B">
        <w:t xml:space="preserve">av sine </w:t>
      </w:r>
      <w:r w:rsidR="00185931">
        <w:t xml:space="preserve">studenter </w:t>
      </w:r>
      <w:r w:rsidR="00E97169">
        <w:t xml:space="preserve">(35 prosent) </w:t>
      </w:r>
      <w:r w:rsidR="002B0E97">
        <w:t>registrert på ikke</w:t>
      </w:r>
      <w:r w:rsidR="00E97169">
        <w:t>-</w:t>
      </w:r>
      <w:r w:rsidR="002B0E97">
        <w:t xml:space="preserve">gradsgivende studier som årskurs </w:t>
      </w:r>
      <w:r w:rsidR="00CE4124">
        <w:t>og korte programmer.</w:t>
      </w:r>
      <w:r w:rsidR="00565ED7">
        <w:t xml:space="preserve"> </w:t>
      </w:r>
    </w:p>
    <w:p w14:paraId="19C836D7" w14:textId="1DBF503A" w:rsidR="00B270CA" w:rsidRDefault="00B270CA" w:rsidP="00AB255A">
      <w:pPr>
        <w:pStyle w:val="Bildetekst"/>
        <w:keepNext/>
        <w:keepLines/>
      </w:pPr>
      <w:bookmarkStart w:id="12" w:name="_Ref163292823"/>
      <w:r>
        <w:lastRenderedPageBreak/>
        <w:t xml:space="preserve">Figur </w:t>
      </w:r>
      <w:r w:rsidR="006E1D94">
        <w:fldChar w:fldCharType="begin"/>
      </w:r>
      <w:r w:rsidR="006E1D94">
        <w:instrText xml:space="preserve"> STYLEREF 1 \s </w:instrText>
      </w:r>
      <w:r w:rsidR="006E1D94">
        <w:fldChar w:fldCharType="separate"/>
      </w:r>
      <w:r w:rsidR="006E1D94">
        <w:rPr>
          <w:noProof/>
        </w:rPr>
        <w:t>1</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bookmarkEnd w:id="12"/>
      <w:r>
        <w:t xml:space="preserve"> Andel studenter på gradsgivende og ikke</w:t>
      </w:r>
      <w:r w:rsidR="00143C74">
        <w:t>-</w:t>
      </w:r>
      <w:r>
        <w:t>gradsgivende utdanninger etter fagområde. 2023</w:t>
      </w:r>
    </w:p>
    <w:p w14:paraId="0E36204F" w14:textId="77777777" w:rsidR="001F379F" w:rsidRDefault="00B270CA" w:rsidP="00AB255A">
      <w:pPr>
        <w:keepNext/>
        <w:keepLines/>
      </w:pPr>
      <w:r>
        <w:rPr>
          <w:noProof/>
        </w:rPr>
        <w:drawing>
          <wp:inline distT="0" distB="0" distL="0" distR="0" wp14:anchorId="66F47BB3" wp14:editId="056ABE27">
            <wp:extent cx="5581650" cy="2995684"/>
            <wp:effectExtent l="0" t="0" r="0" b="14605"/>
            <wp:docPr id="1700215650" name="Diagram 1">
              <a:extLst xmlns:a="http://schemas.openxmlformats.org/drawingml/2006/main">
                <a:ext uri="{FF2B5EF4-FFF2-40B4-BE49-F238E27FC236}">
                  <a16:creationId xmlns:a16="http://schemas.microsoft.com/office/drawing/2014/main" id="{C838241A-F29F-002A-6983-BDE2FCE6B6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53D520" w14:textId="5182EE2F" w:rsidR="00877ABE" w:rsidRDefault="00AB255A" w:rsidP="006B6C61">
      <w:pPr>
        <w:pStyle w:val="Kilde"/>
      </w:pPr>
      <w:r w:rsidRPr="004E373E">
        <w:rPr>
          <w:b/>
        </w:rPr>
        <w:t>Kilde</w:t>
      </w:r>
      <w:r>
        <w:t>: DBH</w:t>
      </w:r>
    </w:p>
    <w:p w14:paraId="7237C328" w14:textId="06B2F0C9" w:rsidR="00B165FE" w:rsidRPr="00B165FE" w:rsidRDefault="005F4CA7" w:rsidP="00B165FE">
      <w:r>
        <w:fldChar w:fldCharType="begin"/>
      </w:r>
      <w:r>
        <w:instrText xml:space="preserve"> REF _Ref163479880 \h </w:instrText>
      </w:r>
      <w:r>
        <w:fldChar w:fldCharType="separate"/>
      </w:r>
      <w:r>
        <w:t xml:space="preserve">Figur </w:t>
      </w:r>
      <w:r>
        <w:rPr>
          <w:noProof/>
        </w:rPr>
        <w:t>1</w:t>
      </w:r>
      <w:r>
        <w:noBreakHyphen/>
      </w:r>
      <w:r>
        <w:rPr>
          <w:noProof/>
        </w:rPr>
        <w:t>4</w:t>
      </w:r>
      <w:r>
        <w:fldChar w:fldCharType="end"/>
      </w:r>
      <w:r>
        <w:t xml:space="preserve"> viser </w:t>
      </w:r>
      <w:r w:rsidR="00B35A46">
        <w:t xml:space="preserve">hvordan studentene fordeler seg på grads- og ikke-gradsgivende utdanninger </w:t>
      </w:r>
      <w:r w:rsidR="00105F0A">
        <w:t>per institusjon</w:t>
      </w:r>
      <w:r w:rsidR="00F07542">
        <w:t xml:space="preserve"> og </w:t>
      </w:r>
      <w:r w:rsidR="001647D4">
        <w:t xml:space="preserve">på akademisk nivå. </w:t>
      </w:r>
      <w:r w:rsidR="003C246D">
        <w:t>Størst</w:t>
      </w:r>
      <w:r w:rsidR="00FB42A6">
        <w:t xml:space="preserve"> andel studenter på hø</w:t>
      </w:r>
      <w:r w:rsidR="003C246D">
        <w:t>yere grad har NMBU, NTNU, Ui</w:t>
      </w:r>
      <w:r w:rsidR="00DD71CF">
        <w:t>O, UiB og NHH</w:t>
      </w:r>
      <w:r w:rsidR="006811D5">
        <w:t xml:space="preserve">, alle mellom 45 og 55 prosent. </w:t>
      </w:r>
      <w:r w:rsidR="00DD71CF">
        <w:t xml:space="preserve">Lavest andel på </w:t>
      </w:r>
      <w:r w:rsidR="00E44407">
        <w:t>h</w:t>
      </w:r>
      <w:r w:rsidR="00DD71CF">
        <w:t xml:space="preserve">øyere grad </w:t>
      </w:r>
      <w:r w:rsidR="009C7494">
        <w:t>av institusjonene i figuren har HK og BI, med</w:t>
      </w:r>
      <w:r w:rsidR="00797211">
        <w:t xml:space="preserve"> 5 og 10 prosent. </w:t>
      </w:r>
      <w:r w:rsidR="00E44407">
        <w:t xml:space="preserve">Stor variasjon mellom institusjonene er det også i andelen studenter på </w:t>
      </w:r>
      <w:r w:rsidR="00EE7FAA">
        <w:t xml:space="preserve">korte, ikke-gradsgivende studier. </w:t>
      </w:r>
      <w:r w:rsidR="003C4FBD">
        <w:t xml:space="preserve">Lavest andel slike studenter har UiS </w:t>
      </w:r>
      <w:r w:rsidR="003F4DEF">
        <w:t xml:space="preserve">og HVL </w:t>
      </w:r>
      <w:r w:rsidR="003C4FBD">
        <w:t xml:space="preserve">med 12 prosent, mens både </w:t>
      </w:r>
      <w:r w:rsidR="003C1749">
        <w:t>HVO og HiM hadde mer enn 40 prosent av studentene sine på korte og ikke gradsgivende programmer.</w:t>
      </w:r>
      <w:r w:rsidR="00C321C8">
        <w:t xml:space="preserve"> Her handler forskjellene ikke bare om </w:t>
      </w:r>
      <w:r w:rsidR="003F4DEF">
        <w:t xml:space="preserve">institusjonstype og faglig profil. </w:t>
      </w:r>
      <w:r w:rsidR="00D97FF0">
        <w:t xml:space="preserve">Mens andelen studenter på slike program ved HVL og USN var 12 og 14 prosent, hadde både </w:t>
      </w:r>
      <w:r w:rsidR="00521C5A">
        <w:t>HINN og NU mer enn 25 prosent av studentene på slike programmer.</w:t>
      </w:r>
    </w:p>
    <w:p w14:paraId="3B632B05" w14:textId="5C80B07C" w:rsidR="00AB255A" w:rsidRPr="00AB255A" w:rsidRDefault="00AB255A" w:rsidP="00AB255A">
      <w:pPr>
        <w:pStyle w:val="Bildetekst"/>
        <w:keepNext/>
        <w:keepLines/>
      </w:pPr>
      <w:bookmarkStart w:id="13" w:name="_Ref163479880"/>
      <w:r>
        <w:lastRenderedPageBreak/>
        <w:t xml:space="preserve">Figur </w:t>
      </w:r>
      <w:r w:rsidR="006E1D94">
        <w:fldChar w:fldCharType="begin"/>
      </w:r>
      <w:r w:rsidR="006E1D94">
        <w:instrText xml:space="preserve"> STYLEREF 1 \s </w:instrText>
      </w:r>
      <w:r w:rsidR="006E1D94">
        <w:fldChar w:fldCharType="separate"/>
      </w:r>
      <w:r w:rsidR="006E1D94">
        <w:rPr>
          <w:noProof/>
        </w:rPr>
        <w:t>1</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13"/>
      <w:r>
        <w:t xml:space="preserve"> Andel studenter på gradsgivende og ikke-gradsgivende utdanninger per institusjon, 2023</w:t>
      </w:r>
    </w:p>
    <w:p w14:paraId="6EBF5172" w14:textId="67BBF881" w:rsidR="00AB255A" w:rsidRPr="006B6C61" w:rsidRDefault="00AB255A" w:rsidP="00AB255A">
      <w:pPr>
        <w:pStyle w:val="Merknad"/>
        <w:keepNext/>
        <w:keepLines/>
        <w:rPr>
          <w:rStyle w:val="KildeTegn"/>
        </w:rPr>
      </w:pPr>
      <w:r>
        <w:rPr>
          <w:noProof/>
        </w:rPr>
        <w:drawing>
          <wp:inline distT="0" distB="0" distL="0" distR="0" wp14:anchorId="0EB2A38F" wp14:editId="20DF2686">
            <wp:extent cx="5686425" cy="2990850"/>
            <wp:effectExtent l="0" t="0" r="9525" b="0"/>
            <wp:docPr id="1722075710" name="Diagram 1">
              <a:extLst xmlns:a="http://schemas.openxmlformats.org/drawingml/2006/main">
                <a:ext uri="{FF2B5EF4-FFF2-40B4-BE49-F238E27FC236}">
                  <a16:creationId xmlns:a16="http://schemas.microsoft.com/office/drawing/2014/main" id="{6446E354-72EC-D5E1-948C-F1DE28B8BA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4E373E">
        <w:rPr>
          <w:rStyle w:val="KildeTegn"/>
          <w:b/>
        </w:rPr>
        <w:t>Kilde</w:t>
      </w:r>
      <w:r w:rsidRPr="006B6C61">
        <w:rPr>
          <w:rStyle w:val="KildeTegn"/>
        </w:rPr>
        <w:t>: DBH</w:t>
      </w:r>
    </w:p>
    <w:p w14:paraId="082F853A" w14:textId="77777777" w:rsidR="00B165FE" w:rsidRDefault="00B165FE"/>
    <w:p w14:paraId="46A0D883" w14:textId="499136C4" w:rsidR="003D494D" w:rsidRDefault="003D494D">
      <w:r>
        <w:br w:type="page"/>
      </w:r>
    </w:p>
    <w:p w14:paraId="7E959B6A" w14:textId="2F4875E3" w:rsidR="00084C6B" w:rsidRDefault="009D23C9" w:rsidP="003D494D">
      <w:pPr>
        <w:pStyle w:val="Overskrift1"/>
        <w:spacing w:after="168"/>
      </w:pPr>
      <w:bookmarkStart w:id="14" w:name="_Toc158968330"/>
      <w:bookmarkStart w:id="15" w:name="_Ref163390156"/>
      <w:bookmarkStart w:id="16" w:name="_Toc163488388"/>
      <w:r>
        <w:lastRenderedPageBreak/>
        <w:t>Hvem er s</w:t>
      </w:r>
      <w:r w:rsidR="006B621B" w:rsidRPr="00422245">
        <w:t>tudentene</w:t>
      </w:r>
      <w:bookmarkEnd w:id="14"/>
      <w:r>
        <w:t>?</w:t>
      </w:r>
      <w:bookmarkEnd w:id="15"/>
      <w:bookmarkEnd w:id="16"/>
    </w:p>
    <w:p w14:paraId="79471DD7" w14:textId="20AA6FEE" w:rsidR="004D1765" w:rsidRDefault="004D1765" w:rsidP="00227F3A">
      <w:bookmarkStart w:id="17" w:name="_Ref163030787"/>
      <w:bookmarkStart w:id="18" w:name="_Ref163030824"/>
      <w:r w:rsidRPr="004D1765">
        <w:t xml:space="preserve">Mens det første kapitlet i denne rapporten undersøkte høyere utdanning fra et fugleperspektiv med tall for studentpopulasjon og fagområder, vil dette kapitlet se nærmere på </w:t>
      </w:r>
      <w:r w:rsidR="00212F51">
        <w:t>ulike kjennetegn ved</w:t>
      </w:r>
      <w:r w:rsidRPr="004D1765">
        <w:t xml:space="preserve"> studentene i høyere utdanning. </w:t>
      </w:r>
    </w:p>
    <w:p w14:paraId="49F13FE7" w14:textId="1A817771" w:rsidR="004636B2" w:rsidRDefault="00505828" w:rsidP="00227F3A">
      <w:r w:rsidRPr="00505828">
        <w:t xml:space="preserve">Hvilke befolkningsgrupper tar høyere utdanning? Og i hvilken grad speiler studentene i høyere utdanning mangfoldet i samfunnet vårt? </w:t>
      </w:r>
      <w:r w:rsidR="0020012A" w:rsidRPr="0020012A">
        <w:t>Kapitlet beskriver studentpopulasjonen i et demografisk perspektiv, med utviklingen av studentbefolkningens alders- og kjønns</w:t>
      </w:r>
      <w:r w:rsidR="00780C35">
        <w:t>sammensetning</w:t>
      </w:r>
      <w:r w:rsidR="0020012A" w:rsidRPr="0020012A">
        <w:t>, geografisk</w:t>
      </w:r>
      <w:r w:rsidR="00A415F8">
        <w:t>e</w:t>
      </w:r>
      <w:r w:rsidR="0020012A" w:rsidRPr="0020012A">
        <w:t xml:space="preserve"> </w:t>
      </w:r>
      <w:r w:rsidR="003F2193">
        <w:t>og</w:t>
      </w:r>
      <w:r w:rsidR="0020012A" w:rsidRPr="0020012A">
        <w:t xml:space="preserve"> </w:t>
      </w:r>
      <w:r w:rsidR="00780C35">
        <w:t>sosio-økonomisk</w:t>
      </w:r>
      <w:r w:rsidR="00C86EE1">
        <w:t>e</w:t>
      </w:r>
      <w:r w:rsidR="00780C35">
        <w:t xml:space="preserve"> bakgrunn</w:t>
      </w:r>
      <w:r w:rsidR="0020012A" w:rsidRPr="0020012A">
        <w:t>, og innvandrer</w:t>
      </w:r>
      <w:r w:rsidR="003F2193">
        <w:t>bakgrunn</w:t>
      </w:r>
      <w:r w:rsidR="0020012A" w:rsidRPr="0020012A">
        <w:t xml:space="preserve">. Kapitlet beskriver også den </w:t>
      </w:r>
      <w:r w:rsidR="00DD321B">
        <w:t xml:space="preserve">faglige og </w:t>
      </w:r>
      <w:r w:rsidR="0020012A" w:rsidRPr="0020012A">
        <w:t xml:space="preserve">demografiske profilen til ulike institusjoner og ser på hvilke sosiale forskjeller det er i rekrutteringen til ulike universiteter og høyskoler. </w:t>
      </w:r>
    </w:p>
    <w:p w14:paraId="49B57AA9" w14:textId="080B39BD" w:rsidR="00EF283B" w:rsidRPr="00422245" w:rsidRDefault="003B2C71" w:rsidP="00327CB6">
      <w:pPr>
        <w:pStyle w:val="Overskrift2"/>
      </w:pPr>
      <w:bookmarkStart w:id="19" w:name="_Toc163488389"/>
      <w:r w:rsidRPr="00422245">
        <w:t>Stor spredning i alder</w:t>
      </w:r>
      <w:bookmarkEnd w:id="17"/>
      <w:bookmarkEnd w:id="18"/>
      <w:bookmarkEnd w:id="19"/>
    </w:p>
    <w:p w14:paraId="71949087" w14:textId="28C5617C" w:rsidR="00546FF8" w:rsidRPr="00422245" w:rsidRDefault="00A71A55" w:rsidP="0043557F">
      <w:r>
        <w:t>N</w:t>
      </w:r>
      <w:r w:rsidRPr="00A71A55">
        <w:t>orske studente</w:t>
      </w:r>
      <w:r>
        <w:t>r er</w:t>
      </w:r>
      <w:r w:rsidRPr="00A71A55">
        <w:t xml:space="preserve"> de tredje eldste i Europa</w:t>
      </w:r>
      <w:r w:rsidR="008D3FF4">
        <w:t xml:space="preserve">. </w:t>
      </w:r>
      <w:r w:rsidR="00FC33EB">
        <w:t xml:space="preserve">Det viser </w:t>
      </w:r>
      <w:r w:rsidR="009C0A17" w:rsidRPr="00422245">
        <w:t xml:space="preserve">tall fra den store </w:t>
      </w:r>
      <w:r w:rsidR="00047437">
        <w:t xml:space="preserve">europeiske </w:t>
      </w:r>
      <w:r w:rsidR="009C0A17" w:rsidRPr="00422245">
        <w:t>spørreundersøkelsen Eurostudent VII</w:t>
      </w:r>
      <w:r w:rsidR="00916ACA">
        <w:t xml:space="preserve"> </w:t>
      </w:r>
      <w:r w:rsidR="00D47DA9">
        <w:fldChar w:fldCharType="begin"/>
      </w:r>
      <w:r w:rsidR="00D47DA9">
        <w:instrText xml:space="preserve"> ADDIN EN.CITE &lt;EndNote&gt;&lt;Cite&gt;&lt;Author&gt;Eurostudent VII&lt;/Author&gt;&lt;Year&gt;2019&lt;/Year&gt;&lt;RecNum&gt;1700&lt;/RecNum&gt;&lt;DisplayText&gt;(Eurostudent VII, 2019)&lt;/DisplayText&gt;&lt;record&gt;&lt;rec-number&gt;1700&lt;/rec-number&gt;&lt;foreign-keys&gt;&lt;key app="EN" db-id="p2et5feaxrpe5zew2eavt29z05fv09aa5s0w" timestamp="1712306681" guid="157d2a00-dc2f-42c1-886f-0bc78913e23d"&gt;1700&lt;/key&gt;&lt;/foreign-keys&gt;&lt;ref-type name="Web Page"&gt;12&lt;/ref-type&gt;&lt;contributors&gt;&lt;authors&gt;&lt;author&gt;Eurostudent VII,&lt;/author&gt;&lt;/authors&gt;&lt;/contributors&gt;&lt;titles&gt;&lt;title&gt;Time budget of students by type of activity&lt;/title&gt;&lt;/titles&gt;&lt;dates&gt;&lt;year&gt;2019&lt;/year&gt;&lt;/dates&gt;&lt;urls&gt;&lt;related-urls&gt;&lt;url&gt;https://database.eurostudent.eu/drm/?eust_nr=7&amp;amp;e=time_budget_all&amp;amp;fg=e_age&amp;amp;country_list=NO&amp;amp;Curr=NCU&lt;/url&gt;&lt;/related-urls&gt;&lt;/urls&gt;&lt;/record&gt;&lt;/Cite&gt;&lt;/EndNote&gt;</w:instrText>
      </w:r>
      <w:r w:rsidR="00D47DA9">
        <w:fldChar w:fldCharType="separate"/>
      </w:r>
      <w:r w:rsidR="00D47DA9">
        <w:rPr>
          <w:noProof/>
        </w:rPr>
        <w:t>(Eurostudent VII, 2019)</w:t>
      </w:r>
      <w:r w:rsidR="00D47DA9">
        <w:fldChar w:fldCharType="end"/>
      </w:r>
      <w:r w:rsidR="00FC33EB">
        <w:t xml:space="preserve">. </w:t>
      </w:r>
      <w:r w:rsidR="004F6D54" w:rsidRPr="00422245">
        <w:t>Gjennomsnittsalderen til norske studenter er 28,7 år</w:t>
      </w:r>
      <w:r w:rsidR="000F5B82">
        <w:t xml:space="preserve">. </w:t>
      </w:r>
      <w:r w:rsidR="00611A92">
        <w:t>M</w:t>
      </w:r>
      <w:r w:rsidR="004F6D54" w:rsidRPr="00422245">
        <w:t xml:space="preserve">edianalderen er 25 år, det vil si at halvparten av studentene er over 25. </w:t>
      </w:r>
      <w:r w:rsidR="00110547">
        <w:t xml:space="preserve">I </w:t>
      </w:r>
      <w:r w:rsidR="0062694B">
        <w:t xml:space="preserve">aldersstatistikken for studenter er </w:t>
      </w:r>
      <w:r w:rsidR="00B3066F">
        <w:t>Norge</w:t>
      </w:r>
      <w:r w:rsidR="00B80A17">
        <w:t xml:space="preserve"> </w:t>
      </w:r>
      <w:r w:rsidR="00176B6F">
        <w:t xml:space="preserve">dermed </w:t>
      </w:r>
      <w:r w:rsidR="00C13431">
        <w:t xml:space="preserve">kun </w:t>
      </w:r>
      <w:r w:rsidR="00110547">
        <w:t>forbigått</w:t>
      </w:r>
      <w:r w:rsidR="008D3FF4" w:rsidRPr="008D3FF4">
        <w:t xml:space="preserve"> </w:t>
      </w:r>
      <w:r w:rsidR="00B53AFB">
        <w:t xml:space="preserve">av </w:t>
      </w:r>
      <w:r w:rsidR="008D3FF4" w:rsidRPr="008D3FF4">
        <w:t>Island</w:t>
      </w:r>
      <w:r w:rsidR="00B53AFB">
        <w:t>,</w:t>
      </w:r>
      <w:r w:rsidR="008D3FF4" w:rsidRPr="008D3FF4">
        <w:t xml:space="preserve"> </w:t>
      </w:r>
      <w:r w:rsidR="0020591B">
        <w:t xml:space="preserve">med en </w:t>
      </w:r>
      <w:r w:rsidR="008D3FF4" w:rsidRPr="008D3FF4">
        <w:t xml:space="preserve">gjennomsnittsalder </w:t>
      </w:r>
      <w:r w:rsidR="0020591B">
        <w:t xml:space="preserve">på </w:t>
      </w:r>
      <w:r w:rsidR="008D3FF4" w:rsidRPr="008D3FF4">
        <w:t>30,1 år</w:t>
      </w:r>
      <w:r w:rsidR="0020591B">
        <w:t xml:space="preserve"> (</w:t>
      </w:r>
      <w:r w:rsidR="008D3FF4" w:rsidRPr="008D3FF4">
        <w:t xml:space="preserve">medianalder 26,7 år) og Finland </w:t>
      </w:r>
      <w:r w:rsidR="00143A2A">
        <w:t>med et</w:t>
      </w:r>
      <w:r w:rsidR="0020591B">
        <w:t xml:space="preserve"> </w:t>
      </w:r>
      <w:r w:rsidR="008D3FF4" w:rsidRPr="008D3FF4">
        <w:t xml:space="preserve">gjennomsnitt </w:t>
      </w:r>
      <w:r w:rsidR="00143A2A">
        <w:t xml:space="preserve">på </w:t>
      </w:r>
      <w:r w:rsidR="008D3FF4" w:rsidRPr="008D3FF4">
        <w:t>29,0 år</w:t>
      </w:r>
      <w:r w:rsidR="0020591B">
        <w:t xml:space="preserve"> (</w:t>
      </w:r>
      <w:r w:rsidR="008D3FF4" w:rsidRPr="008D3FF4">
        <w:t>median 26,3 år).</w:t>
      </w:r>
    </w:p>
    <w:p w14:paraId="55DCA58E" w14:textId="05A6A3FB" w:rsidR="0021311E" w:rsidRPr="00422245" w:rsidRDefault="00BF11B8" w:rsidP="0021311E">
      <w:r w:rsidRPr="00422245">
        <w:t xml:space="preserve">Høy alder </w:t>
      </w:r>
      <w:r w:rsidR="00B81721" w:rsidRPr="00422245">
        <w:t xml:space="preserve">er </w:t>
      </w:r>
      <w:r w:rsidR="00052A1D" w:rsidRPr="00422245">
        <w:t xml:space="preserve">ikke nødvendigvis et problem i seg selv. </w:t>
      </w:r>
      <w:r w:rsidR="00E43617" w:rsidRPr="00422245">
        <w:t xml:space="preserve">På den ene siden </w:t>
      </w:r>
      <w:r w:rsidR="005F4C58" w:rsidRPr="00422245">
        <w:t xml:space="preserve">er det ønskelig </w:t>
      </w:r>
      <w:r w:rsidR="00B83641" w:rsidRPr="00422245">
        <w:t xml:space="preserve">at </w:t>
      </w:r>
      <w:r w:rsidR="008371BF" w:rsidRPr="00422245">
        <w:t>unge m</w:t>
      </w:r>
      <w:r w:rsidR="00521957" w:rsidRPr="00422245">
        <w:t xml:space="preserve">ennesker kommer i gang med høyere utdanning så fort som mulig etter </w:t>
      </w:r>
      <w:r w:rsidR="00BC47EB" w:rsidRPr="00422245">
        <w:t>videregående</w:t>
      </w:r>
      <w:r w:rsidR="008F181A" w:rsidRPr="00422245">
        <w:t xml:space="preserve"> skole</w:t>
      </w:r>
      <w:r w:rsidR="000C1C29" w:rsidRPr="00422245">
        <w:t xml:space="preserve">, og en </w:t>
      </w:r>
      <w:r w:rsidR="00244797" w:rsidRPr="00422245">
        <w:t xml:space="preserve">av fire studenter i </w:t>
      </w:r>
      <w:r w:rsidR="00F25DE3" w:rsidRPr="00422245">
        <w:t>2023</w:t>
      </w:r>
      <w:r w:rsidR="00244797" w:rsidRPr="00422245">
        <w:t xml:space="preserve"> er under 22 år. </w:t>
      </w:r>
      <w:r w:rsidR="00B55F51" w:rsidRPr="00422245">
        <w:t xml:space="preserve">På den andre siden er det </w:t>
      </w:r>
      <w:r w:rsidR="004131AB" w:rsidRPr="00422245">
        <w:t>bred politisk enighet om</w:t>
      </w:r>
      <w:r w:rsidR="00BC3BA5" w:rsidRPr="00422245">
        <w:t xml:space="preserve"> at </w:t>
      </w:r>
      <w:r w:rsidR="00073582" w:rsidRPr="00422245">
        <w:t>også</w:t>
      </w:r>
      <w:r w:rsidR="006A1646" w:rsidRPr="00422245">
        <w:t xml:space="preserve"> den voksne befolkningen </w:t>
      </w:r>
      <w:r w:rsidR="004131AB" w:rsidRPr="00422245">
        <w:t xml:space="preserve">bør </w:t>
      </w:r>
      <w:r w:rsidR="006A1646" w:rsidRPr="00422245">
        <w:t>ha</w:t>
      </w:r>
      <w:r w:rsidR="004131AB" w:rsidRPr="00422245">
        <w:t xml:space="preserve"> god</w:t>
      </w:r>
      <w:r w:rsidR="006A1646" w:rsidRPr="00422245">
        <w:t xml:space="preserve"> tilgang på </w:t>
      </w:r>
      <w:r w:rsidR="0045099D" w:rsidRPr="00422245">
        <w:t xml:space="preserve">høyere </w:t>
      </w:r>
      <w:r w:rsidR="006A1646" w:rsidRPr="00422245">
        <w:t>utdanning</w:t>
      </w:r>
      <w:r w:rsidR="00871D82" w:rsidRPr="00422245">
        <w:t xml:space="preserve">. Det handler blant annet om å </w:t>
      </w:r>
      <w:r w:rsidR="007D7483" w:rsidRPr="00422245">
        <w:t xml:space="preserve">sikre </w:t>
      </w:r>
      <w:r w:rsidR="00536CE7" w:rsidRPr="00422245">
        <w:t>at den enkeltes</w:t>
      </w:r>
      <w:r w:rsidR="003E3B66" w:rsidRPr="00422245">
        <w:t xml:space="preserve"> kompetanse er </w:t>
      </w:r>
      <w:r w:rsidR="00F109C1" w:rsidRPr="00422245">
        <w:t xml:space="preserve">relevant </w:t>
      </w:r>
      <w:r w:rsidR="00C66218" w:rsidRPr="00422245">
        <w:t>for arbeidslivets behov</w:t>
      </w:r>
      <w:r w:rsidR="00F95CB7" w:rsidRPr="00422245">
        <w:t xml:space="preserve"> gjennom hele yrkeslivet</w:t>
      </w:r>
      <w:r w:rsidR="00C66218" w:rsidRPr="00422245">
        <w:t xml:space="preserve">. </w:t>
      </w:r>
      <w:r w:rsidR="006F5AF8" w:rsidRPr="00422245">
        <w:t xml:space="preserve">I 2023 </w:t>
      </w:r>
      <w:r w:rsidR="00346D16" w:rsidRPr="00422245">
        <w:t xml:space="preserve">er </w:t>
      </w:r>
      <w:r w:rsidR="008B6FD7" w:rsidRPr="00422245">
        <w:t xml:space="preserve">30 prosent av studentene </w:t>
      </w:r>
      <w:r w:rsidR="00121537" w:rsidRPr="00422245">
        <w:t xml:space="preserve">i Norge </w:t>
      </w:r>
      <w:r w:rsidR="008B6FD7" w:rsidRPr="00422245">
        <w:t>over 30 år eller mer</w:t>
      </w:r>
      <w:r w:rsidR="00121537" w:rsidRPr="00422245">
        <w:t xml:space="preserve"> (DBH)</w:t>
      </w:r>
      <w:r w:rsidR="008B6FD7" w:rsidRPr="00422245">
        <w:t xml:space="preserve">. </w:t>
      </w:r>
      <w:r w:rsidR="0021311E" w:rsidRPr="00422245">
        <w:t>Også i de andre nordiske landene er det en stor andel eldre studenter, viser tall fra</w:t>
      </w:r>
      <w:r w:rsidR="00C04556" w:rsidRPr="00422245">
        <w:t xml:space="preserve"> </w:t>
      </w:r>
      <w:r w:rsidR="00E931F5" w:rsidRPr="00422245">
        <w:t xml:space="preserve">de europeiske </w:t>
      </w:r>
      <w:r w:rsidR="00C04556" w:rsidRPr="00422245">
        <w:t>undersøkelsene</w:t>
      </w:r>
      <w:r w:rsidR="0021311E" w:rsidRPr="00422245">
        <w:t xml:space="preserve"> Eurostudent</w:t>
      </w:r>
      <w:r w:rsidR="00033066" w:rsidRPr="00422245">
        <w:t xml:space="preserve"> </w:t>
      </w:r>
      <w:r w:rsidR="00C04556" w:rsidRPr="00422245">
        <w:t xml:space="preserve">VII </w:t>
      </w:r>
      <w:r w:rsidR="007714C8">
        <w:fldChar w:fldCharType="begin"/>
      </w:r>
      <w:r w:rsidR="007714C8">
        <w:instrText xml:space="preserve"> ADDIN EN.CITE &lt;EndNote&gt;&lt;Cite&gt;&lt;Author&gt;Eurostudent VII&lt;/Author&gt;&lt;Year&gt;2019&lt;/Year&gt;&lt;RecNum&gt;1700&lt;/RecNum&gt;&lt;DisplayText&gt;(Eurostudent VII, 2019)&lt;/DisplayText&gt;&lt;record&gt;&lt;rec-number&gt;1700&lt;/rec-number&gt;&lt;foreign-keys&gt;&lt;key app="EN" db-id="p2et5feaxrpe5zew2eavt29z05fv09aa5s0w" timestamp="1712306681" guid="157d2a00-dc2f-42c1-886f-0bc78913e23d"&gt;1700&lt;/key&gt;&lt;/foreign-keys&gt;&lt;ref-type name="Web Page"&gt;12&lt;/ref-type&gt;&lt;contributors&gt;&lt;authors&gt;&lt;author&gt;Eurostudent VII,&lt;/author&gt;&lt;/authors&gt;&lt;/contributors&gt;&lt;titles&gt;&lt;title&gt;Time budget of students by type of activity&lt;/title&gt;&lt;/titles&gt;&lt;dates&gt;&lt;year&gt;2019&lt;/year&gt;&lt;/dates&gt;&lt;urls&gt;&lt;related-urls&gt;&lt;url&gt;https://database.eurostudent.eu/drm/?eust_nr=7&amp;amp;e=time_budget_all&amp;amp;fg=e_age&amp;amp;country_list=NO&amp;amp;Curr=NCU&lt;/url&gt;&lt;/related-urls&gt;&lt;/urls&gt;&lt;/record&gt;&lt;/Cite&gt;&lt;/EndNote&gt;</w:instrText>
      </w:r>
      <w:r w:rsidR="007714C8">
        <w:fldChar w:fldCharType="separate"/>
      </w:r>
      <w:r w:rsidR="007714C8">
        <w:rPr>
          <w:noProof/>
        </w:rPr>
        <w:t>(Eurostudent VII, 2019)</w:t>
      </w:r>
      <w:r w:rsidR="007714C8">
        <w:fldChar w:fldCharType="end"/>
      </w:r>
      <w:r w:rsidR="007714C8">
        <w:t xml:space="preserve"> </w:t>
      </w:r>
      <w:r w:rsidR="00033066" w:rsidRPr="00422245">
        <w:t>og Adult Education Survey</w:t>
      </w:r>
      <w:r w:rsidR="0021311E" w:rsidRPr="00422245">
        <w:t>.</w:t>
      </w:r>
      <w:r w:rsidR="00E931F5" w:rsidRPr="00422245">
        <w:rPr>
          <w:rStyle w:val="Fotnotereferanse"/>
        </w:rPr>
        <w:footnoteReference w:id="5"/>
      </w:r>
      <w:r w:rsidR="0021311E" w:rsidRPr="00422245">
        <w:t xml:space="preserve"> </w:t>
      </w:r>
    </w:p>
    <w:p w14:paraId="0D1AEEB1" w14:textId="588781DA" w:rsidR="00947B56" w:rsidRPr="00422245" w:rsidRDefault="00C6631F" w:rsidP="0043557F">
      <w:r w:rsidRPr="00422245">
        <w:lastRenderedPageBreak/>
        <w:fldChar w:fldCharType="begin"/>
      </w:r>
      <w:r w:rsidRPr="00422245">
        <w:instrText xml:space="preserve"> REF _Ref159416699 \h </w:instrText>
      </w:r>
      <w:r w:rsidRPr="00422245">
        <w:fldChar w:fldCharType="separate"/>
      </w:r>
      <w:r w:rsidRPr="00422245">
        <w:t xml:space="preserve">Figur </w:t>
      </w:r>
      <w:r w:rsidR="003F3AD2">
        <w:rPr>
          <w:noProof/>
        </w:rPr>
        <w:t>2</w:t>
      </w:r>
      <w:r w:rsidR="005B096E">
        <w:noBreakHyphen/>
      </w:r>
      <w:r w:rsidRPr="00422245">
        <w:t>1</w:t>
      </w:r>
      <w:r w:rsidRPr="00422245">
        <w:fldChar w:fldCharType="end"/>
      </w:r>
      <w:r w:rsidR="004C1F98" w:rsidRPr="00422245">
        <w:t xml:space="preserve"> viser </w:t>
      </w:r>
      <w:r w:rsidR="0063307C" w:rsidRPr="00422245">
        <w:t xml:space="preserve">endringer i alderssammensetningen i høyere utdanning de siste 30 årene. </w:t>
      </w:r>
      <w:r w:rsidR="001271E7" w:rsidRPr="00422245">
        <w:t xml:space="preserve">Antallet studenter i alle aldersgrupper har økt betraktelig disse årene. </w:t>
      </w:r>
      <w:r w:rsidR="00156CD1" w:rsidRPr="00422245">
        <w:t xml:space="preserve">Særlig stor har </w:t>
      </w:r>
      <w:r w:rsidR="00834230" w:rsidRPr="00422245">
        <w:t xml:space="preserve">veksten vært </w:t>
      </w:r>
      <w:r w:rsidR="00E229BC" w:rsidRPr="00422245">
        <w:t xml:space="preserve">i </w:t>
      </w:r>
      <w:r w:rsidR="004D3838" w:rsidRPr="00422245">
        <w:t xml:space="preserve">aldersgruppen </w:t>
      </w:r>
      <w:r w:rsidR="008F5D31" w:rsidRPr="00422245">
        <w:t>30 år eller eldre</w:t>
      </w:r>
      <w:r w:rsidR="00B2716A" w:rsidRPr="00422245">
        <w:t xml:space="preserve">, </w:t>
      </w:r>
      <w:r w:rsidR="00543B03">
        <w:t>som har økt sin</w:t>
      </w:r>
      <w:r w:rsidR="00A506EE">
        <w:t xml:space="preserve"> andel av </w:t>
      </w:r>
      <w:r w:rsidR="00A70E89">
        <w:t xml:space="preserve">studentmassen med </w:t>
      </w:r>
      <w:r w:rsidR="008F5D31" w:rsidRPr="00422245">
        <w:t>10 prosentpoeng</w:t>
      </w:r>
      <w:r w:rsidR="00DC0E29" w:rsidRPr="00422245">
        <w:t xml:space="preserve">. </w:t>
      </w:r>
      <w:r w:rsidR="00134654" w:rsidRPr="00422245">
        <w:t xml:space="preserve">Økningen i denne aldersgruppen var </w:t>
      </w:r>
      <w:r w:rsidR="007758EA" w:rsidRPr="00422245">
        <w:t>særlig stor de</w:t>
      </w:r>
      <w:r w:rsidR="007B6F53">
        <w:t>t</w:t>
      </w:r>
      <w:r w:rsidR="007758EA" w:rsidRPr="00422245">
        <w:t xml:space="preserve"> første </w:t>
      </w:r>
      <w:r w:rsidR="00E65351" w:rsidRPr="00422245">
        <w:t>tiåre</w:t>
      </w:r>
      <w:r w:rsidR="007B6F53">
        <w:t>t</w:t>
      </w:r>
      <w:r w:rsidR="00277B30" w:rsidRPr="00422245">
        <w:t xml:space="preserve"> etter 1993</w:t>
      </w:r>
      <w:r w:rsidR="00E65351" w:rsidRPr="00422245">
        <w:t>, og de siste femten årene</w:t>
      </w:r>
      <w:r w:rsidR="008F6031">
        <w:t xml:space="preserve"> har den</w:t>
      </w:r>
      <w:r w:rsidR="00E65351" w:rsidRPr="00422245">
        <w:t xml:space="preserve"> </w:t>
      </w:r>
      <w:r w:rsidR="00393695" w:rsidRPr="00422245">
        <w:t>utgjort om lag</w:t>
      </w:r>
      <w:r w:rsidR="00E65351" w:rsidRPr="00422245">
        <w:t xml:space="preserve"> 30 prosent</w:t>
      </w:r>
      <w:r w:rsidR="0022501A" w:rsidRPr="00422245">
        <w:t xml:space="preserve"> av studentene</w:t>
      </w:r>
      <w:r w:rsidR="00E65351" w:rsidRPr="00422245">
        <w:t xml:space="preserve">. </w:t>
      </w:r>
    </w:p>
    <w:p w14:paraId="0950B03E" w14:textId="51FA57AB" w:rsidR="00947B56" w:rsidRPr="00422245" w:rsidRDefault="00970C2A" w:rsidP="00970C2A">
      <w:pPr>
        <w:pStyle w:val="Bildetekst"/>
        <w:keepNext/>
      </w:pPr>
      <w:bookmarkStart w:id="20" w:name="_Ref159416699"/>
      <w:r w:rsidRPr="00422245">
        <w:t xml:space="preserve">Figur </w:t>
      </w:r>
      <w:r w:rsidR="006E1D94">
        <w:fldChar w:fldCharType="begin"/>
      </w:r>
      <w:r w:rsidR="006E1D94">
        <w:instrText xml:space="preserve"> STYLEREF 1 \s </w:instrText>
      </w:r>
      <w:r w:rsidR="006E1D94">
        <w:fldChar w:fldCharType="separate"/>
      </w:r>
      <w:r w:rsidR="006E1D94">
        <w:rPr>
          <w:noProof/>
        </w:rPr>
        <w:t>2</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w:t>
      </w:r>
      <w:r w:rsidR="006E1D94">
        <w:fldChar w:fldCharType="end"/>
      </w:r>
      <w:bookmarkEnd w:id="20"/>
      <w:r w:rsidR="004F6D54">
        <w:t xml:space="preserve"> </w:t>
      </w:r>
      <w:r w:rsidR="002C5397" w:rsidRPr="00422245">
        <w:t>Aldersgrupper</w:t>
      </w:r>
      <w:r w:rsidR="004C1F98" w:rsidRPr="00422245">
        <w:t xml:space="preserve"> i høyere utdanning 199</w:t>
      </w:r>
      <w:r w:rsidR="006B00EA" w:rsidRPr="00422245">
        <w:t>4</w:t>
      </w:r>
      <w:r w:rsidR="0063307C" w:rsidRPr="00422245">
        <w:noBreakHyphen/>
      </w:r>
      <w:r w:rsidR="004C1F98" w:rsidRPr="00422245">
        <w:t>202</w:t>
      </w:r>
      <w:r w:rsidR="002C5397" w:rsidRPr="00422245">
        <w:t>3</w:t>
      </w:r>
      <w:r w:rsidR="00D82B5C" w:rsidRPr="00422245">
        <w:t xml:space="preserve">. </w:t>
      </w:r>
      <w:r w:rsidR="006920F9" w:rsidRPr="00422245">
        <w:t>Antall</w:t>
      </w:r>
    </w:p>
    <w:p w14:paraId="58C51F28" w14:textId="66E50AD0" w:rsidR="00F27497" w:rsidRPr="00422245" w:rsidRDefault="00877505" w:rsidP="009F54CE">
      <w:pPr>
        <w:keepNext/>
        <w:keepLines/>
      </w:pPr>
      <w:r w:rsidRPr="00422245">
        <w:rPr>
          <w:noProof/>
        </w:rPr>
        <w:drawing>
          <wp:inline distT="0" distB="0" distL="0" distR="0" wp14:anchorId="7BDCB81B" wp14:editId="7D43776D">
            <wp:extent cx="5697940" cy="3044825"/>
            <wp:effectExtent l="0" t="0" r="17145" b="3175"/>
            <wp:docPr id="821603736" name="Diagram 1">
              <a:extLst xmlns:a="http://schemas.openxmlformats.org/drawingml/2006/main">
                <a:ext uri="{FF2B5EF4-FFF2-40B4-BE49-F238E27FC236}">
                  <a16:creationId xmlns:a16="http://schemas.microsoft.com/office/drawing/2014/main" id="{047B4E48-1048-089A-FEA1-0033C8C651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5BADF85" w14:textId="0D1EEF98" w:rsidR="00ED1E88" w:rsidRPr="00422245" w:rsidRDefault="00ED1E88" w:rsidP="006B6C61">
      <w:pPr>
        <w:pStyle w:val="Kilde"/>
      </w:pPr>
      <w:r w:rsidRPr="004E373E">
        <w:rPr>
          <w:b/>
        </w:rPr>
        <w:t>Kilde</w:t>
      </w:r>
      <w:r w:rsidRPr="00422245">
        <w:t>: DBH</w:t>
      </w:r>
    </w:p>
    <w:p w14:paraId="09EAB90A" w14:textId="53717129" w:rsidR="00597FD9" w:rsidRDefault="00A41488" w:rsidP="00E83DA7">
      <w:r w:rsidRPr="00422245">
        <w:t>I et europeisk perspektiv er n</w:t>
      </w:r>
      <w:r w:rsidR="00F24C62" w:rsidRPr="00422245">
        <w:t xml:space="preserve">orske studenter også </w:t>
      </w:r>
      <w:r w:rsidR="00D6527A" w:rsidRPr="00422245">
        <w:t xml:space="preserve">relativt gamle når de </w:t>
      </w:r>
      <w:r w:rsidR="00D6527A" w:rsidRPr="00422245">
        <w:rPr>
          <w:i/>
          <w:iCs/>
        </w:rPr>
        <w:t>starter</w:t>
      </w:r>
      <w:r w:rsidR="00D6527A" w:rsidRPr="00422245">
        <w:t xml:space="preserve"> høyere utdanning</w:t>
      </w:r>
      <w:r w:rsidR="000A5660" w:rsidRPr="00422245">
        <w:t>.</w:t>
      </w:r>
      <w:r w:rsidR="00632295" w:rsidRPr="00422245">
        <w:t xml:space="preserve"> </w:t>
      </w:r>
      <w:r w:rsidR="00A16F33" w:rsidRPr="00422245">
        <w:t xml:space="preserve">Norge er blant de </w:t>
      </w:r>
      <w:r w:rsidR="00F24C62" w:rsidRPr="00422245">
        <w:t>25 prosent</w:t>
      </w:r>
      <w:r w:rsidR="00CD2BB0" w:rsidRPr="00422245">
        <w:t xml:space="preserve"> av</w:t>
      </w:r>
      <w:r w:rsidR="00F24C62" w:rsidRPr="00422245">
        <w:t xml:space="preserve"> </w:t>
      </w:r>
      <w:r w:rsidR="003242D6" w:rsidRPr="00422245">
        <w:t xml:space="preserve">landene i Europa hvor </w:t>
      </w:r>
      <w:r w:rsidR="00F11187" w:rsidRPr="00422245">
        <w:t xml:space="preserve">studentene er </w:t>
      </w:r>
      <w:r w:rsidR="00F24C62" w:rsidRPr="00422245">
        <w:t>eldst når de starter i høyere utdanning.</w:t>
      </w:r>
      <w:r w:rsidR="009C6D33" w:rsidRPr="00422245">
        <w:t xml:space="preserve"> Dette</w:t>
      </w:r>
      <w:r w:rsidR="00F24C62" w:rsidRPr="00422245">
        <w:t xml:space="preserve"> </w:t>
      </w:r>
      <w:r w:rsidR="009C6D33" w:rsidRPr="00422245">
        <w:t xml:space="preserve">må ses i sammenheng med </w:t>
      </w:r>
      <w:r w:rsidR="000C7417" w:rsidRPr="00422245">
        <w:t xml:space="preserve">at </w:t>
      </w:r>
      <w:r w:rsidR="00EF6422" w:rsidRPr="00422245">
        <w:t xml:space="preserve">alderen for </w:t>
      </w:r>
      <w:r w:rsidR="000C7417" w:rsidRPr="00422245">
        <w:t>videregående opplæring</w:t>
      </w:r>
      <w:r w:rsidR="000B6629" w:rsidRPr="00422245">
        <w:t xml:space="preserve"> </w:t>
      </w:r>
      <w:r w:rsidR="000C7417" w:rsidRPr="00422245">
        <w:t xml:space="preserve">er noe høyere i Norge enn i </w:t>
      </w:r>
      <w:r w:rsidR="005C63C4" w:rsidRPr="00422245">
        <w:t>mange</w:t>
      </w:r>
      <w:r w:rsidR="00087CEB" w:rsidRPr="00422245">
        <w:t xml:space="preserve"> andre</w:t>
      </w:r>
      <w:r w:rsidR="00713D25" w:rsidRPr="00422245">
        <w:t xml:space="preserve"> land, </w:t>
      </w:r>
      <w:r w:rsidR="000B6629" w:rsidRPr="00422245">
        <w:t xml:space="preserve">og </w:t>
      </w:r>
      <w:r w:rsidR="00DA085C" w:rsidRPr="00422245">
        <w:t xml:space="preserve">at det er </w:t>
      </w:r>
      <w:r w:rsidR="00DB1BFF" w:rsidRPr="00422245">
        <w:t xml:space="preserve">relativt vanlig med </w:t>
      </w:r>
      <w:r w:rsidR="000B3EB1" w:rsidRPr="00422245">
        <w:t xml:space="preserve">opphold i utdanningsløpet etter videregående skole. </w:t>
      </w:r>
      <w:r w:rsidR="00597FD9" w:rsidRPr="00597FD9">
        <w:t>Et opphold før studiene er vanlig også i de andre nordiske landene.</w:t>
      </w:r>
    </w:p>
    <w:p w14:paraId="17CE7FB9" w14:textId="3ED3B7A0" w:rsidR="00F24C62" w:rsidRDefault="001F5E80" w:rsidP="00E83DA7">
      <w:r w:rsidRPr="00422245">
        <w:t>I Norge har h</w:t>
      </w:r>
      <w:r w:rsidR="000B3EB1" w:rsidRPr="00422245">
        <w:t xml:space="preserve">ver femte student hatt et </w:t>
      </w:r>
      <w:r w:rsidR="00944DDF" w:rsidRPr="00422245">
        <w:t>opphold</w:t>
      </w:r>
      <w:r w:rsidR="000B3EB1" w:rsidRPr="00422245">
        <w:t xml:space="preserve"> på minst to år før de </w:t>
      </w:r>
      <w:r w:rsidR="000F4912">
        <w:t>tar</w:t>
      </w:r>
      <w:r w:rsidR="000F4912" w:rsidRPr="00422245">
        <w:t xml:space="preserve"> </w:t>
      </w:r>
      <w:r w:rsidR="000B3EB1" w:rsidRPr="00422245">
        <w:t>fatt på studiene.</w:t>
      </w:r>
      <w:r w:rsidRPr="00422245">
        <w:rPr>
          <w:rStyle w:val="Fotnotereferanse"/>
        </w:rPr>
        <w:footnoteReference w:id="6"/>
      </w:r>
      <w:r w:rsidR="000B3EB1" w:rsidRPr="00422245">
        <w:t xml:space="preserve"> </w:t>
      </w:r>
      <w:r w:rsidR="00787C82" w:rsidRPr="00422245">
        <w:t>Å avtjene v</w:t>
      </w:r>
      <w:r w:rsidR="00642947" w:rsidRPr="00422245">
        <w:t>erneplikt,</w:t>
      </w:r>
      <w:r w:rsidR="00A35CFA" w:rsidRPr="00422245">
        <w:t xml:space="preserve"> </w:t>
      </w:r>
      <w:r w:rsidR="00590010" w:rsidRPr="00422245">
        <w:t>ta opp fag fra videregåen</w:t>
      </w:r>
      <w:r w:rsidR="00A35CFA" w:rsidRPr="00422245">
        <w:t>de</w:t>
      </w:r>
      <w:r w:rsidR="009F1780" w:rsidRPr="00422245">
        <w:t xml:space="preserve">, </w:t>
      </w:r>
      <w:r w:rsidR="006F2100" w:rsidRPr="00422245">
        <w:t xml:space="preserve">gå </w:t>
      </w:r>
      <w:r w:rsidR="005C6AD4" w:rsidRPr="00422245">
        <w:t xml:space="preserve">på </w:t>
      </w:r>
      <w:r w:rsidR="009F1780" w:rsidRPr="00422245">
        <w:t>folkehø</w:t>
      </w:r>
      <w:r w:rsidR="001C42C0" w:rsidRPr="00422245">
        <w:t>g</w:t>
      </w:r>
      <w:r w:rsidR="009F1780" w:rsidRPr="00422245">
        <w:t>skole</w:t>
      </w:r>
      <w:r w:rsidR="005D4BA7" w:rsidRPr="00422245">
        <w:t xml:space="preserve"> </w:t>
      </w:r>
      <w:r w:rsidR="002868B2" w:rsidRPr="00422245">
        <w:lastRenderedPageBreak/>
        <w:t>eller</w:t>
      </w:r>
      <w:r w:rsidR="009F1780" w:rsidRPr="00422245">
        <w:t xml:space="preserve"> </w:t>
      </w:r>
      <w:r w:rsidR="005C6AD4" w:rsidRPr="00422245">
        <w:t xml:space="preserve">ta </w:t>
      </w:r>
      <w:r w:rsidR="00E36F04" w:rsidRPr="00422245">
        <w:t>lønnet arbeid</w:t>
      </w:r>
      <w:r w:rsidR="009F1780" w:rsidRPr="00422245">
        <w:t xml:space="preserve"> er </w:t>
      </w:r>
      <w:r w:rsidR="00D67706" w:rsidRPr="00422245">
        <w:t xml:space="preserve">vanlige </w:t>
      </w:r>
      <w:r w:rsidR="00335D8A" w:rsidRPr="00422245">
        <w:t xml:space="preserve">årsaker til </w:t>
      </w:r>
      <w:r w:rsidR="00526A7B" w:rsidRPr="00422245">
        <w:t>at mange venter med</w:t>
      </w:r>
      <w:r w:rsidR="009F1780" w:rsidRPr="00422245">
        <w:t xml:space="preserve"> å studere.</w:t>
      </w:r>
      <w:r w:rsidR="00EB03D7">
        <w:t xml:space="preserve"> </w:t>
      </w:r>
      <w:r w:rsidR="00FA690F">
        <w:t>O</w:t>
      </w:r>
      <w:r w:rsidR="006F5792" w:rsidRPr="006F5792">
        <w:t>pptaksreglene til høyere utdanning</w:t>
      </w:r>
      <w:r w:rsidR="00554D1C">
        <w:t xml:space="preserve"> </w:t>
      </w:r>
      <w:r w:rsidR="00FA690F">
        <w:t>bidrar til</w:t>
      </w:r>
      <w:r w:rsidR="00554D1C">
        <w:t xml:space="preserve"> at </w:t>
      </w:r>
      <w:r w:rsidR="002F2CA0">
        <w:t xml:space="preserve">mange </w:t>
      </w:r>
      <w:r w:rsidR="006B3997">
        <w:t xml:space="preserve">unge </w:t>
      </w:r>
      <w:r w:rsidR="001237EB">
        <w:t>kommer sent i gang med utdanningen</w:t>
      </w:r>
      <w:r w:rsidR="006F5792" w:rsidRPr="006F5792">
        <w:t xml:space="preserve">. Blant annet </w:t>
      </w:r>
      <w:r w:rsidR="00CE2803">
        <w:t>gir</w:t>
      </w:r>
      <w:r w:rsidR="006F5792" w:rsidRPr="006F5792">
        <w:t xml:space="preserve"> ordningen med tilleggspoeng eldre søkere </w:t>
      </w:r>
      <w:r w:rsidR="000128EC">
        <w:t>konkurransefortrinn</w:t>
      </w:r>
      <w:r w:rsidR="006F5792" w:rsidRPr="006F5792">
        <w:t xml:space="preserve"> </w:t>
      </w:r>
      <w:r w:rsidR="00FD5FA4">
        <w:t>overfor</w:t>
      </w:r>
      <w:r w:rsidR="00CE2803">
        <w:t xml:space="preserve"> </w:t>
      </w:r>
      <w:r w:rsidR="006F5792" w:rsidRPr="006F5792">
        <w:t xml:space="preserve">yngre </w:t>
      </w:r>
      <w:r w:rsidR="00FD5FA4">
        <w:t>søkere</w:t>
      </w:r>
      <w:r w:rsidR="006F5792" w:rsidRPr="006F5792">
        <w:t>. Regjeringen foreslår derfor endringer i opptaksreglene til høyere utdanning</w:t>
      </w:r>
      <w:r w:rsidR="009C20BE">
        <w:t xml:space="preserve"> </w:t>
      </w:r>
      <w:r w:rsidR="009C20BE">
        <w:fldChar w:fldCharType="begin"/>
      </w:r>
      <w:r w:rsidR="009C20BE">
        <w:instrText xml:space="preserve"> ADDIN EN.CITE &lt;EndNote&gt;&lt;Cite ExcludeYear="1"&gt;&lt;Author&gt;Meld. St. 20 (2023 –2024)&lt;/Author&gt;&lt;RecNum&gt;2296&lt;/RecNum&gt;&lt;DisplayText&gt;(Meld. St. 20 (2023 –2024))&lt;/DisplayText&gt;&lt;record&gt;&lt;rec-number&gt;2296&lt;/rec-number&gt;&lt;foreign-keys&gt;&lt;key app="EN" db-id="p2et5feaxrpe5zew2eavt29z05fv09aa5s0w" timestamp="1712472832" guid="d03068e5-7c74-4848-9bca-1831552e4ae7"&gt;2296&lt;/key&gt;&lt;/foreign-keys&gt;&lt;ref-type name="Report"&gt;27&lt;/ref-type&gt;&lt;contributors&gt;&lt;authors&gt;&lt;author&gt;Meld. St. 20 (2023 –2024),&lt;/author&gt;&lt;/authors&gt;&lt;tertiary-authors&gt;&lt;author&gt;Kunnskapsdepartementet&lt;/author&gt;&lt;/tertiary-authors&gt;&lt;/contributors&gt;&lt;titles&gt;&lt;title&gt;Opptak til høgare utdanning&lt;/title&gt;&lt;/titles&gt;&lt;dates&gt;&lt;/dates&gt;&lt;publisher&gt;Kunnskapsdepartementet&lt;/publisher&gt;&lt;urls&gt;&lt;related-urls&gt;&lt;url&gt;https://www.regjeringen.no/no/dokumenter/meld.-st.-20-20232024/id3032432/&lt;/url&gt;&lt;/related-urls&gt;&lt;/urls&gt;&lt;/record&gt;&lt;/Cite&gt;&lt;/EndNote&gt;</w:instrText>
      </w:r>
      <w:r w:rsidR="009C20BE">
        <w:fldChar w:fldCharType="separate"/>
      </w:r>
      <w:r w:rsidR="009C20BE">
        <w:rPr>
          <w:noProof/>
        </w:rPr>
        <w:t>(Meld. St. 20 (2023 –2024))</w:t>
      </w:r>
      <w:r w:rsidR="009C20BE">
        <w:fldChar w:fldCharType="end"/>
      </w:r>
      <w:r w:rsidR="009C20BE">
        <w:t>,</w:t>
      </w:r>
      <w:r w:rsidR="006E6C0F">
        <w:t xml:space="preserve"> med sikte på å få </w:t>
      </w:r>
      <w:r w:rsidR="00AA41C0">
        <w:t>folk raskere i gang med høyere utdanning</w:t>
      </w:r>
      <w:r w:rsidR="006D6DBA">
        <w:t xml:space="preserve">. </w:t>
      </w:r>
      <w:r w:rsidR="00AA41C0">
        <w:t xml:space="preserve">Hvilken effekt dette vil ha på alderssammensetningen i høyere utdanning gjenstår å se. </w:t>
      </w:r>
    </w:p>
    <w:p w14:paraId="7EFE69BF" w14:textId="25800396" w:rsidR="007067AC" w:rsidRPr="00422245" w:rsidRDefault="007067AC" w:rsidP="007067AC">
      <w:r w:rsidRPr="00422245">
        <w:t xml:space="preserve">De eldste studentene finner vi innen </w:t>
      </w:r>
      <w:r>
        <w:t>l</w:t>
      </w:r>
      <w:r w:rsidRPr="00422245">
        <w:t>ærerutdanninger og utdanninger i pedagogikk (gjennomsnittsalder 31,2 år)</w:t>
      </w:r>
      <w:r w:rsidR="00486C7A">
        <w:t>, samt</w:t>
      </w:r>
      <w:r w:rsidRPr="00422245">
        <w:t xml:space="preserve"> </w:t>
      </w:r>
      <w:r>
        <w:t>h</w:t>
      </w:r>
      <w:r w:rsidRPr="00422245">
        <w:t xml:space="preserve">umanistiske og estetiske fag (30,2 år). De yngste studentene er å finne </w:t>
      </w:r>
      <w:r w:rsidR="009F4614">
        <w:t xml:space="preserve">innenfor </w:t>
      </w:r>
      <w:r>
        <w:t>n</w:t>
      </w:r>
      <w:r w:rsidRPr="00422245">
        <w:t xml:space="preserve">aturvitenskapelige </w:t>
      </w:r>
      <w:r>
        <w:t>og</w:t>
      </w:r>
      <w:r w:rsidRPr="00422245">
        <w:t xml:space="preserve"> tekniske fag (25,5 år) og i </w:t>
      </w:r>
      <w:r>
        <w:t>s</w:t>
      </w:r>
      <w:r w:rsidRPr="00422245">
        <w:t xml:space="preserve">amfunnsfag og juridiske fag (26,2 år). </w:t>
      </w:r>
    </w:p>
    <w:p w14:paraId="34DB5DCD" w14:textId="29073443" w:rsidR="007067AC" w:rsidRPr="00EA069A" w:rsidRDefault="007067AC" w:rsidP="00E83DA7">
      <w:r>
        <w:t xml:space="preserve">Fordi alder varierer mellom fagområder, har den faglige profilen og studietilbudet til lærestedene betydning for alderssammensetningen til studentene ved de ulike institusjonene. </w:t>
      </w:r>
      <w:r w:rsidRPr="002F3ACF">
        <w:t>Blant institusjonene med over 3</w:t>
      </w:r>
      <w:r>
        <w:t> </w:t>
      </w:r>
      <w:r w:rsidRPr="002F3ACF">
        <w:t>000 studenter er det særlig t</w:t>
      </w:r>
      <w:r>
        <w:t>re</w:t>
      </w:r>
      <w:r w:rsidRPr="002F3ACF">
        <w:t xml:space="preserve"> som peker seg ut med en </w:t>
      </w:r>
      <w:r>
        <w:t>yngre</w:t>
      </w:r>
      <w:r w:rsidRPr="002F3ACF">
        <w:t xml:space="preserve"> </w:t>
      </w:r>
      <w:r>
        <w:t xml:space="preserve">studentbefolkning: NTNU (gjennomsnitt 26,1 år), NHH (26,4 år) og UiB (26,9 år). I motsatt ende av skalaen finner vi en rekke institusjoner hvor gjennomsnittstudenten er passert 30 år. Dette gjelder VID (32,5 år), HVO (31,9 år), HINN (31,4 år) og NU (30,9 år). HiØ (30,4 år), USN (30,3 år) og HiM (30,0 år). </w:t>
      </w:r>
      <w:r w:rsidRPr="001509BE">
        <w:t>Vedleggstabell V2.9 viser studentenes alder og kjønn fordelt på institusjon.</w:t>
      </w:r>
    </w:p>
    <w:p w14:paraId="544A5E26" w14:textId="388BEBEC" w:rsidR="00CE210D" w:rsidRDefault="00057D90" w:rsidP="009F4614">
      <w:pPr>
        <w:pStyle w:val="Overskrift3"/>
        <w:spacing w:before="288"/>
      </w:pPr>
      <w:bookmarkStart w:id="21" w:name="_Toc163488390"/>
      <w:r>
        <w:t>Øk</w:t>
      </w:r>
      <w:r w:rsidR="00CE210D">
        <w:t>t</w:t>
      </w:r>
      <w:r>
        <w:t xml:space="preserve"> studietilbøyelighet</w:t>
      </w:r>
      <w:bookmarkEnd w:id="21"/>
    </w:p>
    <w:p w14:paraId="0FEBEFCB" w14:textId="353AF9F7" w:rsidR="00DE4360" w:rsidRDefault="00F81547" w:rsidP="00800D13">
      <w:r w:rsidRPr="00F81547">
        <w:t xml:space="preserve">De siste tiårene har </w:t>
      </w:r>
      <w:r w:rsidR="00581487">
        <w:t>andelen</w:t>
      </w:r>
      <w:r w:rsidRPr="00F81547">
        <w:t xml:space="preserve"> </w:t>
      </w:r>
      <w:r w:rsidR="00C5701B">
        <w:t>av</w:t>
      </w:r>
      <w:r w:rsidR="00EB681F">
        <w:t xml:space="preserve"> bef</w:t>
      </w:r>
      <w:r w:rsidR="005702B6">
        <w:t xml:space="preserve">olkningen </w:t>
      </w:r>
      <w:r w:rsidRPr="00F81547">
        <w:t>som studerer, altså studietilbøyeligheten, økt mer enn folketalle</w:t>
      </w:r>
      <w:r w:rsidR="00236F82">
        <w:t>t</w:t>
      </w:r>
      <w:r w:rsidRPr="00F81547">
        <w:t xml:space="preserve">. </w:t>
      </w:r>
      <w:r w:rsidR="000061B9" w:rsidRPr="00422245">
        <w:fldChar w:fldCharType="begin"/>
      </w:r>
      <w:r w:rsidR="000061B9" w:rsidRPr="00422245">
        <w:instrText xml:space="preserve"> REF _Ref159417233 \h </w:instrText>
      </w:r>
      <w:r w:rsidR="000061B9" w:rsidRPr="00422245">
        <w:fldChar w:fldCharType="separate"/>
      </w:r>
      <w:r w:rsidR="000061B9" w:rsidRPr="00422245">
        <w:t xml:space="preserve">Figur </w:t>
      </w:r>
      <w:r w:rsidR="003F3AD2">
        <w:rPr>
          <w:noProof/>
        </w:rPr>
        <w:t>2</w:t>
      </w:r>
      <w:r w:rsidR="005B096E">
        <w:noBreakHyphen/>
      </w:r>
      <w:r w:rsidR="000061B9" w:rsidRPr="00422245">
        <w:t>2</w:t>
      </w:r>
      <w:r w:rsidR="000061B9" w:rsidRPr="00422245">
        <w:fldChar w:fldCharType="end"/>
      </w:r>
      <w:r w:rsidR="001D104A" w:rsidRPr="00422245">
        <w:t xml:space="preserve"> viser prosentandelen av to årskull i høyere utdanning for hvert av de siste 20 årene. Både i aldersgruppen 19-24 år og 25-29 år har andelen som er i høyere utdanning økt ganske jevnt gjennom perioden. </w:t>
      </w:r>
      <w:r w:rsidR="00D94640" w:rsidRPr="00422245">
        <w:t xml:space="preserve">Mens </w:t>
      </w:r>
      <w:r w:rsidR="00114056" w:rsidRPr="00422245">
        <w:t>22 prosent av aldersgruppen 19-24 år studerte</w:t>
      </w:r>
      <w:r w:rsidR="00A34A8B" w:rsidRPr="00422245">
        <w:t xml:space="preserve"> i 1992</w:t>
      </w:r>
      <w:r w:rsidR="00114056" w:rsidRPr="00422245">
        <w:t xml:space="preserve">, hadde </w:t>
      </w:r>
      <w:r w:rsidR="00A34A8B" w:rsidRPr="00422245">
        <w:t>andelen</w:t>
      </w:r>
      <w:r w:rsidR="00114056" w:rsidRPr="00422245">
        <w:t xml:space="preserve"> økt til 37 prosent i 2022</w:t>
      </w:r>
      <w:r w:rsidR="00053499" w:rsidRPr="00422245">
        <w:t xml:space="preserve">, </w:t>
      </w:r>
      <w:r w:rsidR="00704967" w:rsidRPr="00422245">
        <w:t xml:space="preserve">en økning på 16 prosentpoeng. </w:t>
      </w:r>
      <w:r w:rsidR="00114056" w:rsidRPr="00422245">
        <w:t xml:space="preserve">For aldersgruppen </w:t>
      </w:r>
      <w:r w:rsidR="00D06189" w:rsidRPr="00422245">
        <w:t xml:space="preserve">25-29 år har økningen vært </w:t>
      </w:r>
      <w:r w:rsidR="00957A1E" w:rsidRPr="00422245">
        <w:t xml:space="preserve">mindre, </w:t>
      </w:r>
      <w:r w:rsidR="00D06189" w:rsidRPr="00422245">
        <w:t>6 prosentpoeng i samme periode</w:t>
      </w:r>
      <w:r w:rsidR="0051791B" w:rsidRPr="00422245">
        <w:t xml:space="preserve">. I 1992 studerte </w:t>
      </w:r>
      <w:r w:rsidR="0090131E" w:rsidRPr="00422245">
        <w:t xml:space="preserve">11 prosent </w:t>
      </w:r>
      <w:r w:rsidR="0051791B" w:rsidRPr="00422245">
        <w:t>av 25-29-åringene, mens tallet 20 år senere var</w:t>
      </w:r>
      <w:r w:rsidR="0090131E" w:rsidRPr="00422245">
        <w:t xml:space="preserve"> </w:t>
      </w:r>
      <w:r w:rsidR="0051791B" w:rsidRPr="00422245">
        <w:t xml:space="preserve">økt </w:t>
      </w:r>
      <w:r w:rsidR="0090131E" w:rsidRPr="00422245">
        <w:t xml:space="preserve">til 17 prosent. Totalt </w:t>
      </w:r>
      <w:r w:rsidR="00AB7840" w:rsidRPr="00422245">
        <w:t xml:space="preserve">for disse to aldersgruppene har </w:t>
      </w:r>
      <w:r w:rsidR="00B74529" w:rsidRPr="00422245">
        <w:t>andelen som studerer</w:t>
      </w:r>
      <w:r w:rsidR="00AB7840" w:rsidRPr="00422245">
        <w:t xml:space="preserve"> </w:t>
      </w:r>
      <w:r w:rsidR="00B74529" w:rsidRPr="00422245">
        <w:t xml:space="preserve">økt fra 32 prosent i 1992 til </w:t>
      </w:r>
      <w:r w:rsidR="00F5308B" w:rsidRPr="00422245">
        <w:t>54 prosent i 2022.</w:t>
      </w:r>
      <w:r w:rsidR="00AB7840" w:rsidRPr="00422245">
        <w:t xml:space="preserve"> </w:t>
      </w:r>
      <w:r w:rsidR="00337A33" w:rsidRPr="00422245">
        <w:t xml:space="preserve">Over halvparten av alle </w:t>
      </w:r>
      <w:r w:rsidR="00273FB2" w:rsidRPr="00422245">
        <w:t xml:space="preserve">i aldersgruppen </w:t>
      </w:r>
      <w:r w:rsidR="00337A33" w:rsidRPr="00422245">
        <w:t>19-29</w:t>
      </w:r>
      <w:r w:rsidR="00273FB2" w:rsidRPr="00422245">
        <w:t xml:space="preserve"> </w:t>
      </w:r>
      <w:r w:rsidR="00790834" w:rsidRPr="00422245">
        <w:t xml:space="preserve">år </w:t>
      </w:r>
      <w:r w:rsidR="008B773A" w:rsidRPr="00422245">
        <w:t>var</w:t>
      </w:r>
      <w:r w:rsidR="00273FB2" w:rsidRPr="00422245">
        <w:t xml:space="preserve"> altså</w:t>
      </w:r>
      <w:r w:rsidR="008B773A" w:rsidRPr="00422245">
        <w:t xml:space="preserve"> i gang med høyere utdanning i 2022. </w:t>
      </w:r>
    </w:p>
    <w:p w14:paraId="6CD8ACFE" w14:textId="70949A2F" w:rsidR="004054E2" w:rsidRPr="00422245" w:rsidRDefault="00DE4360" w:rsidP="00800D13">
      <w:r w:rsidRPr="00DE4360">
        <w:t xml:space="preserve">Den økte studietilbøyeligheten kan være et resultat av en rekke faktorer; flere tar videregående opplæring, økt velstandsnivå gjør det mulig for flere å utsette </w:t>
      </w:r>
      <w:r w:rsidRPr="00DE4360">
        <w:lastRenderedPageBreak/>
        <w:t>fulltidsarbeid, en stadig større del av arbeidsgiverne etterspør høy kompetanse og høyere utdanning gir mer stabile jobber og bedre lønn.</w:t>
      </w:r>
    </w:p>
    <w:p w14:paraId="71538689" w14:textId="7C4FB50D" w:rsidR="00293245" w:rsidRPr="00422245" w:rsidRDefault="000061B9" w:rsidP="00BB7B06">
      <w:pPr>
        <w:pStyle w:val="Bildetekst"/>
        <w:keepNext/>
        <w:keepLines/>
      </w:pPr>
      <w:bookmarkStart w:id="22" w:name="_Ref159417233"/>
      <w:r w:rsidRPr="00422245">
        <w:t xml:space="preserve">Figur </w:t>
      </w:r>
      <w:r w:rsidR="006E1D94">
        <w:fldChar w:fldCharType="begin"/>
      </w:r>
      <w:r w:rsidR="006E1D94">
        <w:instrText xml:space="preserve"> STYLEREF 1 \s </w:instrText>
      </w:r>
      <w:r w:rsidR="006E1D94">
        <w:fldChar w:fldCharType="separate"/>
      </w:r>
      <w:r w:rsidR="006E1D94">
        <w:rPr>
          <w:noProof/>
        </w:rPr>
        <w:t>2</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22"/>
      <w:r w:rsidR="00D53498" w:rsidRPr="00422245">
        <w:rPr>
          <w:lang w:eastAsia="nb-NO"/>
        </w:rPr>
        <w:t xml:space="preserve"> </w:t>
      </w:r>
      <w:r w:rsidR="00886ADC" w:rsidRPr="00422245">
        <w:rPr>
          <w:lang w:eastAsia="nb-NO"/>
        </w:rPr>
        <w:t>S</w:t>
      </w:r>
      <w:r w:rsidR="00D53498" w:rsidRPr="00422245">
        <w:rPr>
          <w:lang w:eastAsia="nb-NO"/>
        </w:rPr>
        <w:t xml:space="preserve">tudenter i høyere utdanning </w:t>
      </w:r>
      <w:r w:rsidR="00886ADC" w:rsidRPr="00422245">
        <w:rPr>
          <w:lang w:eastAsia="nb-NO"/>
        </w:rPr>
        <w:t>som andel</w:t>
      </w:r>
      <w:r w:rsidR="00D53498" w:rsidRPr="00422245">
        <w:rPr>
          <w:lang w:eastAsia="nb-NO"/>
        </w:rPr>
        <w:t xml:space="preserve"> av årskull</w:t>
      </w:r>
      <w:r w:rsidR="00885ABB" w:rsidRPr="00422245">
        <w:rPr>
          <w:lang w:eastAsia="nb-NO"/>
        </w:rPr>
        <w:t>, 199</w:t>
      </w:r>
      <w:r w:rsidR="00B4696A" w:rsidRPr="00422245">
        <w:rPr>
          <w:lang w:eastAsia="nb-NO"/>
        </w:rPr>
        <w:t>3</w:t>
      </w:r>
      <w:r w:rsidR="00885ABB" w:rsidRPr="00422245">
        <w:rPr>
          <w:lang w:eastAsia="nb-NO"/>
        </w:rPr>
        <w:t>-202</w:t>
      </w:r>
      <w:r w:rsidR="00D76F76">
        <w:rPr>
          <w:lang w:eastAsia="nb-NO"/>
        </w:rPr>
        <w:t>3</w:t>
      </w:r>
    </w:p>
    <w:tbl>
      <w:tblPr>
        <w:tblW w:w="9026" w:type="dxa"/>
        <w:tblCellMar>
          <w:left w:w="0" w:type="dxa"/>
          <w:right w:w="0" w:type="dxa"/>
        </w:tblCellMar>
        <w:tblLook w:val="04A0" w:firstRow="1" w:lastRow="0" w:firstColumn="1" w:lastColumn="0" w:noHBand="0" w:noVBand="1"/>
      </w:tblPr>
      <w:tblGrid>
        <w:gridCol w:w="9026"/>
      </w:tblGrid>
      <w:tr w:rsidR="00255555" w14:paraId="52B0B042" w14:textId="77777777" w:rsidTr="00255555">
        <w:trPr>
          <w:trHeight w:val="290"/>
        </w:trPr>
        <w:tc>
          <w:tcPr>
            <w:tcW w:w="9026" w:type="dxa"/>
            <w:tcBorders>
              <w:top w:val="nil"/>
              <w:left w:val="nil"/>
              <w:bottom w:val="nil"/>
              <w:right w:val="nil"/>
            </w:tcBorders>
            <w:shd w:val="clear" w:color="auto" w:fill="auto"/>
            <w:noWrap/>
            <w:tcMar>
              <w:top w:w="15" w:type="dxa"/>
              <w:left w:w="15" w:type="dxa"/>
              <w:bottom w:w="0" w:type="dxa"/>
              <w:right w:w="15" w:type="dxa"/>
            </w:tcMar>
            <w:vAlign w:val="bottom"/>
            <w:hideMark/>
          </w:tcPr>
          <w:p w14:paraId="0FE15619" w14:textId="1234A0B4" w:rsidR="00255555" w:rsidRDefault="00044058" w:rsidP="00BB7B06">
            <w:pPr>
              <w:pStyle w:val="Merknad"/>
              <w:keepNext/>
              <w:keepLines/>
            </w:pPr>
            <w:r>
              <w:rPr>
                <w:noProof/>
              </w:rPr>
              <w:drawing>
                <wp:inline distT="0" distB="0" distL="0" distR="0" wp14:anchorId="1DBF3A5E" wp14:editId="618DE4A9">
                  <wp:extent cx="5677469" cy="2736850"/>
                  <wp:effectExtent l="0" t="0" r="0" b="6350"/>
                  <wp:docPr id="639985676" name="Diagram 1">
                    <a:extLst xmlns:a="http://schemas.openxmlformats.org/drawingml/2006/main">
                      <a:ext uri="{FF2B5EF4-FFF2-40B4-BE49-F238E27FC236}">
                        <a16:creationId xmlns:a16="http://schemas.microsoft.com/office/drawing/2014/main" id="{5CB7736C-5471-39C2-180E-35FC9E5CF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422245">
              <w:t xml:space="preserve"> </w:t>
            </w:r>
          </w:p>
        </w:tc>
      </w:tr>
    </w:tbl>
    <w:p w14:paraId="3B95FBDE" w14:textId="59EF5494" w:rsidR="00F2485F" w:rsidRDefault="00255555" w:rsidP="00405BAA">
      <w:pPr>
        <w:pStyle w:val="Merknad"/>
        <w:keepNext/>
        <w:keepLines/>
      </w:pPr>
      <w:r w:rsidRPr="006B6C61">
        <w:t>Studenter omfatter bare studenter registrert bosatt i Norge per 1. oktober</w:t>
      </w:r>
    </w:p>
    <w:p w14:paraId="24D53772" w14:textId="77777777" w:rsidR="00F2485F" w:rsidRPr="00422245" w:rsidRDefault="00F2485F" w:rsidP="00BB7B06">
      <w:pPr>
        <w:pStyle w:val="Kilde"/>
      </w:pPr>
      <w:r w:rsidRPr="004E373E">
        <w:rPr>
          <w:b/>
        </w:rPr>
        <w:t>Kilde</w:t>
      </w:r>
      <w:r w:rsidRPr="00422245">
        <w:t>: SSB, statistikkbanken</w:t>
      </w:r>
    </w:p>
    <w:p w14:paraId="0A27F9A7" w14:textId="68DC5DB2" w:rsidR="000046F2" w:rsidRDefault="00AB322A" w:rsidP="000046F2">
      <w:r w:rsidRPr="00422245">
        <w:fldChar w:fldCharType="begin"/>
      </w:r>
      <w:r w:rsidRPr="00422245">
        <w:instrText xml:space="preserve"> REF _Ref159578565 \h </w:instrText>
      </w:r>
      <w:r w:rsidR="00000000">
        <w:fldChar w:fldCharType="separate"/>
      </w:r>
      <w:r w:rsidRPr="00422245">
        <w:fldChar w:fldCharType="end"/>
      </w:r>
      <w:r w:rsidR="00C92B25">
        <w:fldChar w:fldCharType="begin"/>
      </w:r>
      <w:r w:rsidR="00C92B25">
        <w:instrText xml:space="preserve"> REF _Ref159578565 \h </w:instrText>
      </w:r>
      <w:r w:rsidR="00000000">
        <w:fldChar w:fldCharType="separate"/>
      </w:r>
      <w:r w:rsidR="00C92B25">
        <w:fldChar w:fldCharType="end"/>
      </w:r>
      <w:r w:rsidRPr="00422245">
        <w:t xml:space="preserve"> og</w:t>
      </w:r>
      <w:r w:rsidR="00A60728" w:rsidRPr="00422245">
        <w:t xml:space="preserve"> </w:t>
      </w:r>
      <w:r w:rsidRPr="00422245">
        <w:fldChar w:fldCharType="begin"/>
      </w:r>
      <w:r w:rsidRPr="00422245">
        <w:instrText xml:space="preserve"> REF _Ref159578571 \h </w:instrText>
      </w:r>
      <w:r w:rsidR="00000000">
        <w:fldChar w:fldCharType="separate"/>
      </w:r>
      <w:r w:rsidRPr="00422245">
        <w:fldChar w:fldCharType="end"/>
      </w:r>
      <w:r w:rsidR="00C92B25">
        <w:fldChar w:fldCharType="begin"/>
      </w:r>
      <w:r w:rsidR="00C92B25">
        <w:instrText xml:space="preserve"> REF _Ref159578571 \h </w:instrText>
      </w:r>
      <w:r w:rsidR="00000000">
        <w:fldChar w:fldCharType="separate"/>
      </w:r>
      <w:r w:rsidR="00C92B25">
        <w:fldChar w:fldCharType="end"/>
      </w:r>
      <w:r w:rsidR="009F2F76">
        <w:t xml:space="preserve"> v</w:t>
      </w:r>
      <w:r w:rsidRPr="00422245">
        <w:t xml:space="preserve">iser </w:t>
      </w:r>
      <w:r w:rsidR="002830A2" w:rsidRPr="00422245">
        <w:t xml:space="preserve">hvor stor </w:t>
      </w:r>
      <w:r w:rsidR="0092289B" w:rsidRPr="00422245">
        <w:t xml:space="preserve">andel av </w:t>
      </w:r>
      <w:r w:rsidR="00C91922" w:rsidRPr="00422245">
        <w:t xml:space="preserve">menn og kvinner </w:t>
      </w:r>
      <w:r w:rsidR="00BC04D5" w:rsidRPr="00422245">
        <w:t xml:space="preserve">født mellom 1985 og 2002 </w:t>
      </w:r>
      <w:r w:rsidR="0092289B" w:rsidRPr="00422245">
        <w:t>som begynte å studere innen en gitt ald</w:t>
      </w:r>
      <w:r w:rsidR="00C91922" w:rsidRPr="00422245">
        <w:t xml:space="preserve">er. </w:t>
      </w:r>
      <w:r w:rsidR="00577DBD">
        <w:t xml:space="preserve">Figurene inkluderer bare studenter som er født i Norge, </w:t>
      </w:r>
      <w:r w:rsidR="0064251F">
        <w:t xml:space="preserve">og </w:t>
      </w:r>
      <w:r w:rsidR="009E1730">
        <w:t xml:space="preserve">gir </w:t>
      </w:r>
      <w:r w:rsidR="00AB6A32">
        <w:t>informasjon om hvor stor del av</w:t>
      </w:r>
      <w:r w:rsidR="00326D8F">
        <w:t xml:space="preserve"> årskullene som ble født i Norge </w:t>
      </w:r>
      <w:r w:rsidR="00545464">
        <w:t xml:space="preserve">som </w:t>
      </w:r>
      <w:r w:rsidR="00C70631">
        <w:t>har begynt å studere.</w:t>
      </w:r>
      <w:r w:rsidR="00C70631">
        <w:rPr>
          <w:rStyle w:val="Fotnotereferanse"/>
        </w:rPr>
        <w:footnoteReference w:id="7"/>
      </w:r>
      <w:r w:rsidR="0064251F">
        <w:t xml:space="preserve"> </w:t>
      </w:r>
    </w:p>
    <w:p w14:paraId="06A9373F" w14:textId="23AB3FE3" w:rsidR="000C4CA8" w:rsidRPr="00422245" w:rsidRDefault="0088659C" w:rsidP="0088659C">
      <w:pPr>
        <w:pStyle w:val="Bildetekst"/>
        <w:keepNext/>
      </w:pPr>
      <w:bookmarkStart w:id="23" w:name="_Ref159578565"/>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2</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bookmarkEnd w:id="23"/>
      <w:r w:rsidRPr="00422245">
        <w:t xml:space="preserve"> </w:t>
      </w:r>
      <w:r w:rsidR="000C4CA8" w:rsidRPr="00422245">
        <w:t>Andel av årskull som begynte å studere innen en gitt alder, menn</w:t>
      </w:r>
      <w:r w:rsidR="00F97F5A" w:rsidRPr="00422245">
        <w:t>. 2021</w:t>
      </w:r>
    </w:p>
    <w:p w14:paraId="5E332DE8" w14:textId="0F4478DA" w:rsidR="00FE7735" w:rsidRPr="00422245" w:rsidRDefault="00FE7735" w:rsidP="000C4CA8">
      <w:pPr>
        <w:keepNext/>
        <w:keepLines/>
      </w:pPr>
      <w:r w:rsidRPr="00422245">
        <w:rPr>
          <w:noProof/>
        </w:rPr>
        <w:drawing>
          <wp:inline distT="0" distB="0" distL="0" distR="0" wp14:anchorId="50DCF2B3" wp14:editId="66FCFC2A">
            <wp:extent cx="5731510" cy="2743200"/>
            <wp:effectExtent l="0" t="0" r="2540" b="0"/>
            <wp:docPr id="1198049499" name="Diagram 1">
              <a:extLst xmlns:a="http://schemas.openxmlformats.org/drawingml/2006/main">
                <a:ext uri="{FF2B5EF4-FFF2-40B4-BE49-F238E27FC236}">
                  <a16:creationId xmlns:a16="http://schemas.microsoft.com/office/drawing/2014/main" id="{A3A3051D-4481-6072-5C87-248A545200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EE5438" w14:textId="4E00B28B" w:rsidR="000C4CA8" w:rsidRDefault="008C27CF" w:rsidP="001E027D">
      <w:pPr>
        <w:pStyle w:val="Kilde"/>
      </w:pPr>
      <w:r w:rsidRPr="004E373E">
        <w:rPr>
          <w:b/>
        </w:rPr>
        <w:t>Kilde</w:t>
      </w:r>
      <w:r w:rsidRPr="00422245">
        <w:t xml:space="preserve">: </w:t>
      </w:r>
      <w:r w:rsidR="00066095">
        <w:t>Microdata</w:t>
      </w:r>
      <w:r w:rsidR="002D64DE">
        <w:t>, SSB</w:t>
      </w:r>
    </w:p>
    <w:p w14:paraId="652D4949" w14:textId="146CA723" w:rsidR="008D637A" w:rsidRDefault="008D637A" w:rsidP="008D637A">
      <w:r>
        <w:t xml:space="preserve">Studietilbøyeligheten er vesentlig høyere blant kvinner enn </w:t>
      </w:r>
      <w:r w:rsidR="00B15040">
        <w:t xml:space="preserve">blant </w:t>
      </w:r>
      <w:r>
        <w:t>menn i alle årskull fra 1985 til 1997.</w:t>
      </w:r>
      <w:r w:rsidR="005A299E">
        <w:rPr>
          <w:rStyle w:val="Fotnotereferanse"/>
        </w:rPr>
        <w:footnoteReference w:id="8"/>
      </w:r>
      <w:r>
        <w:t xml:space="preserve"> Andelen menn som har begynt å studere innen fylte 24 år</w:t>
      </w:r>
      <w:r w:rsidR="003D6D36">
        <w:t>,</w:t>
      </w:r>
      <w:r>
        <w:t xml:space="preserve"> har økt fra rundt 40 prosent for årskullene som er født på slutten av 80-tallet, til i underkant av 50 prosent for årskullene født mellom 1995 og 1997. For kvinner har andelen økt fra noe under 60 prosent for 1985-kullet til over 70 prosent blant dem som er født i 1997. Dermed er ikke bare studietilbøyeligheten høyere for kvinnene, vi ser også at den øker mer over tid for kvinner enn for menn. </w:t>
      </w:r>
    </w:p>
    <w:p w14:paraId="6D2C9309" w14:textId="15C133F3" w:rsidR="000C4CA8" w:rsidRPr="00422245" w:rsidRDefault="0088659C" w:rsidP="005A4739">
      <w:pPr>
        <w:pStyle w:val="Bildetekst"/>
        <w:keepNext/>
      </w:pPr>
      <w:bookmarkStart w:id="24" w:name="_Ref159578571"/>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2</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24"/>
      <w:r w:rsidRPr="00422245">
        <w:t xml:space="preserve"> </w:t>
      </w:r>
      <w:r w:rsidR="000C4CA8" w:rsidRPr="00422245">
        <w:t>Andel av årskull som begynte å studere innen en gitt alder, kvinner</w:t>
      </w:r>
      <w:r w:rsidR="00F97F5A" w:rsidRPr="00422245">
        <w:t>. 2021</w:t>
      </w:r>
    </w:p>
    <w:p w14:paraId="2E66EB82" w14:textId="220D7711" w:rsidR="00FE7735" w:rsidRPr="00422245" w:rsidRDefault="00BC07F9" w:rsidP="000C4CA8">
      <w:pPr>
        <w:keepNext/>
        <w:keepLines/>
      </w:pPr>
      <w:r w:rsidRPr="00422245">
        <w:rPr>
          <w:noProof/>
        </w:rPr>
        <w:drawing>
          <wp:inline distT="0" distB="0" distL="0" distR="0" wp14:anchorId="06774F70" wp14:editId="478C6715">
            <wp:extent cx="5732060" cy="2743200"/>
            <wp:effectExtent l="0" t="0" r="2540" b="0"/>
            <wp:docPr id="2115664232" name="Diagram 1">
              <a:extLst xmlns:a="http://schemas.openxmlformats.org/drawingml/2006/main">
                <a:ext uri="{FF2B5EF4-FFF2-40B4-BE49-F238E27FC236}">
                  <a16:creationId xmlns:a16="http://schemas.microsoft.com/office/drawing/2014/main" id="{AFAA73E9-5198-189B-D8C2-A5F7E2E58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C4D3CBF" w14:textId="16182B4E" w:rsidR="008C27CF" w:rsidRDefault="008C27CF" w:rsidP="001E027D">
      <w:pPr>
        <w:pStyle w:val="Kilde"/>
      </w:pPr>
      <w:r w:rsidRPr="004E373E">
        <w:rPr>
          <w:b/>
        </w:rPr>
        <w:t>Kilde</w:t>
      </w:r>
      <w:r w:rsidRPr="00422245">
        <w:t xml:space="preserve">: </w:t>
      </w:r>
      <w:r w:rsidR="00066095">
        <w:t>Microdata</w:t>
      </w:r>
      <w:r w:rsidR="002D64DE">
        <w:t>, SSB</w:t>
      </w:r>
    </w:p>
    <w:p w14:paraId="62C07B43" w14:textId="77777777" w:rsidR="008D637A" w:rsidRPr="003E409A" w:rsidRDefault="008D637A" w:rsidP="008D637A">
      <w:r>
        <w:t>Blant kvinner er det riktignok en fallende tendens i antall 19-åringer som begynner å studere blant årskullene mellom 1996 og 2000. Samtidig øker andelen som har begynt å studere innen de er 21 år i den samme perioden. Det vil si at flere begynner å studere senere i disse årskullene. For 2001-kullet, som ble 19 år det året koronapandemien begynte, spretter andelen kvinner som begynte å studere som 19-åringer opp til 30 prosent, fra 25 prosent for årskullet før. For menn ser vi igjen en mindre tilsvarende økning, fra 14 til 16 prosent.</w:t>
      </w:r>
    </w:p>
    <w:p w14:paraId="4C6A668C" w14:textId="72A3A5CE" w:rsidR="00B47DF6" w:rsidRPr="00422245" w:rsidRDefault="009202E8" w:rsidP="00327CB6">
      <w:pPr>
        <w:pStyle w:val="Overskrift2"/>
      </w:pPr>
      <w:bookmarkStart w:id="25" w:name="_Ref163390170"/>
      <w:bookmarkStart w:id="26" w:name="_Toc163488391"/>
      <w:r w:rsidRPr="00422245">
        <w:t>Fortsatt kvinnedominans</w:t>
      </w:r>
      <w:bookmarkEnd w:id="25"/>
      <w:bookmarkEnd w:id="26"/>
    </w:p>
    <w:p w14:paraId="6EE96408" w14:textId="318F7111" w:rsidR="008B5778" w:rsidRPr="00422245" w:rsidRDefault="009A0CDE" w:rsidP="001D67F5">
      <w:r w:rsidRPr="00422245">
        <w:t>K</w:t>
      </w:r>
      <w:r w:rsidR="008B5778" w:rsidRPr="00422245">
        <w:t xml:space="preserve">jønnsfordelingen i universiteter og høgskoler </w:t>
      </w:r>
      <w:r w:rsidRPr="00422245">
        <w:t xml:space="preserve">har </w:t>
      </w:r>
      <w:r w:rsidR="008B5778" w:rsidRPr="00422245">
        <w:t>vært stabil</w:t>
      </w:r>
      <w:r w:rsidRPr="00422245">
        <w:t xml:space="preserve"> de siste 20 årene</w:t>
      </w:r>
      <w:r w:rsidR="008B5778" w:rsidRPr="00422245">
        <w:t>, med 40 prosent menn og 60 prosent kvinner.</w:t>
      </w:r>
      <w:r w:rsidR="003D4ADB" w:rsidRPr="00422245">
        <w:t xml:space="preserve"> </w:t>
      </w:r>
      <w:r w:rsidR="00CE7F37">
        <w:t>Slik er bildet også i 2023</w:t>
      </w:r>
      <w:r w:rsidR="00607B26" w:rsidRPr="00422245">
        <w:t xml:space="preserve">. </w:t>
      </w:r>
      <w:r w:rsidR="00783CBC" w:rsidRPr="00422245">
        <w:t>Norge er</w:t>
      </w:r>
      <w:r w:rsidR="00783CBC" w:rsidRPr="00422245" w:rsidDel="002222C3">
        <w:t xml:space="preserve"> </w:t>
      </w:r>
      <w:r w:rsidR="00783CBC" w:rsidRPr="00422245">
        <w:t xml:space="preserve">blant landene i </w:t>
      </w:r>
      <w:r w:rsidR="00035EB1" w:rsidRPr="00422245">
        <w:t xml:space="preserve">Europa </w:t>
      </w:r>
      <w:r w:rsidR="00783CBC" w:rsidRPr="00422245">
        <w:t xml:space="preserve">som har </w:t>
      </w:r>
      <w:r w:rsidR="007400D8" w:rsidRPr="00422245">
        <w:t>høyest</w:t>
      </w:r>
      <w:r w:rsidR="00783CBC" w:rsidRPr="00422245">
        <w:t xml:space="preserve"> kvinneandel</w:t>
      </w:r>
      <w:r w:rsidR="009E0081">
        <w:t xml:space="preserve"> i høyere utdanning</w:t>
      </w:r>
      <w:r w:rsidR="005A4739">
        <w:t xml:space="preserve"> </w:t>
      </w:r>
      <w:r w:rsidR="001B3584">
        <w:fldChar w:fldCharType="begin"/>
      </w:r>
      <w:r w:rsidR="001B3584">
        <w:instrText xml:space="preserve"> ADDIN EN.CITE &lt;EndNote&gt;&lt;Cite&gt;&lt;Author&gt;Eurostudent VII&lt;/Author&gt;&lt;Year&gt;2019&lt;/Year&gt;&lt;RecNum&gt;1700&lt;/RecNum&gt;&lt;DisplayText&gt;(Eurostudent VII, 2019)&lt;/DisplayText&gt;&lt;record&gt;&lt;rec-number&gt;1700&lt;/rec-number&gt;&lt;foreign-keys&gt;&lt;key app="EN" db-id="p2et5feaxrpe5zew2eavt29z05fv09aa5s0w" timestamp="1712306681" guid="157d2a00-dc2f-42c1-886f-0bc78913e23d"&gt;1700&lt;/key&gt;&lt;/foreign-keys&gt;&lt;ref-type name="Web Page"&gt;12&lt;/ref-type&gt;&lt;contributors&gt;&lt;authors&gt;&lt;author&gt;Eurostudent VII,&lt;/author&gt;&lt;/authors&gt;&lt;/contributors&gt;&lt;titles&gt;&lt;title&gt;Time budget of students by type of activity&lt;/title&gt;&lt;/titles&gt;&lt;dates&gt;&lt;year&gt;2019&lt;/year&gt;&lt;/dates&gt;&lt;urls&gt;&lt;related-urls&gt;&lt;url&gt;https://database.eurostudent.eu/drm/?eust_nr=7&amp;amp;e=time_budget_all&amp;amp;fg=e_age&amp;amp;country_list=NO&amp;amp;Curr=NCU&lt;/url&gt;&lt;/related-urls&gt;&lt;/urls&gt;&lt;/record&gt;&lt;/Cite&gt;&lt;/EndNote&gt;</w:instrText>
      </w:r>
      <w:r w:rsidR="001B3584">
        <w:fldChar w:fldCharType="separate"/>
      </w:r>
      <w:r w:rsidR="001B3584">
        <w:rPr>
          <w:noProof/>
        </w:rPr>
        <w:t>(Eurostudent VII, 2019)</w:t>
      </w:r>
      <w:r w:rsidR="001B3584">
        <w:fldChar w:fldCharType="end"/>
      </w:r>
      <w:r w:rsidR="00783CBC" w:rsidRPr="00422245">
        <w:t xml:space="preserve">. I Sverige er andelen </w:t>
      </w:r>
      <w:r w:rsidR="000D2F2D" w:rsidRPr="00422245">
        <w:t xml:space="preserve">kvinner </w:t>
      </w:r>
      <w:r w:rsidR="00783CBC" w:rsidRPr="00422245">
        <w:t>på omtrent samme nivå som i Norge, mens den ligger noe lavere i Danmark, Finland, Frankrike og Italia. I Tyskland, derimot, er det omvendt: Her er 52 prosent av studentene menn.</w:t>
      </w:r>
    </w:p>
    <w:p w14:paraId="174EFCC9" w14:textId="71568B98" w:rsidR="00CE5F5E" w:rsidRPr="00422245" w:rsidRDefault="00A97397" w:rsidP="001D67F5">
      <w:r w:rsidRPr="00422245">
        <w:t xml:space="preserve">Det er store kjønnsforskjeller mellom de ulike fagområdene, slik </w:t>
      </w:r>
      <w:r w:rsidR="00C578FC" w:rsidRPr="00422245">
        <w:fldChar w:fldCharType="begin"/>
      </w:r>
      <w:r w:rsidR="00C578FC" w:rsidRPr="00422245">
        <w:instrText xml:space="preserve"> REF _Ref159417310 \h </w:instrText>
      </w:r>
      <w:r w:rsidR="00000000">
        <w:fldChar w:fldCharType="separate"/>
      </w:r>
      <w:r w:rsidR="00C578FC" w:rsidRPr="00422245">
        <w:fldChar w:fldCharType="end"/>
      </w:r>
      <w:r w:rsidR="00C578FC" w:rsidRPr="00422245">
        <w:t xml:space="preserve"> </w:t>
      </w:r>
      <w:r w:rsidRPr="00422245">
        <w:t xml:space="preserve">viser. </w:t>
      </w:r>
      <w:r w:rsidR="009B49D9" w:rsidRPr="00422245">
        <w:t xml:space="preserve">Kvinneandelen er særlig </w:t>
      </w:r>
      <w:r w:rsidR="008A2DF1" w:rsidRPr="00422245">
        <w:t>stor i</w:t>
      </w:r>
      <w:r w:rsidR="00B2096C" w:rsidRPr="00422245">
        <w:t xml:space="preserve">nnen helse-, sosial og idrettsfag, hvor </w:t>
      </w:r>
      <w:r w:rsidR="00BB5518" w:rsidRPr="00422245">
        <w:t>om lag</w:t>
      </w:r>
      <w:r w:rsidR="00B2096C" w:rsidRPr="00422245">
        <w:t xml:space="preserve"> </w:t>
      </w:r>
      <w:r w:rsidR="00BB5518" w:rsidRPr="00422245">
        <w:t>fire av fem studenter er kvinner.</w:t>
      </w:r>
      <w:r w:rsidR="008A2DF1" w:rsidRPr="00422245">
        <w:t xml:space="preserve"> </w:t>
      </w:r>
      <w:r w:rsidR="0027280D" w:rsidRPr="00422245">
        <w:t>Også lærer</w:t>
      </w:r>
      <w:r w:rsidR="00B41603" w:rsidRPr="00422245">
        <w:t>- og pedagogikk</w:t>
      </w:r>
      <w:r w:rsidR="0027280D" w:rsidRPr="00422245">
        <w:t xml:space="preserve">utdanninger </w:t>
      </w:r>
      <w:r w:rsidR="00F451E1" w:rsidRPr="00422245">
        <w:t xml:space="preserve">har en høy kvinneandel </w:t>
      </w:r>
      <w:r w:rsidR="00976FAE" w:rsidRPr="00422245">
        <w:t xml:space="preserve">på 73 prosent. </w:t>
      </w:r>
      <w:r w:rsidR="004331D8" w:rsidRPr="00422245">
        <w:t>Lavest er kvinneandelen i naturvitenskapelige</w:t>
      </w:r>
      <w:r w:rsidR="00DF0FD9">
        <w:t xml:space="preserve"> og</w:t>
      </w:r>
      <w:r w:rsidR="00373BDF">
        <w:t xml:space="preserve"> </w:t>
      </w:r>
      <w:r w:rsidR="004331D8" w:rsidRPr="00422245">
        <w:t xml:space="preserve">tekniske </w:t>
      </w:r>
      <w:r w:rsidR="00DF0FD9">
        <w:t>fag</w:t>
      </w:r>
      <w:r w:rsidR="00B45794" w:rsidRPr="00422245">
        <w:t>, med 39 prosent.</w:t>
      </w:r>
      <w:r w:rsidR="00D33F41" w:rsidRPr="00422245">
        <w:t xml:space="preserve"> Også innen økonomi og administrasjon er </w:t>
      </w:r>
      <w:r w:rsidR="00D33F41" w:rsidRPr="00422245">
        <w:lastRenderedPageBreak/>
        <w:t>kvinneandelen under snittet</w:t>
      </w:r>
      <w:r w:rsidR="00DB217A">
        <w:t xml:space="preserve"> for sektoren</w:t>
      </w:r>
      <w:r w:rsidR="002B4016" w:rsidRPr="00422245">
        <w:t xml:space="preserve">, selv om </w:t>
      </w:r>
      <w:r w:rsidR="00AD5365" w:rsidRPr="00422245">
        <w:t xml:space="preserve">over halvparten av studentene </w:t>
      </w:r>
      <w:r w:rsidR="00F23F71" w:rsidRPr="00422245">
        <w:t xml:space="preserve">(54 prosent) </w:t>
      </w:r>
      <w:r w:rsidR="0051075C" w:rsidRPr="00422245">
        <w:t>er kvinner.</w:t>
      </w:r>
      <w:r w:rsidR="00F23F71" w:rsidRPr="00422245">
        <w:t xml:space="preserve"> </w:t>
      </w:r>
    </w:p>
    <w:p w14:paraId="3ED26406" w14:textId="1EA17D9F" w:rsidR="00D5445B" w:rsidRPr="00422245" w:rsidRDefault="00E46442" w:rsidP="00907A87">
      <w:pPr>
        <w:pStyle w:val="Bildetekst"/>
        <w:keepNext/>
      </w:pPr>
      <w:bookmarkStart w:id="27" w:name="_Ref159417310"/>
      <w:r w:rsidRPr="00422245">
        <w:t xml:space="preserve">Figur </w:t>
      </w:r>
      <w:r w:rsidR="006E1D94">
        <w:fldChar w:fldCharType="begin"/>
      </w:r>
      <w:r w:rsidR="006E1D94">
        <w:instrText xml:space="preserve"> STYLEREF 1 \s </w:instrText>
      </w:r>
      <w:r w:rsidR="006E1D94">
        <w:fldChar w:fldCharType="separate"/>
      </w:r>
      <w:r w:rsidR="006E1D94">
        <w:rPr>
          <w:noProof/>
        </w:rPr>
        <w:t>2</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5</w:t>
      </w:r>
      <w:r w:rsidR="006E1D94">
        <w:fldChar w:fldCharType="end"/>
      </w:r>
      <w:bookmarkEnd w:id="27"/>
      <w:r w:rsidRPr="00422245">
        <w:t xml:space="preserve"> </w:t>
      </w:r>
      <w:r w:rsidR="00D5445B" w:rsidRPr="00422245">
        <w:t>Kjønnsfordeling per fagområde</w:t>
      </w:r>
    </w:p>
    <w:p w14:paraId="7F647BA8" w14:textId="19E19362" w:rsidR="00A16100" w:rsidRPr="00422245" w:rsidRDefault="00207438" w:rsidP="00907A87">
      <w:pPr>
        <w:keepNext/>
      </w:pPr>
      <w:r w:rsidRPr="00422245">
        <w:rPr>
          <w:noProof/>
        </w:rPr>
        <w:drawing>
          <wp:inline distT="0" distB="0" distL="0" distR="0" wp14:anchorId="5810559D" wp14:editId="6C0C2BC3">
            <wp:extent cx="5731510" cy="2709081"/>
            <wp:effectExtent l="0" t="0" r="2540" b="15240"/>
            <wp:docPr id="567051072" name="Diagram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9B8B579" w14:textId="77777777" w:rsidR="001E027D" w:rsidRDefault="00F62B61" w:rsidP="00907A87">
      <w:pPr>
        <w:pStyle w:val="Merknad"/>
        <w:keepNext/>
      </w:pPr>
      <w:r w:rsidRPr="001E027D">
        <w:t>Fagområder med under 5 000 studenter er utelatt</w:t>
      </w:r>
    </w:p>
    <w:p w14:paraId="14694E1B" w14:textId="11DB00C1" w:rsidR="00F62B61" w:rsidRPr="00422245" w:rsidRDefault="006C2BA3" w:rsidP="001E027D">
      <w:pPr>
        <w:pStyle w:val="Kilde"/>
      </w:pPr>
      <w:r w:rsidRPr="004E373E">
        <w:rPr>
          <w:b/>
        </w:rPr>
        <w:t>Kilde</w:t>
      </w:r>
      <w:r w:rsidRPr="00422245">
        <w:t>: DBH</w:t>
      </w:r>
    </w:p>
    <w:p w14:paraId="38F1C5A1" w14:textId="7F8BC816" w:rsidR="00257AA1" w:rsidRDefault="0012517F" w:rsidP="00444C92">
      <w:r>
        <w:t xml:space="preserve">Fordi </w:t>
      </w:r>
      <w:r w:rsidR="00881A64">
        <w:t>kjønnsbalansen</w:t>
      </w:r>
      <w:r w:rsidR="00653906">
        <w:t xml:space="preserve"> blant studentene</w:t>
      </w:r>
      <w:r w:rsidR="00881A64">
        <w:t xml:space="preserve"> varierer mye mellom fagområdene </w:t>
      </w:r>
      <w:r w:rsidR="00C32E36">
        <w:t xml:space="preserve">har </w:t>
      </w:r>
      <w:r w:rsidR="00653906">
        <w:t>studietilbudet ved de ulike institusjonene</w:t>
      </w:r>
      <w:r w:rsidR="00723192">
        <w:t xml:space="preserve"> også</w:t>
      </w:r>
      <w:r w:rsidR="00653906">
        <w:t xml:space="preserve"> </w:t>
      </w:r>
      <w:r w:rsidR="00676E84">
        <w:t xml:space="preserve">stor betydning </w:t>
      </w:r>
      <w:r w:rsidR="00676E84" w:rsidRPr="00C73DBC">
        <w:t>for</w:t>
      </w:r>
      <w:r w:rsidR="00676E84" w:rsidRPr="005453D4">
        <w:t xml:space="preserve"> </w:t>
      </w:r>
      <w:r w:rsidR="00257AA1">
        <w:t xml:space="preserve">kjønnssammensetningen </w:t>
      </w:r>
      <w:r w:rsidR="00723192">
        <w:t>deres</w:t>
      </w:r>
      <w:r w:rsidR="00257AA1">
        <w:t xml:space="preserve">. </w:t>
      </w:r>
      <w:r w:rsidR="0029751C">
        <w:t xml:space="preserve">VID, med </w:t>
      </w:r>
      <w:r w:rsidR="00392D0D">
        <w:t xml:space="preserve">sitt </w:t>
      </w:r>
      <w:r w:rsidR="00CF6BA7">
        <w:t>u</w:t>
      </w:r>
      <w:r w:rsidR="009D7A5C">
        <w:t>ndervisning</w:t>
      </w:r>
      <w:r w:rsidR="00CF6BA7">
        <w:t>s</w:t>
      </w:r>
      <w:r w:rsidR="009545C3">
        <w:t xml:space="preserve">tilbud </w:t>
      </w:r>
      <w:r w:rsidR="005712CB">
        <w:t xml:space="preserve">primært </w:t>
      </w:r>
      <w:r w:rsidR="006E5F60">
        <w:t>innen helse</w:t>
      </w:r>
      <w:r w:rsidR="00CF6BA7">
        <w:t>fag</w:t>
      </w:r>
      <w:r w:rsidR="00502C52">
        <w:t>,</w:t>
      </w:r>
      <w:r w:rsidR="0029751C">
        <w:t xml:space="preserve"> har en kvinneandel </w:t>
      </w:r>
      <w:r w:rsidR="006E5F60">
        <w:t xml:space="preserve">på </w:t>
      </w:r>
      <w:r w:rsidR="002E6D9A">
        <w:t xml:space="preserve">hele 83 prosent. </w:t>
      </w:r>
      <w:r w:rsidR="008843C4">
        <w:t xml:space="preserve">Tilsvarende gjelder for mange av de </w:t>
      </w:r>
      <w:r w:rsidR="001E671B">
        <w:t xml:space="preserve">mindre, spesialiserte institusjonene. </w:t>
      </w:r>
      <w:r w:rsidR="00392D0D">
        <w:t>NHH</w:t>
      </w:r>
      <w:r w:rsidR="00E72B73">
        <w:t xml:space="preserve">, </w:t>
      </w:r>
      <w:r w:rsidR="00392D0D">
        <w:t xml:space="preserve">med sin faglige tyngde innen økonomi </w:t>
      </w:r>
      <w:r w:rsidR="00E72B73">
        <w:t>og administrasjon</w:t>
      </w:r>
      <w:r w:rsidR="00BD46F9">
        <w:t>,</w:t>
      </w:r>
      <w:r w:rsidR="00E72B73">
        <w:t xml:space="preserve"> har</w:t>
      </w:r>
      <w:r w:rsidR="00503DA9">
        <w:t xml:space="preserve"> overvekt av mannlige studenter</w:t>
      </w:r>
      <w:r w:rsidR="004A64ED">
        <w:t xml:space="preserve"> på</w:t>
      </w:r>
      <w:r w:rsidR="009A5D84">
        <w:t xml:space="preserve"> 57 prosent. </w:t>
      </w:r>
    </w:p>
    <w:p w14:paraId="1B791815" w14:textId="39C1A682" w:rsidR="00563AFC" w:rsidRPr="00422245" w:rsidRDefault="00F83127" w:rsidP="00444C92">
      <w:r>
        <w:t xml:space="preserve">Det er relativt </w:t>
      </w:r>
      <w:r w:rsidR="00E14815">
        <w:t>små</w:t>
      </w:r>
      <w:r>
        <w:t xml:space="preserve"> forskjell</w:t>
      </w:r>
      <w:r w:rsidR="00E14815">
        <w:t>er</w:t>
      </w:r>
      <w:r>
        <w:t xml:space="preserve"> </w:t>
      </w:r>
      <w:r w:rsidR="00E14815">
        <w:t xml:space="preserve">i kjønnsfordelingen mellom </w:t>
      </w:r>
      <w:r w:rsidR="00F715A3">
        <w:t>de ulike utdannings</w:t>
      </w:r>
      <w:r w:rsidR="00E14815">
        <w:t>nivåene.</w:t>
      </w:r>
      <w:r w:rsidR="00E46A77">
        <w:t xml:space="preserve"> </w:t>
      </w:r>
      <w:r w:rsidR="00D00CCE">
        <w:t xml:space="preserve">Kvinneandelen er </w:t>
      </w:r>
      <w:r w:rsidR="00F715A3">
        <w:t>allikevel marginalt</w:t>
      </w:r>
      <w:r w:rsidR="00D00CCE">
        <w:t xml:space="preserve"> </w:t>
      </w:r>
      <w:r w:rsidR="00564290">
        <w:t>større</w:t>
      </w:r>
      <w:r w:rsidR="00D00CCE">
        <w:t xml:space="preserve"> </w:t>
      </w:r>
      <w:r w:rsidR="00C32F29">
        <w:t>innen</w:t>
      </w:r>
      <w:r w:rsidR="00D00CCE">
        <w:t xml:space="preserve"> studier </w:t>
      </w:r>
      <w:r w:rsidR="000A49E7">
        <w:t xml:space="preserve">på </w:t>
      </w:r>
      <w:r w:rsidR="00E14815">
        <w:t xml:space="preserve">høyere </w:t>
      </w:r>
      <w:r w:rsidR="00C32F29">
        <w:t xml:space="preserve">akademisk </w:t>
      </w:r>
      <w:r w:rsidR="00E14815">
        <w:t xml:space="preserve">nivå. </w:t>
      </w:r>
      <w:r w:rsidR="00D10668" w:rsidRPr="00422245">
        <w:t>6</w:t>
      </w:r>
      <w:r w:rsidR="001D4737">
        <w:t>3</w:t>
      </w:r>
      <w:r w:rsidR="00D10668" w:rsidRPr="00422245">
        <w:t xml:space="preserve"> prosent av studentene på </w:t>
      </w:r>
      <w:r w:rsidR="00CD75B3">
        <w:t>masternivå</w:t>
      </w:r>
      <w:r w:rsidR="00941DD1">
        <w:t xml:space="preserve"> </w:t>
      </w:r>
      <w:r w:rsidR="0088566E" w:rsidRPr="00422245">
        <w:t>er kvinner</w:t>
      </w:r>
      <w:r w:rsidR="00D40795">
        <w:t xml:space="preserve">, 61 prosent på </w:t>
      </w:r>
      <w:r w:rsidR="00D40795" w:rsidRPr="00422245">
        <w:t>integrert master/profesjon</w:t>
      </w:r>
      <w:r w:rsidR="00766AB0" w:rsidRPr="00422245">
        <w:t xml:space="preserve"> og </w:t>
      </w:r>
      <w:r w:rsidR="00480511" w:rsidRPr="00422245">
        <w:t>6</w:t>
      </w:r>
      <w:r w:rsidR="00F123BA">
        <w:t>0</w:t>
      </w:r>
      <w:r w:rsidR="00480511" w:rsidRPr="00422245">
        <w:t xml:space="preserve"> prosent på lavere grad.</w:t>
      </w:r>
      <w:r w:rsidR="00C220EA" w:rsidRPr="00422245">
        <w:t xml:space="preserve"> </w:t>
      </w:r>
      <w:r w:rsidR="00266ACD" w:rsidRPr="00422245">
        <w:t xml:space="preserve">Dette kan bidra til å forklare hvorfor de kvinnelige studentene </w:t>
      </w:r>
      <w:r w:rsidR="000C0F98">
        <w:t xml:space="preserve">også </w:t>
      </w:r>
      <w:r w:rsidR="00266ACD" w:rsidRPr="00422245">
        <w:t>er noe eldr</w:t>
      </w:r>
      <w:r w:rsidR="005C09D0" w:rsidRPr="00422245">
        <w:t>e</w:t>
      </w:r>
      <w:r w:rsidR="00266ACD" w:rsidRPr="00422245">
        <w:t xml:space="preserve"> enn </w:t>
      </w:r>
      <w:r w:rsidR="00FE0C51" w:rsidRPr="00422245">
        <w:t>sine mannlige medstudenter</w:t>
      </w:r>
      <w:r w:rsidR="00FC0B63" w:rsidRPr="00422245">
        <w:t xml:space="preserve">, </w:t>
      </w:r>
      <w:r w:rsidR="006C3F12" w:rsidRPr="00422245">
        <w:t>1,2 år i snitt.</w:t>
      </w:r>
      <w:r w:rsidR="0025638C">
        <w:t xml:space="preserve"> </w:t>
      </w:r>
      <w:r w:rsidR="00223483" w:rsidRPr="000B19E9">
        <w:t>Generelt er k</w:t>
      </w:r>
      <w:r w:rsidR="00562BAD" w:rsidRPr="000B19E9">
        <w:t>vinne</w:t>
      </w:r>
      <w:r w:rsidR="00360539" w:rsidRPr="000B19E9">
        <w:t>dominansen</w:t>
      </w:r>
      <w:r w:rsidR="00395352" w:rsidRPr="000B19E9">
        <w:t xml:space="preserve"> størst </w:t>
      </w:r>
      <w:r w:rsidR="00976C4D" w:rsidRPr="000B19E9">
        <w:t xml:space="preserve">blant de eldste studentene. 70 prosent av </w:t>
      </w:r>
      <w:r w:rsidR="00F472E9" w:rsidRPr="000B19E9">
        <w:t xml:space="preserve">studentene over </w:t>
      </w:r>
      <w:r w:rsidR="00B03B5B" w:rsidRPr="000B19E9">
        <w:t xml:space="preserve">40 år </w:t>
      </w:r>
      <w:r w:rsidR="002D7416" w:rsidRPr="000B19E9">
        <w:t xml:space="preserve">er kvinner. </w:t>
      </w:r>
      <w:r w:rsidR="007F0FA0">
        <w:t>Se v</w:t>
      </w:r>
      <w:r w:rsidR="007F0FA0" w:rsidRPr="007F0FA0">
        <w:t xml:space="preserve">edleggstabell V2.9 </w:t>
      </w:r>
      <w:r w:rsidR="007F0FA0">
        <w:t>for en oversikt over</w:t>
      </w:r>
      <w:r w:rsidR="007F0FA0" w:rsidRPr="007F0FA0">
        <w:t xml:space="preserve"> studentenes alder og kjønn </w:t>
      </w:r>
      <w:r w:rsidR="007F0FA0">
        <w:t>per</w:t>
      </w:r>
      <w:r w:rsidR="007F0FA0" w:rsidRPr="007F0FA0">
        <w:t xml:space="preserve"> institusjon.</w:t>
      </w:r>
    </w:p>
    <w:p w14:paraId="1EB87869" w14:textId="33FFE4E7" w:rsidR="004437F3" w:rsidRPr="00422245" w:rsidRDefault="004437F3" w:rsidP="00327CB6">
      <w:pPr>
        <w:pStyle w:val="Overskrift2"/>
      </w:pPr>
      <w:bookmarkStart w:id="28" w:name="_Toc163488392"/>
      <w:r w:rsidRPr="00422245">
        <w:lastRenderedPageBreak/>
        <w:t>Geografi</w:t>
      </w:r>
      <w:r w:rsidR="000C1F18">
        <w:t xml:space="preserve"> og mobilitet</w:t>
      </w:r>
      <w:bookmarkEnd w:id="28"/>
    </w:p>
    <w:p w14:paraId="003989FA" w14:textId="7C2E1825" w:rsidR="000953C1" w:rsidRDefault="00275DA2" w:rsidP="006144CE">
      <w:r>
        <w:rPr>
          <w:noProof/>
        </w:rPr>
        <mc:AlternateContent>
          <mc:Choice Requires="wps">
            <w:drawing>
              <wp:anchor distT="45720" distB="45720" distL="114300" distR="114300" simplePos="0" relativeHeight="251658243" behindDoc="0" locked="0" layoutInCell="1" allowOverlap="1" wp14:anchorId="49DCE2AB" wp14:editId="696BED3D">
                <wp:simplePos x="0" y="0"/>
                <wp:positionH relativeFrom="column">
                  <wp:posOffset>0</wp:posOffset>
                </wp:positionH>
                <wp:positionV relativeFrom="paragraph">
                  <wp:posOffset>1799590</wp:posOffset>
                </wp:positionV>
                <wp:extent cx="5486400" cy="3095625"/>
                <wp:effectExtent l="0" t="0" r="19050" b="28575"/>
                <wp:wrapSquare wrapText="bothSides"/>
                <wp:docPr id="9234302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095625"/>
                        </a:xfrm>
                        <a:prstGeom prst="rect">
                          <a:avLst/>
                        </a:prstGeom>
                        <a:solidFill>
                          <a:srgbClr val="FFFFFF"/>
                        </a:solidFill>
                        <a:ln w="9525">
                          <a:solidFill>
                            <a:srgbClr val="000000"/>
                          </a:solidFill>
                          <a:miter lim="800000"/>
                          <a:headEnd/>
                          <a:tailEnd/>
                        </a:ln>
                      </wps:spPr>
                      <wps:txbx>
                        <w:txbxContent>
                          <w:p w14:paraId="3CFDC89E" w14:textId="77777777" w:rsidR="00275DA2" w:rsidRPr="00430E5C" w:rsidRDefault="00275DA2" w:rsidP="00275DA2">
                            <w:pPr>
                              <w:rPr>
                                <w:b/>
                                <w:bCs/>
                              </w:rPr>
                            </w:pPr>
                            <w:r w:rsidRPr="00430E5C">
                              <w:rPr>
                                <w:b/>
                                <w:bCs/>
                              </w:rPr>
                              <w:t>Hvor kommer studentene fra? Datagrunnlaget</w:t>
                            </w:r>
                          </w:p>
                          <w:p w14:paraId="6F062485" w14:textId="77777777" w:rsidR="00275DA2" w:rsidRPr="00C06131" w:rsidRDefault="00275DA2" w:rsidP="00275DA2">
                            <w:r w:rsidRPr="00C06131">
                              <w:t xml:space="preserve">Datagrunnlaget </w:t>
                            </w:r>
                            <w:r>
                              <w:t xml:space="preserve">for analyser knyttet til studentenes hjemsted og studiested </w:t>
                            </w:r>
                            <w:r w:rsidRPr="00C06131">
                              <w:t xml:space="preserve">er registreringen i DBH av studenters bostedsadresse og av campusens fylkestilhørighet. </w:t>
                            </w:r>
                            <w:r>
                              <w:t>Det er</w:t>
                            </w:r>
                            <w:r w:rsidRPr="00C06131">
                              <w:t xml:space="preserve"> en viss usikkerhet knyttet til datakvaliteten for dette formålet. Studenter står fritt til å endre folkeregistrert adresse til adressen på studiestedet</w:t>
                            </w:r>
                            <w:r>
                              <w:t>, I den</w:t>
                            </w:r>
                            <w:r w:rsidRPr="00C06131">
                              <w:t xml:space="preserve"> grad de gjør det, </w:t>
                            </w:r>
                            <w:r>
                              <w:t xml:space="preserve">og institusjonene i tillegg oppdaterer bostedsadresse gjennom folkeregisteret, </w:t>
                            </w:r>
                            <w:r w:rsidRPr="00C06131">
                              <w:t>vil vi miste informasjon om hjemsted og mobilitet i forbindelse med studiene. Vi har ingen informasjon om hvor ofte dette forekommer, men mønsteret i den geografiske fordelingen av studenter på institusjoner, fagområder og utdanningstyper samsvarer godt med det vi ville forvente. Vi tror derfor det gir god informasjon å bruke studentens adresse som registrert i DBH.</w:t>
                            </w:r>
                          </w:p>
                          <w:p w14:paraId="59B3FB53" w14:textId="77777777" w:rsidR="00275DA2" w:rsidRDefault="00275DA2" w:rsidP="00275D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CE2AB" id="_x0000_t202" coordsize="21600,21600" o:spt="202" path="m,l,21600r21600,l21600,xe">
                <v:stroke joinstyle="miter"/>
                <v:path gradientshapeok="t" o:connecttype="rect"/>
              </v:shapetype>
              <v:shape id="Tekstboks 2" o:spid="_x0000_s1026" type="#_x0000_t202" style="position:absolute;margin-left:0;margin-top:141.7pt;width:6in;height:243.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S1DwIAACAEAAAOAAAAZHJzL2Uyb0RvYy54bWysU9uOEzEMfUfiH6K805mWtrSjTldLlyKk&#10;5SItfECayXQiMnFw0s6Ur8dJZ7vlIh4QeYjs2Dm2j+3VTd8adlToNdiSj0c5Z8pKqLTdl/zL5+2L&#10;BWc+CFsJA1aV/KQ8v1k/f7bqXKEm0ICpFDICsb7oXMmbEFyRZV42qhV+BE5ZMtaArQik4j6rUHSE&#10;3ppskufzrAOsHIJU3tPr3dnI1wm/rpUMH+vaq8BMySm3kG5M9y7e2Xolij0K12g5pCH+IYtWaEtB&#10;L1B3Igh2QP0bVKslgoc6jCS0GdS1lirVQNWM81+qeWiEU6kWIse7C03+/8HKD8cH9wlZ6F9DTw1M&#10;RXh3D/KrZxY2jbB7dYsIXaNERYHHkbKsc74YvkaqfeEjyK57DxU1WRwCJKC+xjayQnUyQqcGnC6k&#10;qz4wSY+z6WI+zckkyfYyX87mk1mKIYrH7w59eKugZVEoOVJXE7w43vsQ0xHFo0uM5sHoaquNSQru&#10;dxuD7ChoArbpDOg/uRnLupIvZxT77xB5On+CaHWgUTa6Lfni4iSKyNsbW6VBC0Kbs0wpGzsQGbk7&#10;sxj6XU+OkdAdVCeiFOE8srRiJDSA3znraFxL7r8dBCrOzDtLbVmOp9M430mZzl5NSMFry+7aIqwk&#10;qJIHzs7iJqSdiKVbuKX21ToR+5TJkCuNYeJ7WJk459d68npa7PUPAAAA//8DAFBLAwQUAAYACAAA&#10;ACEA3VMj3N8AAAAIAQAADwAAAGRycy9kb3ducmV2LnhtbEyPwU7DMBBE70j8g7VIXBB1aKMkDXEq&#10;hASCWykIrm68TSLidbDdNPw9ywmOs7OaeVNtZjuICX3oHSm4WSQgkBpnemoVvL0+XBcgQtRk9OAI&#10;FXxjgE19flbp0rgTveC0i63gEAqlVtDFOJZShqZDq8PCjUjsHZy3OrL0rTRenzjcDnKZJJm0uidu&#10;6PSI9x02n7ujVVCkT9NHeF5t35vsMKzjVT49fnmlLi/mu1sQEef49wy/+IwONTPt3ZFMEIMCHhIV&#10;LItVCoLtIkv5sleQ58kaZF3J/wPqHwAAAP//AwBQSwECLQAUAAYACAAAACEAtoM4kv4AAADhAQAA&#10;EwAAAAAAAAAAAAAAAAAAAAAAW0NvbnRlbnRfVHlwZXNdLnhtbFBLAQItABQABgAIAAAAIQA4/SH/&#10;1gAAAJQBAAALAAAAAAAAAAAAAAAAAC8BAABfcmVscy8ucmVsc1BLAQItABQABgAIAAAAIQCRLdS1&#10;DwIAACAEAAAOAAAAAAAAAAAAAAAAAC4CAABkcnMvZTJvRG9jLnhtbFBLAQItABQABgAIAAAAIQDd&#10;UyPc3wAAAAgBAAAPAAAAAAAAAAAAAAAAAGkEAABkcnMvZG93bnJldi54bWxQSwUGAAAAAAQABADz&#10;AAAAdQUAAAAA&#10;">
                <v:textbox>
                  <w:txbxContent>
                    <w:p w14:paraId="3CFDC89E" w14:textId="77777777" w:rsidR="00275DA2" w:rsidRPr="00430E5C" w:rsidRDefault="00275DA2" w:rsidP="00275DA2">
                      <w:pPr>
                        <w:rPr>
                          <w:b/>
                          <w:bCs/>
                        </w:rPr>
                      </w:pPr>
                      <w:r w:rsidRPr="00430E5C">
                        <w:rPr>
                          <w:b/>
                          <w:bCs/>
                        </w:rPr>
                        <w:t>Hvor kommer studentene fra? Datagrunnlaget</w:t>
                      </w:r>
                    </w:p>
                    <w:p w14:paraId="6F062485" w14:textId="77777777" w:rsidR="00275DA2" w:rsidRPr="00C06131" w:rsidRDefault="00275DA2" w:rsidP="00275DA2">
                      <w:r w:rsidRPr="00C06131">
                        <w:t xml:space="preserve">Datagrunnlaget </w:t>
                      </w:r>
                      <w:r>
                        <w:t xml:space="preserve">for analyser knyttet til studentenes hjemsted og studiested </w:t>
                      </w:r>
                      <w:r w:rsidRPr="00C06131">
                        <w:t xml:space="preserve">er registreringen i DBH av studenters bostedsadresse og av campusens fylkestilhørighet. </w:t>
                      </w:r>
                      <w:r>
                        <w:t>Det er</w:t>
                      </w:r>
                      <w:r w:rsidRPr="00C06131">
                        <w:t xml:space="preserve"> en viss usikkerhet knyttet til datakvaliteten for dette formålet. Studenter står fritt til å endre folkeregistrert adresse til adressen på studiestedet</w:t>
                      </w:r>
                      <w:r>
                        <w:t>, I den</w:t>
                      </w:r>
                      <w:r w:rsidRPr="00C06131">
                        <w:t xml:space="preserve"> grad de gjør det, </w:t>
                      </w:r>
                      <w:r>
                        <w:t xml:space="preserve">og institusjonene i tillegg oppdaterer bostedsadresse gjennom folkeregisteret, </w:t>
                      </w:r>
                      <w:r w:rsidRPr="00C06131">
                        <w:t>vil vi miste informasjon om hjemsted og mobilitet i forbindelse med studiene. Vi har ingen informasjon om hvor ofte dette forekommer, men mønsteret i den geografiske fordelingen av studenter på institusjoner, fagområder og utdanningstyper samsvarer godt med det vi ville forvente. Vi tror derfor det gir god informasjon å bruke studentens adresse som registrert i DBH.</w:t>
                      </w:r>
                    </w:p>
                    <w:p w14:paraId="59B3FB53" w14:textId="77777777" w:rsidR="00275DA2" w:rsidRDefault="00275DA2" w:rsidP="00275DA2"/>
                  </w:txbxContent>
                </v:textbox>
                <w10:wrap type="square"/>
              </v:shape>
            </w:pict>
          </mc:Fallback>
        </mc:AlternateContent>
      </w:r>
      <w:r w:rsidR="008374A3">
        <w:t>I dette kapittelet ser vi på hvor d</w:t>
      </w:r>
      <w:r w:rsidR="006266FA">
        <w:t>e</w:t>
      </w:r>
      <w:r w:rsidR="008374A3">
        <w:t xml:space="preserve"> ulike institusjonene rekrutterer sine studenter</w:t>
      </w:r>
      <w:r w:rsidR="00000645">
        <w:t xml:space="preserve">, </w:t>
      </w:r>
      <w:r w:rsidR="00CD1A70">
        <w:t>og målet vi bruker, er andel studenter hjemmehørende i samme fylke som campus</w:t>
      </w:r>
      <w:r w:rsidR="004D68B8">
        <w:t xml:space="preserve">, basert på fylkesgrenser i 2023. </w:t>
      </w:r>
      <w:r w:rsidR="00F156D1">
        <w:t xml:space="preserve">Både størrelsen på fylker og </w:t>
      </w:r>
      <w:r w:rsidR="00255DF1">
        <w:t xml:space="preserve">bosettingsmønstre og </w:t>
      </w:r>
      <w:r w:rsidR="00132A06">
        <w:t xml:space="preserve">institusjonslandskap på kryss og tvers av fylkesgrenser </w:t>
      </w:r>
      <w:r w:rsidR="002F24DE">
        <w:t>g</w:t>
      </w:r>
      <w:r w:rsidR="0048747C">
        <w:t xml:space="preserve">jør at </w:t>
      </w:r>
      <w:r w:rsidR="00691FED">
        <w:t>analyse</w:t>
      </w:r>
      <w:r w:rsidR="00F65019">
        <w:t>r har en begrenset geografisk presisjo</w:t>
      </w:r>
      <w:r w:rsidR="00F14943">
        <w:t>n.</w:t>
      </w:r>
      <w:r w:rsidR="00DC5FA8">
        <w:t xml:space="preserve"> </w:t>
      </w:r>
      <w:r w:rsidR="00DC5FA8" w:rsidRPr="00DC5FA8">
        <w:t xml:space="preserve">Likevel mener vi at også en analyse basert på fylkesinndelingen </w:t>
      </w:r>
      <w:r w:rsidR="000953C1">
        <w:t>viser interessante mønstre når vi ser studentenes geografiske bakgrunn med tanke på hvor og hva de studerer.</w:t>
      </w:r>
    </w:p>
    <w:p w14:paraId="76DEDBFD" w14:textId="451BB6B4" w:rsidR="00AE7E8C" w:rsidRDefault="00A96322" w:rsidP="006144CE">
      <w:r>
        <w:t>A</w:t>
      </w:r>
      <w:r w:rsidR="00A827B2">
        <w:t>v studente</w:t>
      </w:r>
      <w:r w:rsidR="006C6D31">
        <w:t xml:space="preserve">ne i høyere utdanning 2023 </w:t>
      </w:r>
      <w:r w:rsidR="005C736B">
        <w:t>studerte totalt halvparten</w:t>
      </w:r>
      <w:r w:rsidR="00E25F6B">
        <w:t xml:space="preserve"> på campus i hjemfylket. </w:t>
      </w:r>
      <w:r w:rsidR="007E51BF">
        <w:fldChar w:fldCharType="begin"/>
      </w:r>
      <w:r w:rsidR="007E51BF">
        <w:instrText xml:space="preserve"> REF _Ref162961075 \h </w:instrText>
      </w:r>
      <w:r w:rsidR="007E51BF">
        <w:fldChar w:fldCharType="separate"/>
      </w:r>
      <w:r w:rsidR="007E51BF">
        <w:t xml:space="preserve">Figur </w:t>
      </w:r>
      <w:r w:rsidR="00EA0A87">
        <w:rPr>
          <w:noProof/>
        </w:rPr>
        <w:t>2</w:t>
      </w:r>
      <w:r w:rsidR="005B096E">
        <w:noBreakHyphen/>
      </w:r>
      <w:r w:rsidR="007E51BF">
        <w:rPr>
          <w:noProof/>
        </w:rPr>
        <w:t>6</w:t>
      </w:r>
      <w:r w:rsidR="007E51BF">
        <w:fldChar w:fldCharType="end"/>
      </w:r>
      <w:r w:rsidR="007E51BF">
        <w:t xml:space="preserve"> viser hvor stor andel av de ulike institusjonenes studenter som </w:t>
      </w:r>
      <w:proofErr w:type="gramStart"/>
      <w:r w:rsidR="001B4C22">
        <w:t>e</w:t>
      </w:r>
      <w:r w:rsidR="007E51BF">
        <w:t>r hjemmehørende</w:t>
      </w:r>
      <w:proofErr w:type="gramEnd"/>
      <w:r w:rsidR="007E51BF">
        <w:t xml:space="preserve"> </w:t>
      </w:r>
      <w:r w:rsidR="00A6506E">
        <w:t>i fylket der de studerte.</w:t>
      </w:r>
      <w:r w:rsidR="008A4B43">
        <w:t xml:space="preserve"> </w:t>
      </w:r>
      <w:r w:rsidR="000B2277">
        <w:t xml:space="preserve">Blant institusjonene med </w:t>
      </w:r>
      <w:r w:rsidR="00D52CEC">
        <w:t xml:space="preserve">stor andel studenter fra hjemfylket finner vi særlig høyskoler og universiteter med </w:t>
      </w:r>
      <w:r w:rsidR="00633C4E">
        <w:t xml:space="preserve">mye profesjonsutdanninger. </w:t>
      </w:r>
      <w:r w:rsidR="00143DD9">
        <w:t xml:space="preserve">Høyest </w:t>
      </w:r>
      <w:r w:rsidR="006F4F3B">
        <w:t>e</w:t>
      </w:r>
      <w:r w:rsidR="007E035C">
        <w:t>r</w:t>
      </w:r>
      <w:r w:rsidR="006F4F3B">
        <w:t xml:space="preserve"> </w:t>
      </w:r>
      <w:r w:rsidR="00143DD9">
        <w:t xml:space="preserve">andelen ved HiØ, der 74 prosent </w:t>
      </w:r>
      <w:r w:rsidR="00315778">
        <w:t>høre</w:t>
      </w:r>
      <w:r w:rsidR="002D5138">
        <w:t>r</w:t>
      </w:r>
      <w:r w:rsidR="00315778">
        <w:t xml:space="preserve"> hjemme</w:t>
      </w:r>
      <w:r w:rsidR="00143DD9">
        <w:t xml:space="preserve"> i Viken.</w:t>
      </w:r>
      <w:r w:rsidR="004E2278">
        <w:t xml:space="preserve"> </w:t>
      </w:r>
      <w:r w:rsidR="004009EA">
        <w:t xml:space="preserve">Nest høyest andel studenter fra </w:t>
      </w:r>
      <w:r w:rsidR="00C0103B">
        <w:t xml:space="preserve">eget fylke </w:t>
      </w:r>
      <w:r w:rsidR="002D5138">
        <w:t>har</w:t>
      </w:r>
      <w:r w:rsidR="00C0103B">
        <w:t xml:space="preserve"> UiS med </w:t>
      </w:r>
      <w:r w:rsidR="00907B99">
        <w:t>71 prosent.</w:t>
      </w:r>
      <w:r w:rsidR="00653F62">
        <w:t xml:space="preserve"> </w:t>
      </w:r>
      <w:r w:rsidR="003C31F7">
        <w:t xml:space="preserve">Lavest andel av alle </w:t>
      </w:r>
      <w:r w:rsidR="002D5138">
        <w:t>har</w:t>
      </w:r>
      <w:r w:rsidR="003C31F7">
        <w:t xml:space="preserve"> </w:t>
      </w:r>
      <w:r w:rsidR="00A47B03">
        <w:t>OsloMet</w:t>
      </w:r>
      <w:r w:rsidR="004F708E">
        <w:t>, hvor 36 prosent av studentene</w:t>
      </w:r>
      <w:r w:rsidR="00DB4863">
        <w:t xml:space="preserve"> ved </w:t>
      </w:r>
      <w:r w:rsidR="00C96BC0">
        <w:t>universitetets studiesteder</w:t>
      </w:r>
      <w:r w:rsidR="004F708E">
        <w:t xml:space="preserve"> høre</w:t>
      </w:r>
      <w:r w:rsidR="002D5138">
        <w:t>r</w:t>
      </w:r>
      <w:r w:rsidR="004F708E">
        <w:t xml:space="preserve"> hjemme </w:t>
      </w:r>
      <w:r w:rsidR="00C96BC0">
        <w:t xml:space="preserve">i fylket hvor studiestedet </w:t>
      </w:r>
      <w:r w:rsidR="002D5138">
        <w:t>e</w:t>
      </w:r>
      <w:r w:rsidR="00C96BC0">
        <w:t>r plassert.</w:t>
      </w:r>
      <w:r w:rsidR="00EF354E">
        <w:t xml:space="preserve"> </w:t>
      </w:r>
      <w:r w:rsidR="00285A45">
        <w:t>Den lokale rekrutteringen er imidlertid større en</w:t>
      </w:r>
      <w:r w:rsidR="001B4C22">
        <w:t>n</w:t>
      </w:r>
      <w:r w:rsidR="00285A45">
        <w:t xml:space="preserve"> hva dette tallet skulle tilsi. </w:t>
      </w:r>
      <w:r w:rsidR="00A31E98">
        <w:t>Ve</w:t>
      </w:r>
      <w:r w:rsidR="00BF3ADC">
        <w:t>d</w:t>
      </w:r>
      <w:r w:rsidR="00A31E98">
        <w:t xml:space="preserve"> studiested Oslo</w:t>
      </w:r>
      <w:r w:rsidR="00DA1AF6">
        <w:t xml:space="preserve"> </w:t>
      </w:r>
      <w:r w:rsidR="00BF3ADC">
        <w:t>høre</w:t>
      </w:r>
      <w:r w:rsidR="00AF0519">
        <w:t>r</w:t>
      </w:r>
      <w:r w:rsidR="00C21A1E">
        <w:t xml:space="preserve"> </w:t>
      </w:r>
      <w:r w:rsidR="00E24340">
        <w:t xml:space="preserve">35 prosent av </w:t>
      </w:r>
      <w:r w:rsidR="00BF3ADC">
        <w:t xml:space="preserve">studentene hjemme i Oslo, mens 30 prosent </w:t>
      </w:r>
      <w:r w:rsidR="00C8461D">
        <w:t xml:space="preserve">hørte til Viken. </w:t>
      </w:r>
      <w:r w:rsidR="000F150B">
        <w:t xml:space="preserve">For studiested Kjeller </w:t>
      </w:r>
      <w:r w:rsidR="00390180">
        <w:t>kom</w:t>
      </w:r>
      <w:r w:rsidR="00663829">
        <w:t>mer</w:t>
      </w:r>
      <w:r w:rsidR="00390180">
        <w:t xml:space="preserve"> 39 prosent av studentene </w:t>
      </w:r>
      <w:r w:rsidR="00663829">
        <w:t>fra</w:t>
      </w:r>
      <w:r w:rsidR="00390180">
        <w:t xml:space="preserve"> Viken, og </w:t>
      </w:r>
      <w:r w:rsidR="00AE7E8C">
        <w:t>21 prosent fra Oslo.</w:t>
      </w:r>
      <w:r w:rsidR="009E3410">
        <w:t xml:space="preserve"> </w:t>
      </w:r>
      <w:r w:rsidR="001B4C22">
        <w:t>Ellers</w:t>
      </w:r>
      <w:r w:rsidR="00C96EC4">
        <w:t xml:space="preserve"> er det, ikke overraskende, </w:t>
      </w:r>
      <w:r w:rsidR="00C26B24">
        <w:t>de mer spesialiserte institusjonene</w:t>
      </w:r>
      <w:r w:rsidR="00D643DA">
        <w:t xml:space="preserve"> som </w:t>
      </w:r>
      <w:r w:rsidR="00470BD6">
        <w:t>har flest studenter fra andre fylker.</w:t>
      </w:r>
      <w:r w:rsidR="00A506DC">
        <w:t xml:space="preserve"> </w:t>
      </w:r>
    </w:p>
    <w:p w14:paraId="5C69282B" w14:textId="39990B5A" w:rsidR="00CA1438" w:rsidRDefault="00CA1438" w:rsidP="00CA1438">
      <w:pPr>
        <w:pStyle w:val="Bildetekst"/>
        <w:keepNext/>
      </w:pPr>
      <w:bookmarkStart w:id="29" w:name="_Ref162961075"/>
      <w:r>
        <w:lastRenderedPageBreak/>
        <w:t xml:space="preserve">Figur </w:t>
      </w:r>
      <w:r w:rsidR="006E1D94">
        <w:fldChar w:fldCharType="begin"/>
      </w:r>
      <w:r w:rsidR="006E1D94">
        <w:instrText xml:space="preserve"> STYLEREF 1 \s </w:instrText>
      </w:r>
      <w:r w:rsidR="006E1D94">
        <w:fldChar w:fldCharType="separate"/>
      </w:r>
      <w:r w:rsidR="006E1D94">
        <w:rPr>
          <w:noProof/>
        </w:rPr>
        <w:t>2</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6</w:t>
      </w:r>
      <w:r w:rsidR="006E1D94">
        <w:fldChar w:fldCharType="end"/>
      </w:r>
      <w:bookmarkEnd w:id="29"/>
      <w:r>
        <w:t xml:space="preserve"> Andel studenter hjemmehørende i studiestedets (campusens) fylke per institusjon</w:t>
      </w:r>
      <w:r w:rsidR="004A0579">
        <w:t>,</w:t>
      </w:r>
      <w:r w:rsidDel="001D5E0A">
        <w:t xml:space="preserve"> </w:t>
      </w:r>
      <w:r>
        <w:t>2023</w:t>
      </w:r>
      <w:r w:rsidR="005D6B3C">
        <w:t xml:space="preserve"> </w:t>
      </w:r>
    </w:p>
    <w:p w14:paraId="26E1C25B" w14:textId="0FE622CC" w:rsidR="00202F3D" w:rsidRDefault="008B0285" w:rsidP="006144CE">
      <w:r>
        <w:rPr>
          <w:noProof/>
        </w:rPr>
        <w:drawing>
          <wp:inline distT="0" distB="0" distL="0" distR="0" wp14:anchorId="0AD19AF1" wp14:editId="45BB2CE7">
            <wp:extent cx="5718412" cy="2743200"/>
            <wp:effectExtent l="0" t="0" r="15875" b="0"/>
            <wp:docPr id="640596641" name="Diagram 1">
              <a:extLst xmlns:a="http://schemas.openxmlformats.org/drawingml/2006/main">
                <a:ext uri="{FF2B5EF4-FFF2-40B4-BE49-F238E27FC236}">
                  <a16:creationId xmlns:a16="http://schemas.microsoft.com/office/drawing/2014/main" id="{D5E3CD35-C0BC-5EF4-0F62-A9CB056EAF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B815EC7" w14:textId="3F5556BC" w:rsidR="001D5E0A" w:rsidRDefault="001D5E0A" w:rsidP="00F0374B">
      <w:pPr>
        <w:pStyle w:val="Merknad"/>
      </w:pPr>
      <w:r>
        <w:t>Figuren omfatter institusjoner med mer enn 2</w:t>
      </w:r>
      <w:r w:rsidR="004A0579">
        <w:t> </w:t>
      </w:r>
      <w:r>
        <w:t>000 studenter.</w:t>
      </w:r>
    </w:p>
    <w:p w14:paraId="19FB054C" w14:textId="245ADFE9" w:rsidR="00B10B9C" w:rsidRPr="001807C2" w:rsidRDefault="00B10B9C" w:rsidP="001807C2">
      <w:pPr>
        <w:pStyle w:val="Kilde"/>
      </w:pPr>
      <w:r w:rsidRPr="004E373E">
        <w:rPr>
          <w:b/>
        </w:rPr>
        <w:t>Kilde</w:t>
      </w:r>
      <w:r w:rsidRPr="001807C2">
        <w:t>: DBH</w:t>
      </w:r>
    </w:p>
    <w:p w14:paraId="182EAE83" w14:textId="6D3CD808" w:rsidR="006E099D" w:rsidRDefault="00400FF4" w:rsidP="006144CE">
      <w:r>
        <w:t xml:space="preserve">Forskjellene mellom institusjoner henger her som alltid sammen med </w:t>
      </w:r>
      <w:r w:rsidR="00770AFC">
        <w:t xml:space="preserve">faglig profil og </w:t>
      </w:r>
      <w:r>
        <w:t>forskjeller i studietilbud</w:t>
      </w:r>
      <w:r w:rsidR="00770AFC">
        <w:t xml:space="preserve">. </w:t>
      </w:r>
      <w:r w:rsidR="00770AFC">
        <w:fldChar w:fldCharType="begin"/>
      </w:r>
      <w:r w:rsidR="00770AFC">
        <w:instrText xml:space="preserve"> REF _Ref162963971 \h </w:instrText>
      </w:r>
      <w:r w:rsidR="00770AFC">
        <w:fldChar w:fldCharType="separate"/>
      </w:r>
      <w:r w:rsidR="00DC2B1C">
        <w:t xml:space="preserve">Tabell </w:t>
      </w:r>
      <w:r w:rsidR="00DC2B1C">
        <w:rPr>
          <w:noProof/>
        </w:rPr>
        <w:t>2</w:t>
      </w:r>
      <w:r w:rsidR="00DC2B1C">
        <w:t>.</w:t>
      </w:r>
      <w:r w:rsidR="00DC2B1C">
        <w:rPr>
          <w:noProof/>
        </w:rPr>
        <w:t>1</w:t>
      </w:r>
      <w:r w:rsidR="00770AFC">
        <w:fldChar w:fldCharType="end"/>
      </w:r>
      <w:r w:rsidR="00770AFC">
        <w:t xml:space="preserve"> viser </w:t>
      </w:r>
      <w:r w:rsidR="001C4504">
        <w:t xml:space="preserve">hvor stor </w:t>
      </w:r>
      <w:r w:rsidR="00A51E74">
        <w:t xml:space="preserve">andel av studentene som har campus i hjemfylket etter studium. </w:t>
      </w:r>
      <w:r w:rsidR="00701DCA">
        <w:t xml:space="preserve">Her er mønsteret tydelig. </w:t>
      </w:r>
      <w:r w:rsidR="00461D95">
        <w:t xml:space="preserve">Øverst i tabellen med mellom 60 og 70 prosent studenter fra hjemfylket finner vi </w:t>
      </w:r>
      <w:r w:rsidR="00EB24BB">
        <w:t>profesjo</w:t>
      </w:r>
      <w:r w:rsidR="004E2118">
        <w:t xml:space="preserve">nsutdanninger </w:t>
      </w:r>
      <w:r w:rsidR="008F4FD5">
        <w:t xml:space="preserve">relatert til velferdsstatens yrker. </w:t>
      </w:r>
      <w:r w:rsidR="006D3121">
        <w:t>Nederst finn</w:t>
      </w:r>
      <w:r w:rsidR="00C31C01">
        <w:t>er vi de mer spesialiserte utdanningene</w:t>
      </w:r>
      <w:r w:rsidR="00241775">
        <w:t xml:space="preserve"> med </w:t>
      </w:r>
      <w:r w:rsidR="00EB12A4">
        <w:t>en mer begrenset geografisk distribusjon.</w:t>
      </w:r>
    </w:p>
    <w:p w14:paraId="46E02217" w14:textId="77777777" w:rsidR="009B78B6" w:rsidRDefault="009B78B6" w:rsidP="006144CE"/>
    <w:p w14:paraId="55ECF4F4" w14:textId="77777777" w:rsidR="00767348" w:rsidRDefault="00767348" w:rsidP="006144CE"/>
    <w:p w14:paraId="44D8F809" w14:textId="77777777" w:rsidR="00767348" w:rsidRDefault="00767348" w:rsidP="006144CE"/>
    <w:p w14:paraId="4260779E" w14:textId="77777777" w:rsidR="00767348" w:rsidRDefault="00767348" w:rsidP="006144CE"/>
    <w:p w14:paraId="48A09ED9" w14:textId="77777777" w:rsidR="00767348" w:rsidRDefault="00767348" w:rsidP="006144CE"/>
    <w:p w14:paraId="66EF33C5" w14:textId="77777777" w:rsidR="00767348" w:rsidRDefault="00767348" w:rsidP="006144CE"/>
    <w:p w14:paraId="0236D68B" w14:textId="77777777" w:rsidR="00767348" w:rsidRDefault="00767348" w:rsidP="006144CE"/>
    <w:p w14:paraId="6876E59A" w14:textId="1B4BAD85" w:rsidR="00767348" w:rsidRDefault="00767348" w:rsidP="006144CE">
      <w:r w:rsidRPr="00767348">
        <w:lastRenderedPageBreak/>
        <w:t>https://vedlegg.hkdir.no/MichaelRev/2024/tabell/V2.1</w:t>
      </w:r>
    </w:p>
    <w:p w14:paraId="0718062E" w14:textId="492F0AEA" w:rsidR="004272FC" w:rsidRDefault="004272FC" w:rsidP="00AC5E78">
      <w:pPr>
        <w:pStyle w:val="Bildetekst"/>
        <w:keepNext/>
      </w:pPr>
      <w:bookmarkStart w:id="30" w:name="_Ref162963971"/>
      <w:r>
        <w:t xml:space="preserve">Tabell </w:t>
      </w:r>
      <w:r w:rsidR="00826DA7">
        <w:fldChar w:fldCharType="begin"/>
      </w:r>
      <w:r w:rsidR="00826DA7">
        <w:instrText xml:space="preserve"> STYLEREF 1 \s </w:instrText>
      </w:r>
      <w:r w:rsidR="00826DA7">
        <w:fldChar w:fldCharType="separate"/>
      </w:r>
      <w:r w:rsidR="00826DA7">
        <w:rPr>
          <w:noProof/>
        </w:rPr>
        <w:t>2</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1</w:t>
      </w:r>
      <w:r w:rsidR="00826DA7">
        <w:fldChar w:fldCharType="end"/>
      </w:r>
      <w:bookmarkEnd w:id="30"/>
      <w:r>
        <w:t xml:space="preserve"> </w:t>
      </w:r>
      <w:r w:rsidRPr="00F2237C">
        <w:t xml:space="preserve">Andel studenter hjemmehørende i studiestedets (campusens) fylke per </w:t>
      </w:r>
      <w:r>
        <w:t>stud</w:t>
      </w:r>
      <w:r w:rsidR="005513AE">
        <w:t>ium</w:t>
      </w:r>
      <w:r w:rsidR="004A0579">
        <w:t>,</w:t>
      </w:r>
      <w:r w:rsidRPr="00F2237C">
        <w:t xml:space="preserve"> 2023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2"/>
        <w:gridCol w:w="1417"/>
        <w:gridCol w:w="1507"/>
      </w:tblGrid>
      <w:tr w:rsidR="000D7BED" w:rsidRPr="00EE1F5D" w14:paraId="4870B3BF" w14:textId="77777777" w:rsidTr="000D7BED">
        <w:trPr>
          <w:trHeight w:val="449"/>
        </w:trPr>
        <w:tc>
          <w:tcPr>
            <w:tcW w:w="3378" w:type="pct"/>
            <w:shd w:val="clear" w:color="D9E1F2" w:fill="D9E1F2"/>
            <w:vAlign w:val="bottom"/>
            <w:hideMark/>
          </w:tcPr>
          <w:p w14:paraId="1AC3E1D1" w14:textId="77777777" w:rsidR="000D7BED" w:rsidRPr="00EE1F5D" w:rsidRDefault="000D7BED" w:rsidP="00AC5E78">
            <w:pPr>
              <w:keepNext/>
              <w:spacing w:after="0" w:line="240" w:lineRule="auto"/>
              <w:rPr>
                <w:rFonts w:ascii="Calibri" w:eastAsia="Times New Roman" w:hAnsi="Calibri" w:cs="Calibri"/>
                <w:b/>
                <w:bCs/>
                <w:color w:val="000000"/>
                <w:lang w:eastAsia="nb-NO"/>
              </w:rPr>
            </w:pPr>
            <w:r w:rsidRPr="00EE1F5D">
              <w:rPr>
                <w:rFonts w:ascii="Calibri" w:eastAsia="Times New Roman" w:hAnsi="Calibri" w:cs="Calibri"/>
                <w:b/>
                <w:bCs/>
                <w:color w:val="000000"/>
                <w:lang w:eastAsia="nb-NO"/>
              </w:rPr>
              <w:t>Studium</w:t>
            </w:r>
          </w:p>
        </w:tc>
        <w:tc>
          <w:tcPr>
            <w:tcW w:w="786" w:type="pct"/>
            <w:shd w:val="clear" w:color="D9E1F2" w:fill="D9E1F2"/>
            <w:vAlign w:val="bottom"/>
            <w:hideMark/>
          </w:tcPr>
          <w:p w14:paraId="67BAC732" w14:textId="77777777" w:rsidR="000D7BED" w:rsidRPr="00EE1F5D" w:rsidRDefault="000D7BED" w:rsidP="00AC5E78">
            <w:pPr>
              <w:keepNext/>
              <w:spacing w:after="0" w:line="240" w:lineRule="auto"/>
              <w:rPr>
                <w:rFonts w:ascii="Calibri" w:eastAsia="Times New Roman" w:hAnsi="Calibri" w:cs="Calibri"/>
                <w:b/>
                <w:bCs/>
                <w:color w:val="000000"/>
                <w:lang w:eastAsia="nb-NO"/>
              </w:rPr>
            </w:pPr>
            <w:r>
              <w:rPr>
                <w:rFonts w:ascii="Calibri" w:eastAsia="Times New Roman" w:hAnsi="Calibri" w:cs="Calibri"/>
                <w:b/>
                <w:bCs/>
                <w:color w:val="000000"/>
                <w:lang w:eastAsia="nb-NO"/>
              </w:rPr>
              <w:t>F</w:t>
            </w:r>
            <w:r w:rsidRPr="00EE1F5D">
              <w:rPr>
                <w:rFonts w:ascii="Calibri" w:eastAsia="Times New Roman" w:hAnsi="Calibri" w:cs="Calibri"/>
                <w:b/>
                <w:bCs/>
                <w:color w:val="000000"/>
                <w:lang w:eastAsia="nb-NO"/>
              </w:rPr>
              <w:t>ra eget fylke</w:t>
            </w:r>
          </w:p>
        </w:tc>
        <w:tc>
          <w:tcPr>
            <w:tcW w:w="836" w:type="pct"/>
            <w:shd w:val="clear" w:color="D9E1F2" w:fill="D9E1F2"/>
            <w:vAlign w:val="bottom"/>
            <w:hideMark/>
          </w:tcPr>
          <w:p w14:paraId="0378B2D1" w14:textId="77777777" w:rsidR="000D7BED" w:rsidRPr="00EE1F5D" w:rsidRDefault="000D7BED" w:rsidP="00AC5E78">
            <w:pPr>
              <w:keepNext/>
              <w:spacing w:after="0" w:line="240" w:lineRule="auto"/>
              <w:rPr>
                <w:rFonts w:ascii="Calibri" w:eastAsia="Times New Roman" w:hAnsi="Calibri" w:cs="Calibri"/>
                <w:b/>
                <w:bCs/>
                <w:color w:val="000000"/>
                <w:lang w:eastAsia="nb-NO"/>
              </w:rPr>
            </w:pPr>
            <w:r w:rsidRPr="00EE1F5D">
              <w:rPr>
                <w:rFonts w:ascii="Calibri" w:eastAsia="Times New Roman" w:hAnsi="Calibri" w:cs="Calibri"/>
                <w:b/>
                <w:bCs/>
                <w:color w:val="000000"/>
                <w:lang w:eastAsia="nb-NO"/>
              </w:rPr>
              <w:t>Studenter i alt</w:t>
            </w:r>
          </w:p>
        </w:tc>
      </w:tr>
      <w:tr w:rsidR="000D7BED" w:rsidRPr="00EE1F5D" w14:paraId="63B6BE30" w14:textId="77777777" w:rsidTr="000D7BED">
        <w:trPr>
          <w:trHeight w:val="300"/>
        </w:trPr>
        <w:tc>
          <w:tcPr>
            <w:tcW w:w="3378" w:type="pct"/>
            <w:shd w:val="clear" w:color="auto" w:fill="auto"/>
            <w:noWrap/>
            <w:vAlign w:val="bottom"/>
            <w:hideMark/>
          </w:tcPr>
          <w:p w14:paraId="26AC8C97"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Barnehagelærerutdanning</w:t>
            </w:r>
          </w:p>
        </w:tc>
        <w:tc>
          <w:tcPr>
            <w:tcW w:w="786" w:type="pct"/>
            <w:shd w:val="clear" w:color="auto" w:fill="auto"/>
            <w:noWrap/>
            <w:vAlign w:val="bottom"/>
            <w:hideMark/>
          </w:tcPr>
          <w:p w14:paraId="449A4D67"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70 %</w:t>
            </w:r>
          </w:p>
        </w:tc>
        <w:tc>
          <w:tcPr>
            <w:tcW w:w="836" w:type="pct"/>
            <w:shd w:val="clear" w:color="auto" w:fill="auto"/>
            <w:noWrap/>
            <w:vAlign w:val="bottom"/>
            <w:hideMark/>
          </w:tcPr>
          <w:p w14:paraId="6E984C5F"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6451</w:t>
            </w:r>
          </w:p>
        </w:tc>
      </w:tr>
      <w:tr w:rsidR="000D7BED" w:rsidRPr="00EE1F5D" w14:paraId="0D0F5CAF" w14:textId="77777777" w:rsidTr="000D7BED">
        <w:trPr>
          <w:trHeight w:val="300"/>
        </w:trPr>
        <w:tc>
          <w:tcPr>
            <w:tcW w:w="3378" w:type="pct"/>
            <w:shd w:val="clear" w:color="auto" w:fill="auto"/>
            <w:noWrap/>
            <w:vAlign w:val="bottom"/>
            <w:hideMark/>
          </w:tcPr>
          <w:p w14:paraId="74AB2401"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Vernepleierutdanning</w:t>
            </w:r>
          </w:p>
        </w:tc>
        <w:tc>
          <w:tcPr>
            <w:tcW w:w="786" w:type="pct"/>
            <w:shd w:val="clear" w:color="auto" w:fill="auto"/>
            <w:noWrap/>
            <w:vAlign w:val="bottom"/>
            <w:hideMark/>
          </w:tcPr>
          <w:p w14:paraId="6491422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69 %</w:t>
            </w:r>
          </w:p>
        </w:tc>
        <w:tc>
          <w:tcPr>
            <w:tcW w:w="836" w:type="pct"/>
            <w:shd w:val="clear" w:color="auto" w:fill="auto"/>
            <w:noWrap/>
            <w:vAlign w:val="bottom"/>
            <w:hideMark/>
          </w:tcPr>
          <w:p w14:paraId="33A2F14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3852</w:t>
            </w:r>
          </w:p>
        </w:tc>
      </w:tr>
      <w:tr w:rsidR="000D7BED" w:rsidRPr="00EE1F5D" w14:paraId="061C6016" w14:textId="77777777" w:rsidTr="000D7BED">
        <w:trPr>
          <w:trHeight w:val="300"/>
        </w:trPr>
        <w:tc>
          <w:tcPr>
            <w:tcW w:w="3378" w:type="pct"/>
            <w:shd w:val="clear" w:color="auto" w:fill="auto"/>
            <w:noWrap/>
            <w:vAlign w:val="bottom"/>
            <w:hideMark/>
          </w:tcPr>
          <w:p w14:paraId="21634CEA"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Sykepleierutdanning</w:t>
            </w:r>
          </w:p>
        </w:tc>
        <w:tc>
          <w:tcPr>
            <w:tcW w:w="786" w:type="pct"/>
            <w:shd w:val="clear" w:color="auto" w:fill="auto"/>
            <w:noWrap/>
            <w:vAlign w:val="bottom"/>
            <w:hideMark/>
          </w:tcPr>
          <w:p w14:paraId="798A6E58"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69 %</w:t>
            </w:r>
          </w:p>
        </w:tc>
        <w:tc>
          <w:tcPr>
            <w:tcW w:w="836" w:type="pct"/>
            <w:shd w:val="clear" w:color="auto" w:fill="auto"/>
            <w:noWrap/>
            <w:vAlign w:val="bottom"/>
            <w:hideMark/>
          </w:tcPr>
          <w:p w14:paraId="4EB80ECB" w14:textId="7183F93D"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14</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560</w:t>
            </w:r>
          </w:p>
        </w:tc>
      </w:tr>
      <w:tr w:rsidR="000D7BED" w:rsidRPr="00EE1F5D" w14:paraId="61C6E84C" w14:textId="77777777" w:rsidTr="000D7BED">
        <w:trPr>
          <w:trHeight w:val="300"/>
        </w:trPr>
        <w:tc>
          <w:tcPr>
            <w:tcW w:w="3378" w:type="pct"/>
            <w:shd w:val="clear" w:color="auto" w:fill="auto"/>
            <w:noWrap/>
            <w:vAlign w:val="bottom"/>
            <w:hideMark/>
          </w:tcPr>
          <w:p w14:paraId="099ED368"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5-årig masterprogram i grunnskolelærerutdanning 5-10 trinn</w:t>
            </w:r>
          </w:p>
        </w:tc>
        <w:tc>
          <w:tcPr>
            <w:tcW w:w="786" w:type="pct"/>
            <w:shd w:val="clear" w:color="auto" w:fill="auto"/>
            <w:noWrap/>
            <w:vAlign w:val="bottom"/>
            <w:hideMark/>
          </w:tcPr>
          <w:p w14:paraId="2D210517"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63 %</w:t>
            </w:r>
          </w:p>
        </w:tc>
        <w:tc>
          <w:tcPr>
            <w:tcW w:w="836" w:type="pct"/>
            <w:shd w:val="clear" w:color="auto" w:fill="auto"/>
            <w:noWrap/>
            <w:vAlign w:val="bottom"/>
            <w:hideMark/>
          </w:tcPr>
          <w:p w14:paraId="66CD01B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5455</w:t>
            </w:r>
          </w:p>
        </w:tc>
      </w:tr>
      <w:tr w:rsidR="000D7BED" w:rsidRPr="00EE1F5D" w14:paraId="6A12C9A1" w14:textId="77777777" w:rsidTr="000D7BED">
        <w:trPr>
          <w:trHeight w:val="300"/>
        </w:trPr>
        <w:tc>
          <w:tcPr>
            <w:tcW w:w="3378" w:type="pct"/>
            <w:shd w:val="clear" w:color="auto" w:fill="auto"/>
            <w:noWrap/>
            <w:vAlign w:val="bottom"/>
            <w:hideMark/>
          </w:tcPr>
          <w:p w14:paraId="26CA9543"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5-årig masterprogram i grunnskolelærerutdanning 1-7 trinn</w:t>
            </w:r>
          </w:p>
        </w:tc>
        <w:tc>
          <w:tcPr>
            <w:tcW w:w="786" w:type="pct"/>
            <w:shd w:val="clear" w:color="auto" w:fill="auto"/>
            <w:noWrap/>
            <w:vAlign w:val="bottom"/>
            <w:hideMark/>
          </w:tcPr>
          <w:p w14:paraId="44CCE32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62 %</w:t>
            </w:r>
          </w:p>
        </w:tc>
        <w:tc>
          <w:tcPr>
            <w:tcW w:w="836" w:type="pct"/>
            <w:shd w:val="clear" w:color="auto" w:fill="auto"/>
            <w:noWrap/>
            <w:vAlign w:val="bottom"/>
            <w:hideMark/>
          </w:tcPr>
          <w:p w14:paraId="0333821A"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5224</w:t>
            </w:r>
          </w:p>
        </w:tc>
      </w:tr>
      <w:tr w:rsidR="000D7BED" w:rsidRPr="00EE1F5D" w14:paraId="4898200C" w14:textId="77777777" w:rsidTr="000D7BED">
        <w:trPr>
          <w:trHeight w:val="300"/>
        </w:trPr>
        <w:tc>
          <w:tcPr>
            <w:tcW w:w="3378" w:type="pct"/>
            <w:shd w:val="clear" w:color="auto" w:fill="auto"/>
            <w:noWrap/>
            <w:vAlign w:val="bottom"/>
            <w:hideMark/>
          </w:tcPr>
          <w:p w14:paraId="6DCE0971"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Barnevernpedagogutdanning</w:t>
            </w:r>
          </w:p>
        </w:tc>
        <w:tc>
          <w:tcPr>
            <w:tcW w:w="786" w:type="pct"/>
            <w:shd w:val="clear" w:color="auto" w:fill="auto"/>
            <w:noWrap/>
            <w:vAlign w:val="bottom"/>
            <w:hideMark/>
          </w:tcPr>
          <w:p w14:paraId="144D30B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61 %</w:t>
            </w:r>
          </w:p>
        </w:tc>
        <w:tc>
          <w:tcPr>
            <w:tcW w:w="836" w:type="pct"/>
            <w:shd w:val="clear" w:color="auto" w:fill="auto"/>
            <w:noWrap/>
            <w:vAlign w:val="bottom"/>
            <w:hideMark/>
          </w:tcPr>
          <w:p w14:paraId="7053595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2178</w:t>
            </w:r>
          </w:p>
        </w:tc>
      </w:tr>
      <w:tr w:rsidR="000D7BED" w:rsidRPr="00EE1F5D" w14:paraId="41604BBD" w14:textId="77777777" w:rsidTr="000D7BED">
        <w:trPr>
          <w:trHeight w:val="300"/>
        </w:trPr>
        <w:tc>
          <w:tcPr>
            <w:tcW w:w="3378" w:type="pct"/>
            <w:shd w:val="clear" w:color="auto" w:fill="auto"/>
            <w:noWrap/>
            <w:vAlign w:val="bottom"/>
            <w:hideMark/>
          </w:tcPr>
          <w:p w14:paraId="0F124F7E"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Sosionomutdanning/sosialt arbeid</w:t>
            </w:r>
          </w:p>
        </w:tc>
        <w:tc>
          <w:tcPr>
            <w:tcW w:w="786" w:type="pct"/>
            <w:shd w:val="clear" w:color="auto" w:fill="auto"/>
            <w:noWrap/>
            <w:vAlign w:val="bottom"/>
            <w:hideMark/>
          </w:tcPr>
          <w:p w14:paraId="4C80542A"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60 %</w:t>
            </w:r>
          </w:p>
        </w:tc>
        <w:tc>
          <w:tcPr>
            <w:tcW w:w="836" w:type="pct"/>
            <w:shd w:val="clear" w:color="auto" w:fill="auto"/>
            <w:noWrap/>
            <w:vAlign w:val="bottom"/>
            <w:hideMark/>
          </w:tcPr>
          <w:p w14:paraId="72299C5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3263</w:t>
            </w:r>
          </w:p>
        </w:tc>
      </w:tr>
      <w:tr w:rsidR="000D7BED" w:rsidRPr="00EE1F5D" w14:paraId="5A316F21" w14:textId="77777777" w:rsidTr="000D7BED">
        <w:trPr>
          <w:trHeight w:val="300"/>
        </w:trPr>
        <w:tc>
          <w:tcPr>
            <w:tcW w:w="3378" w:type="pct"/>
            <w:shd w:val="clear" w:color="auto" w:fill="auto"/>
            <w:noWrap/>
            <w:vAlign w:val="bottom"/>
            <w:hideMark/>
          </w:tcPr>
          <w:p w14:paraId="26467518"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Bioingeniørutdanning</w:t>
            </w:r>
          </w:p>
        </w:tc>
        <w:tc>
          <w:tcPr>
            <w:tcW w:w="786" w:type="pct"/>
            <w:shd w:val="clear" w:color="auto" w:fill="auto"/>
            <w:noWrap/>
            <w:vAlign w:val="bottom"/>
            <w:hideMark/>
          </w:tcPr>
          <w:p w14:paraId="7806CE9D"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59 %</w:t>
            </w:r>
          </w:p>
        </w:tc>
        <w:tc>
          <w:tcPr>
            <w:tcW w:w="836" w:type="pct"/>
            <w:shd w:val="clear" w:color="auto" w:fill="auto"/>
            <w:noWrap/>
            <w:vAlign w:val="bottom"/>
            <w:hideMark/>
          </w:tcPr>
          <w:p w14:paraId="3831666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1064</w:t>
            </w:r>
          </w:p>
        </w:tc>
      </w:tr>
      <w:tr w:rsidR="000D7BED" w:rsidRPr="00EE1F5D" w14:paraId="075ACC70" w14:textId="77777777" w:rsidTr="000D7BED">
        <w:trPr>
          <w:trHeight w:val="300"/>
        </w:trPr>
        <w:tc>
          <w:tcPr>
            <w:tcW w:w="3378" w:type="pct"/>
            <w:shd w:val="clear" w:color="auto" w:fill="auto"/>
            <w:noWrap/>
            <w:vAlign w:val="bottom"/>
            <w:hideMark/>
          </w:tcPr>
          <w:p w14:paraId="3581214D"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Ingeniørutdanning</w:t>
            </w:r>
          </w:p>
        </w:tc>
        <w:tc>
          <w:tcPr>
            <w:tcW w:w="786" w:type="pct"/>
            <w:shd w:val="clear" w:color="auto" w:fill="auto"/>
            <w:noWrap/>
            <w:vAlign w:val="bottom"/>
            <w:hideMark/>
          </w:tcPr>
          <w:p w14:paraId="35E7586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57 %</w:t>
            </w:r>
          </w:p>
        </w:tc>
        <w:tc>
          <w:tcPr>
            <w:tcW w:w="836" w:type="pct"/>
            <w:shd w:val="clear" w:color="auto" w:fill="auto"/>
            <w:noWrap/>
            <w:vAlign w:val="bottom"/>
            <w:hideMark/>
          </w:tcPr>
          <w:p w14:paraId="0737EBB9" w14:textId="6EFD910B"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11</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363</w:t>
            </w:r>
          </w:p>
        </w:tc>
      </w:tr>
      <w:tr w:rsidR="000D7BED" w:rsidRPr="00EE1F5D" w14:paraId="21106B43" w14:textId="77777777" w:rsidTr="000D7BED">
        <w:trPr>
          <w:trHeight w:val="300"/>
        </w:trPr>
        <w:tc>
          <w:tcPr>
            <w:tcW w:w="3378" w:type="pct"/>
            <w:shd w:val="clear" w:color="auto" w:fill="auto"/>
            <w:noWrap/>
            <w:vAlign w:val="bottom"/>
            <w:hideMark/>
          </w:tcPr>
          <w:p w14:paraId="416188F4"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Medisin</w:t>
            </w:r>
          </w:p>
        </w:tc>
        <w:tc>
          <w:tcPr>
            <w:tcW w:w="786" w:type="pct"/>
            <w:shd w:val="clear" w:color="auto" w:fill="auto"/>
            <w:noWrap/>
            <w:vAlign w:val="bottom"/>
            <w:hideMark/>
          </w:tcPr>
          <w:p w14:paraId="55CFCF2F"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56 %</w:t>
            </w:r>
          </w:p>
        </w:tc>
        <w:tc>
          <w:tcPr>
            <w:tcW w:w="836" w:type="pct"/>
            <w:shd w:val="clear" w:color="auto" w:fill="auto"/>
            <w:noWrap/>
            <w:vAlign w:val="bottom"/>
            <w:hideMark/>
          </w:tcPr>
          <w:p w14:paraId="204C100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5137</w:t>
            </w:r>
          </w:p>
        </w:tc>
      </w:tr>
      <w:tr w:rsidR="000D7BED" w:rsidRPr="00EE1F5D" w14:paraId="1E787F77" w14:textId="77777777" w:rsidTr="000D7BED">
        <w:trPr>
          <w:trHeight w:val="300"/>
        </w:trPr>
        <w:tc>
          <w:tcPr>
            <w:tcW w:w="3378" w:type="pct"/>
            <w:shd w:val="clear" w:color="auto" w:fill="auto"/>
            <w:noWrap/>
            <w:vAlign w:val="bottom"/>
            <w:hideMark/>
          </w:tcPr>
          <w:p w14:paraId="0DEFA716"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Femårig lektorutdanning</w:t>
            </w:r>
          </w:p>
        </w:tc>
        <w:tc>
          <w:tcPr>
            <w:tcW w:w="786" w:type="pct"/>
            <w:shd w:val="clear" w:color="auto" w:fill="auto"/>
            <w:noWrap/>
            <w:vAlign w:val="bottom"/>
            <w:hideMark/>
          </w:tcPr>
          <w:p w14:paraId="3DE99DE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55 %</w:t>
            </w:r>
          </w:p>
        </w:tc>
        <w:tc>
          <w:tcPr>
            <w:tcW w:w="836" w:type="pct"/>
            <w:shd w:val="clear" w:color="auto" w:fill="auto"/>
            <w:noWrap/>
            <w:vAlign w:val="bottom"/>
            <w:hideMark/>
          </w:tcPr>
          <w:p w14:paraId="465AA4FE"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4629</w:t>
            </w:r>
          </w:p>
        </w:tc>
      </w:tr>
      <w:tr w:rsidR="000D7BED" w:rsidRPr="00EE1F5D" w14:paraId="7CE01403" w14:textId="77777777" w:rsidTr="000D7BED">
        <w:trPr>
          <w:trHeight w:val="300"/>
        </w:trPr>
        <w:tc>
          <w:tcPr>
            <w:tcW w:w="3378" w:type="pct"/>
            <w:shd w:val="clear" w:color="auto" w:fill="auto"/>
            <w:noWrap/>
            <w:vAlign w:val="bottom"/>
            <w:hideMark/>
          </w:tcPr>
          <w:p w14:paraId="0FBEADE2"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Praktisk-pedagogisk utdanning</w:t>
            </w:r>
          </w:p>
        </w:tc>
        <w:tc>
          <w:tcPr>
            <w:tcW w:w="786" w:type="pct"/>
            <w:shd w:val="clear" w:color="auto" w:fill="auto"/>
            <w:noWrap/>
            <w:vAlign w:val="bottom"/>
            <w:hideMark/>
          </w:tcPr>
          <w:p w14:paraId="21216CAD"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54 %</w:t>
            </w:r>
          </w:p>
        </w:tc>
        <w:tc>
          <w:tcPr>
            <w:tcW w:w="836" w:type="pct"/>
            <w:shd w:val="clear" w:color="auto" w:fill="auto"/>
            <w:noWrap/>
            <w:vAlign w:val="bottom"/>
            <w:hideMark/>
          </w:tcPr>
          <w:p w14:paraId="1A52FDD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2515</w:t>
            </w:r>
          </w:p>
        </w:tc>
      </w:tr>
      <w:tr w:rsidR="000D7BED" w:rsidRPr="00EE1F5D" w14:paraId="53D7B506" w14:textId="77777777" w:rsidTr="000D7BED">
        <w:trPr>
          <w:trHeight w:val="300"/>
        </w:trPr>
        <w:tc>
          <w:tcPr>
            <w:tcW w:w="3378" w:type="pct"/>
            <w:shd w:val="clear" w:color="auto" w:fill="auto"/>
            <w:noWrap/>
            <w:vAlign w:val="bottom"/>
            <w:hideMark/>
          </w:tcPr>
          <w:p w14:paraId="3B6CB62B"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Helsefag</w:t>
            </w:r>
          </w:p>
        </w:tc>
        <w:tc>
          <w:tcPr>
            <w:tcW w:w="786" w:type="pct"/>
            <w:shd w:val="clear" w:color="auto" w:fill="auto"/>
            <w:noWrap/>
            <w:vAlign w:val="bottom"/>
            <w:hideMark/>
          </w:tcPr>
          <w:p w14:paraId="54956BD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52 %</w:t>
            </w:r>
          </w:p>
        </w:tc>
        <w:tc>
          <w:tcPr>
            <w:tcW w:w="836" w:type="pct"/>
            <w:shd w:val="clear" w:color="auto" w:fill="auto"/>
            <w:noWrap/>
            <w:vAlign w:val="bottom"/>
            <w:hideMark/>
          </w:tcPr>
          <w:p w14:paraId="0357A168" w14:textId="10B244D1"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18</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212</w:t>
            </w:r>
          </w:p>
        </w:tc>
      </w:tr>
      <w:tr w:rsidR="000D7BED" w:rsidRPr="00EE1F5D" w14:paraId="090039B7" w14:textId="77777777" w:rsidTr="000D7BED">
        <w:trPr>
          <w:trHeight w:val="300"/>
        </w:trPr>
        <w:tc>
          <w:tcPr>
            <w:tcW w:w="3378" w:type="pct"/>
            <w:shd w:val="clear" w:color="auto" w:fill="auto"/>
            <w:noWrap/>
            <w:vAlign w:val="bottom"/>
            <w:hideMark/>
          </w:tcPr>
          <w:p w14:paraId="15488165"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Psykologi</w:t>
            </w:r>
          </w:p>
        </w:tc>
        <w:tc>
          <w:tcPr>
            <w:tcW w:w="786" w:type="pct"/>
            <w:shd w:val="clear" w:color="auto" w:fill="auto"/>
            <w:noWrap/>
            <w:vAlign w:val="bottom"/>
            <w:hideMark/>
          </w:tcPr>
          <w:p w14:paraId="1998CDD8"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50 %</w:t>
            </w:r>
          </w:p>
        </w:tc>
        <w:tc>
          <w:tcPr>
            <w:tcW w:w="836" w:type="pct"/>
            <w:shd w:val="clear" w:color="auto" w:fill="auto"/>
            <w:noWrap/>
            <w:vAlign w:val="bottom"/>
            <w:hideMark/>
          </w:tcPr>
          <w:p w14:paraId="161D9C4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6840</w:t>
            </w:r>
          </w:p>
        </w:tc>
      </w:tr>
      <w:tr w:rsidR="000D7BED" w:rsidRPr="00EE1F5D" w14:paraId="3F81AE6F" w14:textId="77777777" w:rsidTr="000D7BED">
        <w:trPr>
          <w:trHeight w:val="300"/>
        </w:trPr>
        <w:tc>
          <w:tcPr>
            <w:tcW w:w="3378" w:type="pct"/>
            <w:shd w:val="clear" w:color="auto" w:fill="auto"/>
            <w:noWrap/>
            <w:vAlign w:val="bottom"/>
            <w:hideMark/>
          </w:tcPr>
          <w:p w14:paraId="68B2DB9F"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Historisk-filosofiske fag</w:t>
            </w:r>
          </w:p>
        </w:tc>
        <w:tc>
          <w:tcPr>
            <w:tcW w:w="786" w:type="pct"/>
            <w:shd w:val="clear" w:color="auto" w:fill="auto"/>
            <w:noWrap/>
            <w:vAlign w:val="bottom"/>
            <w:hideMark/>
          </w:tcPr>
          <w:p w14:paraId="30A0612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48 %</w:t>
            </w:r>
          </w:p>
        </w:tc>
        <w:tc>
          <w:tcPr>
            <w:tcW w:w="836" w:type="pct"/>
            <w:shd w:val="clear" w:color="auto" w:fill="auto"/>
            <w:noWrap/>
            <w:vAlign w:val="bottom"/>
            <w:hideMark/>
          </w:tcPr>
          <w:p w14:paraId="13BC7282" w14:textId="2206B61B"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21</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843</w:t>
            </w:r>
          </w:p>
        </w:tc>
      </w:tr>
      <w:tr w:rsidR="000D7BED" w:rsidRPr="00EE1F5D" w14:paraId="70493E87" w14:textId="77777777" w:rsidTr="000D7BED">
        <w:trPr>
          <w:trHeight w:val="300"/>
        </w:trPr>
        <w:tc>
          <w:tcPr>
            <w:tcW w:w="3378" w:type="pct"/>
            <w:shd w:val="clear" w:color="auto" w:fill="auto"/>
            <w:noWrap/>
            <w:vAlign w:val="bottom"/>
            <w:hideMark/>
          </w:tcPr>
          <w:p w14:paraId="6D0D9D8E"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Samfunnsvitenskap</w:t>
            </w:r>
          </w:p>
        </w:tc>
        <w:tc>
          <w:tcPr>
            <w:tcW w:w="786" w:type="pct"/>
            <w:shd w:val="clear" w:color="auto" w:fill="auto"/>
            <w:noWrap/>
            <w:vAlign w:val="bottom"/>
            <w:hideMark/>
          </w:tcPr>
          <w:p w14:paraId="3E624A7F"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47 %</w:t>
            </w:r>
          </w:p>
        </w:tc>
        <w:tc>
          <w:tcPr>
            <w:tcW w:w="836" w:type="pct"/>
            <w:shd w:val="clear" w:color="auto" w:fill="auto"/>
            <w:noWrap/>
            <w:vAlign w:val="bottom"/>
            <w:hideMark/>
          </w:tcPr>
          <w:p w14:paraId="5BD0B1FE"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24051</w:t>
            </w:r>
          </w:p>
        </w:tc>
      </w:tr>
      <w:tr w:rsidR="000D7BED" w:rsidRPr="00EE1F5D" w14:paraId="69E0ABCB" w14:textId="77777777" w:rsidTr="000D7BED">
        <w:trPr>
          <w:trHeight w:val="300"/>
        </w:trPr>
        <w:tc>
          <w:tcPr>
            <w:tcW w:w="3378" w:type="pct"/>
            <w:shd w:val="clear" w:color="auto" w:fill="auto"/>
            <w:noWrap/>
            <w:vAlign w:val="bottom"/>
            <w:hideMark/>
          </w:tcPr>
          <w:p w14:paraId="44F0B867"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Økonomisk-administrativ utdanning</w:t>
            </w:r>
          </w:p>
        </w:tc>
        <w:tc>
          <w:tcPr>
            <w:tcW w:w="786" w:type="pct"/>
            <w:shd w:val="clear" w:color="auto" w:fill="auto"/>
            <w:noWrap/>
            <w:vAlign w:val="bottom"/>
            <w:hideMark/>
          </w:tcPr>
          <w:p w14:paraId="61DF2EE4"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47 %</w:t>
            </w:r>
          </w:p>
        </w:tc>
        <w:tc>
          <w:tcPr>
            <w:tcW w:w="836" w:type="pct"/>
            <w:shd w:val="clear" w:color="auto" w:fill="auto"/>
            <w:noWrap/>
            <w:vAlign w:val="bottom"/>
            <w:hideMark/>
          </w:tcPr>
          <w:p w14:paraId="4A16DB1C" w14:textId="7684FBC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54</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372</w:t>
            </w:r>
          </w:p>
        </w:tc>
      </w:tr>
      <w:tr w:rsidR="000D7BED" w:rsidRPr="00EE1F5D" w14:paraId="65B063BF" w14:textId="77777777" w:rsidTr="000D7BED">
        <w:trPr>
          <w:trHeight w:val="300"/>
        </w:trPr>
        <w:tc>
          <w:tcPr>
            <w:tcW w:w="3378" w:type="pct"/>
            <w:shd w:val="clear" w:color="auto" w:fill="auto"/>
            <w:noWrap/>
            <w:vAlign w:val="bottom"/>
            <w:hideMark/>
          </w:tcPr>
          <w:p w14:paraId="6B2B76CA"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Matematisk-naturvitenskapelige fag</w:t>
            </w:r>
          </w:p>
        </w:tc>
        <w:tc>
          <w:tcPr>
            <w:tcW w:w="786" w:type="pct"/>
            <w:shd w:val="clear" w:color="auto" w:fill="auto"/>
            <w:noWrap/>
            <w:vAlign w:val="bottom"/>
            <w:hideMark/>
          </w:tcPr>
          <w:p w14:paraId="7D7920B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47 %</w:t>
            </w:r>
          </w:p>
        </w:tc>
        <w:tc>
          <w:tcPr>
            <w:tcW w:w="836" w:type="pct"/>
            <w:shd w:val="clear" w:color="auto" w:fill="auto"/>
            <w:noWrap/>
            <w:vAlign w:val="bottom"/>
            <w:hideMark/>
          </w:tcPr>
          <w:p w14:paraId="2AE9C828" w14:textId="66BBF68E"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25</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037</w:t>
            </w:r>
          </w:p>
        </w:tc>
      </w:tr>
      <w:tr w:rsidR="000D7BED" w:rsidRPr="00EE1F5D" w14:paraId="6871F64C" w14:textId="77777777" w:rsidTr="000D7BED">
        <w:trPr>
          <w:trHeight w:val="300"/>
        </w:trPr>
        <w:tc>
          <w:tcPr>
            <w:tcW w:w="3378" w:type="pct"/>
            <w:shd w:val="clear" w:color="auto" w:fill="auto"/>
            <w:noWrap/>
            <w:vAlign w:val="bottom"/>
            <w:hideMark/>
          </w:tcPr>
          <w:p w14:paraId="3AEF7F96"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Pedagogiske fag</w:t>
            </w:r>
          </w:p>
        </w:tc>
        <w:tc>
          <w:tcPr>
            <w:tcW w:w="786" w:type="pct"/>
            <w:shd w:val="clear" w:color="auto" w:fill="auto"/>
            <w:noWrap/>
            <w:vAlign w:val="bottom"/>
            <w:hideMark/>
          </w:tcPr>
          <w:p w14:paraId="10FE783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46 %</w:t>
            </w:r>
          </w:p>
        </w:tc>
        <w:tc>
          <w:tcPr>
            <w:tcW w:w="836" w:type="pct"/>
            <w:shd w:val="clear" w:color="auto" w:fill="auto"/>
            <w:noWrap/>
            <w:vAlign w:val="bottom"/>
            <w:hideMark/>
          </w:tcPr>
          <w:p w14:paraId="0D574801" w14:textId="53EE89C4"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18</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305</w:t>
            </w:r>
          </w:p>
        </w:tc>
      </w:tr>
      <w:tr w:rsidR="000D7BED" w:rsidRPr="00EE1F5D" w14:paraId="15C6A146" w14:textId="77777777" w:rsidTr="000D7BED">
        <w:trPr>
          <w:trHeight w:val="300"/>
        </w:trPr>
        <w:tc>
          <w:tcPr>
            <w:tcW w:w="3378" w:type="pct"/>
            <w:shd w:val="clear" w:color="auto" w:fill="auto"/>
            <w:noWrap/>
            <w:vAlign w:val="bottom"/>
            <w:hideMark/>
          </w:tcPr>
          <w:p w14:paraId="7702BAB1"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Farmasi</w:t>
            </w:r>
          </w:p>
        </w:tc>
        <w:tc>
          <w:tcPr>
            <w:tcW w:w="786" w:type="pct"/>
            <w:shd w:val="clear" w:color="auto" w:fill="auto"/>
            <w:noWrap/>
            <w:vAlign w:val="bottom"/>
            <w:hideMark/>
          </w:tcPr>
          <w:p w14:paraId="3EC10685"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46 %</w:t>
            </w:r>
          </w:p>
        </w:tc>
        <w:tc>
          <w:tcPr>
            <w:tcW w:w="836" w:type="pct"/>
            <w:shd w:val="clear" w:color="auto" w:fill="auto"/>
            <w:noWrap/>
            <w:vAlign w:val="bottom"/>
            <w:hideMark/>
          </w:tcPr>
          <w:p w14:paraId="0E23FDA7"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1002</w:t>
            </w:r>
          </w:p>
        </w:tc>
      </w:tr>
      <w:tr w:rsidR="000D7BED" w:rsidRPr="00EE1F5D" w14:paraId="1C8E6912" w14:textId="77777777" w:rsidTr="000D7BED">
        <w:trPr>
          <w:trHeight w:val="300"/>
        </w:trPr>
        <w:tc>
          <w:tcPr>
            <w:tcW w:w="3378" w:type="pct"/>
            <w:shd w:val="clear" w:color="auto" w:fill="auto"/>
            <w:noWrap/>
            <w:vAlign w:val="bottom"/>
            <w:hideMark/>
          </w:tcPr>
          <w:p w14:paraId="0025B75A"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Juridiske fag</w:t>
            </w:r>
          </w:p>
        </w:tc>
        <w:tc>
          <w:tcPr>
            <w:tcW w:w="786" w:type="pct"/>
            <w:shd w:val="clear" w:color="auto" w:fill="auto"/>
            <w:noWrap/>
            <w:vAlign w:val="bottom"/>
            <w:hideMark/>
          </w:tcPr>
          <w:p w14:paraId="41F79EA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45 %</w:t>
            </w:r>
          </w:p>
        </w:tc>
        <w:tc>
          <w:tcPr>
            <w:tcW w:w="836" w:type="pct"/>
            <w:shd w:val="clear" w:color="auto" w:fill="auto"/>
            <w:noWrap/>
            <w:vAlign w:val="bottom"/>
            <w:hideMark/>
          </w:tcPr>
          <w:p w14:paraId="538E7E4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8176</w:t>
            </w:r>
          </w:p>
        </w:tc>
      </w:tr>
      <w:tr w:rsidR="000D7BED" w:rsidRPr="00EE1F5D" w14:paraId="040AAC99" w14:textId="77777777" w:rsidTr="000D7BED">
        <w:trPr>
          <w:trHeight w:val="300"/>
        </w:trPr>
        <w:tc>
          <w:tcPr>
            <w:tcW w:w="3378" w:type="pct"/>
            <w:shd w:val="clear" w:color="auto" w:fill="auto"/>
            <w:noWrap/>
            <w:vAlign w:val="bottom"/>
            <w:hideMark/>
          </w:tcPr>
          <w:p w14:paraId="1E6188C5"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Utvikling og miljø</w:t>
            </w:r>
          </w:p>
        </w:tc>
        <w:tc>
          <w:tcPr>
            <w:tcW w:w="786" w:type="pct"/>
            <w:shd w:val="clear" w:color="auto" w:fill="auto"/>
            <w:noWrap/>
            <w:vAlign w:val="bottom"/>
            <w:hideMark/>
          </w:tcPr>
          <w:p w14:paraId="1EC8AE0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44 %</w:t>
            </w:r>
          </w:p>
        </w:tc>
        <w:tc>
          <w:tcPr>
            <w:tcW w:w="836" w:type="pct"/>
            <w:shd w:val="clear" w:color="auto" w:fill="auto"/>
            <w:noWrap/>
            <w:vAlign w:val="bottom"/>
            <w:hideMark/>
          </w:tcPr>
          <w:p w14:paraId="13C83E4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1636</w:t>
            </w:r>
          </w:p>
        </w:tc>
      </w:tr>
      <w:tr w:rsidR="000D7BED" w:rsidRPr="00EE1F5D" w14:paraId="6705EF69" w14:textId="77777777" w:rsidTr="000D7BED">
        <w:trPr>
          <w:trHeight w:val="300"/>
        </w:trPr>
        <w:tc>
          <w:tcPr>
            <w:tcW w:w="3378" w:type="pct"/>
            <w:shd w:val="clear" w:color="auto" w:fill="auto"/>
            <w:noWrap/>
            <w:vAlign w:val="bottom"/>
            <w:hideMark/>
          </w:tcPr>
          <w:p w14:paraId="4C2FA401"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Arkitektur</w:t>
            </w:r>
          </w:p>
        </w:tc>
        <w:tc>
          <w:tcPr>
            <w:tcW w:w="786" w:type="pct"/>
            <w:shd w:val="clear" w:color="auto" w:fill="auto"/>
            <w:noWrap/>
            <w:vAlign w:val="bottom"/>
            <w:hideMark/>
          </w:tcPr>
          <w:p w14:paraId="5AB39F5E"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40 %</w:t>
            </w:r>
          </w:p>
        </w:tc>
        <w:tc>
          <w:tcPr>
            <w:tcW w:w="836" w:type="pct"/>
            <w:shd w:val="clear" w:color="auto" w:fill="auto"/>
            <w:noWrap/>
            <w:vAlign w:val="bottom"/>
            <w:hideMark/>
          </w:tcPr>
          <w:p w14:paraId="37F5AD4B"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1908</w:t>
            </w:r>
          </w:p>
        </w:tc>
      </w:tr>
      <w:tr w:rsidR="000D7BED" w:rsidRPr="00EE1F5D" w14:paraId="01DE9858" w14:textId="77777777" w:rsidTr="000D7BED">
        <w:trPr>
          <w:trHeight w:val="300"/>
        </w:trPr>
        <w:tc>
          <w:tcPr>
            <w:tcW w:w="3378" w:type="pct"/>
            <w:shd w:val="clear" w:color="auto" w:fill="auto"/>
            <w:noWrap/>
            <w:vAlign w:val="bottom"/>
            <w:hideMark/>
          </w:tcPr>
          <w:p w14:paraId="69BE6ED3"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Teknologi</w:t>
            </w:r>
          </w:p>
        </w:tc>
        <w:tc>
          <w:tcPr>
            <w:tcW w:w="786" w:type="pct"/>
            <w:shd w:val="clear" w:color="auto" w:fill="auto"/>
            <w:noWrap/>
            <w:vAlign w:val="bottom"/>
            <w:hideMark/>
          </w:tcPr>
          <w:p w14:paraId="49AE932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39 %</w:t>
            </w:r>
          </w:p>
        </w:tc>
        <w:tc>
          <w:tcPr>
            <w:tcW w:w="836" w:type="pct"/>
            <w:shd w:val="clear" w:color="auto" w:fill="auto"/>
            <w:noWrap/>
            <w:vAlign w:val="bottom"/>
            <w:hideMark/>
          </w:tcPr>
          <w:p w14:paraId="494F4A34" w14:textId="7572275D"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15</w:t>
            </w:r>
            <w:r w:rsidR="00796C7B">
              <w:rPr>
                <w:rFonts w:ascii="Calibri" w:eastAsia="Times New Roman" w:hAnsi="Calibri" w:cs="Calibri"/>
                <w:color w:val="000000"/>
                <w:lang w:eastAsia="nb-NO"/>
              </w:rPr>
              <w:t> </w:t>
            </w:r>
            <w:r w:rsidRPr="00EE1F5D">
              <w:rPr>
                <w:rFonts w:ascii="Calibri" w:eastAsia="Times New Roman" w:hAnsi="Calibri" w:cs="Calibri"/>
                <w:color w:val="000000"/>
                <w:lang w:eastAsia="nb-NO"/>
              </w:rPr>
              <w:t>646</w:t>
            </w:r>
          </w:p>
        </w:tc>
      </w:tr>
      <w:tr w:rsidR="000D7BED" w:rsidRPr="00EE1F5D" w14:paraId="052DB688" w14:textId="77777777" w:rsidTr="000D7BED">
        <w:trPr>
          <w:trHeight w:val="300"/>
        </w:trPr>
        <w:tc>
          <w:tcPr>
            <w:tcW w:w="3378" w:type="pct"/>
            <w:shd w:val="clear" w:color="auto" w:fill="auto"/>
            <w:noWrap/>
            <w:vAlign w:val="bottom"/>
            <w:hideMark/>
          </w:tcPr>
          <w:p w14:paraId="53870737"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Fysioterapeututdanning</w:t>
            </w:r>
          </w:p>
        </w:tc>
        <w:tc>
          <w:tcPr>
            <w:tcW w:w="786" w:type="pct"/>
            <w:shd w:val="clear" w:color="auto" w:fill="auto"/>
            <w:noWrap/>
            <w:vAlign w:val="bottom"/>
            <w:hideMark/>
          </w:tcPr>
          <w:p w14:paraId="7E2C9901"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37 %</w:t>
            </w:r>
          </w:p>
        </w:tc>
        <w:tc>
          <w:tcPr>
            <w:tcW w:w="836" w:type="pct"/>
            <w:shd w:val="clear" w:color="auto" w:fill="auto"/>
            <w:noWrap/>
            <w:vAlign w:val="bottom"/>
            <w:hideMark/>
          </w:tcPr>
          <w:p w14:paraId="0FF6ABE9"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1097</w:t>
            </w:r>
          </w:p>
        </w:tc>
      </w:tr>
      <w:tr w:rsidR="000D7BED" w:rsidRPr="00EE1F5D" w14:paraId="15D9258A" w14:textId="77777777" w:rsidTr="000D7BED">
        <w:trPr>
          <w:trHeight w:val="300"/>
        </w:trPr>
        <w:tc>
          <w:tcPr>
            <w:tcW w:w="3378" w:type="pct"/>
            <w:shd w:val="clear" w:color="auto" w:fill="auto"/>
            <w:noWrap/>
            <w:vAlign w:val="bottom"/>
            <w:hideMark/>
          </w:tcPr>
          <w:p w14:paraId="45C02B50"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Idrettsutdanning</w:t>
            </w:r>
          </w:p>
        </w:tc>
        <w:tc>
          <w:tcPr>
            <w:tcW w:w="786" w:type="pct"/>
            <w:shd w:val="clear" w:color="auto" w:fill="auto"/>
            <w:noWrap/>
            <w:vAlign w:val="bottom"/>
            <w:hideMark/>
          </w:tcPr>
          <w:p w14:paraId="784A86D5"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37 %</w:t>
            </w:r>
          </w:p>
        </w:tc>
        <w:tc>
          <w:tcPr>
            <w:tcW w:w="836" w:type="pct"/>
            <w:shd w:val="clear" w:color="auto" w:fill="auto"/>
            <w:noWrap/>
            <w:vAlign w:val="bottom"/>
            <w:hideMark/>
          </w:tcPr>
          <w:p w14:paraId="5E23935C"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3881</w:t>
            </w:r>
          </w:p>
        </w:tc>
      </w:tr>
      <w:tr w:rsidR="000D7BED" w:rsidRPr="00EE1F5D" w14:paraId="6838DEB6" w14:textId="77777777" w:rsidTr="000D7BED">
        <w:trPr>
          <w:trHeight w:val="300"/>
        </w:trPr>
        <w:tc>
          <w:tcPr>
            <w:tcW w:w="3378" w:type="pct"/>
            <w:shd w:val="clear" w:color="auto" w:fill="auto"/>
            <w:noWrap/>
            <w:vAlign w:val="bottom"/>
            <w:hideMark/>
          </w:tcPr>
          <w:p w14:paraId="4681CEF0"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Utøvende musikkutdanning</w:t>
            </w:r>
          </w:p>
        </w:tc>
        <w:tc>
          <w:tcPr>
            <w:tcW w:w="786" w:type="pct"/>
            <w:shd w:val="clear" w:color="auto" w:fill="auto"/>
            <w:noWrap/>
            <w:vAlign w:val="bottom"/>
            <w:hideMark/>
          </w:tcPr>
          <w:p w14:paraId="7CECA2AD"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32 %</w:t>
            </w:r>
          </w:p>
        </w:tc>
        <w:tc>
          <w:tcPr>
            <w:tcW w:w="836" w:type="pct"/>
            <w:shd w:val="clear" w:color="auto" w:fill="auto"/>
            <w:noWrap/>
            <w:vAlign w:val="bottom"/>
            <w:hideMark/>
          </w:tcPr>
          <w:p w14:paraId="1D29D0B8"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2127</w:t>
            </w:r>
          </w:p>
        </w:tc>
      </w:tr>
      <w:tr w:rsidR="000D7BED" w:rsidRPr="00EE1F5D" w14:paraId="1E947EF9" w14:textId="77777777" w:rsidTr="000D7BED">
        <w:trPr>
          <w:trHeight w:val="300"/>
        </w:trPr>
        <w:tc>
          <w:tcPr>
            <w:tcW w:w="3378" w:type="pct"/>
            <w:shd w:val="clear" w:color="auto" w:fill="auto"/>
            <w:noWrap/>
            <w:vAlign w:val="bottom"/>
            <w:hideMark/>
          </w:tcPr>
          <w:p w14:paraId="68C4CAF9" w14:textId="77777777" w:rsidR="000D7BED" w:rsidRPr="00EE1F5D" w:rsidRDefault="000D7BED" w:rsidP="00AC5E78">
            <w:pPr>
              <w:keepNext/>
              <w:spacing w:after="0" w:line="240" w:lineRule="auto"/>
              <w:rPr>
                <w:rFonts w:ascii="Calibri" w:eastAsia="Times New Roman" w:hAnsi="Calibri" w:cs="Calibri"/>
                <w:color w:val="000000"/>
                <w:lang w:eastAsia="nb-NO"/>
              </w:rPr>
            </w:pPr>
            <w:r w:rsidRPr="00EE1F5D">
              <w:rPr>
                <w:rFonts w:ascii="Calibri" w:eastAsia="Times New Roman" w:hAnsi="Calibri" w:cs="Calibri"/>
                <w:color w:val="000000"/>
                <w:lang w:eastAsia="nb-NO"/>
              </w:rPr>
              <w:t>Teologi</w:t>
            </w:r>
          </w:p>
        </w:tc>
        <w:tc>
          <w:tcPr>
            <w:tcW w:w="786" w:type="pct"/>
            <w:shd w:val="clear" w:color="auto" w:fill="auto"/>
            <w:noWrap/>
            <w:vAlign w:val="bottom"/>
            <w:hideMark/>
          </w:tcPr>
          <w:p w14:paraId="60ABB102"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25 %</w:t>
            </w:r>
          </w:p>
        </w:tc>
        <w:tc>
          <w:tcPr>
            <w:tcW w:w="836" w:type="pct"/>
            <w:shd w:val="clear" w:color="auto" w:fill="auto"/>
            <w:noWrap/>
            <w:vAlign w:val="bottom"/>
            <w:hideMark/>
          </w:tcPr>
          <w:p w14:paraId="35B291EA" w14:textId="77777777" w:rsidR="000D7BED" w:rsidRPr="00EE1F5D" w:rsidRDefault="000D7BED" w:rsidP="00AC5E78">
            <w:pPr>
              <w:keepNext/>
              <w:spacing w:after="0" w:line="240" w:lineRule="auto"/>
              <w:jc w:val="right"/>
              <w:rPr>
                <w:rFonts w:ascii="Calibri" w:eastAsia="Times New Roman" w:hAnsi="Calibri" w:cs="Calibri"/>
                <w:color w:val="000000"/>
                <w:lang w:eastAsia="nb-NO"/>
              </w:rPr>
            </w:pPr>
            <w:r w:rsidRPr="00EE1F5D">
              <w:rPr>
                <w:rFonts w:ascii="Calibri" w:eastAsia="Times New Roman" w:hAnsi="Calibri" w:cs="Calibri"/>
                <w:color w:val="000000"/>
                <w:lang w:eastAsia="nb-NO"/>
              </w:rPr>
              <w:t>1724</w:t>
            </w:r>
          </w:p>
        </w:tc>
      </w:tr>
    </w:tbl>
    <w:p w14:paraId="4C76FDD7" w14:textId="5BA33C23" w:rsidR="004A0579" w:rsidRDefault="004A0579" w:rsidP="003C2673">
      <w:pPr>
        <w:pStyle w:val="Merknad"/>
      </w:pPr>
      <w:r>
        <w:t>Tabellen omfatter studium</w:t>
      </w:r>
      <w:r w:rsidRPr="00F2237C">
        <w:t xml:space="preserve"> med mer enn </w:t>
      </w:r>
      <w:r>
        <w:t>1 </w:t>
      </w:r>
      <w:r w:rsidRPr="00F2237C">
        <w:t>000 studenter</w:t>
      </w:r>
    </w:p>
    <w:p w14:paraId="48DE1661" w14:textId="63B9080E" w:rsidR="00765F6B" w:rsidRDefault="00765F6B" w:rsidP="00765F6B">
      <w:pPr>
        <w:pStyle w:val="Kilde"/>
      </w:pPr>
      <w:r w:rsidRPr="004E373E">
        <w:rPr>
          <w:b/>
        </w:rPr>
        <w:t>Kilde</w:t>
      </w:r>
      <w:r>
        <w:t>: DBH</w:t>
      </w:r>
    </w:p>
    <w:p w14:paraId="46D7A627" w14:textId="3007E318" w:rsidR="00C64831" w:rsidRDefault="00246E28" w:rsidP="006144CE">
      <w:r>
        <w:t xml:space="preserve">Statistikken presentert her, gir </w:t>
      </w:r>
      <w:r w:rsidR="00223518">
        <w:t xml:space="preserve">noen bilder av </w:t>
      </w:r>
      <w:r w:rsidR="006526C9">
        <w:t xml:space="preserve">hvordan studentene geografisk fordeler seg på institusjoner og fagområder. For å skape et </w:t>
      </w:r>
      <w:r w:rsidR="00896A17">
        <w:t xml:space="preserve">mer presist bilde </w:t>
      </w:r>
      <w:r w:rsidR="00B66FDD">
        <w:t>b</w:t>
      </w:r>
      <w:r w:rsidR="003111C7">
        <w:t xml:space="preserve">ør det vurderes om </w:t>
      </w:r>
      <w:r w:rsidR="00084D7A">
        <w:t xml:space="preserve">det er mulig å </w:t>
      </w:r>
      <w:r w:rsidR="008460FF">
        <w:t xml:space="preserve">detaljere </w:t>
      </w:r>
      <w:r w:rsidR="002B3606">
        <w:t xml:space="preserve">informasjon </w:t>
      </w:r>
      <w:r w:rsidR="007316F3">
        <w:t xml:space="preserve">i DBH </w:t>
      </w:r>
      <w:r w:rsidR="002B3606">
        <w:t>om studentens hjem</w:t>
      </w:r>
      <w:r w:rsidR="007316F3">
        <w:t>sted utover fylkestilhørighet.</w:t>
      </w:r>
    </w:p>
    <w:p w14:paraId="6DE8054D" w14:textId="3DC80866" w:rsidR="000953C1" w:rsidRDefault="000953C1" w:rsidP="006144CE"/>
    <w:p w14:paraId="56732CD4" w14:textId="2117DD1A" w:rsidR="008552E3" w:rsidRPr="00422245" w:rsidRDefault="003510C4" w:rsidP="00327CB6">
      <w:pPr>
        <w:pStyle w:val="Overskrift2"/>
      </w:pPr>
      <w:bookmarkStart w:id="31" w:name="_Toc163488393"/>
      <w:r>
        <w:t>Sosial</w:t>
      </w:r>
      <w:r w:rsidR="000D5B83">
        <w:t xml:space="preserve"> skjevrekruttering</w:t>
      </w:r>
      <w:bookmarkEnd w:id="31"/>
      <w:r w:rsidR="000D5B83">
        <w:t xml:space="preserve"> </w:t>
      </w:r>
    </w:p>
    <w:p w14:paraId="76680F96" w14:textId="60C94C08" w:rsidR="00385EDC" w:rsidRDefault="009F7705" w:rsidP="00673E46">
      <w:r>
        <w:t xml:space="preserve">Det er godt etablert at </w:t>
      </w:r>
      <w:r w:rsidR="00FF7CE8">
        <w:t xml:space="preserve">unge med høyt utdannede foreldre i større grad </w:t>
      </w:r>
      <w:r w:rsidR="00DF2BB1">
        <w:t xml:space="preserve">selv </w:t>
      </w:r>
      <w:r w:rsidR="00562FF3">
        <w:t xml:space="preserve">tar </w:t>
      </w:r>
      <w:r w:rsidR="00DF4734">
        <w:t>høyere utdanning enn unge som ikke ha</w:t>
      </w:r>
      <w:r w:rsidR="00B66D51">
        <w:t>r foreldre med høyere utdanning</w:t>
      </w:r>
      <w:r w:rsidR="00303FCA">
        <w:t xml:space="preserve"> </w:t>
      </w:r>
      <w:r w:rsidR="00303FCA">
        <w:fldChar w:fldCharType="begin"/>
      </w:r>
      <w:r w:rsidR="00303FCA">
        <w:instrText xml:space="preserve"> ADDIN EN.CITE &lt;EndNote&gt;&lt;Cite&gt;&lt;Author&gt;Grendal&lt;/Author&gt;&lt;Year&gt;2022&lt;/Year&gt;&lt;RecNum&gt;1702&lt;/RecNum&gt;&lt;DisplayText&gt;(Grendal, 2022)&lt;/DisplayText&gt;&lt;record&gt;&lt;rec-number&gt;1702&lt;/rec-number&gt;&lt;foreign-keys&gt;&lt;key app="EN" db-id="p2et5feaxrpe5zew2eavt29z05fv09aa5s0w" timestamp="1712306681" guid="ba815aba-64a7-4800-8444-b48f06de1d87"&gt;1702&lt;/key&gt;&lt;/foreign-keys&gt;&lt;ref-type name="Web Page"&gt;12&lt;/ref-type&gt;&lt;contributors&gt;&lt;authors&gt;&lt;author&gt;Grendal, Ola Nestvold&lt;/author&gt;&lt;/authors&gt;&lt;/contributors&gt;&lt;titles&gt;&lt;title&gt;Slik henger utdanning sammen med foreldrenes utdanningsnivå&lt;/title&gt;&lt;/titles&gt;&lt;number&gt;25.01.2023&lt;/number&gt;&lt;dates&gt;&lt;year&gt;2022&lt;/year&gt;&lt;/dates&gt;&lt;publisher&gt;Statistisk sentralbyrå,&lt;/publisher&gt;&lt;urls&gt;&lt;related-urls&gt;&lt;url&gt;https://www.ssb.no/utdanning/utdanningsniva/artikler/slik-henger-utdanning-sammen-med-foreldrenes-utdanningsniva&lt;/url&gt;&lt;/related-urls&gt;&lt;/urls&gt;&lt;/record&gt;&lt;/Cite&gt;&lt;/EndNote&gt;</w:instrText>
      </w:r>
      <w:r w:rsidR="00303FCA">
        <w:fldChar w:fldCharType="separate"/>
      </w:r>
      <w:r w:rsidR="00303FCA">
        <w:rPr>
          <w:noProof/>
        </w:rPr>
        <w:t>(Grendal, 2022)</w:t>
      </w:r>
      <w:r w:rsidR="00303FCA">
        <w:fldChar w:fldCharType="end"/>
      </w:r>
      <w:r w:rsidR="00B66D51">
        <w:t>.</w:t>
      </w:r>
      <w:r w:rsidR="00303FCA">
        <w:t xml:space="preserve"> </w:t>
      </w:r>
      <w:r w:rsidR="00CE451E">
        <w:t>Blant dem som begynner å studere</w:t>
      </w:r>
      <w:r w:rsidR="00526B1C">
        <w:t xml:space="preserve"> ved universiteter og høyskoler, er det </w:t>
      </w:r>
      <w:r w:rsidR="00DF2BB1">
        <w:t xml:space="preserve">også </w:t>
      </w:r>
      <w:r w:rsidR="00A76109">
        <w:t xml:space="preserve">store forskjeller </w:t>
      </w:r>
      <w:r w:rsidR="00B42C20">
        <w:t xml:space="preserve">mellom ulike studier </w:t>
      </w:r>
      <w:r w:rsidR="004326AC">
        <w:t xml:space="preserve">når det gjelder </w:t>
      </w:r>
      <w:r w:rsidR="00F57D95">
        <w:t>foreldrenes utdanning</w:t>
      </w:r>
      <w:r w:rsidR="00747F4C">
        <w:t>snivå</w:t>
      </w:r>
      <w:r w:rsidR="00F57D95">
        <w:t xml:space="preserve">. </w:t>
      </w:r>
      <w:r w:rsidR="00303FCA" w:rsidRPr="00303FCA">
        <w:t>Regjeringen vil våren 2025 legge fram en stortingsmelding om sosial utjevning og mobilitet, deriblant i høyere utdanning.</w:t>
      </w:r>
    </w:p>
    <w:p w14:paraId="77BDA887" w14:textId="38473408" w:rsidR="007E01DA" w:rsidRDefault="00747F4C" w:rsidP="00673E46">
      <w:r>
        <w:fldChar w:fldCharType="begin"/>
      </w:r>
      <w:r>
        <w:instrText xml:space="preserve"> REF _Ref163050195 \h </w:instrText>
      </w:r>
      <w:r>
        <w:fldChar w:fldCharType="separate"/>
      </w:r>
      <w:r w:rsidRPr="00422245">
        <w:t xml:space="preserve">Figur </w:t>
      </w:r>
      <w:r w:rsidR="00CF22FF">
        <w:rPr>
          <w:noProof/>
        </w:rPr>
        <w:t>2</w:t>
      </w:r>
      <w:r>
        <w:noBreakHyphen/>
      </w:r>
      <w:r>
        <w:rPr>
          <w:noProof/>
        </w:rPr>
        <w:t>7</w:t>
      </w:r>
      <w:r>
        <w:fldChar w:fldCharType="end"/>
      </w:r>
      <w:r>
        <w:t xml:space="preserve"> </w:t>
      </w:r>
      <w:r w:rsidR="0032369D">
        <w:t xml:space="preserve">viser en oversikt over </w:t>
      </w:r>
      <w:r w:rsidR="00740412">
        <w:t xml:space="preserve">utdanningsnivået til studentenes foreldre for </w:t>
      </w:r>
      <w:r w:rsidR="00243CD7">
        <w:t>ulike</w:t>
      </w:r>
      <w:r w:rsidR="00865FF3">
        <w:t xml:space="preserve"> utdanninger. </w:t>
      </w:r>
      <w:r w:rsidR="00584F1D">
        <w:t>Inkludert i figuren er store profesjonsutdanninger</w:t>
      </w:r>
      <w:r w:rsidR="005C6889">
        <w:t>,</w:t>
      </w:r>
      <w:r w:rsidR="00103B7D">
        <w:t xml:space="preserve"> i tillegg til </w:t>
      </w:r>
      <w:r w:rsidR="00D37A9B">
        <w:t xml:space="preserve">fire kategorier av disiplinutdanninger </w:t>
      </w:r>
      <w:r w:rsidR="007730C5">
        <w:t xml:space="preserve">på </w:t>
      </w:r>
      <w:r w:rsidR="009F71FC">
        <w:t xml:space="preserve">bachelor- og masternivå: </w:t>
      </w:r>
      <w:r w:rsidR="00D37A9B">
        <w:t xml:space="preserve">samfunnsfag og juridiske fag, humanistiske og estetiske fag, </w:t>
      </w:r>
      <w:r w:rsidR="005C6889">
        <w:t>naturvitenskapelige fag og øk</w:t>
      </w:r>
      <w:r w:rsidR="00332E06">
        <w:t>onomisk-</w:t>
      </w:r>
      <w:r w:rsidR="005C6889">
        <w:t>adm</w:t>
      </w:r>
      <w:r w:rsidR="00332E06">
        <w:t>inistrative</w:t>
      </w:r>
      <w:r w:rsidR="005C6889">
        <w:t xml:space="preserve"> fag</w:t>
      </w:r>
      <w:r w:rsidR="009F71FC">
        <w:t>.</w:t>
      </w:r>
      <w:r w:rsidR="005C6889">
        <w:t xml:space="preserve"> </w:t>
      </w:r>
      <w:r w:rsidR="00F619A2">
        <w:t xml:space="preserve"> </w:t>
      </w:r>
      <w:r w:rsidR="00E27207">
        <w:t>På s</w:t>
      </w:r>
      <w:r w:rsidR="00C019E8">
        <w:t xml:space="preserve">tudier som krever et høyt karaktersnitt for </w:t>
      </w:r>
      <w:r w:rsidR="00E27207">
        <w:t xml:space="preserve">å komme inn, har en </w:t>
      </w:r>
      <w:r w:rsidR="008A0C93">
        <w:t>større</w:t>
      </w:r>
      <w:r w:rsidR="00E27207">
        <w:t xml:space="preserve"> andel av studentene foreldre med høyere utdanning.</w:t>
      </w:r>
      <w:r w:rsidR="002C3F58">
        <w:t xml:space="preserve"> </w:t>
      </w:r>
      <w:r w:rsidR="001F0686">
        <w:t xml:space="preserve">På medisinstudiet og masterstudiene i teknologifag og rettsvitenskap har </w:t>
      </w:r>
      <w:r w:rsidR="00BD1ABB">
        <w:t xml:space="preserve">rundt 80 prosent av studentene </w:t>
      </w:r>
      <w:r w:rsidR="001117A1">
        <w:t>minst én forelder</w:t>
      </w:r>
      <w:r w:rsidR="00BD1ABB">
        <w:t xml:space="preserve"> med høyere utdanning. Andelen med </w:t>
      </w:r>
      <w:r w:rsidR="001117A1">
        <w:t>minst én forelder</w:t>
      </w:r>
      <w:r w:rsidR="00BD1ABB">
        <w:t xml:space="preserve"> som har lang høyere utdanning er høyest på medisinstudiet</w:t>
      </w:r>
      <w:r w:rsidR="008A0C93">
        <w:t>,</w:t>
      </w:r>
      <w:r w:rsidR="00BD1ABB">
        <w:t xml:space="preserve"> med 46 prosent.</w:t>
      </w:r>
      <w:r w:rsidR="001117A1">
        <w:t xml:space="preserve"> I motsatt ende finner vi</w:t>
      </w:r>
      <w:r w:rsidR="000104BC">
        <w:t xml:space="preserve"> barnehagelærerutdanning</w:t>
      </w:r>
      <w:r w:rsidR="002976D5">
        <w:t xml:space="preserve"> og</w:t>
      </w:r>
      <w:r w:rsidR="00762D97">
        <w:t xml:space="preserve"> utdanning i </w:t>
      </w:r>
      <w:r w:rsidR="002976D5">
        <w:t xml:space="preserve">vernepleie, barnevern </w:t>
      </w:r>
      <w:r w:rsidR="00572D0B">
        <w:t>og sosialfag</w:t>
      </w:r>
      <w:r w:rsidR="00E3663A">
        <w:t xml:space="preserve">, samt PPU for yrkesfag. </w:t>
      </w:r>
      <w:r w:rsidR="00FD61AC">
        <w:t xml:space="preserve">På disse studiene har rundt 60 prosent av studentene ingen </w:t>
      </w:r>
      <w:r w:rsidR="00423D40">
        <w:t>forelder</w:t>
      </w:r>
      <w:r w:rsidR="00FD61AC">
        <w:t xml:space="preserve"> med høyere </w:t>
      </w:r>
      <w:r w:rsidR="00EF3DA1">
        <w:t>utdanning.</w:t>
      </w:r>
      <w:r w:rsidR="009D15F8">
        <w:t xml:space="preserve"> </w:t>
      </w:r>
    </w:p>
    <w:p w14:paraId="2B786CA5" w14:textId="710B30AC" w:rsidR="00B73823" w:rsidRDefault="009D15F8" w:rsidP="00673E46">
      <w:r>
        <w:t xml:space="preserve">Dersom vi sammenligner </w:t>
      </w:r>
      <w:r>
        <w:fldChar w:fldCharType="begin"/>
      </w:r>
      <w:r>
        <w:instrText xml:space="preserve"> REF _Ref163050195 \h </w:instrText>
      </w:r>
      <w:r>
        <w:fldChar w:fldCharType="separate"/>
      </w:r>
      <w:r w:rsidRPr="00422245">
        <w:t xml:space="preserve">Figur </w:t>
      </w:r>
      <w:r w:rsidR="00CF22FF">
        <w:rPr>
          <w:noProof/>
        </w:rPr>
        <w:t>2</w:t>
      </w:r>
      <w:r>
        <w:noBreakHyphen/>
      </w:r>
      <w:r>
        <w:rPr>
          <w:noProof/>
        </w:rPr>
        <w:t>7</w:t>
      </w:r>
      <w:r>
        <w:fldChar w:fldCharType="end"/>
      </w:r>
      <w:r>
        <w:t xml:space="preserve"> med </w:t>
      </w:r>
      <w:r>
        <w:fldChar w:fldCharType="begin"/>
      </w:r>
      <w:r>
        <w:instrText xml:space="preserve"> REF _Ref162963971 \h </w:instrText>
      </w:r>
      <w:r>
        <w:fldChar w:fldCharType="separate"/>
      </w:r>
      <w:r>
        <w:t xml:space="preserve">Tabell </w:t>
      </w:r>
      <w:r w:rsidR="009E44A5">
        <w:rPr>
          <w:noProof/>
        </w:rPr>
        <w:t>2</w:t>
      </w:r>
      <w:r>
        <w:t>.</w:t>
      </w:r>
      <w:r>
        <w:rPr>
          <w:noProof/>
        </w:rPr>
        <w:t>1</w:t>
      </w:r>
      <w:r>
        <w:fldChar w:fldCharType="end"/>
      </w:r>
      <w:r>
        <w:t xml:space="preserve">, ser vi </w:t>
      </w:r>
      <w:r w:rsidR="000C0A04">
        <w:t xml:space="preserve">at </w:t>
      </w:r>
      <w:r w:rsidR="00E42A27">
        <w:t>flere av</w:t>
      </w:r>
      <w:r>
        <w:t xml:space="preserve"> </w:t>
      </w:r>
      <w:r w:rsidR="000208D4">
        <w:t xml:space="preserve">de </w:t>
      </w:r>
      <w:r w:rsidR="00CD2017">
        <w:t>sist</w:t>
      </w:r>
      <w:r w:rsidR="000208D4">
        <w:t>nevnte</w:t>
      </w:r>
      <w:r w:rsidR="00685250">
        <w:t xml:space="preserve"> studiene </w:t>
      </w:r>
      <w:r w:rsidR="000208D4">
        <w:t>i stor grad rekrutterer</w:t>
      </w:r>
      <w:r w:rsidR="002361CE">
        <w:t xml:space="preserve"> studenter til studiesteder i eget fylke.</w:t>
      </w:r>
      <w:r w:rsidR="002250FE">
        <w:t xml:space="preserve"> </w:t>
      </w:r>
      <w:r w:rsidR="00DB66C5">
        <w:t xml:space="preserve">Andelen med uoppgitt eller manglende data for </w:t>
      </w:r>
      <w:r w:rsidR="007934DE">
        <w:t xml:space="preserve">foreldrenes utdanning varierer ellers stort sett mellom 1 og 10 prosent for de fleste utdanninger. Dette </w:t>
      </w:r>
      <w:r w:rsidR="00631D4F">
        <w:t>gjelder særlig</w:t>
      </w:r>
      <w:r w:rsidR="007934DE">
        <w:t xml:space="preserve"> </w:t>
      </w:r>
      <w:r w:rsidR="008E5BC9">
        <w:t xml:space="preserve">studenter </w:t>
      </w:r>
      <w:r w:rsidR="00D40813">
        <w:t xml:space="preserve">med foreldre som har innvandret eller studenter som selv har innvandret. Visse utdanninger, som farmasi og bioingeniør, har </w:t>
      </w:r>
      <w:r w:rsidR="00B20DEC">
        <w:t xml:space="preserve">en særlig høy andel innvandrere og norskfødte med innvandrerbakgrunn i studentmassen. Dette ser vi igjen i andelen </w:t>
      </w:r>
      <w:r w:rsidR="00EB51C9">
        <w:t xml:space="preserve">med uoppgitt eller manglende verdi i </w:t>
      </w:r>
      <w:r w:rsidR="00EB51C9">
        <w:fldChar w:fldCharType="begin"/>
      </w:r>
      <w:r w:rsidR="00EB51C9">
        <w:instrText xml:space="preserve"> REF _Ref163050195 \h </w:instrText>
      </w:r>
      <w:r w:rsidR="00EB51C9">
        <w:fldChar w:fldCharType="separate"/>
      </w:r>
      <w:r w:rsidR="00EB51C9" w:rsidRPr="00422245">
        <w:t xml:space="preserve">Figur </w:t>
      </w:r>
      <w:r w:rsidR="00CF22FF">
        <w:rPr>
          <w:noProof/>
        </w:rPr>
        <w:t>2</w:t>
      </w:r>
      <w:r w:rsidR="00EB51C9">
        <w:noBreakHyphen/>
      </w:r>
      <w:r w:rsidR="00EB51C9">
        <w:rPr>
          <w:noProof/>
        </w:rPr>
        <w:t>7</w:t>
      </w:r>
      <w:r w:rsidR="00EB51C9">
        <w:fldChar w:fldCharType="end"/>
      </w:r>
      <w:r w:rsidR="00EB51C9">
        <w:t xml:space="preserve">. </w:t>
      </w:r>
      <w:r w:rsidR="0064284B">
        <w:t xml:space="preserve">For disse utdanningene er det derfor en særlig stor usikkerhet i </w:t>
      </w:r>
      <w:r w:rsidR="00297D93">
        <w:t>hvor stor andel av studentene som har foreldre med høyere utdanning.</w:t>
      </w:r>
      <w:r w:rsidR="00F4498B">
        <w:t xml:space="preserve"> Se ellers</w:t>
      </w:r>
      <w:r w:rsidR="00E15B77">
        <w:t xml:space="preserve"> kapittel</w:t>
      </w:r>
      <w:r w:rsidR="00F4498B">
        <w:t xml:space="preserve"> </w:t>
      </w:r>
      <w:r w:rsidR="00F4498B">
        <w:fldChar w:fldCharType="begin"/>
      </w:r>
      <w:r w:rsidR="00F4498B">
        <w:instrText xml:space="preserve"> REF _Ref163041946 \r \h </w:instrText>
      </w:r>
      <w:r w:rsidR="00F4498B">
        <w:fldChar w:fldCharType="separate"/>
      </w:r>
      <w:r w:rsidR="00F4498B">
        <w:t>2.5</w:t>
      </w:r>
      <w:r w:rsidR="00F4498B">
        <w:fldChar w:fldCharType="end"/>
      </w:r>
      <w:r w:rsidR="00D228EC">
        <w:t xml:space="preserve"> om </w:t>
      </w:r>
      <w:r w:rsidR="00FD68F1">
        <w:t xml:space="preserve">studenter </w:t>
      </w:r>
      <w:r w:rsidR="00E15B77">
        <w:t>med innvandrerbakgrunn.</w:t>
      </w:r>
    </w:p>
    <w:p w14:paraId="47AA9560" w14:textId="0481EB10" w:rsidR="0017535F" w:rsidRDefault="00021EAB" w:rsidP="0027457D">
      <w:pPr>
        <w:pStyle w:val="Bildetekst"/>
        <w:keepNext/>
        <w:keepLines/>
      </w:pPr>
      <w:bookmarkStart w:id="32" w:name="_Ref163050195"/>
      <w:r w:rsidRPr="00422245">
        <w:t xml:space="preserve">Figur </w:t>
      </w:r>
      <w:r w:rsidR="006E1D94">
        <w:fldChar w:fldCharType="begin"/>
      </w:r>
      <w:r w:rsidR="006E1D94">
        <w:instrText xml:space="preserve"> STYLEREF 1 \s </w:instrText>
      </w:r>
      <w:r w:rsidR="006E1D94">
        <w:fldChar w:fldCharType="separate"/>
      </w:r>
      <w:r w:rsidR="006E1D94">
        <w:rPr>
          <w:noProof/>
        </w:rPr>
        <w:t>2</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7</w:t>
      </w:r>
      <w:r w:rsidR="006E1D94">
        <w:fldChar w:fldCharType="end"/>
      </w:r>
      <w:bookmarkEnd w:id="32"/>
      <w:r w:rsidRPr="00422245">
        <w:t xml:space="preserve"> </w:t>
      </w:r>
      <w:r w:rsidR="0017535F" w:rsidRPr="00422245">
        <w:t>Studenter høsten 2022 etter foreldrenes høyeste utdanning</w:t>
      </w:r>
    </w:p>
    <w:p w14:paraId="125FC8C6" w14:textId="77777777" w:rsidR="005440D9" w:rsidRDefault="005440D9" w:rsidP="005440D9">
      <w:hyperlink r:id="rId24" w:history="1">
        <w:r w:rsidRPr="00E1572C">
          <w:rPr>
            <w:rStyle w:val="Hyperkobling"/>
          </w:rPr>
          <w:t>https://vedlegg.hkdir.no/MichaelRev/2024/figur/V2.7</w:t>
        </w:r>
      </w:hyperlink>
      <w:r>
        <w:t xml:space="preserve"> </w:t>
      </w:r>
    </w:p>
    <w:p w14:paraId="0E7AA6DB" w14:textId="77777777" w:rsidR="005440D9" w:rsidRPr="005440D9" w:rsidRDefault="005440D9" w:rsidP="005440D9"/>
    <w:p w14:paraId="57FBAA8F" w14:textId="7382C771" w:rsidR="002A0821" w:rsidRPr="002A0821" w:rsidRDefault="00CF7E56" w:rsidP="0027457D">
      <w:pPr>
        <w:keepNext/>
        <w:keepLines/>
      </w:pPr>
      <w:r>
        <w:rPr>
          <w:noProof/>
        </w:rPr>
        <w:lastRenderedPageBreak/>
        <w:drawing>
          <wp:inline distT="0" distB="0" distL="0" distR="0" wp14:anchorId="6327E872" wp14:editId="58557F59">
            <wp:extent cx="5772785" cy="7287895"/>
            <wp:effectExtent l="0" t="0" r="18415" b="8255"/>
            <wp:docPr id="1195213179" name="Diagram 1">
              <a:extLst xmlns:a="http://schemas.openxmlformats.org/drawingml/2006/main">
                <a:ext uri="{FF2B5EF4-FFF2-40B4-BE49-F238E27FC236}">
                  <a16:creationId xmlns:a16="http://schemas.microsoft.com/office/drawing/2014/main" id="{503780C5-39E4-0F11-901B-A61895E0F1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B13ABC1" w14:textId="2576AD78" w:rsidR="003E566B" w:rsidRDefault="003E566B" w:rsidP="00B66C67">
      <w:pPr>
        <w:pStyle w:val="Merknad"/>
        <w:keepNext/>
        <w:keepLines/>
      </w:pPr>
      <w:r w:rsidRPr="003E566B">
        <w:t>Det er utdanningsnivået til den av foreldrene som har den høyeste utdanningen som regnes som «foreldrenes høyeste utdanning».</w:t>
      </w:r>
    </w:p>
    <w:p w14:paraId="221EE2FF" w14:textId="10E2E263" w:rsidR="00107D59" w:rsidRPr="00422245" w:rsidRDefault="00B364E2" w:rsidP="007F4312">
      <w:pPr>
        <w:pStyle w:val="Kilde"/>
      </w:pPr>
      <w:r w:rsidRPr="004E373E">
        <w:rPr>
          <w:b/>
        </w:rPr>
        <w:t>Kilde</w:t>
      </w:r>
      <w:r w:rsidRPr="00422245">
        <w:t>:</w:t>
      </w:r>
      <w:r w:rsidR="00F73A2E">
        <w:t xml:space="preserve"> Microdata</w:t>
      </w:r>
      <w:r w:rsidR="00964C74">
        <w:t>.no</w:t>
      </w:r>
      <w:r w:rsidR="0027457D">
        <w:t>, SSB</w:t>
      </w:r>
    </w:p>
    <w:p w14:paraId="762236D5" w14:textId="0FE8803F" w:rsidR="009E44D4" w:rsidRPr="00422245" w:rsidRDefault="009E44D4" w:rsidP="00327CB6">
      <w:pPr>
        <w:pStyle w:val="Overskrift2"/>
      </w:pPr>
      <w:bookmarkStart w:id="33" w:name="_Ref163041946"/>
      <w:bookmarkStart w:id="34" w:name="_Toc163488394"/>
      <w:r w:rsidRPr="00422245">
        <w:lastRenderedPageBreak/>
        <w:t>I</w:t>
      </w:r>
      <w:r w:rsidR="00C33C17" w:rsidRPr="00422245">
        <w:t>nnvandrere</w:t>
      </w:r>
      <w:bookmarkEnd w:id="33"/>
      <w:bookmarkEnd w:id="34"/>
    </w:p>
    <w:p w14:paraId="4CB3F2C1" w14:textId="4F1A0B71" w:rsidR="00C33C17" w:rsidRPr="00422245" w:rsidRDefault="009E44D4" w:rsidP="009E44D4">
      <w:r w:rsidRPr="00422245">
        <w:t xml:space="preserve">Andel i </w:t>
      </w:r>
      <w:r w:rsidR="00C33C17" w:rsidRPr="00422245">
        <w:t>tidsserie + sammenlignet med andel av befolkningen ellers</w:t>
      </w:r>
    </w:p>
    <w:p w14:paraId="2ED78D6D" w14:textId="3F67E091" w:rsidR="00646939" w:rsidRPr="00422245" w:rsidRDefault="00646939" w:rsidP="00646939">
      <w:pPr>
        <w:pStyle w:val="Overskrift2"/>
      </w:pPr>
      <w:bookmarkStart w:id="35" w:name="_Toc163488395"/>
      <w:r w:rsidRPr="00422245">
        <w:t>Institusjonsprofiler – stud</w:t>
      </w:r>
      <w:r w:rsidR="004E7194">
        <w:t>enter og fag</w:t>
      </w:r>
      <w:bookmarkEnd w:id="35"/>
    </w:p>
    <w:p w14:paraId="2EEF892E" w14:textId="644C3B34" w:rsidR="00BB05A6" w:rsidRDefault="00646939" w:rsidP="00646939">
      <w:r>
        <w:fldChar w:fldCharType="begin"/>
      </w:r>
      <w:r>
        <w:instrText xml:space="preserve"> REF _Ref163043433 \h </w:instrText>
      </w:r>
      <w:r>
        <w:fldChar w:fldCharType="separate"/>
      </w:r>
      <w:r>
        <w:t xml:space="preserve">Tabell </w:t>
      </w:r>
      <w:r>
        <w:rPr>
          <w:noProof/>
        </w:rPr>
        <w:t>2</w:t>
      </w:r>
      <w:r>
        <w:t>.</w:t>
      </w:r>
      <w:r>
        <w:rPr>
          <w:noProof/>
        </w:rPr>
        <w:t>1</w:t>
      </w:r>
      <w:r>
        <w:fldChar w:fldCharType="end"/>
      </w:r>
      <w:r>
        <w:t xml:space="preserve"> under viser institusjonsprofiler basert på indikatorer om studentene og deres studier omhandlet i dette og foregående kapittel. Variablene vi har brukt, er alder, kjønn, fleksibilitet i studier, studienivå, fagområde og geografi. Tabellen viser institusjoner med flere enn 2000 studenter i 2023. Institusjonene er sortert synkende etter summen av skåren på de ulike variablene. Høy skår er uttrykt med mørkere farge.  Varmekartet viser noen relativt tydelige mønstre i det høyere utdanningslandskapet. Øverst i tabellen finner vi høyskoler og nyere universiteter. Det som knytter dem sammen her er framfor alt alderen på studentene, høy andel studenter innenfor lærerutdanning og pedagogikk og </w:t>
      </w:r>
      <w:r w:rsidR="002C6679">
        <w:t>helse- og sosial</w:t>
      </w:r>
      <w:r w:rsidR="003E4B38">
        <w:t>fag, samt en</w:t>
      </w:r>
      <w:r>
        <w:t xml:space="preserve"> høy andel studenter på kortere studier. </w:t>
      </w:r>
    </w:p>
    <w:p w14:paraId="0967C84C" w14:textId="66C38546" w:rsidR="00BB05A6" w:rsidRDefault="00BB05A6" w:rsidP="00646939">
      <w:r w:rsidRPr="00BB05A6">
        <w:t>Blant institusjonene med flere enn 1 000 studenter er det NTNU som har de yngste studentene, med en medianalder på 23 år og gjennomsnittsalder på 26,1 år. I den andre enden finner vi VID med en medianalder på 30 år og gjennomsnittsalder på 32,5 år. Også Høgskolen i Volda (HVO) og Høgskolen i Innlandet (HINN) har studenter med høy snittalder med en median på 28 år. Henger sammen med antall deltids- og fleksible studenter?</w:t>
      </w:r>
    </w:p>
    <w:p w14:paraId="7FBFC4B5" w14:textId="76F0011C" w:rsidR="00D5246C" w:rsidRDefault="00646939" w:rsidP="00646939">
      <w:r>
        <w:t xml:space="preserve">Kjønnssammensetningen følger i mindre grad det samme mønsteret, her er forskjellene på institusjonsnivå relativt små. </w:t>
      </w:r>
      <w:r w:rsidR="00D5246C" w:rsidRPr="00422245">
        <w:t xml:space="preserve">Vi har tidligere sett at kjønnssammensetningen varierer betydelig mellom ulike fagområder. Institusjonenes kjønnsprofil henger i stor grad sammen med hvilke fagområder institusjonene tilbyr eller har mye av. Andelen mannlige studenter er høyest ved NHH med </w:t>
      </w:r>
      <w:r w:rsidR="0038169F">
        <w:t>60</w:t>
      </w:r>
      <w:r w:rsidR="00D5246C" w:rsidRPr="00422245">
        <w:t xml:space="preserve"> prosent. Også BI har en høyere andel menn enn sektoren ellers med nøyaktig lik fordeling mellom kjønnene. Begge disse institusjonene er spesialisert innen økonomiske- og administrative fag, som er det fagfeltet med nest størst andel mannlige studenter. Motsatt har både DMMH og VID en kvinneandel på 83 prosent. Disse lærestedene er spesialisert innenfor henholdsvis lærerutdanninger og pedagogikk og innenfor helse, sosial- og idrettsfag, som er de to fagområdene med høyest kvinneandel. </w:t>
      </w:r>
    </w:p>
    <w:p w14:paraId="1E5957E1" w14:textId="68B98D4F" w:rsidR="00646939" w:rsidRDefault="000A33E4" w:rsidP="00646939">
      <w:r>
        <w:t>Videre viser f</w:t>
      </w:r>
      <w:r w:rsidR="00646939">
        <w:t xml:space="preserve">iguren andel studenter på studieprogrammer av mindre enn 120 studiepoengs omfang. Her skiller noen institusjoner seg ut. HVO har halvparten av </w:t>
      </w:r>
      <w:r w:rsidR="00646939">
        <w:lastRenderedPageBreak/>
        <w:t>studentene på slike program, HiM 45 prosent og NU 42 prosent, NLA 40 prosent og HINN 38 prosent. Sammenliknet med andre liknende institusjoner gir dette NU og HINN en temmelig ulik profil. Ved HVL, OsloMet og USN var tilsvarende andel mellom 21 og 24 prosent. De fleste andre institusjonene i figuren ligger rundt dette nivået. Institusjoner med høyere andel studenter på kortere studier har også flere eldre studenter og flere studenter på fleksible utdanninger.</w:t>
      </w:r>
    </w:p>
    <w:p w14:paraId="648D1EF0" w14:textId="77777777" w:rsidR="00646939" w:rsidRDefault="00646939" w:rsidP="00646939">
      <w:r>
        <w:t>I andre enden av figuren med relativt lave verdier på de utvalgte indikatorene, finner vi de eldste universitetene med sine disiplinutdanninger og mer spesialiserte NMBU og NHH. De har færre studenter som er 30 år eller eldre, har lavere andel studenter på fleksible utdanninger og flere studenter på høyere grad. Indikatoren «andel studenter i hjemfylket» viser hvor prosentandelen studenter der registrert hjemfylke er samme som campusfylke etter fylkesgrensene i 2023. Forskjellene mellom institusjonene reflekter både institusjoners profil, og geografiske, befolkningsmessige og administrative forhold. Når bare i overkant av 40 prosent av studentene ved HVO og HINN er hjemmehørende i institusjonenes respektive fylker, må det ses i sammenheng med tilbudet av kortere og fleksible utdanninger. At andelen ved OsloMet er enda lavere, må vi anta heller primært henger sammen med både en «hovedstadseffekt» og at store befolkningsgrupper har kort avstand til Oslo.</w:t>
      </w:r>
    </w:p>
    <w:p w14:paraId="14E8D2FA" w14:textId="7E778883" w:rsidR="00646939" w:rsidRDefault="00646939" w:rsidP="00646939">
      <w:pPr>
        <w:keepNext/>
      </w:pPr>
      <w:bookmarkStart w:id="36" w:name="_Ref163043433"/>
      <w:r>
        <w:lastRenderedPageBreak/>
        <w:t xml:space="preserve">Tabell </w:t>
      </w:r>
      <w:r w:rsidR="00826DA7">
        <w:fldChar w:fldCharType="begin"/>
      </w:r>
      <w:r w:rsidR="00826DA7">
        <w:instrText xml:space="preserve"> STYLEREF 1 \s </w:instrText>
      </w:r>
      <w:r w:rsidR="00826DA7">
        <w:fldChar w:fldCharType="separate"/>
      </w:r>
      <w:r w:rsidR="00826DA7">
        <w:rPr>
          <w:noProof/>
        </w:rPr>
        <w:t>2</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2</w:t>
      </w:r>
      <w:r w:rsidR="00826DA7">
        <w:fldChar w:fldCharType="end"/>
      </w:r>
      <w:bookmarkEnd w:id="36"/>
      <w:r>
        <w:t xml:space="preserve"> Institusjonsprofiler studier basert på seks variabler om studenter og deres studier</w:t>
      </w:r>
    </w:p>
    <w:tbl>
      <w:tblPr>
        <w:tblW w:w="960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tblGrid>
      <w:tr w:rsidR="00646939" w:rsidRPr="00ED7872" w14:paraId="49A00B54" w14:textId="77777777" w:rsidTr="006E4294">
        <w:trPr>
          <w:trHeight w:val="1500"/>
        </w:trPr>
        <w:tc>
          <w:tcPr>
            <w:tcW w:w="1200" w:type="dxa"/>
            <w:shd w:val="clear" w:color="auto" w:fill="auto"/>
            <w:noWrap/>
            <w:vAlign w:val="bottom"/>
            <w:hideMark/>
          </w:tcPr>
          <w:p w14:paraId="42F288FA" w14:textId="77777777" w:rsidR="00646939" w:rsidRPr="00ED7872" w:rsidRDefault="00646939" w:rsidP="006E4294">
            <w:pPr>
              <w:keepNext/>
              <w:spacing w:after="0" w:line="240" w:lineRule="auto"/>
              <w:rPr>
                <w:rFonts w:ascii="Times New Roman" w:eastAsia="Times New Roman" w:hAnsi="Times New Roman" w:cs="Times New Roman"/>
                <w:sz w:val="24"/>
                <w:szCs w:val="24"/>
                <w:lang w:eastAsia="nb-NO"/>
              </w:rPr>
            </w:pPr>
          </w:p>
        </w:tc>
        <w:tc>
          <w:tcPr>
            <w:tcW w:w="1200" w:type="dxa"/>
            <w:shd w:val="clear" w:color="auto" w:fill="auto"/>
            <w:vAlign w:val="bottom"/>
            <w:hideMark/>
          </w:tcPr>
          <w:p w14:paraId="6D7DB596" w14:textId="4FAF6184"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 xml:space="preserve">Andel </w:t>
            </w:r>
            <w:r w:rsidR="00FE68AE">
              <w:rPr>
                <w:rFonts w:ascii="Calibri" w:eastAsia="Times New Roman" w:hAnsi="Calibri" w:cs="Calibri"/>
                <w:color w:val="000000"/>
                <w:lang w:eastAsia="nb-NO"/>
              </w:rPr>
              <w:t>≥30</w:t>
            </w:r>
            <w:r w:rsidRPr="00ED7872">
              <w:rPr>
                <w:rFonts w:ascii="Calibri" w:eastAsia="Times New Roman" w:hAnsi="Calibri" w:cs="Calibri"/>
                <w:color w:val="000000"/>
                <w:lang w:eastAsia="nb-NO"/>
              </w:rPr>
              <w:t xml:space="preserve"> år</w:t>
            </w:r>
          </w:p>
        </w:tc>
        <w:tc>
          <w:tcPr>
            <w:tcW w:w="1200" w:type="dxa"/>
            <w:shd w:val="clear" w:color="auto" w:fill="auto"/>
            <w:vAlign w:val="bottom"/>
            <w:hideMark/>
          </w:tcPr>
          <w:p w14:paraId="0AAC225F"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kvinner</w:t>
            </w:r>
          </w:p>
        </w:tc>
        <w:tc>
          <w:tcPr>
            <w:tcW w:w="1200" w:type="dxa"/>
            <w:shd w:val="clear" w:color="auto" w:fill="auto"/>
            <w:vAlign w:val="bottom"/>
            <w:hideMark/>
          </w:tcPr>
          <w:p w14:paraId="08AF5920"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fleksible</w:t>
            </w:r>
          </w:p>
        </w:tc>
        <w:tc>
          <w:tcPr>
            <w:tcW w:w="1200" w:type="dxa"/>
            <w:shd w:val="clear" w:color="auto" w:fill="auto"/>
            <w:vAlign w:val="bottom"/>
            <w:hideMark/>
          </w:tcPr>
          <w:p w14:paraId="49FAE675"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 xml:space="preserve">Andel </w:t>
            </w:r>
            <w:r>
              <w:rPr>
                <w:rFonts w:ascii="Calibri" w:eastAsia="Times New Roman" w:hAnsi="Calibri" w:cs="Calibri"/>
                <w:color w:val="000000"/>
                <w:lang w:eastAsia="nb-NO"/>
              </w:rPr>
              <w:t xml:space="preserve">på </w:t>
            </w:r>
            <w:r w:rsidRPr="00ED7872">
              <w:rPr>
                <w:rFonts w:ascii="Calibri" w:eastAsia="Times New Roman" w:hAnsi="Calibri" w:cs="Calibri"/>
                <w:color w:val="000000"/>
                <w:lang w:eastAsia="nb-NO"/>
              </w:rPr>
              <w:t>lavere grad</w:t>
            </w:r>
          </w:p>
        </w:tc>
        <w:tc>
          <w:tcPr>
            <w:tcW w:w="1200" w:type="dxa"/>
            <w:shd w:val="clear" w:color="auto" w:fill="auto"/>
            <w:vAlign w:val="bottom"/>
            <w:hideMark/>
          </w:tcPr>
          <w:p w14:paraId="3967FB6F"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lærerutdan og helse sosial (bach)</w:t>
            </w:r>
          </w:p>
        </w:tc>
        <w:tc>
          <w:tcPr>
            <w:tcW w:w="1200" w:type="dxa"/>
            <w:shd w:val="clear" w:color="auto" w:fill="auto"/>
            <w:vAlign w:val="bottom"/>
            <w:hideMark/>
          </w:tcPr>
          <w:p w14:paraId="65259E80"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stud i hjemfylke</w:t>
            </w:r>
          </w:p>
        </w:tc>
        <w:tc>
          <w:tcPr>
            <w:tcW w:w="1200" w:type="dxa"/>
            <w:shd w:val="clear" w:color="auto" w:fill="auto"/>
            <w:vAlign w:val="bottom"/>
            <w:hideMark/>
          </w:tcPr>
          <w:p w14:paraId="6F3E71C8"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Andel på kortere studier</w:t>
            </w:r>
            <w:r>
              <w:rPr>
                <w:rFonts w:ascii="Calibri" w:eastAsia="Times New Roman" w:hAnsi="Calibri" w:cs="Calibri"/>
                <w:color w:val="000000"/>
                <w:lang w:eastAsia="nb-NO"/>
              </w:rPr>
              <w:t>*</w:t>
            </w:r>
          </w:p>
        </w:tc>
      </w:tr>
      <w:tr w:rsidR="00646939" w:rsidRPr="00ED7872" w14:paraId="7FDD1FCD" w14:textId="77777777" w:rsidTr="006E4294">
        <w:trPr>
          <w:trHeight w:val="300"/>
        </w:trPr>
        <w:tc>
          <w:tcPr>
            <w:tcW w:w="1200" w:type="dxa"/>
            <w:shd w:val="clear" w:color="auto" w:fill="auto"/>
            <w:noWrap/>
            <w:vAlign w:val="bottom"/>
            <w:hideMark/>
          </w:tcPr>
          <w:p w14:paraId="1BDF7128"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HVO</w:t>
            </w:r>
          </w:p>
        </w:tc>
        <w:tc>
          <w:tcPr>
            <w:tcW w:w="1200" w:type="dxa"/>
            <w:shd w:val="clear" w:color="000000" w:fill="73AADC"/>
            <w:noWrap/>
            <w:vAlign w:val="bottom"/>
            <w:hideMark/>
          </w:tcPr>
          <w:p w14:paraId="6604C4A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90BCE3"/>
            <w:noWrap/>
            <w:vAlign w:val="bottom"/>
            <w:hideMark/>
          </w:tcPr>
          <w:p w14:paraId="5FF817B3" w14:textId="541926EB" w:rsidR="00646939" w:rsidRPr="00ED7872" w:rsidRDefault="00F21973" w:rsidP="006E4294">
            <w:pPr>
              <w:keepNext/>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69</w:t>
            </w:r>
            <w:r w:rsidR="00646939" w:rsidRPr="00ED7872">
              <w:rPr>
                <w:rFonts w:ascii="Calibri" w:eastAsia="Times New Roman" w:hAnsi="Calibri" w:cs="Calibri"/>
                <w:color w:val="000000"/>
                <w:lang w:eastAsia="nb-NO"/>
              </w:rPr>
              <w:t xml:space="preserve"> %</w:t>
            </w:r>
          </w:p>
        </w:tc>
        <w:tc>
          <w:tcPr>
            <w:tcW w:w="1200" w:type="dxa"/>
            <w:shd w:val="clear" w:color="000000" w:fill="5B9BD5"/>
            <w:noWrap/>
            <w:vAlign w:val="bottom"/>
            <w:hideMark/>
          </w:tcPr>
          <w:p w14:paraId="4BB2053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8EBBE3"/>
            <w:noWrap/>
            <w:vAlign w:val="bottom"/>
            <w:hideMark/>
          </w:tcPr>
          <w:p w14:paraId="078005D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8AB8E1"/>
            <w:noWrap/>
            <w:vAlign w:val="bottom"/>
            <w:hideMark/>
          </w:tcPr>
          <w:p w14:paraId="556D260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39 %</w:t>
            </w:r>
          </w:p>
        </w:tc>
        <w:tc>
          <w:tcPr>
            <w:tcW w:w="1200" w:type="dxa"/>
            <w:shd w:val="clear" w:color="000000" w:fill="F7FAFD"/>
            <w:noWrap/>
            <w:vAlign w:val="bottom"/>
            <w:hideMark/>
          </w:tcPr>
          <w:p w14:paraId="5757DBD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5B9BD5"/>
            <w:noWrap/>
            <w:vAlign w:val="bottom"/>
            <w:hideMark/>
          </w:tcPr>
          <w:p w14:paraId="60999B0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50 %</w:t>
            </w:r>
          </w:p>
        </w:tc>
      </w:tr>
      <w:tr w:rsidR="00646939" w:rsidRPr="00ED7872" w14:paraId="48A95059" w14:textId="77777777" w:rsidTr="006E4294">
        <w:trPr>
          <w:trHeight w:val="300"/>
        </w:trPr>
        <w:tc>
          <w:tcPr>
            <w:tcW w:w="1200" w:type="dxa"/>
            <w:shd w:val="clear" w:color="auto" w:fill="auto"/>
            <w:noWrap/>
            <w:vAlign w:val="bottom"/>
            <w:hideMark/>
          </w:tcPr>
          <w:p w14:paraId="6119E784"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VID</w:t>
            </w:r>
          </w:p>
        </w:tc>
        <w:tc>
          <w:tcPr>
            <w:tcW w:w="1200" w:type="dxa"/>
            <w:shd w:val="clear" w:color="000000" w:fill="5B9BD5"/>
            <w:noWrap/>
            <w:vAlign w:val="bottom"/>
            <w:hideMark/>
          </w:tcPr>
          <w:p w14:paraId="39D3B07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51 %</w:t>
            </w:r>
          </w:p>
        </w:tc>
        <w:tc>
          <w:tcPr>
            <w:tcW w:w="1200" w:type="dxa"/>
            <w:shd w:val="clear" w:color="000000" w:fill="5B9BD5"/>
            <w:noWrap/>
            <w:vAlign w:val="bottom"/>
            <w:hideMark/>
          </w:tcPr>
          <w:p w14:paraId="09255BDD" w14:textId="662789D5"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83 %</w:t>
            </w:r>
          </w:p>
        </w:tc>
        <w:tc>
          <w:tcPr>
            <w:tcW w:w="1200" w:type="dxa"/>
            <w:shd w:val="clear" w:color="000000" w:fill="80B2DF"/>
            <w:noWrap/>
            <w:vAlign w:val="bottom"/>
            <w:hideMark/>
          </w:tcPr>
          <w:p w14:paraId="7941DB3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50 %</w:t>
            </w:r>
          </w:p>
        </w:tc>
        <w:tc>
          <w:tcPr>
            <w:tcW w:w="1200" w:type="dxa"/>
            <w:shd w:val="clear" w:color="000000" w:fill="C5DCF1"/>
            <w:noWrap/>
            <w:vAlign w:val="bottom"/>
            <w:hideMark/>
          </w:tcPr>
          <w:p w14:paraId="6E83B41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6CA6DA"/>
            <w:noWrap/>
            <w:vAlign w:val="bottom"/>
            <w:hideMark/>
          </w:tcPr>
          <w:p w14:paraId="4DA0611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49 %</w:t>
            </w:r>
          </w:p>
        </w:tc>
        <w:tc>
          <w:tcPr>
            <w:tcW w:w="1200" w:type="dxa"/>
            <w:shd w:val="clear" w:color="000000" w:fill="D8E8F5"/>
            <w:noWrap/>
            <w:vAlign w:val="bottom"/>
            <w:hideMark/>
          </w:tcPr>
          <w:p w14:paraId="1CB8C87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49 %</w:t>
            </w:r>
          </w:p>
        </w:tc>
        <w:tc>
          <w:tcPr>
            <w:tcW w:w="1200" w:type="dxa"/>
            <w:shd w:val="clear" w:color="000000" w:fill="BED7EF"/>
            <w:noWrap/>
            <w:vAlign w:val="bottom"/>
            <w:hideMark/>
          </w:tcPr>
          <w:p w14:paraId="77EFE17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32 %</w:t>
            </w:r>
          </w:p>
        </w:tc>
      </w:tr>
      <w:tr w:rsidR="00646939" w:rsidRPr="00ED7872" w14:paraId="39F8275D" w14:textId="77777777" w:rsidTr="006E4294">
        <w:trPr>
          <w:trHeight w:val="300"/>
        </w:trPr>
        <w:tc>
          <w:tcPr>
            <w:tcW w:w="1200" w:type="dxa"/>
            <w:shd w:val="clear" w:color="auto" w:fill="auto"/>
            <w:noWrap/>
            <w:vAlign w:val="bottom"/>
            <w:hideMark/>
          </w:tcPr>
          <w:p w14:paraId="227C3023"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HiØ</w:t>
            </w:r>
          </w:p>
        </w:tc>
        <w:tc>
          <w:tcPr>
            <w:tcW w:w="1200" w:type="dxa"/>
            <w:shd w:val="clear" w:color="000000" w:fill="88B7E1"/>
            <w:noWrap/>
            <w:vAlign w:val="bottom"/>
            <w:hideMark/>
          </w:tcPr>
          <w:p w14:paraId="114F855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A9CAE9"/>
            <w:noWrap/>
            <w:vAlign w:val="bottom"/>
            <w:hideMark/>
          </w:tcPr>
          <w:p w14:paraId="32BAE6D2" w14:textId="4EA0E71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3</w:t>
            </w:r>
            <w:r w:rsidRPr="00ED7872">
              <w:rPr>
                <w:rFonts w:ascii="Calibri" w:eastAsia="Times New Roman" w:hAnsi="Calibri" w:cs="Calibri"/>
                <w:color w:val="000000"/>
                <w:lang w:eastAsia="nb-NO"/>
              </w:rPr>
              <w:t xml:space="preserve"> %</w:t>
            </w:r>
          </w:p>
        </w:tc>
        <w:tc>
          <w:tcPr>
            <w:tcW w:w="1200" w:type="dxa"/>
            <w:shd w:val="clear" w:color="000000" w:fill="A8CAE9"/>
            <w:noWrap/>
            <w:vAlign w:val="bottom"/>
            <w:hideMark/>
          </w:tcPr>
          <w:p w14:paraId="4735D11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38 %</w:t>
            </w:r>
          </w:p>
        </w:tc>
        <w:tc>
          <w:tcPr>
            <w:tcW w:w="1200" w:type="dxa"/>
            <w:shd w:val="clear" w:color="000000" w:fill="8EBAE2"/>
            <w:noWrap/>
            <w:vAlign w:val="bottom"/>
            <w:hideMark/>
          </w:tcPr>
          <w:p w14:paraId="76A25DA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6FA8DB"/>
            <w:noWrap/>
            <w:vAlign w:val="bottom"/>
            <w:hideMark/>
          </w:tcPr>
          <w:p w14:paraId="4DEFBFC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48 %</w:t>
            </w:r>
          </w:p>
        </w:tc>
        <w:tc>
          <w:tcPr>
            <w:tcW w:w="1200" w:type="dxa"/>
            <w:shd w:val="clear" w:color="000000" w:fill="5B9BD5"/>
            <w:noWrap/>
            <w:vAlign w:val="bottom"/>
            <w:hideMark/>
          </w:tcPr>
          <w:p w14:paraId="019C6B7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76 %</w:t>
            </w:r>
          </w:p>
        </w:tc>
        <w:tc>
          <w:tcPr>
            <w:tcW w:w="1200" w:type="dxa"/>
            <w:shd w:val="clear" w:color="000000" w:fill="DCEAF6"/>
            <w:noWrap/>
            <w:vAlign w:val="bottom"/>
            <w:hideMark/>
          </w:tcPr>
          <w:p w14:paraId="68D4777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27 %</w:t>
            </w:r>
          </w:p>
        </w:tc>
      </w:tr>
      <w:tr w:rsidR="00646939" w:rsidRPr="00ED7872" w14:paraId="69F89463" w14:textId="77777777" w:rsidTr="006E4294">
        <w:trPr>
          <w:trHeight w:val="300"/>
        </w:trPr>
        <w:tc>
          <w:tcPr>
            <w:tcW w:w="1200" w:type="dxa"/>
            <w:shd w:val="clear" w:color="auto" w:fill="auto"/>
            <w:noWrap/>
            <w:vAlign w:val="bottom"/>
            <w:hideMark/>
          </w:tcPr>
          <w:p w14:paraId="000AE7E4"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NU</w:t>
            </w:r>
          </w:p>
        </w:tc>
        <w:tc>
          <w:tcPr>
            <w:tcW w:w="1200" w:type="dxa"/>
            <w:shd w:val="clear" w:color="000000" w:fill="7EB0DE"/>
            <w:noWrap/>
            <w:vAlign w:val="bottom"/>
            <w:hideMark/>
          </w:tcPr>
          <w:p w14:paraId="3D6EC5C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44 %</w:t>
            </w:r>
          </w:p>
        </w:tc>
        <w:tc>
          <w:tcPr>
            <w:tcW w:w="1200" w:type="dxa"/>
            <w:shd w:val="clear" w:color="000000" w:fill="A5C8E8"/>
            <w:noWrap/>
            <w:vAlign w:val="bottom"/>
            <w:hideMark/>
          </w:tcPr>
          <w:p w14:paraId="5DA66D1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9DC4E6"/>
            <w:noWrap/>
            <w:vAlign w:val="bottom"/>
            <w:hideMark/>
          </w:tcPr>
          <w:p w14:paraId="54B3CDE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41 %</w:t>
            </w:r>
          </w:p>
        </w:tc>
        <w:tc>
          <w:tcPr>
            <w:tcW w:w="1200" w:type="dxa"/>
            <w:shd w:val="clear" w:color="000000" w:fill="B7D3ED"/>
            <w:noWrap/>
            <w:vAlign w:val="bottom"/>
            <w:hideMark/>
          </w:tcPr>
          <w:p w14:paraId="10EE890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75ABDC"/>
            <w:noWrap/>
            <w:vAlign w:val="bottom"/>
            <w:hideMark/>
          </w:tcPr>
          <w:p w14:paraId="2A0CC72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9EC4E7"/>
            <w:noWrap/>
            <w:vAlign w:val="bottom"/>
            <w:hideMark/>
          </w:tcPr>
          <w:p w14:paraId="4740568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87B6E1"/>
            <w:noWrap/>
            <w:vAlign w:val="bottom"/>
            <w:hideMark/>
          </w:tcPr>
          <w:p w14:paraId="0A43E6C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r>
      <w:tr w:rsidR="00646939" w:rsidRPr="00ED7872" w14:paraId="07C949B6" w14:textId="77777777" w:rsidTr="006E4294">
        <w:trPr>
          <w:trHeight w:val="300"/>
        </w:trPr>
        <w:tc>
          <w:tcPr>
            <w:tcW w:w="1200" w:type="dxa"/>
            <w:shd w:val="clear" w:color="auto" w:fill="auto"/>
            <w:noWrap/>
            <w:vAlign w:val="bottom"/>
            <w:hideMark/>
          </w:tcPr>
          <w:p w14:paraId="00619A19"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HINN</w:t>
            </w:r>
          </w:p>
        </w:tc>
        <w:tc>
          <w:tcPr>
            <w:tcW w:w="1200" w:type="dxa"/>
            <w:shd w:val="clear" w:color="000000" w:fill="77ACDC"/>
            <w:noWrap/>
            <w:vAlign w:val="bottom"/>
            <w:hideMark/>
          </w:tcPr>
          <w:p w14:paraId="3B61556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98C0E5"/>
            <w:noWrap/>
            <w:vAlign w:val="bottom"/>
            <w:hideMark/>
          </w:tcPr>
          <w:p w14:paraId="2016EDC0" w14:textId="3E13A936"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6</w:t>
            </w:r>
            <w:r w:rsidRPr="00ED7872">
              <w:rPr>
                <w:rFonts w:ascii="Calibri" w:eastAsia="Times New Roman" w:hAnsi="Calibri" w:cs="Calibri"/>
                <w:color w:val="000000"/>
                <w:lang w:eastAsia="nb-NO"/>
              </w:rPr>
              <w:t xml:space="preserve"> %</w:t>
            </w:r>
          </w:p>
        </w:tc>
        <w:tc>
          <w:tcPr>
            <w:tcW w:w="1200" w:type="dxa"/>
            <w:shd w:val="clear" w:color="000000" w:fill="78ADDD"/>
            <w:noWrap/>
            <w:vAlign w:val="bottom"/>
            <w:hideMark/>
          </w:tcPr>
          <w:p w14:paraId="2AAB94A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52 %</w:t>
            </w:r>
          </w:p>
        </w:tc>
        <w:tc>
          <w:tcPr>
            <w:tcW w:w="1200" w:type="dxa"/>
            <w:shd w:val="clear" w:color="000000" w:fill="8DBAE2"/>
            <w:noWrap/>
            <w:vAlign w:val="bottom"/>
            <w:hideMark/>
          </w:tcPr>
          <w:p w14:paraId="1371889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90BBE3"/>
            <w:noWrap/>
            <w:vAlign w:val="bottom"/>
            <w:hideMark/>
          </w:tcPr>
          <w:p w14:paraId="05926AE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37 %</w:t>
            </w:r>
          </w:p>
        </w:tc>
        <w:tc>
          <w:tcPr>
            <w:tcW w:w="1200" w:type="dxa"/>
            <w:shd w:val="clear" w:color="000000" w:fill="F3F8FC"/>
            <w:noWrap/>
            <w:vAlign w:val="bottom"/>
            <w:hideMark/>
          </w:tcPr>
          <w:p w14:paraId="5D1C6D3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43 %</w:t>
            </w:r>
          </w:p>
        </w:tc>
        <w:tc>
          <w:tcPr>
            <w:tcW w:w="1200" w:type="dxa"/>
            <w:shd w:val="clear" w:color="000000" w:fill="9EC4E6"/>
            <w:noWrap/>
            <w:vAlign w:val="bottom"/>
            <w:hideMark/>
          </w:tcPr>
          <w:p w14:paraId="2696F1D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38 %</w:t>
            </w:r>
          </w:p>
        </w:tc>
      </w:tr>
      <w:tr w:rsidR="00646939" w:rsidRPr="00ED7872" w14:paraId="4C549F0A" w14:textId="77777777" w:rsidTr="006E4294">
        <w:trPr>
          <w:trHeight w:val="300"/>
        </w:trPr>
        <w:tc>
          <w:tcPr>
            <w:tcW w:w="1200" w:type="dxa"/>
            <w:shd w:val="clear" w:color="auto" w:fill="auto"/>
            <w:noWrap/>
            <w:vAlign w:val="bottom"/>
            <w:hideMark/>
          </w:tcPr>
          <w:p w14:paraId="501D74DA"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HVL</w:t>
            </w:r>
          </w:p>
        </w:tc>
        <w:tc>
          <w:tcPr>
            <w:tcW w:w="1200" w:type="dxa"/>
            <w:shd w:val="clear" w:color="000000" w:fill="B7D3ED"/>
            <w:noWrap/>
            <w:vAlign w:val="bottom"/>
            <w:hideMark/>
          </w:tcPr>
          <w:p w14:paraId="1518AFB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32 %</w:t>
            </w:r>
          </w:p>
        </w:tc>
        <w:tc>
          <w:tcPr>
            <w:tcW w:w="1200" w:type="dxa"/>
            <w:shd w:val="clear" w:color="000000" w:fill="A7CAE9"/>
            <w:noWrap/>
            <w:vAlign w:val="bottom"/>
            <w:hideMark/>
          </w:tcPr>
          <w:p w14:paraId="6F19646E" w14:textId="660AD44B"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3</w:t>
            </w:r>
            <w:r w:rsidRPr="00ED7872">
              <w:rPr>
                <w:rFonts w:ascii="Calibri" w:eastAsia="Times New Roman" w:hAnsi="Calibri" w:cs="Calibri"/>
                <w:color w:val="000000"/>
                <w:lang w:eastAsia="nb-NO"/>
              </w:rPr>
              <w:t xml:space="preserve"> %</w:t>
            </w:r>
          </w:p>
        </w:tc>
        <w:tc>
          <w:tcPr>
            <w:tcW w:w="1200" w:type="dxa"/>
            <w:shd w:val="clear" w:color="000000" w:fill="BFD8EF"/>
            <w:noWrap/>
            <w:vAlign w:val="bottom"/>
            <w:hideMark/>
          </w:tcPr>
          <w:p w14:paraId="3C2EBA3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B0CFEB"/>
            <w:noWrap/>
            <w:vAlign w:val="bottom"/>
            <w:hideMark/>
          </w:tcPr>
          <w:p w14:paraId="67AA72F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68 %</w:t>
            </w:r>
          </w:p>
        </w:tc>
        <w:tc>
          <w:tcPr>
            <w:tcW w:w="1200" w:type="dxa"/>
            <w:shd w:val="clear" w:color="000000" w:fill="5B9BD5"/>
            <w:noWrap/>
            <w:vAlign w:val="bottom"/>
            <w:hideMark/>
          </w:tcPr>
          <w:p w14:paraId="11098DA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54 %</w:t>
            </w:r>
          </w:p>
        </w:tc>
        <w:tc>
          <w:tcPr>
            <w:tcW w:w="1200" w:type="dxa"/>
            <w:shd w:val="clear" w:color="000000" w:fill="86B6E0"/>
            <w:noWrap/>
            <w:vAlign w:val="bottom"/>
            <w:hideMark/>
          </w:tcPr>
          <w:p w14:paraId="368B24C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67 %</w:t>
            </w:r>
          </w:p>
        </w:tc>
        <w:tc>
          <w:tcPr>
            <w:tcW w:w="1200" w:type="dxa"/>
            <w:shd w:val="clear" w:color="000000" w:fill="FCFDFF"/>
            <w:noWrap/>
            <w:vAlign w:val="bottom"/>
            <w:hideMark/>
          </w:tcPr>
          <w:p w14:paraId="130F484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21 %</w:t>
            </w:r>
          </w:p>
        </w:tc>
      </w:tr>
      <w:tr w:rsidR="00646939" w:rsidRPr="00ED7872" w14:paraId="55A04283" w14:textId="77777777" w:rsidTr="006E4294">
        <w:trPr>
          <w:trHeight w:val="300"/>
        </w:trPr>
        <w:tc>
          <w:tcPr>
            <w:tcW w:w="1200" w:type="dxa"/>
            <w:shd w:val="clear" w:color="auto" w:fill="auto"/>
            <w:noWrap/>
            <w:vAlign w:val="bottom"/>
            <w:hideMark/>
          </w:tcPr>
          <w:p w14:paraId="656614E7"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USN</w:t>
            </w:r>
          </w:p>
        </w:tc>
        <w:tc>
          <w:tcPr>
            <w:tcW w:w="1200" w:type="dxa"/>
            <w:shd w:val="clear" w:color="000000" w:fill="8CB9E2"/>
            <w:noWrap/>
            <w:vAlign w:val="bottom"/>
            <w:hideMark/>
          </w:tcPr>
          <w:p w14:paraId="183CCCB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41 %</w:t>
            </w:r>
          </w:p>
        </w:tc>
        <w:tc>
          <w:tcPr>
            <w:tcW w:w="1200" w:type="dxa"/>
            <w:shd w:val="clear" w:color="000000" w:fill="ADCDEA"/>
            <w:noWrap/>
            <w:vAlign w:val="bottom"/>
            <w:hideMark/>
          </w:tcPr>
          <w:p w14:paraId="6F8575EB" w14:textId="53A5B9F8"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w:t>
            </w:r>
            <w:r w:rsidR="00853EF2">
              <w:rPr>
                <w:rFonts w:ascii="Calibri" w:eastAsia="Times New Roman" w:hAnsi="Calibri" w:cs="Calibri"/>
                <w:color w:val="000000"/>
                <w:lang w:eastAsia="nb-NO"/>
              </w:rPr>
              <w:t>1</w:t>
            </w:r>
            <w:r w:rsidRPr="00ED7872">
              <w:rPr>
                <w:rFonts w:ascii="Calibri" w:eastAsia="Times New Roman" w:hAnsi="Calibri" w:cs="Calibri"/>
                <w:color w:val="000000"/>
                <w:lang w:eastAsia="nb-NO"/>
              </w:rPr>
              <w:t xml:space="preserve"> %</w:t>
            </w:r>
          </w:p>
        </w:tc>
        <w:tc>
          <w:tcPr>
            <w:tcW w:w="1200" w:type="dxa"/>
            <w:shd w:val="clear" w:color="000000" w:fill="B9D4ED"/>
            <w:noWrap/>
            <w:vAlign w:val="bottom"/>
            <w:hideMark/>
          </w:tcPr>
          <w:p w14:paraId="6E09AD7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33 %</w:t>
            </w:r>
          </w:p>
        </w:tc>
        <w:tc>
          <w:tcPr>
            <w:tcW w:w="1200" w:type="dxa"/>
            <w:shd w:val="clear" w:color="000000" w:fill="AECEEB"/>
            <w:noWrap/>
            <w:vAlign w:val="bottom"/>
            <w:hideMark/>
          </w:tcPr>
          <w:p w14:paraId="0451444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68 %</w:t>
            </w:r>
          </w:p>
        </w:tc>
        <w:tc>
          <w:tcPr>
            <w:tcW w:w="1200" w:type="dxa"/>
            <w:shd w:val="clear" w:color="000000" w:fill="88B7E1"/>
            <w:noWrap/>
            <w:vAlign w:val="bottom"/>
            <w:hideMark/>
          </w:tcPr>
          <w:p w14:paraId="3CB5A76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39 %</w:t>
            </w:r>
          </w:p>
        </w:tc>
        <w:tc>
          <w:tcPr>
            <w:tcW w:w="1200" w:type="dxa"/>
            <w:shd w:val="clear" w:color="000000" w:fill="BAD5EE"/>
            <w:noWrap/>
            <w:vAlign w:val="bottom"/>
            <w:hideMark/>
          </w:tcPr>
          <w:p w14:paraId="1FE49A3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56 %</w:t>
            </w:r>
          </w:p>
        </w:tc>
        <w:tc>
          <w:tcPr>
            <w:tcW w:w="1200" w:type="dxa"/>
            <w:shd w:val="clear" w:color="000000" w:fill="E7F1F9"/>
            <w:noWrap/>
            <w:vAlign w:val="bottom"/>
            <w:hideMark/>
          </w:tcPr>
          <w:p w14:paraId="1FFD5B3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r>
      <w:tr w:rsidR="00646939" w:rsidRPr="00ED7872" w14:paraId="1EB6A142" w14:textId="77777777" w:rsidTr="006E4294">
        <w:trPr>
          <w:trHeight w:val="300"/>
        </w:trPr>
        <w:tc>
          <w:tcPr>
            <w:tcW w:w="1200" w:type="dxa"/>
            <w:shd w:val="clear" w:color="auto" w:fill="auto"/>
            <w:noWrap/>
            <w:vAlign w:val="bottom"/>
            <w:hideMark/>
          </w:tcPr>
          <w:p w14:paraId="00248205"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OsloMet</w:t>
            </w:r>
          </w:p>
        </w:tc>
        <w:tc>
          <w:tcPr>
            <w:tcW w:w="1200" w:type="dxa"/>
            <w:shd w:val="clear" w:color="000000" w:fill="A1C6E7"/>
            <w:noWrap/>
            <w:vAlign w:val="bottom"/>
            <w:hideMark/>
          </w:tcPr>
          <w:p w14:paraId="139CB8E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37 %</w:t>
            </w:r>
          </w:p>
        </w:tc>
        <w:tc>
          <w:tcPr>
            <w:tcW w:w="1200" w:type="dxa"/>
            <w:shd w:val="clear" w:color="000000" w:fill="92BDE3"/>
            <w:noWrap/>
            <w:vAlign w:val="bottom"/>
            <w:hideMark/>
          </w:tcPr>
          <w:p w14:paraId="7E6E73DF" w14:textId="246E9DD5" w:rsidR="00646939" w:rsidRPr="00ED7872" w:rsidRDefault="003C4F6F" w:rsidP="006E4294">
            <w:pPr>
              <w:keepNext/>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69</w:t>
            </w:r>
            <w:r w:rsidR="00646939" w:rsidRPr="00ED7872">
              <w:rPr>
                <w:rFonts w:ascii="Calibri" w:eastAsia="Times New Roman" w:hAnsi="Calibri" w:cs="Calibri"/>
                <w:color w:val="000000"/>
                <w:lang w:eastAsia="nb-NO"/>
              </w:rPr>
              <w:t xml:space="preserve"> %</w:t>
            </w:r>
          </w:p>
        </w:tc>
        <w:tc>
          <w:tcPr>
            <w:tcW w:w="1200" w:type="dxa"/>
            <w:shd w:val="clear" w:color="000000" w:fill="C0D9EF"/>
            <w:noWrap/>
            <w:vAlign w:val="bottom"/>
            <w:hideMark/>
          </w:tcPr>
          <w:p w14:paraId="6E60272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A2C7E8"/>
            <w:noWrap/>
            <w:vAlign w:val="bottom"/>
            <w:hideMark/>
          </w:tcPr>
          <w:p w14:paraId="79CBF4C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72 %</w:t>
            </w:r>
          </w:p>
        </w:tc>
        <w:tc>
          <w:tcPr>
            <w:tcW w:w="1200" w:type="dxa"/>
            <w:shd w:val="clear" w:color="000000" w:fill="66A2D8"/>
            <w:noWrap/>
            <w:vAlign w:val="bottom"/>
            <w:hideMark/>
          </w:tcPr>
          <w:p w14:paraId="207AC49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51 %</w:t>
            </w:r>
          </w:p>
        </w:tc>
        <w:tc>
          <w:tcPr>
            <w:tcW w:w="1200" w:type="dxa"/>
            <w:shd w:val="clear" w:color="000000" w:fill="FFFFFF"/>
            <w:noWrap/>
            <w:vAlign w:val="bottom"/>
            <w:hideMark/>
          </w:tcPr>
          <w:p w14:paraId="20D3F12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41 %</w:t>
            </w:r>
          </w:p>
        </w:tc>
        <w:tc>
          <w:tcPr>
            <w:tcW w:w="1200" w:type="dxa"/>
            <w:shd w:val="clear" w:color="000000" w:fill="F1F6FC"/>
            <w:noWrap/>
            <w:vAlign w:val="bottom"/>
            <w:hideMark/>
          </w:tcPr>
          <w:p w14:paraId="7DD63B8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r>
      <w:tr w:rsidR="00646939" w:rsidRPr="00ED7872" w14:paraId="72AEEA2F" w14:textId="77777777" w:rsidTr="006E4294">
        <w:trPr>
          <w:trHeight w:val="300"/>
        </w:trPr>
        <w:tc>
          <w:tcPr>
            <w:tcW w:w="1200" w:type="dxa"/>
            <w:shd w:val="clear" w:color="auto" w:fill="auto"/>
            <w:noWrap/>
            <w:vAlign w:val="bottom"/>
            <w:hideMark/>
          </w:tcPr>
          <w:p w14:paraId="5F551427"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NLA</w:t>
            </w:r>
          </w:p>
        </w:tc>
        <w:tc>
          <w:tcPr>
            <w:tcW w:w="1200" w:type="dxa"/>
            <w:shd w:val="clear" w:color="000000" w:fill="DEEBF7"/>
            <w:noWrap/>
            <w:vAlign w:val="bottom"/>
            <w:hideMark/>
          </w:tcPr>
          <w:p w14:paraId="5DF2F85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c>
          <w:tcPr>
            <w:tcW w:w="1200" w:type="dxa"/>
            <w:shd w:val="clear" w:color="000000" w:fill="AFCEEB"/>
            <w:noWrap/>
            <w:vAlign w:val="bottom"/>
            <w:hideMark/>
          </w:tcPr>
          <w:p w14:paraId="4D2D986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62 %</w:t>
            </w:r>
          </w:p>
        </w:tc>
        <w:tc>
          <w:tcPr>
            <w:tcW w:w="1200" w:type="dxa"/>
            <w:shd w:val="clear" w:color="000000" w:fill="DBE9F6"/>
            <w:noWrap/>
            <w:vAlign w:val="bottom"/>
            <w:hideMark/>
          </w:tcPr>
          <w:p w14:paraId="693C010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c>
          <w:tcPr>
            <w:tcW w:w="1200" w:type="dxa"/>
            <w:shd w:val="clear" w:color="000000" w:fill="93BDE4"/>
            <w:noWrap/>
            <w:vAlign w:val="bottom"/>
            <w:hideMark/>
          </w:tcPr>
          <w:p w14:paraId="3E014FE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77 %</w:t>
            </w:r>
          </w:p>
        </w:tc>
        <w:tc>
          <w:tcPr>
            <w:tcW w:w="1200" w:type="dxa"/>
            <w:shd w:val="clear" w:color="000000" w:fill="76ACDC"/>
            <w:noWrap/>
            <w:vAlign w:val="bottom"/>
            <w:hideMark/>
          </w:tcPr>
          <w:p w14:paraId="536408C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c>
          <w:tcPr>
            <w:tcW w:w="1200" w:type="dxa"/>
            <w:shd w:val="clear" w:color="000000" w:fill="CEE2F3"/>
            <w:noWrap/>
            <w:vAlign w:val="bottom"/>
            <w:hideMark/>
          </w:tcPr>
          <w:p w14:paraId="3FB146F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51 %</w:t>
            </w:r>
          </w:p>
        </w:tc>
        <w:tc>
          <w:tcPr>
            <w:tcW w:w="1200" w:type="dxa"/>
            <w:shd w:val="clear" w:color="000000" w:fill="91BCE3"/>
            <w:noWrap/>
            <w:vAlign w:val="bottom"/>
            <w:hideMark/>
          </w:tcPr>
          <w:p w14:paraId="0EFBF33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40 %</w:t>
            </w:r>
          </w:p>
        </w:tc>
      </w:tr>
      <w:tr w:rsidR="00646939" w:rsidRPr="00ED7872" w14:paraId="47340F11" w14:textId="77777777" w:rsidTr="006E4294">
        <w:trPr>
          <w:trHeight w:val="300"/>
        </w:trPr>
        <w:tc>
          <w:tcPr>
            <w:tcW w:w="1200" w:type="dxa"/>
            <w:shd w:val="clear" w:color="auto" w:fill="auto"/>
            <w:noWrap/>
            <w:vAlign w:val="bottom"/>
            <w:hideMark/>
          </w:tcPr>
          <w:p w14:paraId="3B5AFF6A"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HiM</w:t>
            </w:r>
          </w:p>
        </w:tc>
        <w:tc>
          <w:tcPr>
            <w:tcW w:w="1200" w:type="dxa"/>
            <w:shd w:val="clear" w:color="000000" w:fill="90BBE3"/>
            <w:noWrap/>
            <w:vAlign w:val="bottom"/>
            <w:hideMark/>
          </w:tcPr>
          <w:p w14:paraId="2D05668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40 %</w:t>
            </w:r>
          </w:p>
        </w:tc>
        <w:tc>
          <w:tcPr>
            <w:tcW w:w="1200" w:type="dxa"/>
            <w:shd w:val="clear" w:color="000000" w:fill="C6DCF1"/>
            <w:noWrap/>
            <w:vAlign w:val="bottom"/>
            <w:hideMark/>
          </w:tcPr>
          <w:p w14:paraId="433B9E9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57 %</w:t>
            </w:r>
          </w:p>
        </w:tc>
        <w:tc>
          <w:tcPr>
            <w:tcW w:w="1200" w:type="dxa"/>
            <w:shd w:val="clear" w:color="000000" w:fill="B7D3ED"/>
            <w:noWrap/>
            <w:vAlign w:val="bottom"/>
            <w:hideMark/>
          </w:tcPr>
          <w:p w14:paraId="613FD44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34 %</w:t>
            </w:r>
          </w:p>
        </w:tc>
        <w:tc>
          <w:tcPr>
            <w:tcW w:w="1200" w:type="dxa"/>
            <w:shd w:val="clear" w:color="000000" w:fill="8BB8E2"/>
            <w:noWrap/>
            <w:vAlign w:val="bottom"/>
            <w:hideMark/>
          </w:tcPr>
          <w:p w14:paraId="68BEB3C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80 %</w:t>
            </w:r>
          </w:p>
        </w:tc>
        <w:tc>
          <w:tcPr>
            <w:tcW w:w="1200" w:type="dxa"/>
            <w:shd w:val="clear" w:color="000000" w:fill="CBE0F2"/>
            <w:noWrap/>
            <w:vAlign w:val="bottom"/>
            <w:hideMark/>
          </w:tcPr>
          <w:p w14:paraId="7704B8C7"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17 %</w:t>
            </w:r>
          </w:p>
        </w:tc>
        <w:tc>
          <w:tcPr>
            <w:tcW w:w="1200" w:type="dxa"/>
            <w:shd w:val="clear" w:color="000000" w:fill="DEEBF7"/>
            <w:noWrap/>
            <w:vAlign w:val="bottom"/>
            <w:hideMark/>
          </w:tcPr>
          <w:p w14:paraId="0B31AD6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48 %</w:t>
            </w:r>
          </w:p>
        </w:tc>
        <w:tc>
          <w:tcPr>
            <w:tcW w:w="1200" w:type="dxa"/>
            <w:shd w:val="clear" w:color="000000" w:fill="76ACDC"/>
            <w:noWrap/>
            <w:vAlign w:val="bottom"/>
            <w:hideMark/>
          </w:tcPr>
          <w:p w14:paraId="0BD6B6E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r>
      <w:tr w:rsidR="00646939" w:rsidRPr="00ED7872" w14:paraId="4D1DCA17" w14:textId="77777777" w:rsidTr="006E4294">
        <w:trPr>
          <w:trHeight w:val="300"/>
        </w:trPr>
        <w:tc>
          <w:tcPr>
            <w:tcW w:w="1200" w:type="dxa"/>
            <w:shd w:val="clear" w:color="auto" w:fill="auto"/>
            <w:noWrap/>
            <w:vAlign w:val="bottom"/>
            <w:hideMark/>
          </w:tcPr>
          <w:p w14:paraId="3332D3C5"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HK</w:t>
            </w:r>
          </w:p>
        </w:tc>
        <w:tc>
          <w:tcPr>
            <w:tcW w:w="1200" w:type="dxa"/>
            <w:shd w:val="clear" w:color="000000" w:fill="C7DDF1"/>
            <w:noWrap/>
            <w:vAlign w:val="bottom"/>
            <w:hideMark/>
          </w:tcPr>
          <w:p w14:paraId="3FF3092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c>
          <w:tcPr>
            <w:tcW w:w="1200" w:type="dxa"/>
            <w:shd w:val="clear" w:color="000000" w:fill="A6C9E9"/>
            <w:noWrap/>
            <w:vAlign w:val="bottom"/>
            <w:hideMark/>
          </w:tcPr>
          <w:p w14:paraId="69B3F0A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A3C7E8"/>
            <w:noWrap/>
            <w:vAlign w:val="bottom"/>
            <w:hideMark/>
          </w:tcPr>
          <w:p w14:paraId="3724AA7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40 %</w:t>
            </w:r>
          </w:p>
        </w:tc>
        <w:tc>
          <w:tcPr>
            <w:tcW w:w="1200" w:type="dxa"/>
            <w:shd w:val="clear" w:color="000000" w:fill="5B9BD5"/>
            <w:noWrap/>
            <w:vAlign w:val="bottom"/>
            <w:hideMark/>
          </w:tcPr>
          <w:p w14:paraId="14AD332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95 %</w:t>
            </w:r>
          </w:p>
        </w:tc>
        <w:tc>
          <w:tcPr>
            <w:tcW w:w="1200" w:type="dxa"/>
            <w:shd w:val="clear" w:color="000000" w:fill="E4EFF9"/>
            <w:noWrap/>
            <w:vAlign w:val="bottom"/>
            <w:hideMark/>
          </w:tcPr>
          <w:p w14:paraId="538F824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9 %</w:t>
            </w:r>
          </w:p>
        </w:tc>
        <w:tc>
          <w:tcPr>
            <w:tcW w:w="1200" w:type="dxa"/>
            <w:shd w:val="clear" w:color="000000" w:fill="F8FBFE"/>
            <w:noWrap/>
            <w:vAlign w:val="bottom"/>
            <w:hideMark/>
          </w:tcPr>
          <w:p w14:paraId="4384EED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F3F8FC"/>
            <w:noWrap/>
            <w:vAlign w:val="bottom"/>
            <w:hideMark/>
          </w:tcPr>
          <w:p w14:paraId="5DCAEE1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22 %</w:t>
            </w:r>
          </w:p>
        </w:tc>
      </w:tr>
      <w:tr w:rsidR="00646939" w:rsidRPr="00ED7872" w14:paraId="5E0FF97C" w14:textId="77777777" w:rsidTr="006E4294">
        <w:trPr>
          <w:trHeight w:val="300"/>
        </w:trPr>
        <w:tc>
          <w:tcPr>
            <w:tcW w:w="1200" w:type="dxa"/>
            <w:shd w:val="clear" w:color="auto" w:fill="auto"/>
            <w:noWrap/>
            <w:vAlign w:val="bottom"/>
            <w:hideMark/>
          </w:tcPr>
          <w:p w14:paraId="0ADEC25B"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UiS</w:t>
            </w:r>
          </w:p>
        </w:tc>
        <w:tc>
          <w:tcPr>
            <w:tcW w:w="1200" w:type="dxa"/>
            <w:shd w:val="clear" w:color="000000" w:fill="BDD7EF"/>
            <w:noWrap/>
            <w:vAlign w:val="bottom"/>
            <w:hideMark/>
          </w:tcPr>
          <w:p w14:paraId="1ED2C30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BAD5EE"/>
            <w:noWrap/>
            <w:vAlign w:val="bottom"/>
            <w:hideMark/>
          </w:tcPr>
          <w:p w14:paraId="169180B9" w14:textId="1F0F2080" w:rsidR="00646939" w:rsidRPr="00ED7872" w:rsidRDefault="006C0FF9" w:rsidP="006E4294">
            <w:pPr>
              <w:keepNext/>
              <w:spacing w:after="0" w:line="240" w:lineRule="auto"/>
              <w:jc w:val="right"/>
              <w:rPr>
                <w:rFonts w:ascii="Calibri" w:eastAsia="Times New Roman" w:hAnsi="Calibri" w:cs="Calibri"/>
                <w:color w:val="000000"/>
                <w:lang w:eastAsia="nb-NO"/>
              </w:rPr>
            </w:pPr>
            <w:r>
              <w:rPr>
                <w:rFonts w:ascii="Calibri" w:eastAsia="Times New Roman" w:hAnsi="Calibri" w:cs="Calibri"/>
                <w:color w:val="000000"/>
                <w:lang w:eastAsia="nb-NO"/>
              </w:rPr>
              <w:t>59</w:t>
            </w:r>
            <w:r w:rsidR="00646939" w:rsidRPr="00ED7872">
              <w:rPr>
                <w:rFonts w:ascii="Calibri" w:eastAsia="Times New Roman" w:hAnsi="Calibri" w:cs="Calibri"/>
                <w:color w:val="000000"/>
                <w:lang w:eastAsia="nb-NO"/>
              </w:rPr>
              <w:t xml:space="preserve"> %</w:t>
            </w:r>
          </w:p>
        </w:tc>
        <w:tc>
          <w:tcPr>
            <w:tcW w:w="1200" w:type="dxa"/>
            <w:shd w:val="clear" w:color="000000" w:fill="E4EFF9"/>
            <w:noWrap/>
            <w:vAlign w:val="bottom"/>
            <w:hideMark/>
          </w:tcPr>
          <w:p w14:paraId="6703F91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c>
          <w:tcPr>
            <w:tcW w:w="1200" w:type="dxa"/>
            <w:shd w:val="clear" w:color="000000" w:fill="B8D4ED"/>
            <w:noWrap/>
            <w:vAlign w:val="bottom"/>
            <w:hideMark/>
          </w:tcPr>
          <w:p w14:paraId="1E78F1C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9EC4E7"/>
            <w:noWrap/>
            <w:vAlign w:val="bottom"/>
            <w:hideMark/>
          </w:tcPr>
          <w:p w14:paraId="20E03F2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32 %</w:t>
            </w:r>
          </w:p>
        </w:tc>
        <w:tc>
          <w:tcPr>
            <w:tcW w:w="1200" w:type="dxa"/>
            <w:shd w:val="clear" w:color="000000" w:fill="69A4D9"/>
            <w:noWrap/>
            <w:vAlign w:val="bottom"/>
            <w:hideMark/>
          </w:tcPr>
          <w:p w14:paraId="55E294A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73 %</w:t>
            </w:r>
          </w:p>
        </w:tc>
        <w:tc>
          <w:tcPr>
            <w:tcW w:w="1200" w:type="dxa"/>
            <w:shd w:val="clear" w:color="000000" w:fill="FFFFFF"/>
            <w:noWrap/>
            <w:vAlign w:val="bottom"/>
            <w:hideMark/>
          </w:tcPr>
          <w:p w14:paraId="706E99D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r>
      <w:tr w:rsidR="00646939" w:rsidRPr="00ED7872" w14:paraId="7EA65822" w14:textId="77777777" w:rsidTr="006E4294">
        <w:trPr>
          <w:trHeight w:val="300"/>
        </w:trPr>
        <w:tc>
          <w:tcPr>
            <w:tcW w:w="1200" w:type="dxa"/>
            <w:shd w:val="clear" w:color="auto" w:fill="auto"/>
            <w:noWrap/>
            <w:vAlign w:val="bottom"/>
            <w:hideMark/>
          </w:tcPr>
          <w:p w14:paraId="25E2EEFA"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UiA</w:t>
            </w:r>
          </w:p>
        </w:tc>
        <w:tc>
          <w:tcPr>
            <w:tcW w:w="1200" w:type="dxa"/>
            <w:shd w:val="clear" w:color="000000" w:fill="C9DEF1"/>
            <w:noWrap/>
            <w:vAlign w:val="bottom"/>
            <w:hideMark/>
          </w:tcPr>
          <w:p w14:paraId="0DF6BA0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c>
          <w:tcPr>
            <w:tcW w:w="1200" w:type="dxa"/>
            <w:shd w:val="clear" w:color="000000" w:fill="BCD7EE"/>
            <w:noWrap/>
            <w:vAlign w:val="bottom"/>
            <w:hideMark/>
          </w:tcPr>
          <w:p w14:paraId="4D4A48EC" w14:textId="20EF73F0"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w:t>
            </w:r>
            <w:r w:rsidR="009A2B62">
              <w:rPr>
                <w:rFonts w:ascii="Calibri" w:eastAsia="Times New Roman" w:hAnsi="Calibri" w:cs="Calibri"/>
                <w:color w:val="000000"/>
                <w:lang w:eastAsia="nb-NO"/>
              </w:rPr>
              <w:t>8</w:t>
            </w:r>
            <w:r w:rsidRPr="00ED7872">
              <w:rPr>
                <w:rFonts w:ascii="Calibri" w:eastAsia="Times New Roman" w:hAnsi="Calibri" w:cs="Calibri"/>
                <w:color w:val="000000"/>
                <w:lang w:eastAsia="nb-NO"/>
              </w:rPr>
              <w:t xml:space="preserve"> %</w:t>
            </w:r>
          </w:p>
        </w:tc>
        <w:tc>
          <w:tcPr>
            <w:tcW w:w="1200" w:type="dxa"/>
            <w:shd w:val="clear" w:color="000000" w:fill="E5EFF9"/>
            <w:noWrap/>
            <w:vAlign w:val="bottom"/>
            <w:hideMark/>
          </w:tcPr>
          <w:p w14:paraId="35DC650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c>
          <w:tcPr>
            <w:tcW w:w="1200" w:type="dxa"/>
            <w:shd w:val="clear" w:color="000000" w:fill="B9D4ED"/>
            <w:noWrap/>
            <w:vAlign w:val="bottom"/>
            <w:hideMark/>
          </w:tcPr>
          <w:p w14:paraId="631D32A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65 %</w:t>
            </w:r>
          </w:p>
        </w:tc>
        <w:tc>
          <w:tcPr>
            <w:tcW w:w="1200" w:type="dxa"/>
            <w:shd w:val="clear" w:color="000000" w:fill="97C0E5"/>
            <w:noWrap/>
            <w:vAlign w:val="bottom"/>
            <w:hideMark/>
          </w:tcPr>
          <w:p w14:paraId="722C504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35 %</w:t>
            </w:r>
          </w:p>
        </w:tc>
        <w:tc>
          <w:tcPr>
            <w:tcW w:w="1200" w:type="dxa"/>
            <w:shd w:val="clear" w:color="000000" w:fill="91BCE3"/>
            <w:noWrap/>
            <w:vAlign w:val="bottom"/>
            <w:hideMark/>
          </w:tcPr>
          <w:p w14:paraId="2911D04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64 %</w:t>
            </w:r>
          </w:p>
        </w:tc>
        <w:tc>
          <w:tcPr>
            <w:tcW w:w="1200" w:type="dxa"/>
            <w:shd w:val="clear" w:color="000000" w:fill="EDF4FB"/>
            <w:noWrap/>
            <w:vAlign w:val="bottom"/>
            <w:hideMark/>
          </w:tcPr>
          <w:p w14:paraId="2B6FE4B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r>
      <w:tr w:rsidR="00646939" w:rsidRPr="00ED7872" w14:paraId="20457FEE" w14:textId="77777777" w:rsidTr="006E4294">
        <w:trPr>
          <w:trHeight w:val="300"/>
        </w:trPr>
        <w:tc>
          <w:tcPr>
            <w:tcW w:w="1200" w:type="dxa"/>
            <w:shd w:val="clear" w:color="auto" w:fill="auto"/>
            <w:noWrap/>
            <w:vAlign w:val="bottom"/>
            <w:hideMark/>
          </w:tcPr>
          <w:p w14:paraId="4E9002C4"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UiT</w:t>
            </w:r>
          </w:p>
        </w:tc>
        <w:tc>
          <w:tcPr>
            <w:tcW w:w="1200" w:type="dxa"/>
            <w:shd w:val="clear" w:color="000000" w:fill="BDD7EE"/>
            <w:noWrap/>
            <w:vAlign w:val="bottom"/>
            <w:hideMark/>
          </w:tcPr>
          <w:p w14:paraId="05C7012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31 %</w:t>
            </w:r>
          </w:p>
        </w:tc>
        <w:tc>
          <w:tcPr>
            <w:tcW w:w="1200" w:type="dxa"/>
            <w:shd w:val="clear" w:color="000000" w:fill="BBD6EE"/>
            <w:noWrap/>
            <w:vAlign w:val="bottom"/>
            <w:hideMark/>
          </w:tcPr>
          <w:p w14:paraId="3E83265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59 %</w:t>
            </w:r>
          </w:p>
        </w:tc>
        <w:tc>
          <w:tcPr>
            <w:tcW w:w="1200" w:type="dxa"/>
            <w:shd w:val="clear" w:color="000000" w:fill="D3E5F4"/>
            <w:noWrap/>
            <w:vAlign w:val="bottom"/>
            <w:hideMark/>
          </w:tcPr>
          <w:p w14:paraId="486342F4"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c>
          <w:tcPr>
            <w:tcW w:w="1200" w:type="dxa"/>
            <w:shd w:val="clear" w:color="000000" w:fill="C3DBF0"/>
            <w:noWrap/>
            <w:vAlign w:val="bottom"/>
            <w:hideMark/>
          </w:tcPr>
          <w:p w14:paraId="230C78F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BBD5EE"/>
            <w:noWrap/>
            <w:vAlign w:val="bottom"/>
            <w:hideMark/>
          </w:tcPr>
          <w:p w14:paraId="3088510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23 %</w:t>
            </w:r>
          </w:p>
        </w:tc>
        <w:tc>
          <w:tcPr>
            <w:tcW w:w="1200" w:type="dxa"/>
            <w:shd w:val="clear" w:color="000000" w:fill="B7D3ED"/>
            <w:noWrap/>
            <w:vAlign w:val="bottom"/>
            <w:hideMark/>
          </w:tcPr>
          <w:p w14:paraId="789A2C9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56 %</w:t>
            </w:r>
          </w:p>
        </w:tc>
        <w:tc>
          <w:tcPr>
            <w:tcW w:w="1200" w:type="dxa"/>
            <w:shd w:val="clear" w:color="000000" w:fill="E5EFF9"/>
            <w:noWrap/>
            <w:vAlign w:val="bottom"/>
            <w:hideMark/>
          </w:tcPr>
          <w:p w14:paraId="4DADD15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r>
      <w:tr w:rsidR="00646939" w:rsidRPr="00ED7872" w14:paraId="04B26DC1" w14:textId="77777777" w:rsidTr="006E4294">
        <w:trPr>
          <w:trHeight w:val="300"/>
        </w:trPr>
        <w:tc>
          <w:tcPr>
            <w:tcW w:w="1200" w:type="dxa"/>
            <w:shd w:val="clear" w:color="auto" w:fill="auto"/>
            <w:noWrap/>
            <w:vAlign w:val="bottom"/>
            <w:hideMark/>
          </w:tcPr>
          <w:p w14:paraId="25498835"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BI</w:t>
            </w:r>
          </w:p>
        </w:tc>
        <w:tc>
          <w:tcPr>
            <w:tcW w:w="1200" w:type="dxa"/>
            <w:shd w:val="clear" w:color="000000" w:fill="DAE9F6"/>
            <w:noWrap/>
            <w:vAlign w:val="bottom"/>
            <w:hideMark/>
          </w:tcPr>
          <w:p w14:paraId="10FB1C5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c>
          <w:tcPr>
            <w:tcW w:w="1200" w:type="dxa"/>
            <w:shd w:val="clear" w:color="000000" w:fill="E3EEF8"/>
            <w:noWrap/>
            <w:vAlign w:val="bottom"/>
            <w:hideMark/>
          </w:tcPr>
          <w:p w14:paraId="0C7A18B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50 %</w:t>
            </w:r>
          </w:p>
        </w:tc>
        <w:tc>
          <w:tcPr>
            <w:tcW w:w="1200" w:type="dxa"/>
            <w:shd w:val="clear" w:color="000000" w:fill="D2E4F4"/>
            <w:noWrap/>
            <w:vAlign w:val="bottom"/>
            <w:hideMark/>
          </w:tcPr>
          <w:p w14:paraId="4312A3F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26 %</w:t>
            </w:r>
          </w:p>
        </w:tc>
        <w:tc>
          <w:tcPr>
            <w:tcW w:w="1200" w:type="dxa"/>
            <w:shd w:val="clear" w:color="000000" w:fill="8CB9E2"/>
            <w:noWrap/>
            <w:vAlign w:val="bottom"/>
            <w:hideMark/>
          </w:tcPr>
          <w:p w14:paraId="3D28BD6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79 %</w:t>
            </w:r>
          </w:p>
        </w:tc>
        <w:tc>
          <w:tcPr>
            <w:tcW w:w="1200" w:type="dxa"/>
            <w:shd w:val="clear" w:color="000000" w:fill="FFFFFF"/>
            <w:noWrap/>
            <w:vAlign w:val="bottom"/>
            <w:hideMark/>
          </w:tcPr>
          <w:p w14:paraId="5EF7ED1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0 %</w:t>
            </w:r>
          </w:p>
        </w:tc>
        <w:tc>
          <w:tcPr>
            <w:tcW w:w="1200" w:type="dxa"/>
            <w:shd w:val="clear" w:color="000000" w:fill="C5DCF0"/>
            <w:noWrap/>
            <w:vAlign w:val="bottom"/>
            <w:hideMark/>
          </w:tcPr>
          <w:p w14:paraId="68506EA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53 %</w:t>
            </w:r>
          </w:p>
        </w:tc>
        <w:tc>
          <w:tcPr>
            <w:tcW w:w="1200" w:type="dxa"/>
            <w:shd w:val="clear" w:color="000000" w:fill="D5E5F4"/>
            <w:noWrap/>
            <w:vAlign w:val="bottom"/>
            <w:hideMark/>
          </w:tcPr>
          <w:p w14:paraId="70B256A2"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28 %</w:t>
            </w:r>
          </w:p>
        </w:tc>
      </w:tr>
      <w:tr w:rsidR="00646939" w:rsidRPr="00ED7872" w14:paraId="08611489" w14:textId="77777777" w:rsidTr="006E4294">
        <w:trPr>
          <w:trHeight w:val="300"/>
        </w:trPr>
        <w:tc>
          <w:tcPr>
            <w:tcW w:w="1200" w:type="dxa"/>
            <w:shd w:val="clear" w:color="auto" w:fill="auto"/>
            <w:noWrap/>
            <w:vAlign w:val="bottom"/>
            <w:hideMark/>
          </w:tcPr>
          <w:p w14:paraId="4C2943FA"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UiB</w:t>
            </w:r>
          </w:p>
        </w:tc>
        <w:tc>
          <w:tcPr>
            <w:tcW w:w="1200" w:type="dxa"/>
            <w:shd w:val="clear" w:color="000000" w:fill="EDF4FB"/>
            <w:noWrap/>
            <w:vAlign w:val="bottom"/>
            <w:hideMark/>
          </w:tcPr>
          <w:p w14:paraId="6621B6D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21 %</w:t>
            </w:r>
          </w:p>
        </w:tc>
        <w:tc>
          <w:tcPr>
            <w:tcW w:w="1200" w:type="dxa"/>
            <w:shd w:val="clear" w:color="000000" w:fill="B4D1EC"/>
            <w:noWrap/>
            <w:vAlign w:val="bottom"/>
            <w:hideMark/>
          </w:tcPr>
          <w:p w14:paraId="367155D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FFFFFF"/>
            <w:noWrap/>
            <w:vAlign w:val="bottom"/>
            <w:hideMark/>
          </w:tcPr>
          <w:p w14:paraId="34F5ED5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12 %</w:t>
            </w:r>
          </w:p>
        </w:tc>
        <w:tc>
          <w:tcPr>
            <w:tcW w:w="1200" w:type="dxa"/>
            <w:shd w:val="clear" w:color="000000" w:fill="DCEAF6"/>
            <w:noWrap/>
            <w:vAlign w:val="bottom"/>
            <w:hideMark/>
          </w:tcPr>
          <w:p w14:paraId="59A0231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53 %</w:t>
            </w:r>
          </w:p>
        </w:tc>
        <w:tc>
          <w:tcPr>
            <w:tcW w:w="1200" w:type="dxa"/>
            <w:shd w:val="clear" w:color="000000" w:fill="E3EEF8"/>
            <w:noWrap/>
            <w:vAlign w:val="bottom"/>
            <w:hideMark/>
          </w:tcPr>
          <w:p w14:paraId="6F6DF693"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9 %</w:t>
            </w:r>
          </w:p>
        </w:tc>
        <w:tc>
          <w:tcPr>
            <w:tcW w:w="1200" w:type="dxa"/>
            <w:shd w:val="clear" w:color="000000" w:fill="A8CAE9"/>
            <w:noWrap/>
            <w:vAlign w:val="bottom"/>
            <w:hideMark/>
          </w:tcPr>
          <w:p w14:paraId="68995678"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59 %</w:t>
            </w:r>
          </w:p>
        </w:tc>
        <w:tc>
          <w:tcPr>
            <w:tcW w:w="1200" w:type="dxa"/>
            <w:shd w:val="clear" w:color="000000" w:fill="E4EFF8"/>
            <w:noWrap/>
            <w:vAlign w:val="bottom"/>
            <w:hideMark/>
          </w:tcPr>
          <w:p w14:paraId="5D97172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r>
      <w:tr w:rsidR="00646939" w:rsidRPr="00ED7872" w14:paraId="354852E0" w14:textId="77777777" w:rsidTr="006E4294">
        <w:trPr>
          <w:trHeight w:val="300"/>
        </w:trPr>
        <w:tc>
          <w:tcPr>
            <w:tcW w:w="1200" w:type="dxa"/>
            <w:shd w:val="clear" w:color="auto" w:fill="auto"/>
            <w:noWrap/>
            <w:vAlign w:val="bottom"/>
            <w:hideMark/>
          </w:tcPr>
          <w:p w14:paraId="0F5D7090"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UiO</w:t>
            </w:r>
          </w:p>
        </w:tc>
        <w:tc>
          <w:tcPr>
            <w:tcW w:w="1200" w:type="dxa"/>
            <w:shd w:val="clear" w:color="000000" w:fill="E1EDF8"/>
            <w:noWrap/>
            <w:vAlign w:val="bottom"/>
            <w:hideMark/>
          </w:tcPr>
          <w:p w14:paraId="0EB3FEE9"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c>
          <w:tcPr>
            <w:tcW w:w="1200" w:type="dxa"/>
            <w:shd w:val="clear" w:color="000000" w:fill="B2D0EC"/>
            <w:noWrap/>
            <w:vAlign w:val="bottom"/>
            <w:hideMark/>
          </w:tcPr>
          <w:p w14:paraId="2A46E5C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62 %</w:t>
            </w:r>
          </w:p>
        </w:tc>
        <w:tc>
          <w:tcPr>
            <w:tcW w:w="1200" w:type="dxa"/>
            <w:shd w:val="clear" w:color="000000" w:fill="F6F9FD"/>
            <w:noWrap/>
            <w:vAlign w:val="bottom"/>
            <w:hideMark/>
          </w:tcPr>
          <w:p w14:paraId="7CE98816"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15 %</w:t>
            </w:r>
          </w:p>
        </w:tc>
        <w:tc>
          <w:tcPr>
            <w:tcW w:w="1200" w:type="dxa"/>
            <w:shd w:val="clear" w:color="000000" w:fill="E8F1FA"/>
            <w:noWrap/>
            <w:vAlign w:val="bottom"/>
            <w:hideMark/>
          </w:tcPr>
          <w:p w14:paraId="2616A5C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49 %</w:t>
            </w:r>
          </w:p>
        </w:tc>
        <w:tc>
          <w:tcPr>
            <w:tcW w:w="1200" w:type="dxa"/>
            <w:shd w:val="clear" w:color="000000" w:fill="DCEAF6"/>
            <w:noWrap/>
            <w:vAlign w:val="bottom"/>
            <w:hideMark/>
          </w:tcPr>
          <w:p w14:paraId="4DE3CCB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12 %</w:t>
            </w:r>
          </w:p>
        </w:tc>
        <w:tc>
          <w:tcPr>
            <w:tcW w:w="1200" w:type="dxa"/>
            <w:shd w:val="clear" w:color="000000" w:fill="C0D9EF"/>
            <w:noWrap/>
            <w:vAlign w:val="bottom"/>
            <w:hideMark/>
          </w:tcPr>
          <w:p w14:paraId="373266F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54 %</w:t>
            </w:r>
          </w:p>
        </w:tc>
        <w:tc>
          <w:tcPr>
            <w:tcW w:w="1200" w:type="dxa"/>
            <w:shd w:val="clear" w:color="000000" w:fill="EBF3FA"/>
            <w:noWrap/>
            <w:vAlign w:val="bottom"/>
            <w:hideMark/>
          </w:tcPr>
          <w:p w14:paraId="23A6138A"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24 %</w:t>
            </w:r>
          </w:p>
        </w:tc>
      </w:tr>
      <w:tr w:rsidR="00646939" w:rsidRPr="00ED7872" w14:paraId="7A67C0D6" w14:textId="77777777" w:rsidTr="006E4294">
        <w:trPr>
          <w:trHeight w:val="300"/>
        </w:trPr>
        <w:tc>
          <w:tcPr>
            <w:tcW w:w="1200" w:type="dxa"/>
            <w:shd w:val="clear" w:color="auto" w:fill="auto"/>
            <w:noWrap/>
            <w:vAlign w:val="bottom"/>
            <w:hideMark/>
          </w:tcPr>
          <w:p w14:paraId="32A028A1"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NMBU</w:t>
            </w:r>
          </w:p>
        </w:tc>
        <w:tc>
          <w:tcPr>
            <w:tcW w:w="1200" w:type="dxa"/>
            <w:shd w:val="clear" w:color="000000" w:fill="C9DEF2"/>
            <w:noWrap/>
            <w:vAlign w:val="bottom"/>
            <w:hideMark/>
          </w:tcPr>
          <w:p w14:paraId="45436661"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c>
          <w:tcPr>
            <w:tcW w:w="1200" w:type="dxa"/>
            <w:shd w:val="clear" w:color="000000" w:fill="B4D2EC"/>
            <w:noWrap/>
            <w:vAlign w:val="bottom"/>
            <w:hideMark/>
          </w:tcPr>
          <w:p w14:paraId="45BB726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61 %</w:t>
            </w:r>
          </w:p>
        </w:tc>
        <w:tc>
          <w:tcPr>
            <w:tcW w:w="1200" w:type="dxa"/>
            <w:shd w:val="clear" w:color="000000" w:fill="D4E5F4"/>
            <w:noWrap/>
            <w:vAlign w:val="bottom"/>
            <w:hideMark/>
          </w:tcPr>
          <w:p w14:paraId="43219B9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c>
          <w:tcPr>
            <w:tcW w:w="1200" w:type="dxa"/>
            <w:shd w:val="clear" w:color="000000" w:fill="FFFFFF"/>
            <w:noWrap/>
            <w:vAlign w:val="bottom"/>
            <w:hideMark/>
          </w:tcPr>
          <w:p w14:paraId="7B5B8B9B"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42 %</w:t>
            </w:r>
          </w:p>
        </w:tc>
        <w:tc>
          <w:tcPr>
            <w:tcW w:w="1200" w:type="dxa"/>
            <w:shd w:val="clear" w:color="000000" w:fill="F4F8FD"/>
            <w:noWrap/>
            <w:vAlign w:val="bottom"/>
            <w:hideMark/>
          </w:tcPr>
          <w:p w14:paraId="0207B4A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4 %</w:t>
            </w:r>
          </w:p>
        </w:tc>
        <w:tc>
          <w:tcPr>
            <w:tcW w:w="1200" w:type="dxa"/>
            <w:shd w:val="clear" w:color="000000" w:fill="E7F0F9"/>
            <w:noWrap/>
            <w:vAlign w:val="bottom"/>
            <w:hideMark/>
          </w:tcPr>
          <w:p w14:paraId="7CA9D0D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000000" w:fill="D0E3F3"/>
            <w:noWrap/>
            <w:vAlign w:val="bottom"/>
            <w:hideMark/>
          </w:tcPr>
          <w:p w14:paraId="19BCC89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29 %</w:t>
            </w:r>
          </w:p>
        </w:tc>
      </w:tr>
      <w:tr w:rsidR="00646939" w:rsidRPr="00ED7872" w14:paraId="787A9101" w14:textId="77777777" w:rsidTr="006E4294">
        <w:trPr>
          <w:trHeight w:val="300"/>
        </w:trPr>
        <w:tc>
          <w:tcPr>
            <w:tcW w:w="1200" w:type="dxa"/>
            <w:shd w:val="clear" w:color="auto" w:fill="auto"/>
            <w:noWrap/>
            <w:vAlign w:val="bottom"/>
            <w:hideMark/>
          </w:tcPr>
          <w:p w14:paraId="795DC13B"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NTNU</w:t>
            </w:r>
          </w:p>
        </w:tc>
        <w:tc>
          <w:tcPr>
            <w:tcW w:w="1200" w:type="dxa"/>
            <w:shd w:val="clear" w:color="000000" w:fill="FAFCFE"/>
            <w:noWrap/>
            <w:vAlign w:val="bottom"/>
            <w:hideMark/>
          </w:tcPr>
          <w:p w14:paraId="1CCAFF6E"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19 %</w:t>
            </w:r>
          </w:p>
        </w:tc>
        <w:tc>
          <w:tcPr>
            <w:tcW w:w="1200" w:type="dxa"/>
            <w:shd w:val="clear" w:color="000000" w:fill="D6E6F5"/>
            <w:noWrap/>
            <w:vAlign w:val="bottom"/>
            <w:hideMark/>
          </w:tcPr>
          <w:p w14:paraId="32B5D057" w14:textId="4BC80875"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5</w:t>
            </w:r>
            <w:r w:rsidR="00841845">
              <w:rPr>
                <w:rFonts w:ascii="Calibri" w:eastAsia="Times New Roman" w:hAnsi="Calibri" w:cs="Calibri"/>
                <w:color w:val="000000"/>
                <w:lang w:eastAsia="nb-NO"/>
              </w:rPr>
              <w:t>2</w:t>
            </w:r>
            <w:r w:rsidRPr="00ED7872">
              <w:rPr>
                <w:rFonts w:ascii="Calibri" w:eastAsia="Times New Roman" w:hAnsi="Calibri" w:cs="Calibri"/>
                <w:color w:val="000000"/>
                <w:lang w:eastAsia="nb-NO"/>
              </w:rPr>
              <w:t xml:space="preserve"> %</w:t>
            </w:r>
          </w:p>
        </w:tc>
        <w:tc>
          <w:tcPr>
            <w:tcW w:w="1200" w:type="dxa"/>
            <w:shd w:val="clear" w:color="000000" w:fill="FEFFFF"/>
            <w:noWrap/>
            <w:vAlign w:val="bottom"/>
            <w:hideMark/>
          </w:tcPr>
          <w:p w14:paraId="040667F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13 %</w:t>
            </w:r>
          </w:p>
        </w:tc>
        <w:tc>
          <w:tcPr>
            <w:tcW w:w="1200" w:type="dxa"/>
            <w:shd w:val="clear" w:color="000000" w:fill="EDF4FB"/>
            <w:noWrap/>
            <w:vAlign w:val="bottom"/>
            <w:hideMark/>
          </w:tcPr>
          <w:p w14:paraId="04CFE1E0"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48 %</w:t>
            </w:r>
          </w:p>
        </w:tc>
        <w:tc>
          <w:tcPr>
            <w:tcW w:w="1200" w:type="dxa"/>
            <w:shd w:val="clear" w:color="000000" w:fill="BFD8EF"/>
            <w:noWrap/>
            <w:vAlign w:val="bottom"/>
            <w:hideMark/>
          </w:tcPr>
          <w:p w14:paraId="3619121C"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21 %</w:t>
            </w:r>
          </w:p>
        </w:tc>
        <w:tc>
          <w:tcPr>
            <w:tcW w:w="1200" w:type="dxa"/>
            <w:shd w:val="clear" w:color="000000" w:fill="EDF4FB"/>
            <w:noWrap/>
            <w:vAlign w:val="bottom"/>
            <w:hideMark/>
          </w:tcPr>
          <w:p w14:paraId="7AD89DC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c>
          <w:tcPr>
            <w:tcW w:w="1200" w:type="dxa"/>
            <w:shd w:val="clear" w:color="auto" w:fill="auto"/>
            <w:noWrap/>
            <w:vAlign w:val="bottom"/>
            <w:hideMark/>
          </w:tcPr>
          <w:p w14:paraId="632AB54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20 %</w:t>
            </w:r>
          </w:p>
        </w:tc>
      </w:tr>
      <w:tr w:rsidR="00646939" w:rsidRPr="00ED7872" w14:paraId="627A8693" w14:textId="77777777" w:rsidTr="006E4294">
        <w:trPr>
          <w:trHeight w:val="300"/>
        </w:trPr>
        <w:tc>
          <w:tcPr>
            <w:tcW w:w="1200" w:type="dxa"/>
            <w:shd w:val="clear" w:color="auto" w:fill="auto"/>
            <w:noWrap/>
            <w:vAlign w:val="bottom"/>
            <w:hideMark/>
          </w:tcPr>
          <w:p w14:paraId="1119D67E" w14:textId="77777777" w:rsidR="00646939" w:rsidRPr="00ED7872" w:rsidRDefault="00646939" w:rsidP="006E4294">
            <w:pPr>
              <w:keepNext/>
              <w:spacing w:after="0" w:line="240" w:lineRule="auto"/>
              <w:rPr>
                <w:rFonts w:ascii="Calibri" w:eastAsia="Times New Roman" w:hAnsi="Calibri" w:cs="Calibri"/>
                <w:color w:val="000000"/>
                <w:lang w:eastAsia="nb-NO"/>
              </w:rPr>
            </w:pPr>
            <w:r w:rsidRPr="00ED7872">
              <w:rPr>
                <w:rFonts w:ascii="Calibri" w:eastAsia="Times New Roman" w:hAnsi="Calibri" w:cs="Calibri"/>
                <w:color w:val="000000"/>
                <w:lang w:eastAsia="nb-NO"/>
              </w:rPr>
              <w:t>NHH</w:t>
            </w:r>
          </w:p>
        </w:tc>
        <w:tc>
          <w:tcPr>
            <w:tcW w:w="1200" w:type="dxa"/>
            <w:shd w:val="clear" w:color="000000" w:fill="FFFFFF"/>
            <w:noWrap/>
            <w:vAlign w:val="bottom"/>
            <w:hideMark/>
          </w:tcPr>
          <w:p w14:paraId="27464E7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17 %</w:t>
            </w:r>
          </w:p>
        </w:tc>
        <w:tc>
          <w:tcPr>
            <w:tcW w:w="1200" w:type="dxa"/>
            <w:shd w:val="clear" w:color="000000" w:fill="FFFFFF"/>
            <w:noWrap/>
            <w:vAlign w:val="bottom"/>
            <w:hideMark/>
          </w:tcPr>
          <w:p w14:paraId="4F3C9833" w14:textId="4DC61333"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w:t>
            </w:r>
            <w:r w:rsidR="0029268B">
              <w:rPr>
                <w:rFonts w:ascii="Calibri" w:eastAsia="Times New Roman" w:hAnsi="Calibri" w:cs="Calibri"/>
                <w:color w:val="000000"/>
                <w:lang w:eastAsia="nb-NO"/>
              </w:rPr>
              <w:t>0</w:t>
            </w:r>
            <w:r w:rsidRPr="00ED7872">
              <w:rPr>
                <w:rFonts w:ascii="Calibri" w:eastAsia="Times New Roman" w:hAnsi="Calibri" w:cs="Calibri"/>
                <w:color w:val="000000"/>
                <w:lang w:eastAsia="nb-NO"/>
              </w:rPr>
              <w:t xml:space="preserve"> %</w:t>
            </w:r>
          </w:p>
        </w:tc>
        <w:tc>
          <w:tcPr>
            <w:tcW w:w="1200" w:type="dxa"/>
            <w:shd w:val="clear" w:color="auto" w:fill="auto"/>
            <w:noWrap/>
            <w:vAlign w:val="bottom"/>
            <w:hideMark/>
          </w:tcPr>
          <w:p w14:paraId="62A7B11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15 %</w:t>
            </w:r>
          </w:p>
        </w:tc>
        <w:tc>
          <w:tcPr>
            <w:tcW w:w="1200" w:type="dxa"/>
            <w:shd w:val="clear" w:color="000000" w:fill="F6FAFD"/>
            <w:noWrap/>
            <w:vAlign w:val="bottom"/>
            <w:hideMark/>
          </w:tcPr>
          <w:p w14:paraId="5642CED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45 %</w:t>
            </w:r>
          </w:p>
        </w:tc>
        <w:tc>
          <w:tcPr>
            <w:tcW w:w="1200" w:type="dxa"/>
            <w:shd w:val="clear" w:color="000000" w:fill="FFFFFF"/>
            <w:noWrap/>
            <w:vAlign w:val="bottom"/>
            <w:hideMark/>
          </w:tcPr>
          <w:p w14:paraId="5C072E55"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0 %</w:t>
            </w:r>
          </w:p>
        </w:tc>
        <w:tc>
          <w:tcPr>
            <w:tcW w:w="1200" w:type="dxa"/>
            <w:shd w:val="clear" w:color="000000" w:fill="E6F0F9"/>
            <w:noWrap/>
            <w:vAlign w:val="bottom"/>
            <w:hideMark/>
          </w:tcPr>
          <w:p w14:paraId="1A894D3F"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46 %</w:t>
            </w:r>
          </w:p>
        </w:tc>
        <w:tc>
          <w:tcPr>
            <w:tcW w:w="1200" w:type="dxa"/>
            <w:shd w:val="clear" w:color="auto" w:fill="auto"/>
            <w:noWrap/>
            <w:vAlign w:val="bottom"/>
            <w:hideMark/>
          </w:tcPr>
          <w:p w14:paraId="20651F9D" w14:textId="77777777" w:rsidR="00646939" w:rsidRPr="00ED7872" w:rsidRDefault="00646939" w:rsidP="006E4294">
            <w:pPr>
              <w:keepNext/>
              <w:spacing w:after="0" w:line="240" w:lineRule="auto"/>
              <w:jc w:val="right"/>
              <w:rPr>
                <w:rFonts w:ascii="Calibri" w:eastAsia="Times New Roman" w:hAnsi="Calibri" w:cs="Calibri"/>
                <w:color w:val="000000"/>
                <w:lang w:eastAsia="nb-NO"/>
              </w:rPr>
            </w:pPr>
            <w:r w:rsidRPr="00ED7872">
              <w:rPr>
                <w:rFonts w:ascii="Calibri" w:eastAsia="Times New Roman" w:hAnsi="Calibri" w:cs="Calibri"/>
                <w:color w:val="000000"/>
                <w:lang w:eastAsia="nb-NO"/>
              </w:rPr>
              <w:t>25 %</w:t>
            </w:r>
          </w:p>
        </w:tc>
      </w:tr>
    </w:tbl>
    <w:p w14:paraId="31D55C96" w14:textId="77777777" w:rsidR="00572709" w:rsidRDefault="00646939" w:rsidP="00572709">
      <w:pPr>
        <w:pStyle w:val="Merknad"/>
      </w:pPr>
      <w:r>
        <w:t>*kortere studier er her definert som programmer på mindre enn 120 studiepoeng</w:t>
      </w:r>
    </w:p>
    <w:p w14:paraId="1189AC9E" w14:textId="598DDFAC" w:rsidR="00646939" w:rsidRPr="00422245" w:rsidRDefault="00B026B9" w:rsidP="00B026B9">
      <w:pPr>
        <w:pStyle w:val="Kilde"/>
        <w:rPr>
          <w:rFonts w:asciiTheme="majorHAnsi" w:eastAsiaTheme="majorEastAsia" w:hAnsiTheme="majorHAnsi" w:cstheme="majorBidi"/>
          <w:sz w:val="32"/>
          <w:szCs w:val="32"/>
        </w:rPr>
      </w:pPr>
      <w:r>
        <w:t xml:space="preserve">Mørkere farge </w:t>
      </w:r>
      <w:r w:rsidR="00372859">
        <w:t>uttrykker høyere verdi</w:t>
      </w:r>
      <w:r w:rsidR="00646939" w:rsidRPr="00422245">
        <w:br w:type="page"/>
      </w:r>
    </w:p>
    <w:p w14:paraId="0D0D2054" w14:textId="511F372A" w:rsidR="005F6B06" w:rsidRPr="00422245" w:rsidRDefault="00B00274" w:rsidP="005F6B06">
      <w:pPr>
        <w:pStyle w:val="Overskrift1"/>
        <w:spacing w:after="168"/>
      </w:pPr>
      <w:bookmarkStart w:id="37" w:name="_Toc163488396"/>
      <w:r>
        <w:lastRenderedPageBreak/>
        <w:t>Tilgjengelighet</w:t>
      </w:r>
      <w:bookmarkEnd w:id="37"/>
    </w:p>
    <w:p w14:paraId="4926D80E" w14:textId="1EA439A4" w:rsidR="007F7F84" w:rsidRDefault="00B30869" w:rsidP="00D343AB">
      <w:r w:rsidRPr="00B30869">
        <w:t>I Norge har det over flere år vært en tverrpolitisk prioritering å gjøre høyere utdanning mer tilgjengelig for ulike grupper av befolkningen</w:t>
      </w:r>
      <w:r w:rsidR="00213B79">
        <w:t xml:space="preserve"> </w:t>
      </w:r>
      <w:r w:rsidR="008765D1">
        <w:fldChar w:fldCharType="begin"/>
      </w:r>
      <w:r w:rsidR="009C20BE">
        <w:instrText xml:space="preserve"> ADDIN EN.CITE &lt;EndNote&gt;&lt;Cite&gt;&lt;Author&gt;Meld. St. 16 (2016-2017)&lt;/Author&gt;&lt;RecNum&gt;1686&lt;/RecNum&gt;&lt;DisplayText&gt;(Meld. St. 16 (2016-2017))&lt;/DisplayText&gt;&lt;record&gt;&lt;rec-number&gt;1686&lt;/rec-number&gt;&lt;foreign-keys&gt;&lt;key app="EN" db-id="p2et5feaxrpe5zew2eavt29z05fv09aa5s0w" timestamp="1712306679" guid="4157ace9-7c7c-4ef9-9410-011ea9693cd9"&gt;1686&lt;/key&gt;&lt;/foreign-keys&gt;&lt;ref-type name="Report"&gt;27&lt;/ref-type&gt;&lt;contributors&gt;&lt;authors&gt;&lt;author&gt;Meld. St. 16 (2016-2017),&lt;/author&gt;&lt;/authors&gt;&lt;secondary-authors&gt;&lt;author&gt;Kunnskapsdepartementet&lt;/author&gt;&lt;/secondary-authors&gt;&lt;/contributors&gt;&lt;titles&gt;&lt;title&gt;Kultur for kvalitet i høyere utdanning&lt;/title&gt;&lt;/titles&gt;&lt;dates&gt;&lt;/dates&gt;&lt;urls&gt;&lt;related-urls&gt;&lt;url&gt;https://www.regjeringen.no/contentassets/aee30e4b7d3241d5bd89db69fe38f7ba/no/pdfs/stm201620170016000dddpdfs.pdf&lt;/url&gt;&lt;/related-urls&gt;&lt;/urls&gt;&lt;/record&gt;&lt;/Cite&gt;&lt;/EndNote&gt;</w:instrText>
      </w:r>
      <w:r w:rsidR="008765D1">
        <w:fldChar w:fldCharType="separate"/>
      </w:r>
      <w:r w:rsidR="008765D1">
        <w:rPr>
          <w:noProof/>
        </w:rPr>
        <w:t>(Meld. St. 16 (2016-2017))</w:t>
      </w:r>
      <w:r w:rsidR="008765D1">
        <w:fldChar w:fldCharType="end"/>
      </w:r>
      <w:r w:rsidRPr="00B30869">
        <w:t xml:space="preserve">, </w:t>
      </w:r>
      <w:r w:rsidR="00D45CFC">
        <w:fldChar w:fldCharType="begin"/>
      </w:r>
      <w:r w:rsidR="00D45CFC">
        <w:instrText xml:space="preserve"> ADDIN EN.CITE &lt;EndNote&gt;&lt;Cite&gt;&lt;Author&gt;Meld. St. 14 (2019–2020)&lt;/Author&gt;&lt;Year&gt;2020&lt;/Year&gt;&lt;RecNum&gt;1255&lt;/RecNum&gt;&lt;DisplayText&gt;(Meld. St. 14 (2019–2020), 2020)&lt;/DisplayText&gt;&lt;record&gt;&lt;rec-number&gt;1255&lt;/rec-number&gt;&lt;foreign-keys&gt;&lt;key app="EN" db-id="p2et5feaxrpe5zew2eavt29z05fv09aa5s0w" timestamp="1712306661" guid="40de11d5-bd5f-4f9c-a9df-0bc4093a36fb"&gt;1255&lt;/key&gt;&lt;/foreign-keys&gt;&lt;ref-type name="Government Document"&gt;46&lt;/ref-type&gt;&lt;contributors&gt;&lt;authors&gt;&lt;author&gt;Meld. St. 14 (2019–2020),&lt;/author&gt;&lt;/authors&gt;&lt;secondary-authors&gt;&lt;author&gt;Kunnskapsdepartementet&lt;/author&gt;&lt;/secondary-authors&gt;&lt;/contributors&gt;&lt;titles&gt;&lt;title&gt;Kompetansereformen – Lære hele livet&lt;/title&gt;&lt;/titles&gt;&lt;dates&gt;&lt;year&gt;2020&lt;/year&gt;&lt;/dates&gt;&lt;urls&gt;&lt;related-urls&gt;&lt;url&gt;https://www.regjeringen.no/no/dokumenter/meld.-st.-14-20192020/id2698284/&lt;/url&gt;&lt;/related-urls&gt;&lt;/urls&gt;&lt;/record&gt;&lt;/Cite&gt;&lt;/EndNote&gt;</w:instrText>
      </w:r>
      <w:r w:rsidR="00D45CFC">
        <w:fldChar w:fldCharType="separate"/>
      </w:r>
      <w:r w:rsidR="00D45CFC">
        <w:rPr>
          <w:noProof/>
        </w:rPr>
        <w:t>(Meld. St. 14 (2019–2020), 2020)</w:t>
      </w:r>
      <w:r w:rsidR="00D45CFC">
        <w:fldChar w:fldCharType="end"/>
      </w:r>
      <w:r w:rsidRPr="00B30869">
        <w:t xml:space="preserve">, </w:t>
      </w:r>
      <w:r w:rsidR="00496C69">
        <w:fldChar w:fldCharType="begin"/>
      </w:r>
      <w:r w:rsidR="00496C69">
        <w:instrText xml:space="preserve"> ADDIN EN.CITE &lt;EndNote&gt;&lt;Cite&gt;&lt;Author&gt;Meld. St. 5 (2019-2020)&lt;/Author&gt;&lt;RecNum&gt;1397&lt;/RecNum&gt;&lt;DisplayText&gt;(Meld. St. 5 (2019-2020))&lt;/DisplayText&gt;&lt;record&gt;&lt;rec-number&gt;1397&lt;/rec-number&gt;&lt;foreign-keys&gt;&lt;key app="EN" db-id="p2et5feaxrpe5zew2eavt29z05fv09aa5s0w" timestamp="1712306668" guid="c1ff1ba2-4968-4ae3-8951-2c67dadf2ab8"&gt;1397&lt;/key&gt;&lt;/foreign-keys&gt;&lt;ref-type name="Report"&gt;27&lt;/ref-type&gt;&lt;contributors&gt;&lt;authors&gt;&lt;author&gt;Meld. St. 5 (2019-2020),&lt;/author&gt;&lt;/authors&gt;&lt;tertiary-authors&gt;&lt;author&gt;Kommunal- og moderniseringsdepartementet,&lt;/author&gt;&lt;/tertiary-authors&gt;&lt;/contributors&gt;&lt;titles&gt;&lt;title&gt;Levende lokalsamfunn for fremtiden — Distriktsmeldingen&lt;/title&gt;&lt;/titles&gt;&lt;dates&gt;&lt;/dates&gt;&lt;urls&gt;&lt;related-urls&gt;&lt;url&gt;https://www.regjeringen.no/no/dokumenter/meld.-st.-5-20192020/id2674349/&lt;/url&gt;&lt;/related-urls&gt;&lt;/urls&gt;&lt;/record&gt;&lt;/Cite&gt;&lt;/EndNote&gt;</w:instrText>
      </w:r>
      <w:r w:rsidR="00496C69">
        <w:fldChar w:fldCharType="separate"/>
      </w:r>
      <w:r w:rsidR="00496C69">
        <w:rPr>
          <w:noProof/>
        </w:rPr>
        <w:t>(Meld. St. 5 (2019-2020))</w:t>
      </w:r>
      <w:r w:rsidR="00496C69">
        <w:fldChar w:fldCharType="end"/>
      </w:r>
      <w:r w:rsidRPr="00B30869">
        <w:t>,</w:t>
      </w:r>
      <w:r w:rsidR="00AA14E1">
        <w:t xml:space="preserve"> </w:t>
      </w:r>
      <w:r w:rsidR="00286EEB">
        <w:fldChar w:fldCharType="begin"/>
      </w:r>
      <w:r w:rsidR="00286EEB">
        <w:instrText xml:space="preserve"> ADDIN EN.CITE &lt;EndNote&gt;&lt;Cite&gt;&lt;Author&gt;Meld. St. 14 (2022-2023)&lt;/Author&gt;&lt;Year&gt;2023&lt;/Year&gt;&lt;RecNum&gt;2148&lt;/RecNum&gt;&lt;DisplayText&gt;(Meld. St. 14 (2022-2023), 2023)&lt;/DisplayText&gt;&lt;record&gt;&lt;rec-number&gt;2148&lt;/rec-number&gt;&lt;foreign-keys&gt;&lt;key app="EN" db-id="p2et5feaxrpe5zew2eavt29z05fv09aa5s0w" timestamp="1712306744" guid="0c390f5f-e665-4afb-8560-063fed72495c"&gt;2148&lt;/key&gt;&lt;/foreign-keys&gt;&lt;ref-type name="Government Document"&gt;46&lt;/ref-type&gt;&lt;contributors&gt;&lt;authors&gt;&lt;author&gt;Meld. St. 14 (2022-2023),&lt;/author&gt;&lt;/authors&gt;&lt;secondary-authors&gt;&lt;author&gt;Kunnskapsdepartementet&lt;/author&gt;&lt;/secondary-authors&gt;&lt;/contributors&gt;&lt;titles&gt;&lt;title&gt;Utsyn over kompetansebehovet i Norge&lt;/title&gt;&lt;/titles&gt;&lt;dates&gt;&lt;year&gt;2023&lt;/year&gt;&lt;/dates&gt;&lt;urls&gt;&lt;related-urls&gt;&lt;url&gt;https://www.regjeringen.no/no/dokumenter/meld.-st.-14-20222023/id2967608/&lt;/url&gt;&lt;/related-urls&gt;&lt;/urls&gt;&lt;/record&gt;&lt;/Cite&gt;&lt;/EndNote&gt;</w:instrText>
      </w:r>
      <w:r w:rsidR="00286EEB">
        <w:fldChar w:fldCharType="separate"/>
      </w:r>
      <w:r w:rsidR="00286EEB">
        <w:rPr>
          <w:noProof/>
        </w:rPr>
        <w:t>(Meld. St. 14 (2022-2023), 2023)</w:t>
      </w:r>
      <w:r w:rsidR="00286EEB">
        <w:fldChar w:fldCharType="end"/>
      </w:r>
      <w:r w:rsidR="00286EEB">
        <w:t xml:space="preserve"> </w:t>
      </w:r>
      <w:r w:rsidR="00205C72" w:rsidRPr="00205C72">
        <w:t>Tilgjengelig</w:t>
      </w:r>
      <w:r w:rsidR="00CC4569">
        <w:t xml:space="preserve">gjøring er viktig for å </w:t>
      </w:r>
      <w:r w:rsidR="00435019">
        <w:t xml:space="preserve">legge til rette for </w:t>
      </w:r>
      <w:r w:rsidR="0080324A">
        <w:t xml:space="preserve">blant annet </w:t>
      </w:r>
      <w:r w:rsidR="005E0555">
        <w:t xml:space="preserve">livslang læring, </w:t>
      </w:r>
      <w:r w:rsidR="00205C72" w:rsidRPr="00205C72">
        <w:t xml:space="preserve">bruk av arbeidskraftreserven og for </w:t>
      </w:r>
      <w:r w:rsidR="00747C28">
        <w:t xml:space="preserve">at </w:t>
      </w:r>
      <w:r w:rsidR="00205C72" w:rsidRPr="00205C72">
        <w:t>personer med funksjons</w:t>
      </w:r>
      <w:r w:rsidR="00ED224D">
        <w:t>nedsettelser</w:t>
      </w:r>
      <w:r w:rsidR="00205C72" w:rsidRPr="00205C72">
        <w:t xml:space="preserve"> og kronisk sykdom</w:t>
      </w:r>
      <w:r w:rsidR="00747C28">
        <w:t xml:space="preserve"> skal kunne delta i utdanning og arbeid på lik linje med resten av befolkningen</w:t>
      </w:r>
      <w:r w:rsidR="00205C72" w:rsidRPr="00205C72">
        <w:t>.</w:t>
      </w:r>
      <w:r w:rsidR="007F7F84">
        <w:t xml:space="preserve"> </w:t>
      </w:r>
    </w:p>
    <w:p w14:paraId="0D95FD8A" w14:textId="2C78EEAF" w:rsidR="00205C72" w:rsidRPr="00422245" w:rsidRDefault="007F7F84" w:rsidP="00D343AB">
      <w:r>
        <w:t>I dette kapitlet ser vi på ulike aspekter av slik til</w:t>
      </w:r>
      <w:r w:rsidR="00B15067">
        <w:t>gjengeliggjøring</w:t>
      </w:r>
      <w:r>
        <w:t xml:space="preserve">. </w:t>
      </w:r>
    </w:p>
    <w:p w14:paraId="522DE63B" w14:textId="2E0F9E49" w:rsidR="00697C62" w:rsidRPr="00422245" w:rsidRDefault="00697C62" w:rsidP="00293933">
      <w:pPr>
        <w:pStyle w:val="Overskrift2"/>
      </w:pPr>
      <w:bookmarkStart w:id="38" w:name="_Toc163488397"/>
      <w:bookmarkStart w:id="39" w:name="_Toc158968336"/>
      <w:r w:rsidRPr="00422245">
        <w:t>Fleksible studier</w:t>
      </w:r>
      <w:r w:rsidR="00F1525B" w:rsidRPr="00422245">
        <w:t xml:space="preserve"> og deltid</w:t>
      </w:r>
      <w:bookmarkEnd w:id="38"/>
    </w:p>
    <w:p w14:paraId="21005218" w14:textId="2EBE9FAA" w:rsidR="002913B0" w:rsidRPr="00422245" w:rsidRDefault="00BD5725" w:rsidP="00B42677">
      <w:r w:rsidRPr="00422245">
        <w:t xml:space="preserve">Det er et politisk mål at </w:t>
      </w:r>
      <w:r w:rsidR="00800F32" w:rsidRPr="00422245">
        <w:t xml:space="preserve">studietilbudet i </w:t>
      </w:r>
      <w:r w:rsidRPr="00422245">
        <w:t xml:space="preserve">høyere utdanning skal være tilgjengelig </w:t>
      </w:r>
      <w:r w:rsidR="008137C3" w:rsidRPr="00422245">
        <w:t xml:space="preserve">for </w:t>
      </w:r>
      <w:r w:rsidR="007D10F9" w:rsidRPr="00422245">
        <w:t>flest mulig av de</w:t>
      </w:r>
      <w:r w:rsidR="008137C3" w:rsidRPr="00422245">
        <w:t xml:space="preserve"> som ønsker å studere, </w:t>
      </w:r>
      <w:r w:rsidRPr="00422245">
        <w:t xml:space="preserve">uavhengig av bosted og livssituasjon. </w:t>
      </w:r>
      <w:r w:rsidR="00E43A9B" w:rsidRPr="00422245">
        <w:t>S</w:t>
      </w:r>
      <w:r w:rsidRPr="00422245">
        <w:t>tudie</w:t>
      </w:r>
      <w:r w:rsidR="00EB3E43" w:rsidRPr="00422245">
        <w:t xml:space="preserve">programmer </w:t>
      </w:r>
      <w:r w:rsidRPr="00422245">
        <w:t xml:space="preserve">som gir </w:t>
      </w:r>
      <w:r w:rsidR="00FB765E" w:rsidRPr="00422245">
        <w:t xml:space="preserve">økt </w:t>
      </w:r>
      <w:r w:rsidR="00C06A07" w:rsidRPr="00422245">
        <w:t xml:space="preserve">uavhengighet </w:t>
      </w:r>
      <w:r w:rsidR="00710D11" w:rsidRPr="00422245">
        <w:t>i så måte</w:t>
      </w:r>
      <w:r w:rsidR="00E43A9B" w:rsidRPr="00422245">
        <w:t xml:space="preserve">, omfatter </w:t>
      </w:r>
      <w:r w:rsidR="00CB2FC6" w:rsidRPr="00422245">
        <w:t>både</w:t>
      </w:r>
      <w:r w:rsidRPr="00422245">
        <w:t xml:space="preserve"> </w:t>
      </w:r>
      <w:r w:rsidR="00EB3E43" w:rsidRPr="00422245">
        <w:t xml:space="preserve">undervisningstilbud som </w:t>
      </w:r>
      <w:r w:rsidR="00C82BB9" w:rsidRPr="00422245">
        <w:t xml:space="preserve">foregår </w:t>
      </w:r>
      <w:r w:rsidRPr="00422245">
        <w:t xml:space="preserve">utenfor ordinære studiesteder </w:t>
      </w:r>
      <w:r w:rsidR="0061210A" w:rsidRPr="00422245">
        <w:t>(</w:t>
      </w:r>
      <w:r w:rsidR="00E469FB" w:rsidRPr="00422245">
        <w:t>«</w:t>
      </w:r>
      <w:r w:rsidR="0061210A" w:rsidRPr="00422245">
        <w:t>desentraliserte</w:t>
      </w:r>
      <w:r w:rsidR="00E469FB" w:rsidRPr="00422245">
        <w:t>»)</w:t>
      </w:r>
      <w:r w:rsidR="0061210A" w:rsidRPr="00422245">
        <w:t xml:space="preserve"> </w:t>
      </w:r>
      <w:r w:rsidR="00EB3E43" w:rsidRPr="00422245">
        <w:t>og</w:t>
      </w:r>
      <w:r w:rsidRPr="00422245">
        <w:t xml:space="preserve"> </w:t>
      </w:r>
      <w:r w:rsidR="00300D21" w:rsidRPr="00422245">
        <w:t xml:space="preserve">tilbud </w:t>
      </w:r>
      <w:r w:rsidRPr="00422245">
        <w:t>der undervisningen foregår på nett</w:t>
      </w:r>
      <w:r w:rsidR="00E469FB" w:rsidRPr="00422245">
        <w:t xml:space="preserve"> («nettbaserte»)</w:t>
      </w:r>
      <w:r w:rsidRPr="00422245">
        <w:t xml:space="preserve">. </w:t>
      </w:r>
      <w:r w:rsidR="00587935" w:rsidRPr="00422245">
        <w:t xml:space="preserve">Til sammen har </w:t>
      </w:r>
      <w:r w:rsidR="00712E27" w:rsidRPr="00422245">
        <w:t xml:space="preserve">disse studieprogrammene </w:t>
      </w:r>
      <w:r w:rsidR="00671E34" w:rsidRPr="00422245">
        <w:t>blitt omtalt</w:t>
      </w:r>
      <w:r w:rsidRPr="00422245">
        <w:t xml:space="preserve"> </w:t>
      </w:r>
      <w:r w:rsidR="00671E34" w:rsidRPr="00422245">
        <w:t xml:space="preserve">som </w:t>
      </w:r>
      <w:r w:rsidRPr="00422245">
        <w:t>«fleksible utdanningstilbud»</w:t>
      </w:r>
      <w:r w:rsidR="00712E27" w:rsidRPr="00422245">
        <w:t>.</w:t>
      </w:r>
    </w:p>
    <w:p w14:paraId="7B8A2960" w14:textId="29F8166D" w:rsidR="00DC7CCE" w:rsidRPr="00422245" w:rsidRDefault="009E683C" w:rsidP="00C53BB1">
      <w:r w:rsidRPr="00422245">
        <w:fldChar w:fldCharType="begin"/>
      </w:r>
      <w:r w:rsidRPr="00422245">
        <w:instrText xml:space="preserve"> REF _Ref161662092 \h </w:instrText>
      </w:r>
      <w:r w:rsidR="00C53BB1" w:rsidRPr="00422245">
        <w:instrText xml:space="preserve"> \* MERGEFORMAT </w:instrText>
      </w:r>
      <w:r w:rsidRPr="00422245">
        <w:fldChar w:fldCharType="separate"/>
      </w:r>
      <w:r w:rsidR="00BC150C" w:rsidRPr="00422245">
        <w:t xml:space="preserve">Figur </w:t>
      </w:r>
      <w:r w:rsidR="00BC150C">
        <w:rPr>
          <w:noProof/>
        </w:rPr>
        <w:t>3</w:t>
      </w:r>
      <w:r w:rsidR="00BC150C">
        <w:noBreakHyphen/>
      </w:r>
      <w:r w:rsidR="00BC150C">
        <w:rPr>
          <w:noProof/>
        </w:rPr>
        <w:t>1</w:t>
      </w:r>
      <w:r w:rsidRPr="00422245">
        <w:fldChar w:fldCharType="end"/>
      </w:r>
      <w:r w:rsidR="00A060B8" w:rsidRPr="00422245">
        <w:t xml:space="preserve"> </w:t>
      </w:r>
      <w:r w:rsidR="00916E9E" w:rsidRPr="00422245">
        <w:t xml:space="preserve">viser utviklingen i </w:t>
      </w:r>
      <w:r w:rsidR="00DD5A48" w:rsidRPr="00422245">
        <w:t xml:space="preserve">antall </w:t>
      </w:r>
      <w:r w:rsidR="00916E9E" w:rsidRPr="00422245">
        <w:t xml:space="preserve">studenter på disse tilbudstypene siste ti år. </w:t>
      </w:r>
      <w:r w:rsidR="00DC7109" w:rsidRPr="00422245">
        <w:t>I tillegg</w:t>
      </w:r>
      <w:r w:rsidR="00916E9E" w:rsidRPr="00422245">
        <w:t xml:space="preserve"> inneholder </w:t>
      </w:r>
      <w:r w:rsidR="00E35EB9" w:rsidRPr="00422245">
        <w:t xml:space="preserve">figuren </w:t>
      </w:r>
      <w:r w:rsidR="005013F2">
        <w:t xml:space="preserve">studenter på </w:t>
      </w:r>
      <w:r w:rsidR="00FE4A23" w:rsidRPr="00422245">
        <w:t>deltidsprogrammer</w:t>
      </w:r>
      <w:r w:rsidR="006C649B" w:rsidRPr="00422245">
        <w:t xml:space="preserve">, det vil si studieprogram hvor </w:t>
      </w:r>
      <w:r w:rsidR="00461666" w:rsidRPr="00422245">
        <w:t xml:space="preserve">det er lagt opp til </w:t>
      </w:r>
      <w:r w:rsidR="008F50FD" w:rsidRPr="00422245">
        <w:t>fleksibilitet i tid</w:t>
      </w:r>
      <w:r w:rsidR="00B574D9" w:rsidRPr="00422245">
        <w:t xml:space="preserve"> </w:t>
      </w:r>
      <w:r w:rsidR="001D2F8C" w:rsidRPr="00422245">
        <w:t>i form av</w:t>
      </w:r>
      <w:r w:rsidR="00B574D9" w:rsidRPr="00422245">
        <w:t xml:space="preserve"> redusert </w:t>
      </w:r>
      <w:r w:rsidR="00BC2D93" w:rsidRPr="00422245">
        <w:t>studie</w:t>
      </w:r>
      <w:r w:rsidR="00B574D9" w:rsidRPr="00422245">
        <w:t>progresjon</w:t>
      </w:r>
      <w:r w:rsidR="00BC2D93" w:rsidRPr="00422245">
        <w:t>.</w:t>
      </w:r>
      <w:r w:rsidR="008C1FC0" w:rsidRPr="00422245">
        <w:rPr>
          <w:rStyle w:val="Fotnotereferanse"/>
        </w:rPr>
        <w:footnoteReference w:id="9"/>
      </w:r>
      <w:r w:rsidR="00B574D9" w:rsidRPr="00422245">
        <w:t xml:space="preserve"> </w:t>
      </w:r>
      <w:r w:rsidR="00D5084B" w:rsidRPr="00422245">
        <w:t>N</w:t>
      </w:r>
      <w:r w:rsidR="00465B02" w:rsidRPr="00422245">
        <w:t xml:space="preserve">ettopp </w:t>
      </w:r>
      <w:r w:rsidR="002E3395" w:rsidRPr="00422245">
        <w:t>deltids</w:t>
      </w:r>
      <w:r w:rsidR="002E3395">
        <w:t>studentene</w:t>
      </w:r>
      <w:r w:rsidR="002E3395" w:rsidRPr="00422245">
        <w:t xml:space="preserve"> </w:t>
      </w:r>
      <w:r w:rsidR="00465B02" w:rsidRPr="00422245">
        <w:t xml:space="preserve">utgjør majoriteten </w:t>
      </w:r>
      <w:r w:rsidR="00502724" w:rsidRPr="00422245">
        <w:t xml:space="preserve">i </w:t>
      </w:r>
      <w:r w:rsidR="00383513" w:rsidRPr="00422245">
        <w:fldChar w:fldCharType="begin"/>
      </w:r>
      <w:r w:rsidR="00383513" w:rsidRPr="00422245">
        <w:instrText xml:space="preserve"> REF _Ref161662092 \h </w:instrText>
      </w:r>
      <w:r w:rsidR="00383513" w:rsidRPr="00422245">
        <w:fldChar w:fldCharType="separate"/>
      </w:r>
      <w:r w:rsidR="005B096E" w:rsidRPr="00422245" w:rsidDel="00E6728E">
        <w:t>F</w:t>
      </w:r>
      <w:r w:rsidR="005B096E" w:rsidRPr="00422245">
        <w:t>igur</w:t>
      </w:r>
      <w:r w:rsidR="00383513" w:rsidRPr="00422245">
        <w:t xml:space="preserve"> </w:t>
      </w:r>
      <w:r w:rsidR="00383513" w:rsidRPr="00422245">
        <w:fldChar w:fldCharType="end"/>
      </w:r>
      <w:r w:rsidR="00740C16" w:rsidRPr="00422245">
        <w:t>, hele 6</w:t>
      </w:r>
      <w:r w:rsidR="00C771E6" w:rsidRPr="00422245">
        <w:t>1</w:t>
      </w:r>
      <w:r w:rsidR="00740C16" w:rsidRPr="00422245">
        <w:t xml:space="preserve"> prosent</w:t>
      </w:r>
      <w:r w:rsidR="007C665B" w:rsidRPr="00422245">
        <w:t xml:space="preserve"> i 2023</w:t>
      </w:r>
      <w:r w:rsidR="00740C16" w:rsidRPr="00422245">
        <w:t xml:space="preserve">. </w:t>
      </w:r>
      <w:r w:rsidR="007C665B" w:rsidRPr="00422245">
        <w:t xml:space="preserve">Tilsvarene tall for </w:t>
      </w:r>
      <w:r w:rsidR="002A06B2" w:rsidRPr="00422245">
        <w:t xml:space="preserve">desentralisert og nettbasert undervisning er henholdsvis 6 og 33 prosent. </w:t>
      </w:r>
    </w:p>
    <w:p w14:paraId="6C90432A" w14:textId="554B9543" w:rsidR="0006090E" w:rsidRPr="00422245" w:rsidRDefault="00BB0C64" w:rsidP="007515CE">
      <w:pPr>
        <w:pStyle w:val="Bildetekst"/>
        <w:keepNext/>
        <w:keepLines/>
        <w:rPr>
          <w:lang w:eastAsia="nb-NO"/>
        </w:rPr>
      </w:pPr>
      <w:bookmarkStart w:id="40" w:name="_Ref161662092"/>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3</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w:t>
      </w:r>
      <w:r w:rsidR="006E1D94">
        <w:fldChar w:fldCharType="end"/>
      </w:r>
      <w:bookmarkEnd w:id="40"/>
      <w:r w:rsidRPr="00422245">
        <w:t xml:space="preserve"> </w:t>
      </w:r>
      <w:r w:rsidR="0006090E" w:rsidRPr="00422245">
        <w:rPr>
          <w:lang w:eastAsia="nb-NO"/>
        </w:rPr>
        <w:t>Studenter på fleksible studieprogram 2014–23. Antall</w:t>
      </w:r>
    </w:p>
    <w:p w14:paraId="0D3ACA55" w14:textId="0C3E67BE" w:rsidR="00E853D4" w:rsidRPr="00422245" w:rsidRDefault="00E853D4" w:rsidP="0006090E">
      <w:pPr>
        <w:keepNext/>
        <w:keepLines/>
      </w:pPr>
      <w:r w:rsidRPr="00422245">
        <w:rPr>
          <w:noProof/>
        </w:rPr>
        <w:drawing>
          <wp:inline distT="0" distB="0" distL="0" distR="0" wp14:anchorId="511E9AA5" wp14:editId="6E5B14A8">
            <wp:extent cx="5711588" cy="3448050"/>
            <wp:effectExtent l="0" t="0" r="3810" b="0"/>
            <wp:docPr id="1045588379" name="Diagram 1">
              <a:extLst xmlns:a="http://schemas.openxmlformats.org/drawingml/2006/main">
                <a:ext uri="{FF2B5EF4-FFF2-40B4-BE49-F238E27FC236}">
                  <a16:creationId xmlns:a16="http://schemas.microsoft.com/office/drawing/2014/main" id="{CF362D49-2545-44E5-AEA1-9C15F4B71D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C5B23F" w14:textId="77777777" w:rsidR="00DD7C2E" w:rsidRPr="00A34C45" w:rsidRDefault="00DD7C2E" w:rsidP="00A34C45">
      <w:pPr>
        <w:pStyle w:val="Merknad"/>
      </w:pPr>
      <w:r w:rsidRPr="00A34C45">
        <w:t>Studenter (både egen- og eksternfinansierte) på deltidsprogrammer, samt programmer der undervisningen gis som nettundervisning eller på andre steder enn institusjonens ordinære studiesteder. Definisjonen er i år utvidet slik at deltidsprogrammer med undervisning ved institusjonen også regnes som fleksible.</w:t>
      </w:r>
    </w:p>
    <w:p w14:paraId="7E5BE28B" w14:textId="51E27023" w:rsidR="00936270" w:rsidRPr="0035349D" w:rsidRDefault="004E2631" w:rsidP="00A34C45">
      <w:pPr>
        <w:pStyle w:val="Kilde"/>
      </w:pPr>
      <w:r w:rsidRPr="004E373E">
        <w:rPr>
          <w:b/>
        </w:rPr>
        <w:t>Kilde</w:t>
      </w:r>
      <w:r w:rsidRPr="0035349D">
        <w:t>: DBH</w:t>
      </w:r>
    </w:p>
    <w:p w14:paraId="203D373C" w14:textId="77777777" w:rsidR="00833795" w:rsidRPr="00422245" w:rsidRDefault="00263DA6" w:rsidP="008D76B0">
      <w:r w:rsidRPr="00422245">
        <w:t>De siste ti årene</w:t>
      </w:r>
      <w:r w:rsidR="000C3ED0" w:rsidRPr="00422245">
        <w:t xml:space="preserve"> er</w:t>
      </w:r>
      <w:r w:rsidRPr="00422245">
        <w:t xml:space="preserve"> </w:t>
      </w:r>
      <w:r w:rsidR="008D76B0" w:rsidRPr="00422245">
        <w:t>antall</w:t>
      </w:r>
      <w:r w:rsidRPr="00422245">
        <w:t>et</w:t>
      </w:r>
      <w:r w:rsidR="008D76B0" w:rsidRPr="00422245">
        <w:t xml:space="preserve"> </w:t>
      </w:r>
      <w:r w:rsidR="00532C65" w:rsidRPr="00422245">
        <w:t xml:space="preserve">studenter på </w:t>
      </w:r>
      <w:r w:rsidR="008D76B0" w:rsidRPr="00422245">
        <w:t xml:space="preserve">nettbaserte studier </w:t>
      </w:r>
      <w:r w:rsidR="00532C65" w:rsidRPr="00422245">
        <w:t xml:space="preserve">nær tredoblet </w:t>
      </w:r>
      <w:r w:rsidR="00CD1F37" w:rsidRPr="00422245">
        <w:t xml:space="preserve">(187 </w:t>
      </w:r>
      <w:r w:rsidR="008D76B0" w:rsidRPr="00422245">
        <w:t>prosent</w:t>
      </w:r>
      <w:r w:rsidR="00CD1F37" w:rsidRPr="00422245">
        <w:t>)</w:t>
      </w:r>
      <w:r w:rsidR="00255571" w:rsidRPr="00422245">
        <w:t xml:space="preserve">. </w:t>
      </w:r>
      <w:r w:rsidR="00B32A63" w:rsidRPr="00422245">
        <w:t xml:space="preserve">Særlig </w:t>
      </w:r>
      <w:r w:rsidR="00200473" w:rsidRPr="00422245">
        <w:t xml:space="preserve">blant </w:t>
      </w:r>
      <w:r w:rsidR="00B32A63" w:rsidRPr="00422245">
        <w:t xml:space="preserve">de private lærestedene </w:t>
      </w:r>
      <w:r w:rsidR="00200473" w:rsidRPr="00422245">
        <w:t xml:space="preserve">skjøt </w:t>
      </w:r>
      <w:r w:rsidR="00B32A63" w:rsidRPr="00422245">
        <w:t xml:space="preserve">bruken av slike tilbud </w:t>
      </w:r>
      <w:r w:rsidR="00200473" w:rsidRPr="00422245">
        <w:t xml:space="preserve">fart </w:t>
      </w:r>
      <w:r w:rsidR="00B32A63" w:rsidRPr="00422245">
        <w:t>under pandemien</w:t>
      </w:r>
      <w:r w:rsidR="009C5BE8" w:rsidRPr="00422245">
        <w:t>. For</w:t>
      </w:r>
      <w:r w:rsidR="00B32A63" w:rsidRPr="00422245">
        <w:t xml:space="preserve"> sektoren under ett</w:t>
      </w:r>
      <w:r w:rsidR="00E86CCD" w:rsidRPr="00422245">
        <w:t xml:space="preserve"> har </w:t>
      </w:r>
      <w:r w:rsidR="009C5BE8" w:rsidRPr="00422245">
        <w:t>imidlertid antallet fleksi</w:t>
      </w:r>
      <w:r w:rsidR="00ED3B18" w:rsidRPr="00422245">
        <w:t xml:space="preserve">belstudenter </w:t>
      </w:r>
      <w:r w:rsidR="000B0ADC" w:rsidRPr="00422245">
        <w:t>økt jevnt</w:t>
      </w:r>
      <w:r w:rsidR="009251FA" w:rsidRPr="00422245">
        <w:t xml:space="preserve"> </w:t>
      </w:r>
      <w:r w:rsidR="00E86CCD" w:rsidRPr="00422245">
        <w:t>og trutt over lang tid</w:t>
      </w:r>
      <w:r w:rsidR="00BB0BC2" w:rsidRPr="00422245">
        <w:t xml:space="preserve">. </w:t>
      </w:r>
      <w:r w:rsidR="008D33FD" w:rsidRPr="00422245">
        <w:t xml:space="preserve">Det siste året alene er veksten på 12 prosent. </w:t>
      </w:r>
      <w:r w:rsidR="004D5D56" w:rsidRPr="00422245">
        <w:t>A</w:t>
      </w:r>
      <w:r w:rsidR="008D76B0" w:rsidRPr="00422245">
        <w:t xml:space="preserve">ntall studenter </w:t>
      </w:r>
      <w:r w:rsidR="0078218B" w:rsidRPr="00422245">
        <w:t>på</w:t>
      </w:r>
      <w:r w:rsidR="008D76B0" w:rsidRPr="00422245">
        <w:t xml:space="preserve"> desentralisert </w:t>
      </w:r>
      <w:r w:rsidR="001F0154" w:rsidRPr="00422245">
        <w:t>utdanning</w:t>
      </w:r>
      <w:r w:rsidR="008D76B0" w:rsidRPr="00422245">
        <w:t xml:space="preserve"> har </w:t>
      </w:r>
      <w:r w:rsidR="004D5D56" w:rsidRPr="00422245">
        <w:t xml:space="preserve">derimot </w:t>
      </w:r>
      <w:r w:rsidR="008D76B0" w:rsidRPr="00422245">
        <w:t xml:space="preserve">gått tilbake med </w:t>
      </w:r>
      <w:r w:rsidR="00CD1F37" w:rsidRPr="00422245">
        <w:t xml:space="preserve">40 </w:t>
      </w:r>
      <w:r w:rsidR="008D76B0" w:rsidRPr="00422245">
        <w:t>prosent</w:t>
      </w:r>
      <w:r w:rsidR="004D5D56" w:rsidRPr="00422245">
        <w:t xml:space="preserve"> siste ti</w:t>
      </w:r>
      <w:r w:rsidR="00BF2310" w:rsidRPr="00422245">
        <w:t xml:space="preserve"> </w:t>
      </w:r>
      <w:r w:rsidR="004D5D56" w:rsidRPr="00422245">
        <w:t>å</w:t>
      </w:r>
      <w:r w:rsidR="00BF2310" w:rsidRPr="00422245">
        <w:t>r</w:t>
      </w:r>
      <w:r w:rsidR="008D76B0" w:rsidRPr="00422245">
        <w:t xml:space="preserve">. </w:t>
      </w:r>
      <w:r w:rsidR="000B6D99" w:rsidRPr="00422245">
        <w:t>Her er det</w:t>
      </w:r>
      <w:r w:rsidR="00387B44" w:rsidRPr="00422245">
        <w:t xml:space="preserve"> verdt å nevne at m</w:t>
      </w:r>
      <w:r w:rsidR="008D76B0" w:rsidRPr="00422245">
        <w:t>ange fleksible studietilbud inneholder elementer av både «desentralisert» og «nettbasert»</w:t>
      </w:r>
      <w:r w:rsidR="00387B44" w:rsidRPr="00422245">
        <w:t>. H</w:t>
      </w:r>
      <w:r w:rsidR="00950794" w:rsidRPr="00422245">
        <w:t>vilke av</w:t>
      </w:r>
      <w:r w:rsidR="008D76B0" w:rsidRPr="00422245">
        <w:t xml:space="preserve"> de to kategoriene </w:t>
      </w:r>
      <w:r w:rsidR="00041395" w:rsidRPr="00422245">
        <w:t xml:space="preserve">et studieprogram registreres </w:t>
      </w:r>
      <w:r w:rsidR="002E2C50" w:rsidRPr="00422245">
        <w:t xml:space="preserve">under, </w:t>
      </w:r>
      <w:r w:rsidR="008D76B0" w:rsidRPr="00422245">
        <w:t xml:space="preserve">kan </w:t>
      </w:r>
      <w:r w:rsidR="00387B44" w:rsidRPr="00422245">
        <w:t xml:space="preserve">dermed </w:t>
      </w:r>
      <w:r w:rsidR="008D76B0" w:rsidRPr="00422245">
        <w:t xml:space="preserve">være noe vilkårlig. Dette gjør at det er fornuftig å omtale de to samlet. De siste ti årene totalt har antallet studenter på </w:t>
      </w:r>
      <w:r w:rsidR="00050C94" w:rsidRPr="00422245">
        <w:t>desentraliserte og nettbaserte</w:t>
      </w:r>
      <w:r w:rsidR="008D76B0" w:rsidRPr="00422245">
        <w:t xml:space="preserve"> tilbud </w:t>
      </w:r>
      <w:r w:rsidR="00881B41" w:rsidRPr="00422245">
        <w:t>nesten</w:t>
      </w:r>
      <w:r w:rsidR="00C758EC" w:rsidRPr="00422245">
        <w:t xml:space="preserve"> doblet seg</w:t>
      </w:r>
      <w:r w:rsidR="000F06EF" w:rsidRPr="00422245">
        <w:t xml:space="preserve">, fra </w:t>
      </w:r>
      <w:r w:rsidR="00286209" w:rsidRPr="00422245">
        <w:t xml:space="preserve">17 000 studenter </w:t>
      </w:r>
      <w:r w:rsidR="001249B3" w:rsidRPr="00422245">
        <w:t xml:space="preserve">i 2014 til </w:t>
      </w:r>
      <w:r w:rsidR="008C529D" w:rsidRPr="00422245">
        <w:t xml:space="preserve">30 900 i 2023. </w:t>
      </w:r>
      <w:r w:rsidR="00D42C05" w:rsidRPr="00422245">
        <w:t xml:space="preserve">For deltidsprogrammene er det en økning på 20 prosent i perioden, fra </w:t>
      </w:r>
      <w:r w:rsidR="00F24191" w:rsidRPr="00422245">
        <w:t>39 900 i 2014 til om lag 47 900 i 2023.</w:t>
      </w:r>
      <w:r w:rsidR="00896B2D" w:rsidRPr="00422245">
        <w:t xml:space="preserve"> </w:t>
      </w:r>
    </w:p>
    <w:p w14:paraId="488C3F51" w14:textId="77777777" w:rsidR="0090436D" w:rsidRPr="00422245" w:rsidRDefault="0090436D" w:rsidP="008D76B0"/>
    <w:p w14:paraId="2A36E3EE" w14:textId="7E6D5030" w:rsidR="0090436D" w:rsidRPr="00422245" w:rsidRDefault="0071502B" w:rsidP="008D76B0">
      <w:r w:rsidRPr="00422245">
        <w:lastRenderedPageBreak/>
        <w:t xml:space="preserve">Blant de store fagområdene finner vi </w:t>
      </w:r>
      <w:r w:rsidR="009404F5">
        <w:t xml:space="preserve">den </w:t>
      </w:r>
      <w:r w:rsidRPr="00422245">
        <w:t>h</w:t>
      </w:r>
      <w:r w:rsidR="00B30DD7" w:rsidRPr="00422245">
        <w:t>øyest</w:t>
      </w:r>
      <w:r w:rsidRPr="00422245">
        <w:t>e</w:t>
      </w:r>
      <w:r w:rsidR="00B30DD7" w:rsidRPr="00422245">
        <w:t xml:space="preserve"> andel</w:t>
      </w:r>
      <w:r w:rsidR="009404F5">
        <w:t>en</w:t>
      </w:r>
      <w:r w:rsidR="00B30DD7" w:rsidRPr="00422245">
        <w:t xml:space="preserve"> studenter på fleksible studier </w:t>
      </w:r>
      <w:r w:rsidR="0090436D" w:rsidRPr="00422245">
        <w:t>innenfor lærerutdanninger og utdanninger i pedagogikk</w:t>
      </w:r>
      <w:r w:rsidRPr="00422245">
        <w:t xml:space="preserve">. Her går 40 prosent av studentene på en form for fleksible studier. </w:t>
      </w:r>
      <w:r w:rsidR="00445821" w:rsidRPr="00422245">
        <w:t xml:space="preserve"> Fleksibelandelen er høy også innenfor økonomisk-administrative fag, </w:t>
      </w:r>
      <w:r w:rsidR="0090353C" w:rsidRPr="00422245">
        <w:t xml:space="preserve">med 36 prosent. </w:t>
      </w:r>
      <w:r w:rsidR="00DC6433" w:rsidRPr="00422245">
        <w:t xml:space="preserve">På grunn av størrelsen på fagområdet er det også her vi finner </w:t>
      </w:r>
      <w:r w:rsidR="00E27F3D" w:rsidRPr="00422245">
        <w:t xml:space="preserve">det største antallet studenter på fleksible studier, med i underkant av 22 000. </w:t>
      </w:r>
      <w:r w:rsidR="00B01EAA" w:rsidRPr="00422245">
        <w:t xml:space="preserve">Det tredje store fagområdet når det gjelder fleksible studier </w:t>
      </w:r>
      <w:r w:rsidR="003E0308" w:rsidRPr="00422245">
        <w:t xml:space="preserve">i både antall og andel </w:t>
      </w:r>
      <w:r w:rsidR="00B01EAA" w:rsidRPr="00422245">
        <w:t>er helse-, sosial-, og idrettsfag</w:t>
      </w:r>
      <w:r w:rsidR="002F75A4" w:rsidRPr="00422245">
        <w:t xml:space="preserve">, </w:t>
      </w:r>
      <w:r w:rsidR="0078401A" w:rsidRPr="00422245">
        <w:t xml:space="preserve">med 27 prosent av studentene på slike programmer. </w:t>
      </w:r>
    </w:p>
    <w:p w14:paraId="72274317" w14:textId="105DB2D5" w:rsidR="007C56A6" w:rsidRPr="00422245" w:rsidRDefault="00531A29" w:rsidP="008D76B0">
      <w:r w:rsidRPr="00422245">
        <w:t>Forskjellene i forekomsten av fleksible utdanninger</w:t>
      </w:r>
      <w:r w:rsidR="0001218A" w:rsidRPr="00422245">
        <w:t xml:space="preserve"> handler </w:t>
      </w:r>
      <w:r w:rsidR="00EE52D4" w:rsidRPr="00422245">
        <w:t>ikke bare om fagområder, men i høy grad også om omfanget av utdanningene.</w:t>
      </w:r>
      <w:r w:rsidR="00071DC2">
        <w:t xml:space="preserve"> </w:t>
      </w:r>
      <w:r w:rsidR="00071DC2">
        <w:fldChar w:fldCharType="begin"/>
      </w:r>
      <w:r w:rsidR="00071DC2">
        <w:instrText xml:space="preserve"> REF _Ref162000329 \h </w:instrText>
      </w:r>
      <w:r w:rsidR="00071DC2">
        <w:fldChar w:fldCharType="separate"/>
      </w:r>
      <w:r w:rsidR="00071DC2" w:rsidRPr="00422245">
        <w:t xml:space="preserve">Figur </w:t>
      </w:r>
      <w:r w:rsidR="00071DC2">
        <w:rPr>
          <w:noProof/>
        </w:rPr>
        <w:t>3</w:t>
      </w:r>
      <w:r w:rsidR="00071DC2">
        <w:noBreakHyphen/>
      </w:r>
      <w:r w:rsidR="00071DC2">
        <w:rPr>
          <w:noProof/>
        </w:rPr>
        <w:t>2</w:t>
      </w:r>
      <w:r w:rsidR="00071DC2">
        <w:fldChar w:fldCharType="end"/>
      </w:r>
      <w:r w:rsidR="00071DC2">
        <w:t xml:space="preserve"> </w:t>
      </w:r>
      <w:r w:rsidR="009C5579" w:rsidRPr="00422245">
        <w:t>viser</w:t>
      </w:r>
      <w:r w:rsidR="0084332A" w:rsidRPr="00422245">
        <w:t xml:space="preserve"> hvor stor andel av studentene som tar fleksible studier </w:t>
      </w:r>
      <w:r w:rsidR="00E4157C" w:rsidRPr="00422245">
        <w:t xml:space="preserve">etter studieprogrammets omfang </w:t>
      </w:r>
      <w:r w:rsidR="00AE0DA8" w:rsidRPr="00422245">
        <w:t xml:space="preserve">målt </w:t>
      </w:r>
      <w:r w:rsidR="00E4157C" w:rsidRPr="00422245">
        <w:t>i studiepoeng</w:t>
      </w:r>
      <w:r w:rsidR="003071BD" w:rsidRPr="00422245">
        <w:t xml:space="preserve">, og mønsteret er tydelig. På </w:t>
      </w:r>
      <w:r w:rsidR="0015299A" w:rsidRPr="00422245">
        <w:t>kortere og ikke-gradsgivende studie</w:t>
      </w:r>
      <w:r w:rsidR="00231E25" w:rsidRPr="00422245">
        <w:t>program</w:t>
      </w:r>
      <w:r w:rsidR="0015299A" w:rsidRPr="00422245">
        <w:t xml:space="preserve"> er </w:t>
      </w:r>
      <w:r w:rsidR="00CB6B9D" w:rsidRPr="00422245">
        <w:t xml:space="preserve">det store flertallet av studentene registrert på fleksible </w:t>
      </w:r>
      <w:r w:rsidR="00186FCD" w:rsidRPr="00422245">
        <w:t>program</w:t>
      </w:r>
      <w:r w:rsidR="00CB6B9D" w:rsidRPr="00422245">
        <w:t xml:space="preserve">. </w:t>
      </w:r>
      <w:r w:rsidR="00511B7F" w:rsidRPr="00422245">
        <w:t xml:space="preserve">På </w:t>
      </w:r>
      <w:r w:rsidR="00BE62B7" w:rsidRPr="00422245">
        <w:t xml:space="preserve">de korteste </w:t>
      </w:r>
      <w:r w:rsidR="00186FCD" w:rsidRPr="00422245">
        <w:t>studiene</w:t>
      </w:r>
      <w:r w:rsidR="00BE62B7" w:rsidRPr="00422245">
        <w:t xml:space="preserve"> med færre enn 30 studiepoeng, er </w:t>
      </w:r>
      <w:r w:rsidR="00315A51" w:rsidRPr="00422245">
        <w:t>flere</w:t>
      </w:r>
      <w:r w:rsidR="00BE62B7" w:rsidRPr="00422245">
        <w:t xml:space="preserve"> enn ni av ti studenter på fleksible </w:t>
      </w:r>
      <w:r w:rsidR="00231E25" w:rsidRPr="00422245">
        <w:t>program</w:t>
      </w:r>
      <w:r w:rsidR="00BE62B7" w:rsidRPr="00422245">
        <w:t>.</w:t>
      </w:r>
      <w:r w:rsidR="00186FCD" w:rsidRPr="00422245">
        <w:t xml:space="preserve"> </w:t>
      </w:r>
      <w:r w:rsidR="003A5C45" w:rsidRPr="00422245">
        <w:t xml:space="preserve">Av studentene </w:t>
      </w:r>
      <w:r w:rsidR="00C16CEB" w:rsidRPr="00422245">
        <w:t xml:space="preserve">på </w:t>
      </w:r>
      <w:r w:rsidR="00122C17" w:rsidRPr="00422245">
        <w:t xml:space="preserve">studieprogram med 30 til 60 studiepoeng, er </w:t>
      </w:r>
      <w:r w:rsidR="00397E44" w:rsidRPr="00422245">
        <w:t>64</w:t>
      </w:r>
      <w:r w:rsidR="001522A8" w:rsidRPr="00422245">
        <w:t xml:space="preserve"> prosent av studentene på </w:t>
      </w:r>
      <w:r w:rsidR="00024B40" w:rsidRPr="00422245">
        <w:t xml:space="preserve">denne type programmer. </w:t>
      </w:r>
      <w:r w:rsidR="0025605B" w:rsidRPr="00422245">
        <w:t xml:space="preserve">Studieprogram </w:t>
      </w:r>
      <w:r w:rsidR="00094159" w:rsidRPr="00422245">
        <w:t xml:space="preserve">med 120 studiepoeng består i all hovedsak </w:t>
      </w:r>
      <w:r w:rsidR="005A11A2" w:rsidRPr="00422245">
        <w:t xml:space="preserve">av toårige masterprogrammer, </w:t>
      </w:r>
      <w:r w:rsidR="002148E6" w:rsidRPr="00422245">
        <w:t xml:space="preserve">inkludert erfaringsbaserte mastere. </w:t>
      </w:r>
      <w:r w:rsidR="0013165A" w:rsidRPr="00422245">
        <w:t xml:space="preserve">For </w:t>
      </w:r>
      <w:r w:rsidR="001B62D8" w:rsidRPr="00422245">
        <w:t xml:space="preserve">ordinære toårige mastere er 21 prosent av studentene på fleksible program, mens </w:t>
      </w:r>
      <w:r w:rsidR="009A3035" w:rsidRPr="00422245">
        <w:t>andelen er 83 prosent for erfaringsbaserte mastere. Langt la</w:t>
      </w:r>
      <w:r w:rsidR="0046604F" w:rsidRPr="00422245">
        <w:t xml:space="preserve">vere er fleksibelandelen på treårige bachelorutdanninger. I 2023 var </w:t>
      </w:r>
      <w:r w:rsidR="00AE62DA" w:rsidRPr="00422245">
        <w:t xml:space="preserve">9 prosent av studentene registrerte på slike studieprogrammer. </w:t>
      </w:r>
      <w:r w:rsidR="00B12E61" w:rsidRPr="00422245">
        <w:t xml:space="preserve">Blant mer enn treårige studier er </w:t>
      </w:r>
      <w:r w:rsidR="005058C9" w:rsidRPr="00422245">
        <w:t>fleksibelandelen under 1 prosent.</w:t>
      </w:r>
    </w:p>
    <w:p w14:paraId="0237F4EB" w14:textId="120C57AB" w:rsidR="0084332A" w:rsidRPr="00422245" w:rsidRDefault="0084332A" w:rsidP="0084332A">
      <w:pPr>
        <w:pStyle w:val="Bildetekst"/>
        <w:keepNext/>
      </w:pPr>
      <w:bookmarkStart w:id="41" w:name="_Ref162000329"/>
      <w:bookmarkStart w:id="42" w:name="_Ref163476344"/>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3</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41"/>
      <w:r w:rsidRPr="00422245">
        <w:t xml:space="preserve"> Andel fleksible studenter etter antall studiepoeng i studieprogrammet, 2023.</w:t>
      </w:r>
      <w:bookmarkEnd w:id="42"/>
    </w:p>
    <w:p w14:paraId="718CF79A" w14:textId="0359A174" w:rsidR="005D334F" w:rsidRDefault="00D476DE" w:rsidP="00A56F8B">
      <w:pPr>
        <w:keepNext/>
      </w:pPr>
      <w:r w:rsidRPr="00422245">
        <w:rPr>
          <w:noProof/>
        </w:rPr>
        <w:drawing>
          <wp:inline distT="0" distB="0" distL="0" distR="0" wp14:anchorId="20937E9D" wp14:editId="2DF81E05">
            <wp:extent cx="5704764" cy="2317750"/>
            <wp:effectExtent l="0" t="0" r="10795" b="6350"/>
            <wp:docPr id="1815469659" name="Diagram 1">
              <a:extLst xmlns:a="http://schemas.openxmlformats.org/drawingml/2006/main">
                <a:ext uri="{FF2B5EF4-FFF2-40B4-BE49-F238E27FC236}">
                  <a16:creationId xmlns:a16="http://schemas.microsoft.com/office/drawing/2014/main" id="{DE023A97-9EF8-7B88-940D-4880F23417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6E0BA5" w14:textId="777BD4B1" w:rsidR="00A34C45" w:rsidRPr="00422245" w:rsidRDefault="00A34C45" w:rsidP="00A34C45">
      <w:pPr>
        <w:pStyle w:val="Kilde"/>
      </w:pPr>
      <w:r w:rsidRPr="004E373E">
        <w:rPr>
          <w:b/>
        </w:rPr>
        <w:t>Kilde</w:t>
      </w:r>
      <w:r>
        <w:t>: DBH</w:t>
      </w:r>
    </w:p>
    <w:p w14:paraId="611ACDB6" w14:textId="68746CDF" w:rsidR="00B3532C" w:rsidRPr="00422245" w:rsidRDefault="00A378E3" w:rsidP="00F11445">
      <w:r w:rsidRPr="00422245">
        <w:t xml:space="preserve">Totalt utgjør studenter på studieprogram under </w:t>
      </w:r>
      <w:r w:rsidR="00CE382D" w:rsidRPr="00422245">
        <w:t>120</w:t>
      </w:r>
      <w:r w:rsidRPr="00422245">
        <w:t xml:space="preserve"> studiepoeng </w:t>
      </w:r>
      <w:r w:rsidR="000A6C94" w:rsidRPr="00422245">
        <w:t>26</w:t>
      </w:r>
      <w:r w:rsidR="00CA3170" w:rsidRPr="00422245">
        <w:t xml:space="preserve"> prosent av alle studenter.</w:t>
      </w:r>
      <w:r w:rsidR="00AA07D2" w:rsidRPr="00422245">
        <w:t xml:space="preserve"> Samtidig utgjør fleksible studenter på denne type program hele </w:t>
      </w:r>
      <w:r w:rsidR="000A6C94" w:rsidRPr="00422245">
        <w:t>71</w:t>
      </w:r>
      <w:r w:rsidR="00AA07D2" w:rsidRPr="00422245">
        <w:t xml:space="preserve"> prosent av alle studenter</w:t>
      </w:r>
      <w:r w:rsidR="00A56F8B">
        <w:t xml:space="preserve"> på </w:t>
      </w:r>
      <w:r w:rsidR="00AA07D2" w:rsidRPr="00422245">
        <w:t xml:space="preserve">fleksible </w:t>
      </w:r>
      <w:r w:rsidR="00A56F8B">
        <w:t>studieprogram</w:t>
      </w:r>
      <w:r w:rsidR="00AA07D2" w:rsidRPr="00422245">
        <w:t xml:space="preserve">. </w:t>
      </w:r>
      <w:r w:rsidR="00FC3CCE" w:rsidRPr="00422245">
        <w:t xml:space="preserve">Flest fleksible studenter på slike kortere studieprogram finner vi innenfor </w:t>
      </w:r>
      <w:r w:rsidR="00A77121" w:rsidRPr="00422245">
        <w:t>økonom</w:t>
      </w:r>
      <w:r w:rsidR="00520DD7" w:rsidRPr="00422245">
        <w:t>isk-administrative</w:t>
      </w:r>
      <w:r w:rsidR="000D2E95" w:rsidRPr="00422245">
        <w:t xml:space="preserve"> utdanninger og lærerutdanning og pedagogikk</w:t>
      </w:r>
      <w:r w:rsidR="00EF11EB" w:rsidRPr="00422245">
        <w:t xml:space="preserve">. På begge fagområdene er andelen fleksible studenter på </w:t>
      </w:r>
      <w:r w:rsidR="006249B8" w:rsidRPr="00422245">
        <w:t>86</w:t>
      </w:r>
      <w:r w:rsidR="00EF11EB" w:rsidRPr="00422245">
        <w:t xml:space="preserve"> pr</w:t>
      </w:r>
      <w:r w:rsidR="00492212" w:rsidRPr="00422245">
        <w:t>osent.</w:t>
      </w:r>
      <w:r w:rsidR="0007135E" w:rsidRPr="00422245">
        <w:t xml:space="preserve"> Et høyt antall studenter finner vi også i faggruppen «helse- sosial- og idrettsfag</w:t>
      </w:r>
      <w:r w:rsidR="008308F1" w:rsidRPr="00422245">
        <w:t>»</w:t>
      </w:r>
      <w:r w:rsidR="0007135E" w:rsidRPr="00422245">
        <w:t xml:space="preserve">, og også her </w:t>
      </w:r>
      <w:r w:rsidR="00E82840" w:rsidRPr="00422245">
        <w:t xml:space="preserve">er andelen studenter på fleksible program </w:t>
      </w:r>
      <w:r w:rsidR="00B62D24" w:rsidRPr="00422245">
        <w:t>rett under</w:t>
      </w:r>
      <w:r w:rsidR="00E82840" w:rsidRPr="00422245">
        <w:t xml:space="preserve"> 80 prosent. </w:t>
      </w:r>
      <w:r w:rsidR="00BF5406" w:rsidRPr="00422245">
        <w:t>H</w:t>
      </w:r>
      <w:r w:rsidR="00B14B7C" w:rsidRPr="00422245">
        <w:t xml:space="preserve">øyeste prosentandel fleksibelstudenter på programmer under 120 studiepoeng finner vi innenfor </w:t>
      </w:r>
      <w:r w:rsidR="001701D2" w:rsidRPr="00422245">
        <w:t>«Samferdsels- og sikkerhetsfag og andre servicefag»</w:t>
      </w:r>
      <w:r w:rsidR="004E63B9" w:rsidRPr="00422245">
        <w:t xml:space="preserve"> og «Primærnæringsfag», </w:t>
      </w:r>
      <w:r w:rsidR="001701D2" w:rsidRPr="00422245">
        <w:t xml:space="preserve">men her er </w:t>
      </w:r>
      <w:r w:rsidR="00BA5987">
        <w:t>det få studenter totalt sett</w:t>
      </w:r>
      <w:r w:rsidR="001701D2" w:rsidRPr="00422245">
        <w:t xml:space="preserve">. </w:t>
      </w:r>
      <w:r w:rsidR="00E82840" w:rsidRPr="00422245">
        <w:t xml:space="preserve">For </w:t>
      </w:r>
      <w:r w:rsidR="00104D3A" w:rsidRPr="00422245">
        <w:t>øvrige</w:t>
      </w:r>
      <w:r w:rsidR="00E82840" w:rsidRPr="00422245">
        <w:t xml:space="preserve"> fagområder </w:t>
      </w:r>
      <w:r w:rsidR="00EF0AE4" w:rsidRPr="00422245">
        <w:t xml:space="preserve">er andelen fleksible </w:t>
      </w:r>
      <w:r w:rsidR="0058443E" w:rsidRPr="00422245">
        <w:t>studenter</w:t>
      </w:r>
      <w:r w:rsidR="00EF0AE4" w:rsidRPr="00422245">
        <w:t xml:space="preserve"> lavere, </w:t>
      </w:r>
      <w:r w:rsidR="008727ED" w:rsidRPr="00422245">
        <w:t>mellom 4</w:t>
      </w:r>
      <w:r w:rsidR="005E3B96" w:rsidRPr="00422245">
        <w:t>4</w:t>
      </w:r>
      <w:r w:rsidR="008727ED" w:rsidRPr="00422245">
        <w:t xml:space="preserve"> og 6</w:t>
      </w:r>
      <w:r w:rsidR="005E3B96" w:rsidRPr="00422245">
        <w:t>2</w:t>
      </w:r>
      <w:r w:rsidR="008727ED" w:rsidRPr="00422245">
        <w:t xml:space="preserve"> prosent</w:t>
      </w:r>
      <w:r w:rsidR="00BA5987">
        <w:t xml:space="preserve"> for studieprogram på under 120 studiepoeng.</w:t>
      </w:r>
    </w:p>
    <w:p w14:paraId="2B7B83AF" w14:textId="653963E7" w:rsidR="00314E3C" w:rsidRPr="00422245" w:rsidRDefault="00E3770F" w:rsidP="00F11445">
      <w:r w:rsidRPr="00422245">
        <w:t xml:space="preserve">For treårige bachelorutdanninger </w:t>
      </w:r>
      <w:r w:rsidR="005111AA">
        <w:t>s</w:t>
      </w:r>
      <w:r w:rsidR="00F211A5" w:rsidRPr="00422245">
        <w:t xml:space="preserve">killer </w:t>
      </w:r>
      <w:r w:rsidR="00590DBA" w:rsidRPr="00422245">
        <w:t>lærerutdanning og pedagog</w:t>
      </w:r>
      <w:r w:rsidR="00F211A5" w:rsidRPr="00422245">
        <w:t>ikk seg u</w:t>
      </w:r>
      <w:r w:rsidR="00117E46" w:rsidRPr="00422245">
        <w:t xml:space="preserve">t, </w:t>
      </w:r>
      <w:r w:rsidR="001B29D6" w:rsidRPr="00422245">
        <w:t xml:space="preserve">med mer </w:t>
      </w:r>
      <w:r w:rsidR="004F67D0">
        <w:t xml:space="preserve">enn </w:t>
      </w:r>
      <w:r w:rsidR="004621EA" w:rsidRPr="00422245">
        <w:t>28</w:t>
      </w:r>
      <w:r w:rsidR="001B29D6" w:rsidRPr="00422245">
        <w:t xml:space="preserve"> prosent fleksible studenter</w:t>
      </w:r>
      <w:r w:rsidR="00E60F88">
        <w:t>. I</w:t>
      </w:r>
      <w:r w:rsidR="001B29D6" w:rsidRPr="00422245">
        <w:t xml:space="preserve">kke minst </w:t>
      </w:r>
      <w:r w:rsidR="00E60F88">
        <w:t>skyldes dette</w:t>
      </w:r>
      <w:r w:rsidR="001B29D6" w:rsidRPr="00422245">
        <w:t xml:space="preserve"> den høye andelen </w:t>
      </w:r>
      <w:r w:rsidR="009B2297">
        <w:t>fleksible</w:t>
      </w:r>
      <w:r w:rsidR="00A06E11">
        <w:t xml:space="preserve"> studenter </w:t>
      </w:r>
      <w:r w:rsidR="001B29D6" w:rsidRPr="00422245">
        <w:t>barnehagelærerutdanninge</w:t>
      </w:r>
      <w:r w:rsidR="00B6377A" w:rsidRPr="00422245">
        <w:t>r</w:t>
      </w:r>
      <w:r w:rsidR="00B6377A" w:rsidRPr="00422245" w:rsidDel="00A06E11">
        <w:t xml:space="preserve"> </w:t>
      </w:r>
      <w:r w:rsidR="00466708">
        <w:t xml:space="preserve">på </w:t>
      </w:r>
      <w:r w:rsidR="00B6377A" w:rsidRPr="00422245">
        <w:t>40 prosent</w:t>
      </w:r>
      <w:r w:rsidR="003B33DD" w:rsidRPr="00422245">
        <w:t xml:space="preserve">. </w:t>
      </w:r>
      <w:r w:rsidR="008C74D7" w:rsidRPr="00422245">
        <w:t>Også på vernepleieutdanningen finnes mange fleksible studier, i 2023 gikk 28 prosent av studentene på slike programmer.</w:t>
      </w:r>
      <w:r w:rsidR="00D7078E" w:rsidRPr="00422245">
        <w:t xml:space="preserve"> Av studen</w:t>
      </w:r>
      <w:r w:rsidR="00510E5A" w:rsidRPr="00422245">
        <w:t xml:space="preserve">ter på bachelorprogrammer i økonomisk-administrative </w:t>
      </w:r>
      <w:r w:rsidR="00545415" w:rsidRPr="00422245">
        <w:t>fag, var 1</w:t>
      </w:r>
      <w:r w:rsidR="002B3D4D" w:rsidRPr="00422245">
        <w:t>2</w:t>
      </w:r>
      <w:r w:rsidR="00545415" w:rsidRPr="00422245">
        <w:t xml:space="preserve"> prosent på fleksible programmer i 2023. </w:t>
      </w:r>
      <w:r w:rsidR="00236A1D" w:rsidRPr="00422245">
        <w:t>Innen</w:t>
      </w:r>
      <w:r w:rsidR="00545415" w:rsidRPr="00422245">
        <w:t>for</w:t>
      </w:r>
      <w:r w:rsidR="00236A1D" w:rsidRPr="00422245">
        <w:t xml:space="preserve"> </w:t>
      </w:r>
      <w:r w:rsidR="00BD0243" w:rsidRPr="00422245">
        <w:t xml:space="preserve">disiplinutdanningene er det </w:t>
      </w:r>
      <w:r w:rsidR="001E4B1D" w:rsidRPr="00422245">
        <w:t>svært få bachelorstudenter på fleksible program</w:t>
      </w:r>
      <w:r w:rsidR="00D550C7" w:rsidRPr="00422245">
        <w:t xml:space="preserve">. For </w:t>
      </w:r>
      <w:r w:rsidR="00F91310">
        <w:t>h</w:t>
      </w:r>
      <w:r w:rsidR="00D550C7" w:rsidRPr="00422245">
        <w:t xml:space="preserve">umanistiske og estetiske fag var andelen 6 prosent, for </w:t>
      </w:r>
      <w:r w:rsidR="003648F6" w:rsidRPr="00422245">
        <w:t>natu</w:t>
      </w:r>
      <w:r w:rsidR="009F7F1C" w:rsidRPr="00422245">
        <w:t>rvitenskapelige og tekniske fag</w:t>
      </w:r>
      <w:r w:rsidR="009F7F1C" w:rsidRPr="00422245" w:rsidDel="006F121C">
        <w:t xml:space="preserve"> og </w:t>
      </w:r>
      <w:r w:rsidR="009F7F1C" w:rsidRPr="00422245">
        <w:t>samfunnsfag og juri</w:t>
      </w:r>
      <w:r w:rsidR="006F121C">
        <w:t>di</w:t>
      </w:r>
      <w:r w:rsidR="009F7F1C" w:rsidRPr="00422245">
        <w:t>ske fag var andelen beskjedne 2 prosent.</w:t>
      </w:r>
    </w:p>
    <w:p w14:paraId="7CF426BE" w14:textId="464C0AAA" w:rsidR="00BF7E53" w:rsidRPr="00422245" w:rsidRDefault="00934AFC" w:rsidP="00EA37B0">
      <w:pPr>
        <w:pStyle w:val="Overskrift3"/>
        <w:spacing w:before="288"/>
      </w:pPr>
      <w:bookmarkStart w:id="43" w:name="_Toc163488398"/>
      <w:r w:rsidRPr="00422245">
        <w:lastRenderedPageBreak/>
        <w:t>Faglig profil preger institusjonsforskjeller</w:t>
      </w:r>
      <w:bookmarkEnd w:id="43"/>
    </w:p>
    <w:p w14:paraId="7166D80C" w14:textId="46C69C72" w:rsidR="00934AFC" w:rsidRPr="00422245" w:rsidRDefault="0025579F" w:rsidP="0079797D">
      <w:pPr>
        <w:keepNext/>
        <w:keepLines/>
      </w:pPr>
      <w:r w:rsidRPr="00422245">
        <w:t xml:space="preserve">Vi har sett at omfanget av fleksible utdanninger varierer kraftig mellom </w:t>
      </w:r>
      <w:r w:rsidR="002A5A41" w:rsidRPr="00422245">
        <w:t xml:space="preserve">ulike utdanningstyper. Dermed </w:t>
      </w:r>
      <w:r w:rsidR="00FA1C13" w:rsidRPr="00422245">
        <w:t>reflekterer</w:t>
      </w:r>
      <w:r w:rsidR="002A5A41" w:rsidRPr="00422245">
        <w:t xml:space="preserve"> forskjellene mellom institusjoner ogs</w:t>
      </w:r>
      <w:r w:rsidR="00FA1C13" w:rsidRPr="00422245">
        <w:t>å institusjonenes faglige profil og utdanningstilbud.</w:t>
      </w:r>
      <w:r w:rsidR="00F215F2" w:rsidRPr="00422245">
        <w:t xml:space="preserve"> </w:t>
      </w:r>
      <w:r w:rsidR="00F215F2" w:rsidRPr="00422245">
        <w:fldChar w:fldCharType="begin"/>
      </w:r>
      <w:r w:rsidR="00F215F2" w:rsidRPr="00422245">
        <w:instrText xml:space="preserve"> REF _Ref162425501 \h </w:instrText>
      </w:r>
      <w:r w:rsidR="00F215F2" w:rsidRPr="00422245">
        <w:fldChar w:fldCharType="separate"/>
      </w:r>
      <w:r w:rsidR="00F215F2" w:rsidRPr="00422245">
        <w:t xml:space="preserve">Figur </w:t>
      </w:r>
      <w:r w:rsidR="004F2120">
        <w:rPr>
          <w:noProof/>
        </w:rPr>
        <w:t>3</w:t>
      </w:r>
      <w:r w:rsidR="004F2120">
        <w:noBreakHyphen/>
      </w:r>
      <w:r w:rsidR="004F2120">
        <w:rPr>
          <w:noProof/>
        </w:rPr>
        <w:t>3</w:t>
      </w:r>
      <w:r w:rsidR="00F215F2" w:rsidRPr="00422245">
        <w:fldChar w:fldCharType="end"/>
      </w:r>
      <w:r w:rsidR="00F215F2" w:rsidRPr="00422245">
        <w:t xml:space="preserve"> viser </w:t>
      </w:r>
      <w:r w:rsidR="00743551" w:rsidRPr="00422245">
        <w:t xml:space="preserve">hvor stor andel studenter på fleksible program utgjør per institusjon. </w:t>
      </w:r>
      <w:r w:rsidR="002130D5" w:rsidRPr="00422245">
        <w:t>Profesjons</w:t>
      </w:r>
      <w:r w:rsidR="000A4F6B" w:rsidRPr="00422245">
        <w:t xml:space="preserve">rettede høyskoler har den høyeste andelen, </w:t>
      </w:r>
      <w:r w:rsidR="00E862BF" w:rsidRPr="00422245">
        <w:t xml:space="preserve">og aller høyest er den ved HVO, der nesten to av tre registrerte studenter </w:t>
      </w:r>
      <w:r w:rsidR="00EF231E" w:rsidRPr="00422245">
        <w:t>tar fleksib</w:t>
      </w:r>
      <w:r w:rsidR="0079797D">
        <w:t>e</w:t>
      </w:r>
      <w:r w:rsidR="00EF231E" w:rsidRPr="00422245">
        <w:t xml:space="preserve">l utdanning. Også ved HINN er godt over halvparten av studentene registrert på slike program. </w:t>
      </w:r>
      <w:r w:rsidR="00500ABF" w:rsidRPr="00422245">
        <w:t xml:space="preserve">Lavest er andelen ved </w:t>
      </w:r>
      <w:r w:rsidR="00F229FD">
        <w:t xml:space="preserve">NTNU og </w:t>
      </w:r>
      <w:r w:rsidR="00500ABF" w:rsidRPr="00422245">
        <w:t>UiB</w:t>
      </w:r>
      <w:r w:rsidR="00F229FD">
        <w:t xml:space="preserve"> med henholdsvis 13 og 12 prosent.</w:t>
      </w:r>
    </w:p>
    <w:p w14:paraId="33AEA810" w14:textId="66D1D147" w:rsidR="00E05B6E" w:rsidRPr="00422245" w:rsidRDefault="00E05B6E" w:rsidP="00E05B6E">
      <w:pPr>
        <w:pStyle w:val="Bildetekst"/>
        <w:keepNext/>
      </w:pPr>
      <w:bookmarkStart w:id="44" w:name="_Ref162425501"/>
      <w:r w:rsidRPr="00422245">
        <w:t xml:space="preserve">Figur </w:t>
      </w:r>
      <w:r w:rsidR="006E1D94">
        <w:fldChar w:fldCharType="begin"/>
      </w:r>
      <w:r w:rsidR="006E1D94">
        <w:instrText xml:space="preserve"> STYLEREF 1 \s </w:instrText>
      </w:r>
      <w:r w:rsidR="006E1D94">
        <w:fldChar w:fldCharType="separate"/>
      </w:r>
      <w:r w:rsidR="006E1D94">
        <w:rPr>
          <w:noProof/>
        </w:rPr>
        <w:t>3</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bookmarkEnd w:id="44"/>
      <w:r w:rsidRPr="00422245">
        <w:t xml:space="preserve"> Andel studenter på fleksible studieprogram. Alle utdanninger.</w:t>
      </w:r>
    </w:p>
    <w:p w14:paraId="1FBA6E98" w14:textId="51C8FD99" w:rsidR="00FA1C13" w:rsidRPr="00422245" w:rsidRDefault="00215028" w:rsidP="008D76B0">
      <w:r w:rsidRPr="00422245">
        <w:rPr>
          <w:noProof/>
        </w:rPr>
        <w:drawing>
          <wp:inline distT="0" distB="0" distL="0" distR="0" wp14:anchorId="26B5AF73" wp14:editId="01E3922F">
            <wp:extent cx="5725236" cy="2743200"/>
            <wp:effectExtent l="0" t="0" r="8890" b="0"/>
            <wp:docPr id="63145942" name="Diagram 1">
              <a:extLst xmlns:a="http://schemas.openxmlformats.org/drawingml/2006/main">
                <a:ext uri="{FF2B5EF4-FFF2-40B4-BE49-F238E27FC236}">
                  <a16:creationId xmlns:a16="http://schemas.microsoft.com/office/drawing/2014/main" id="{6264D66D-346D-A725-D4E4-E86F962BA3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5EAD8AE" w14:textId="7A38451A" w:rsidR="00BF7E53" w:rsidRDefault="00E05B6E" w:rsidP="00AA6C54">
      <w:pPr>
        <w:pStyle w:val="Merknad"/>
      </w:pPr>
      <w:r w:rsidRPr="00422245">
        <w:t>Figuren omfatter institusjoner med fler</w:t>
      </w:r>
      <w:r w:rsidR="00864054" w:rsidRPr="00422245">
        <w:t>e</w:t>
      </w:r>
      <w:r w:rsidRPr="00422245">
        <w:t xml:space="preserve"> enn 3</w:t>
      </w:r>
      <w:r w:rsidR="003B1260">
        <w:t> </w:t>
      </w:r>
      <w:r w:rsidRPr="00422245">
        <w:t xml:space="preserve">000 studenter </w:t>
      </w:r>
      <w:r w:rsidR="00040ED2">
        <w:t xml:space="preserve">i </w:t>
      </w:r>
      <w:r w:rsidRPr="00422245">
        <w:t>2023.</w:t>
      </w:r>
    </w:p>
    <w:p w14:paraId="6C7E10CF" w14:textId="1ED3DB5E" w:rsidR="00B461A8" w:rsidRPr="00422245" w:rsidRDefault="00B461A8" w:rsidP="00AA6C54">
      <w:pPr>
        <w:pStyle w:val="Kilde"/>
      </w:pPr>
      <w:r w:rsidRPr="004E373E">
        <w:rPr>
          <w:b/>
        </w:rPr>
        <w:t>Kilde</w:t>
      </w:r>
      <w:r>
        <w:t xml:space="preserve">: </w:t>
      </w:r>
      <w:r w:rsidR="00AA6C54">
        <w:t>DBH</w:t>
      </w:r>
    </w:p>
    <w:p w14:paraId="5C3D98F7" w14:textId="4C02B194" w:rsidR="002612A8" w:rsidRDefault="001752B9" w:rsidP="008D76B0">
      <w:r w:rsidRPr="00422245">
        <w:t>Mye av fle</w:t>
      </w:r>
      <w:r w:rsidR="002612A8" w:rsidRPr="00422245">
        <w:t xml:space="preserve">ksibiliteten som </w:t>
      </w:r>
      <w:r w:rsidR="003F287D" w:rsidRPr="00422245">
        <w:t xml:space="preserve">kommer til uttrykk </w:t>
      </w:r>
      <w:r w:rsidR="002612A8" w:rsidRPr="00422245">
        <w:t xml:space="preserve">i </w:t>
      </w:r>
      <w:r w:rsidR="002612A8" w:rsidRPr="00422245">
        <w:fldChar w:fldCharType="begin"/>
      </w:r>
      <w:r w:rsidR="002612A8" w:rsidRPr="00422245">
        <w:instrText xml:space="preserve"> REF _Ref162425501 \h </w:instrText>
      </w:r>
      <w:r w:rsidR="002612A8" w:rsidRPr="00422245">
        <w:fldChar w:fldCharType="separate"/>
      </w:r>
      <w:r w:rsidR="002612A8" w:rsidRPr="00422245" w:rsidDel="00AF5FEE">
        <w:t>F</w:t>
      </w:r>
      <w:r w:rsidR="002612A8" w:rsidRPr="00422245">
        <w:t xml:space="preserve">igur </w:t>
      </w:r>
      <w:r w:rsidR="007C1DBB">
        <w:rPr>
          <w:noProof/>
        </w:rPr>
        <w:t>3</w:t>
      </w:r>
      <w:r w:rsidR="007C1DBB">
        <w:noBreakHyphen/>
      </w:r>
      <w:r w:rsidR="007C1DBB">
        <w:rPr>
          <w:noProof/>
        </w:rPr>
        <w:t>3</w:t>
      </w:r>
      <w:r w:rsidR="002612A8" w:rsidRPr="00422245">
        <w:fldChar w:fldCharType="end"/>
      </w:r>
      <w:r w:rsidR="002612A8" w:rsidRPr="00422245">
        <w:t>,</w:t>
      </w:r>
      <w:r w:rsidR="00D77160" w:rsidRPr="00422245">
        <w:t xml:space="preserve"> </w:t>
      </w:r>
      <w:r w:rsidR="00702223" w:rsidRPr="00422245">
        <w:t xml:space="preserve">er knyttet til kortere studier, slik vi omtalte dette ovenfor. </w:t>
      </w:r>
      <w:r w:rsidR="007474F0" w:rsidRPr="00422245">
        <w:t xml:space="preserve">Et noe annet bilde </w:t>
      </w:r>
      <w:r w:rsidR="008D67D0" w:rsidRPr="00422245">
        <w:t>får vi når vi kun ser på studier av minimum 120 studiepoengs varighet</w:t>
      </w:r>
      <w:r w:rsidR="002C7FE2" w:rsidRPr="00422245">
        <w:t xml:space="preserve">, som vist i </w:t>
      </w:r>
      <w:r w:rsidR="007932B3" w:rsidRPr="00422245">
        <w:fldChar w:fldCharType="begin"/>
      </w:r>
      <w:r w:rsidR="007932B3" w:rsidRPr="00422245">
        <w:instrText xml:space="preserve"> REF _Ref162426482 \h </w:instrText>
      </w:r>
      <w:r w:rsidR="007932B3" w:rsidRPr="00422245">
        <w:fldChar w:fldCharType="separate"/>
      </w:r>
      <w:r w:rsidR="007932B3" w:rsidRPr="00422245" w:rsidDel="00AF5FEE">
        <w:t>F</w:t>
      </w:r>
      <w:r w:rsidR="007932B3" w:rsidRPr="00422245">
        <w:t xml:space="preserve">igur </w:t>
      </w:r>
      <w:r w:rsidR="00694F94">
        <w:rPr>
          <w:noProof/>
        </w:rPr>
        <w:t>3</w:t>
      </w:r>
      <w:r w:rsidR="00694F94">
        <w:noBreakHyphen/>
      </w:r>
      <w:r w:rsidR="00694F94">
        <w:rPr>
          <w:noProof/>
        </w:rPr>
        <w:t>4</w:t>
      </w:r>
      <w:r w:rsidR="007932B3" w:rsidRPr="00422245">
        <w:fldChar w:fldCharType="end"/>
      </w:r>
      <w:r w:rsidR="001156C4" w:rsidRPr="00422245">
        <w:t xml:space="preserve">. Rekkefølgen mellom institusjonene forblir i hovedsak den samme, men andelen </w:t>
      </w:r>
      <w:r w:rsidR="00D655E1" w:rsidRPr="00422245">
        <w:t xml:space="preserve">studenter på fleksible program blir lavere for alle. </w:t>
      </w:r>
      <w:r w:rsidR="005670EF" w:rsidRPr="00422245">
        <w:t xml:space="preserve">Institusjonene </w:t>
      </w:r>
      <w:r w:rsidR="00481D48" w:rsidRPr="00422245">
        <w:t xml:space="preserve">med størst innslag av fleksibelstudenter har </w:t>
      </w:r>
      <w:r w:rsidR="00F74984" w:rsidRPr="00422245">
        <w:t xml:space="preserve">om lag hver tredje student på fleksible program, mens </w:t>
      </w:r>
      <w:r w:rsidR="00F95136" w:rsidRPr="00422245">
        <w:t>fler</w:t>
      </w:r>
      <w:r w:rsidR="00340185" w:rsidRPr="00422245">
        <w:t>e institus</w:t>
      </w:r>
      <w:r w:rsidR="006438AF" w:rsidRPr="00422245">
        <w:t>joner har</w:t>
      </w:r>
      <w:r w:rsidR="0042381F" w:rsidRPr="00422245">
        <w:t xml:space="preserve"> en andel på mellom 0 og 2 prosent</w:t>
      </w:r>
      <w:r w:rsidR="00921175" w:rsidRPr="00422245">
        <w:t>.</w:t>
      </w:r>
      <w:r w:rsidR="001949EE" w:rsidRPr="00422245">
        <w:t xml:space="preserve"> Samtidig er det viktig å understreke av figuren viser andeler og ikke antall studenter. Så selv om </w:t>
      </w:r>
      <w:r w:rsidR="001949EE" w:rsidRPr="00422245">
        <w:rPr>
          <w:i/>
          <w:iCs/>
        </w:rPr>
        <w:t>andelen</w:t>
      </w:r>
      <w:r w:rsidR="001949EE" w:rsidRPr="00422245">
        <w:t xml:space="preserve"> </w:t>
      </w:r>
      <w:r w:rsidR="00437226" w:rsidRPr="00422245">
        <w:t xml:space="preserve">fleksibelstudenter </w:t>
      </w:r>
      <w:r w:rsidR="00131DE8" w:rsidRPr="00422245">
        <w:t xml:space="preserve">på program av minst 120 studiepoengs omfang </w:t>
      </w:r>
      <w:r w:rsidR="005625D1" w:rsidRPr="00422245">
        <w:t xml:space="preserve">er nesten 10 ganger så høy ved HVO som ved NTNU, er </w:t>
      </w:r>
      <w:r w:rsidR="005625D1" w:rsidRPr="00422245">
        <w:rPr>
          <w:i/>
          <w:iCs/>
        </w:rPr>
        <w:t>antallet</w:t>
      </w:r>
      <w:r w:rsidR="005625D1" w:rsidRPr="00422245">
        <w:t xml:space="preserve"> </w:t>
      </w:r>
      <w:r w:rsidR="000B5393" w:rsidRPr="00422245">
        <w:t>slike studenter neste</w:t>
      </w:r>
      <w:r w:rsidR="00894614" w:rsidRPr="00422245">
        <w:t>n</w:t>
      </w:r>
      <w:r w:rsidR="000B5393" w:rsidRPr="00422245">
        <w:t xml:space="preserve"> dobbelt så høyt ved </w:t>
      </w:r>
      <w:r w:rsidR="00AE68BC" w:rsidRPr="00422245">
        <w:t>NTNU.</w:t>
      </w:r>
    </w:p>
    <w:p w14:paraId="3FA0DBBE" w14:textId="68392938" w:rsidR="00542CDF" w:rsidRPr="00422245" w:rsidRDefault="00542CDF" w:rsidP="008D76B0">
      <w:r w:rsidRPr="00542CDF">
        <w:lastRenderedPageBreak/>
        <w:t>https://vedlegg.hkdir.no/MichaelRev/2024/figur/V3.4</w:t>
      </w:r>
    </w:p>
    <w:p w14:paraId="2D095852" w14:textId="7D106FFD" w:rsidR="00234EBB" w:rsidRPr="00422245" w:rsidRDefault="00234EBB" w:rsidP="00234EBB">
      <w:pPr>
        <w:pStyle w:val="Bildetekst"/>
        <w:keepNext/>
      </w:pPr>
      <w:bookmarkStart w:id="45" w:name="_Ref162426482"/>
      <w:r w:rsidRPr="00422245">
        <w:t xml:space="preserve">Figur </w:t>
      </w:r>
      <w:r w:rsidR="006E1D94">
        <w:fldChar w:fldCharType="begin"/>
      </w:r>
      <w:r w:rsidR="006E1D94">
        <w:instrText xml:space="preserve"> STYLEREF 1 \s </w:instrText>
      </w:r>
      <w:r w:rsidR="006E1D94">
        <w:fldChar w:fldCharType="separate"/>
      </w:r>
      <w:r w:rsidR="006E1D94">
        <w:rPr>
          <w:noProof/>
        </w:rPr>
        <w:t>3</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45"/>
      <w:r w:rsidRPr="00422245">
        <w:t xml:space="preserve"> Andel studenter på fleksible studieprogram</w:t>
      </w:r>
      <w:r w:rsidR="00927A18" w:rsidRPr="00422245">
        <w:t>, min. 120 studiepoeng.</w:t>
      </w:r>
    </w:p>
    <w:p w14:paraId="402B2C69" w14:textId="6B19211A" w:rsidR="004B791E" w:rsidRDefault="004B791E" w:rsidP="008D76B0">
      <w:r w:rsidRPr="00422245">
        <w:rPr>
          <w:noProof/>
        </w:rPr>
        <w:drawing>
          <wp:inline distT="0" distB="0" distL="0" distR="0" wp14:anchorId="3E17E0DA" wp14:editId="488EB290">
            <wp:extent cx="5718412" cy="2743200"/>
            <wp:effectExtent l="0" t="0" r="15875" b="0"/>
            <wp:docPr id="418991235" name="Diagram 1">
              <a:extLst xmlns:a="http://schemas.openxmlformats.org/drawingml/2006/main">
                <a:ext uri="{FF2B5EF4-FFF2-40B4-BE49-F238E27FC236}">
                  <a16:creationId xmlns:a16="http://schemas.microsoft.com/office/drawing/2014/main" id="{E5DAA047-D1A9-6156-1240-FFA2EFD92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EC0D099" w14:textId="54737E65" w:rsidR="00AA6C54" w:rsidRPr="00422245" w:rsidRDefault="00AA6C54" w:rsidP="00AA6C54">
      <w:pPr>
        <w:pStyle w:val="Kilde"/>
      </w:pPr>
      <w:r w:rsidRPr="004E373E">
        <w:rPr>
          <w:b/>
        </w:rPr>
        <w:t>Kilde</w:t>
      </w:r>
      <w:r>
        <w:t>: DBH</w:t>
      </w:r>
    </w:p>
    <w:p w14:paraId="41D8C342" w14:textId="54C9229D" w:rsidR="00F969A9" w:rsidRPr="00422245" w:rsidRDefault="00972B50" w:rsidP="008D76B0">
      <w:r w:rsidRPr="00422245">
        <w:t>En nærmere oversikt over antallet studenter på fleksible studieprogram</w:t>
      </w:r>
      <w:r w:rsidR="00ED3D12" w:rsidRPr="00422245">
        <w:t xml:space="preserve"> over tid</w:t>
      </w:r>
      <w:r w:rsidRPr="00422245">
        <w:t xml:space="preserve"> per institusjon finnes i vedleggstabell V2.15.</w:t>
      </w:r>
    </w:p>
    <w:p w14:paraId="58066ED3" w14:textId="0E9C5E5C" w:rsidR="001A1359" w:rsidRPr="00422245" w:rsidRDefault="006A28E8" w:rsidP="001A1359">
      <w:pPr>
        <w:pStyle w:val="Overskrift3"/>
        <w:spacing w:before="288"/>
      </w:pPr>
      <w:bookmarkStart w:id="46" w:name="_Toc163488399"/>
      <w:r w:rsidRPr="00422245">
        <w:t xml:space="preserve">Fleksible </w:t>
      </w:r>
      <w:r w:rsidR="001A1359" w:rsidRPr="00422245">
        <w:t>studieprogram</w:t>
      </w:r>
      <w:bookmarkEnd w:id="46"/>
      <w:r w:rsidR="001A1359" w:rsidRPr="00422245">
        <w:t xml:space="preserve"> </w:t>
      </w:r>
    </w:p>
    <w:p w14:paraId="756E0A05" w14:textId="41406A75" w:rsidR="00B545D5" w:rsidRDefault="00B33695" w:rsidP="008D76B0">
      <w:r w:rsidRPr="00422245">
        <w:t xml:space="preserve">Hvis vi </w:t>
      </w:r>
      <w:r w:rsidR="000A7971" w:rsidRPr="00422245">
        <w:t xml:space="preserve">ser på </w:t>
      </w:r>
      <w:r w:rsidR="001264FF">
        <w:t>de</w:t>
      </w:r>
      <w:r w:rsidR="00BC1E7A" w:rsidRPr="00422245">
        <w:t xml:space="preserve"> </w:t>
      </w:r>
      <w:r w:rsidR="004666E3" w:rsidRPr="00422245">
        <w:t>fleksible studieprogram</w:t>
      </w:r>
      <w:r w:rsidR="001264FF">
        <w:t>mene</w:t>
      </w:r>
      <w:r w:rsidR="00CF25B0" w:rsidRPr="00422245">
        <w:t xml:space="preserve">, </w:t>
      </w:r>
      <w:r w:rsidR="00A56474" w:rsidRPr="00422245">
        <w:t xml:space="preserve">heller enn å se på </w:t>
      </w:r>
      <w:r w:rsidR="00A56474" w:rsidRPr="00422245">
        <w:rPr>
          <w:i/>
          <w:iCs/>
        </w:rPr>
        <w:t>populariteten</w:t>
      </w:r>
      <w:r w:rsidR="00A56474" w:rsidRPr="00422245">
        <w:t xml:space="preserve"> til disse, </w:t>
      </w:r>
      <w:r w:rsidR="00B92C30" w:rsidRPr="00422245">
        <w:t xml:space="preserve">er bildet </w:t>
      </w:r>
      <w:r w:rsidR="00FE4D3C">
        <w:t>nokså likt</w:t>
      </w:r>
      <w:r w:rsidR="00B92C30" w:rsidRPr="00422245">
        <w:t xml:space="preserve">. </w:t>
      </w:r>
      <w:r w:rsidR="001C0D2A" w:rsidRPr="00422245">
        <w:t xml:space="preserve">I 2023 </w:t>
      </w:r>
      <w:r w:rsidR="00DF33AB" w:rsidRPr="00422245">
        <w:t xml:space="preserve">er </w:t>
      </w:r>
      <w:r w:rsidR="004742D3">
        <w:t xml:space="preserve">6 prosent </w:t>
      </w:r>
      <w:r w:rsidR="00FD5858">
        <w:t xml:space="preserve">av de fleksible studieprogrammene registrert som </w:t>
      </w:r>
      <w:r w:rsidR="00DF33AB" w:rsidRPr="00422245">
        <w:t>desentralisert</w:t>
      </w:r>
      <w:r w:rsidR="00621EF4">
        <w:t xml:space="preserve">. Dette er </w:t>
      </w:r>
      <w:r w:rsidR="0056107D">
        <w:t>identisk med andelen</w:t>
      </w:r>
      <w:r w:rsidR="001D3AA3">
        <w:t xml:space="preserve"> </w:t>
      </w:r>
      <w:r w:rsidR="00936DF8">
        <w:t>fleksib</w:t>
      </w:r>
      <w:r w:rsidR="00516BF2">
        <w:t xml:space="preserve">le </w:t>
      </w:r>
      <w:r w:rsidR="001D3AA3">
        <w:t>studenter</w:t>
      </w:r>
      <w:r w:rsidR="0056107D">
        <w:t xml:space="preserve"> registrert på </w:t>
      </w:r>
      <w:r w:rsidR="005A0175">
        <w:t xml:space="preserve">disse </w:t>
      </w:r>
      <w:r w:rsidR="0056107D">
        <w:t>program</w:t>
      </w:r>
      <w:r w:rsidR="005A0175">
        <w:t>mene</w:t>
      </w:r>
      <w:r w:rsidR="001D3AA3">
        <w:t>.</w:t>
      </w:r>
      <w:r w:rsidR="00BE147C" w:rsidRPr="00422245">
        <w:t xml:space="preserve"> </w:t>
      </w:r>
      <w:r w:rsidR="008E2169">
        <w:t xml:space="preserve">33 prosent </w:t>
      </w:r>
      <w:r w:rsidR="003F7F49">
        <w:t xml:space="preserve">av de fleksible programmene </w:t>
      </w:r>
      <w:r w:rsidR="008E2169">
        <w:t>er</w:t>
      </w:r>
      <w:r w:rsidR="008E2169" w:rsidRPr="00422245">
        <w:t xml:space="preserve"> </w:t>
      </w:r>
      <w:r w:rsidR="00A40057" w:rsidRPr="00422245">
        <w:t>nettbaserte</w:t>
      </w:r>
      <w:r w:rsidR="00BD2F3C">
        <w:t xml:space="preserve">, </w:t>
      </w:r>
      <w:r w:rsidR="00975BA6">
        <w:t xml:space="preserve">og her går </w:t>
      </w:r>
      <w:r w:rsidR="00BD2F3C">
        <w:t xml:space="preserve">29 prosent av </w:t>
      </w:r>
      <w:r w:rsidR="0044561C">
        <w:t xml:space="preserve">de </w:t>
      </w:r>
      <w:r w:rsidR="003F7F49">
        <w:t>fleksib</w:t>
      </w:r>
      <w:r w:rsidR="0044561C">
        <w:t xml:space="preserve">le </w:t>
      </w:r>
      <w:r w:rsidR="00BD2F3C">
        <w:t xml:space="preserve">studentene. </w:t>
      </w:r>
      <w:r w:rsidR="00656D48">
        <w:t xml:space="preserve">Hele 65 prosent </w:t>
      </w:r>
      <w:r w:rsidR="00976585">
        <w:t>er</w:t>
      </w:r>
      <w:r w:rsidR="00C84E0C">
        <w:t xml:space="preserve"> </w:t>
      </w:r>
      <w:r w:rsidR="00CC2C2E" w:rsidRPr="00422245">
        <w:t>deltidsprogram</w:t>
      </w:r>
      <w:r w:rsidR="00976585">
        <w:t xml:space="preserve">, </w:t>
      </w:r>
      <w:r w:rsidR="005D225C">
        <w:t>og disse har</w:t>
      </w:r>
      <w:r w:rsidR="00976585">
        <w:t xml:space="preserve"> 61 prosent av de fleksible studentene</w:t>
      </w:r>
      <w:r w:rsidR="00CC2C2E" w:rsidRPr="00422245">
        <w:t xml:space="preserve">. </w:t>
      </w:r>
    </w:p>
    <w:p w14:paraId="7F49A2D7" w14:textId="79AC9645" w:rsidR="00850BF6" w:rsidRPr="00422245" w:rsidRDefault="002B5940" w:rsidP="008D76B0">
      <w:r w:rsidRPr="00422245">
        <w:t xml:space="preserve">Totalt har </w:t>
      </w:r>
      <w:r w:rsidR="001B2F3B" w:rsidRPr="00422245">
        <w:t>tilbudet</w:t>
      </w:r>
      <w:r w:rsidRPr="00422245">
        <w:t xml:space="preserve"> av deltidsprogram </w:t>
      </w:r>
      <w:r w:rsidR="001B2F3B" w:rsidRPr="00422245">
        <w:t xml:space="preserve">og desentraliserte </w:t>
      </w:r>
      <w:r w:rsidR="00095C45" w:rsidRPr="00422245">
        <w:t xml:space="preserve">studieprogram </w:t>
      </w:r>
      <w:r w:rsidR="0074765A" w:rsidRPr="00422245">
        <w:t>gått ned i tiårsperioden</w:t>
      </w:r>
      <w:r w:rsidR="00095C45" w:rsidRPr="00422245">
        <w:t xml:space="preserve">, henholdsvis </w:t>
      </w:r>
      <w:r w:rsidRPr="00422245">
        <w:t xml:space="preserve">10 </w:t>
      </w:r>
      <w:r w:rsidR="00095C45" w:rsidRPr="00422245">
        <w:t xml:space="preserve">og 56 </w:t>
      </w:r>
      <w:r w:rsidRPr="00422245">
        <w:t>prosent</w:t>
      </w:r>
      <w:r w:rsidR="007414EB" w:rsidRPr="00422245">
        <w:t>. A</w:t>
      </w:r>
      <w:r w:rsidR="00D71922" w:rsidRPr="00422245">
        <w:t xml:space="preserve">ntallet </w:t>
      </w:r>
      <w:r w:rsidR="00A4468D" w:rsidRPr="00422245">
        <w:t xml:space="preserve">nettbaserte program har </w:t>
      </w:r>
      <w:r w:rsidR="007414EB" w:rsidRPr="00422245">
        <w:t xml:space="preserve">derimot </w:t>
      </w:r>
      <w:r w:rsidR="00A4468D" w:rsidRPr="00422245">
        <w:rPr>
          <w:i/>
          <w:iCs/>
        </w:rPr>
        <w:t>økt</w:t>
      </w:r>
      <w:r w:rsidR="00A4468D" w:rsidRPr="00422245">
        <w:t xml:space="preserve"> med 52 prosent.</w:t>
      </w:r>
      <w:r w:rsidR="00256ABF" w:rsidRPr="00422245">
        <w:t xml:space="preserve"> </w:t>
      </w:r>
      <w:r w:rsidR="001C6ECD" w:rsidRPr="00422245">
        <w:t>For alle d</w:t>
      </w:r>
      <w:r w:rsidR="00C478F1" w:rsidRPr="00422245">
        <w:t>iss</w:t>
      </w:r>
      <w:r w:rsidR="001C6ECD" w:rsidRPr="00422245">
        <w:t xml:space="preserve">e </w:t>
      </w:r>
      <w:r w:rsidR="00195B89" w:rsidRPr="00422245">
        <w:t>tre typene</w:t>
      </w:r>
      <w:r w:rsidR="00C478F1" w:rsidRPr="00422245">
        <w:t xml:space="preserve"> </w:t>
      </w:r>
      <w:r w:rsidR="001C6ECD" w:rsidRPr="00422245">
        <w:t xml:space="preserve">studieprogram </w:t>
      </w:r>
      <w:r w:rsidR="00195B89" w:rsidRPr="00422245">
        <w:t>totalt</w:t>
      </w:r>
      <w:r w:rsidR="001C6ECD" w:rsidRPr="00422245">
        <w:t xml:space="preserve"> </w:t>
      </w:r>
      <w:r w:rsidR="00256ABF" w:rsidRPr="00422245">
        <w:t>er det tilbakegang på lavere grads nivå</w:t>
      </w:r>
      <w:r w:rsidR="00231E1A" w:rsidRPr="00422245">
        <w:t xml:space="preserve"> på 23 prosent</w:t>
      </w:r>
      <w:r w:rsidR="001C6ECD" w:rsidRPr="00422245">
        <w:t xml:space="preserve">. </w:t>
      </w:r>
      <w:r w:rsidR="00B32B18" w:rsidRPr="00422245">
        <w:t>Nedgangen</w:t>
      </w:r>
      <w:r w:rsidR="00231E1A" w:rsidRPr="00422245">
        <w:t xml:space="preserve"> omfatter </w:t>
      </w:r>
      <w:r w:rsidR="00256ABF" w:rsidRPr="00422245">
        <w:t>bachelor</w:t>
      </w:r>
      <w:r w:rsidR="00231E1A" w:rsidRPr="00422245">
        <w:t>program</w:t>
      </w:r>
      <w:r w:rsidR="00256ABF" w:rsidRPr="00422245">
        <w:t xml:space="preserve">, årskurs og korte studieprogrammer. </w:t>
      </w:r>
      <w:r w:rsidR="00C30CEB" w:rsidRPr="00422245">
        <w:t>På masternivå har</w:t>
      </w:r>
      <w:r w:rsidR="00D82094" w:rsidRPr="00422245">
        <w:t xml:space="preserve"> antallet</w:t>
      </w:r>
      <w:r w:rsidR="00C30CEB" w:rsidRPr="00422245">
        <w:t xml:space="preserve"> </w:t>
      </w:r>
      <w:r w:rsidR="00D82094" w:rsidRPr="00422245">
        <w:t xml:space="preserve">studieprogram </w:t>
      </w:r>
      <w:r w:rsidR="00C30CEB" w:rsidRPr="00422245">
        <w:t>derimot økt med hele 76 prosent de siste ti årene</w:t>
      </w:r>
      <w:r w:rsidR="00614DED" w:rsidRPr="00422245">
        <w:t>.</w:t>
      </w:r>
    </w:p>
    <w:p w14:paraId="143A2A89" w14:textId="0CEE1A79" w:rsidR="00555D09" w:rsidRPr="00422245" w:rsidRDefault="000169EE" w:rsidP="008D76B0">
      <w:r w:rsidRPr="00422245">
        <w:t>F</w:t>
      </w:r>
      <w:r w:rsidR="00AA19E6" w:rsidRPr="00422245">
        <w:t xml:space="preserve">or alle </w:t>
      </w:r>
      <w:r w:rsidR="006750CC" w:rsidRPr="00422245">
        <w:t xml:space="preserve">de </w:t>
      </w:r>
      <w:r w:rsidR="00AA19E6" w:rsidRPr="00422245">
        <w:t>tre</w:t>
      </w:r>
      <w:r w:rsidR="006750CC" w:rsidRPr="00422245">
        <w:t xml:space="preserve"> </w:t>
      </w:r>
      <w:r w:rsidR="00337CB8" w:rsidRPr="00422245">
        <w:t>hovedtypene fleksible tilbud</w:t>
      </w:r>
      <w:r w:rsidR="006750CC" w:rsidRPr="00422245">
        <w:t xml:space="preserve"> </w:t>
      </w:r>
      <w:r w:rsidR="00337CB8" w:rsidRPr="00422245">
        <w:t>har</w:t>
      </w:r>
      <w:r w:rsidR="00AA19E6" w:rsidRPr="00422245">
        <w:t xml:space="preserve"> student</w:t>
      </w:r>
      <w:r w:rsidR="00D75E58" w:rsidRPr="00422245">
        <w:t>antallet</w:t>
      </w:r>
      <w:r w:rsidR="00AA19E6" w:rsidRPr="00422245">
        <w:t xml:space="preserve"> per </w:t>
      </w:r>
      <w:r w:rsidRPr="00422245">
        <w:t>program økt de siste ti årene</w:t>
      </w:r>
      <w:r w:rsidR="00292606" w:rsidRPr="00422245">
        <w:t>. Det er</w:t>
      </w:r>
      <w:r w:rsidR="00BF64E6" w:rsidRPr="00422245">
        <w:t xml:space="preserve"> </w:t>
      </w:r>
      <w:r w:rsidR="00292606" w:rsidRPr="00422245">
        <w:t>om lag</w:t>
      </w:r>
      <w:r w:rsidR="00BF64E6" w:rsidRPr="00422245">
        <w:t xml:space="preserve"> 35 prosent </w:t>
      </w:r>
      <w:r w:rsidR="00292606" w:rsidRPr="00422245">
        <w:t xml:space="preserve">flere studenter per </w:t>
      </w:r>
      <w:r w:rsidR="00DA0F3B" w:rsidRPr="00422245">
        <w:t>studie</w:t>
      </w:r>
      <w:r w:rsidR="00BA2B48" w:rsidRPr="00422245">
        <w:t xml:space="preserve">program </w:t>
      </w:r>
      <w:r w:rsidR="007E50F0" w:rsidRPr="00422245">
        <w:lastRenderedPageBreak/>
        <w:t>registrert som</w:t>
      </w:r>
      <w:r w:rsidR="005F687C" w:rsidRPr="00422245">
        <w:t xml:space="preserve"> deltid eller </w:t>
      </w:r>
      <w:r w:rsidR="00BA2B48" w:rsidRPr="00422245">
        <w:t>desentralisert</w:t>
      </w:r>
      <w:r w:rsidR="005F687C" w:rsidRPr="00422245">
        <w:t xml:space="preserve"> </w:t>
      </w:r>
      <w:r w:rsidR="000C1A60" w:rsidRPr="00422245">
        <w:t xml:space="preserve">i 2023 enn for ti år siden, mens det </w:t>
      </w:r>
      <w:r w:rsidR="00000710" w:rsidRPr="00422245">
        <w:t xml:space="preserve">på </w:t>
      </w:r>
      <w:r w:rsidR="006C08FF" w:rsidRPr="00422245">
        <w:t xml:space="preserve">nettbaserte </w:t>
      </w:r>
      <w:r w:rsidR="00000710" w:rsidRPr="00422245">
        <w:t xml:space="preserve">program </w:t>
      </w:r>
      <w:r w:rsidR="006C08FF" w:rsidRPr="00422245">
        <w:t xml:space="preserve">er </w:t>
      </w:r>
      <w:r w:rsidR="000C388C" w:rsidRPr="00422245">
        <w:t xml:space="preserve">nesten dobbelt så mange studenter </w:t>
      </w:r>
      <w:r w:rsidR="009720F2" w:rsidRPr="00422245">
        <w:t xml:space="preserve">per program </w:t>
      </w:r>
      <w:r w:rsidR="009C4799" w:rsidRPr="00422245">
        <w:t xml:space="preserve">i 2023 </w:t>
      </w:r>
      <w:r w:rsidR="006764D1" w:rsidRPr="00422245">
        <w:t>enn</w:t>
      </w:r>
      <w:r w:rsidR="009C4799" w:rsidRPr="00422245">
        <w:t xml:space="preserve"> ti år tidligere. </w:t>
      </w:r>
      <w:r w:rsidR="00092632" w:rsidRPr="00422245">
        <w:t xml:space="preserve">Dette er i tråd med en generell trend </w:t>
      </w:r>
      <w:r w:rsidR="000078C4" w:rsidRPr="00422245">
        <w:t xml:space="preserve">i høyere utdanning i retning av </w:t>
      </w:r>
      <w:r w:rsidR="00D50AEA" w:rsidRPr="00422245">
        <w:t xml:space="preserve">større </w:t>
      </w:r>
      <w:r w:rsidR="00590C29" w:rsidRPr="00422245">
        <w:t xml:space="preserve">programmer </w:t>
      </w:r>
      <w:r w:rsidR="00171700" w:rsidRPr="00422245">
        <w:t>med færre</w:t>
      </w:r>
      <w:r w:rsidR="00C157D7" w:rsidRPr="00422245">
        <w:t xml:space="preserve"> studenter, </w:t>
      </w:r>
      <w:r w:rsidR="002943E5" w:rsidRPr="00422245">
        <w:t xml:space="preserve">som vist i </w:t>
      </w:r>
      <w:r w:rsidR="00000710" w:rsidRPr="00422245">
        <w:t xml:space="preserve">kapittel </w:t>
      </w:r>
      <w:r w:rsidR="00000710" w:rsidRPr="00422245">
        <w:fldChar w:fldCharType="begin"/>
      </w:r>
      <w:r w:rsidR="00000710" w:rsidRPr="00422245">
        <w:instrText xml:space="preserve"> REF _Ref161840944 \r \h </w:instrText>
      </w:r>
      <w:r w:rsidR="00000710" w:rsidRPr="00422245">
        <w:fldChar w:fldCharType="separate"/>
      </w:r>
      <w:r w:rsidR="00000710" w:rsidRPr="00422245">
        <w:t>1</w:t>
      </w:r>
      <w:r w:rsidR="00000710" w:rsidRPr="00422245">
        <w:fldChar w:fldCharType="end"/>
      </w:r>
      <w:r w:rsidR="00092632" w:rsidRPr="00422245">
        <w:t>.</w:t>
      </w:r>
      <w:r w:rsidR="00000710" w:rsidRPr="00422245">
        <w:t xml:space="preserve"> </w:t>
      </w:r>
    </w:p>
    <w:p w14:paraId="44539F18" w14:textId="6D5FE12D" w:rsidR="00555D09" w:rsidRPr="00422245" w:rsidRDefault="00555D09" w:rsidP="008D76B0">
      <w:r w:rsidRPr="00422245">
        <w:t xml:space="preserve">Deltidsprogrammene har i tidligere tilstandsrapporter ikke vært omtalt som en del av det fleksible studietilbudet. Ved å inkludere dem, er </w:t>
      </w:r>
      <w:r w:rsidR="00E64B47" w:rsidRPr="00422245">
        <w:t>årets rapport</w:t>
      </w:r>
      <w:r w:rsidRPr="00422245">
        <w:t xml:space="preserve"> i stand til å </w:t>
      </w:r>
      <w:r w:rsidR="00E64B47" w:rsidRPr="00422245">
        <w:t xml:space="preserve">tegne et </w:t>
      </w:r>
      <w:r w:rsidR="008B164C">
        <w:t>riktigere</w:t>
      </w:r>
      <w:r w:rsidR="00514AC9" w:rsidRPr="00422245">
        <w:t xml:space="preserve"> bilde </w:t>
      </w:r>
      <w:r w:rsidRPr="00422245">
        <w:t xml:space="preserve">av </w:t>
      </w:r>
      <w:r w:rsidR="006F140E" w:rsidRPr="00422245">
        <w:t xml:space="preserve">både </w:t>
      </w:r>
      <w:r w:rsidR="00514AC9" w:rsidRPr="00422245">
        <w:t xml:space="preserve">bredden og volumet av </w:t>
      </w:r>
      <w:r w:rsidR="006F140E" w:rsidRPr="00422245">
        <w:t xml:space="preserve">de </w:t>
      </w:r>
      <w:r w:rsidRPr="00422245">
        <w:t>fleksible utdanning</w:t>
      </w:r>
      <w:r w:rsidR="00514AC9" w:rsidRPr="00422245">
        <w:t>e</w:t>
      </w:r>
      <w:r w:rsidR="006F140E" w:rsidRPr="00422245">
        <w:t>ne</w:t>
      </w:r>
      <w:r w:rsidRPr="00422245">
        <w:t xml:space="preserve"> </w:t>
      </w:r>
      <w:r w:rsidR="006F140E" w:rsidRPr="00422245">
        <w:t xml:space="preserve">som </w:t>
      </w:r>
      <w:r w:rsidRPr="00422245">
        <w:t>norske universiteter og høgskoler tilbyr. Fortsatt vil allikevel en del fleksible tilbud være skjult i statistikken. En gjennomgang av institusjonenes studiekataloger</w:t>
      </w:r>
      <w:r w:rsidR="00506F35" w:rsidRPr="00422245">
        <w:t xml:space="preserve"> HK-dir gjorde i 2023</w:t>
      </w:r>
      <w:r w:rsidRPr="00422245">
        <w:t xml:space="preserve">, viser at relativt mange studieprogram er </w:t>
      </w:r>
      <w:r w:rsidR="00CF30E1" w:rsidRPr="00422245">
        <w:t>organisert som</w:t>
      </w:r>
      <w:r w:rsidRPr="00422245">
        <w:t xml:space="preserve"> periodiske samlinger ved en institusjonscampus</w:t>
      </w:r>
      <w:r w:rsidR="00D206C0">
        <w:t xml:space="preserve"> </w:t>
      </w:r>
      <w:r w:rsidR="00D206C0">
        <w:fldChar w:fldCharType="begin"/>
      </w:r>
      <w:r w:rsidR="0051327B">
        <w:instrText xml:space="preserve"> ADDIN EN.CITE &lt;EndNote&gt;&lt;Cite&gt;&lt;Author&gt;HK-dir&lt;/Author&gt;&lt;Year&gt;2023&lt;/Year&gt;&lt;RecNum&gt;2295&lt;/RecNum&gt;&lt;DisplayText&gt;(HK-dir, 2023a)&lt;/DisplayText&gt;&lt;record&gt;&lt;rec-number&gt;2295&lt;/rec-number&gt;&lt;foreign-keys&gt;&lt;key app="EN" db-id="p2et5feaxrpe5zew2eavt29z05fv09aa5s0w" timestamp="1712398970" guid="852a7a39-ed2e-4a59-b9f0-e19c7773e289"&gt;2295&lt;/key&gt;&lt;/foreign-keys&gt;&lt;ref-type name="Report"&gt;27&lt;/ref-type&gt;&lt;contributors&gt;&lt;authors&gt;&lt;author&gt;HK-dir&lt;/author&gt;&lt;/authors&gt;&lt;tertiary-authors&gt;&lt;author&gt;HK-dir&lt;/author&gt;&lt;/tertiary-authors&gt;&lt;/contributors&gt;&lt;titles&gt;&lt;title&gt;Fleksible profesjonsutdanninger. En undersøkelse av studietilbud og studenter&lt;/title&gt;&lt;/titles&gt;&lt;dates&gt;&lt;year&gt;2023&lt;/year&gt;&lt;/dates&gt;&lt;isbn&gt;2023:8&lt;/isbn&gt;&lt;urls&gt;&lt;related-urls&gt;&lt;url&gt;https://hkdir.no/rapporter-undersokelser-og-statistikk/fleksible-profesjonsutdanninger-en-undersokelse-av-studietilbud-og-studenter&lt;/url&gt;&lt;/related-urls&gt;&lt;/urls&gt;&lt;/record&gt;&lt;/Cite&gt;&lt;/EndNote&gt;</w:instrText>
      </w:r>
      <w:r w:rsidR="00D206C0">
        <w:fldChar w:fldCharType="separate"/>
      </w:r>
      <w:r w:rsidR="00D206C0">
        <w:rPr>
          <w:noProof/>
        </w:rPr>
        <w:t>(HK-dir, 2023a)</w:t>
      </w:r>
      <w:r w:rsidR="00D206C0">
        <w:fldChar w:fldCharType="end"/>
      </w:r>
      <w:r w:rsidRPr="00422245">
        <w:t xml:space="preserve">. Disse programmene representerer fleksibilitet både i tid og rom, men er registrert i den ikke-fleksible kategorien «undervisning ved institusjonen». </w:t>
      </w:r>
      <w:r w:rsidR="00BA4DCD" w:rsidRPr="00422245">
        <w:rPr>
          <w:lang w:eastAsia="nb-NO"/>
        </w:rPr>
        <w:t xml:space="preserve">Dette </w:t>
      </w:r>
      <w:r w:rsidR="00465D60" w:rsidRPr="00422245">
        <w:rPr>
          <w:lang w:eastAsia="nb-NO"/>
        </w:rPr>
        <w:t>viser</w:t>
      </w:r>
      <w:r w:rsidR="00BA4DCD" w:rsidRPr="00422245">
        <w:rPr>
          <w:lang w:eastAsia="nb-NO"/>
        </w:rPr>
        <w:t xml:space="preserve"> at m</w:t>
      </w:r>
      <w:r w:rsidRPr="00422245">
        <w:rPr>
          <w:lang w:eastAsia="nb-NO"/>
        </w:rPr>
        <w:t xml:space="preserve">åten studieprogram registreres på i dag ikke </w:t>
      </w:r>
      <w:r w:rsidR="00465D60" w:rsidRPr="00422245">
        <w:rPr>
          <w:lang w:eastAsia="nb-NO"/>
        </w:rPr>
        <w:t xml:space="preserve">er fullt ut </w:t>
      </w:r>
      <w:r w:rsidRPr="00422245">
        <w:rPr>
          <w:lang w:eastAsia="nb-NO"/>
        </w:rPr>
        <w:t>egnet til å fange opp den økende kompleksiteten som kjennetegner utdanningstilbudet. HK-dir samarbeider med sektoren for å få på plass en mer hensiktsmessig registrering</w:t>
      </w:r>
      <w:r w:rsidR="00021C11">
        <w:rPr>
          <w:lang w:eastAsia="nb-NO"/>
        </w:rPr>
        <w:t>spraksis</w:t>
      </w:r>
      <w:r w:rsidRPr="00422245">
        <w:rPr>
          <w:lang w:eastAsia="nb-NO"/>
        </w:rPr>
        <w:t xml:space="preserve"> </w:t>
      </w:r>
      <w:r w:rsidR="00483750" w:rsidRPr="00422245">
        <w:rPr>
          <w:lang w:eastAsia="nb-NO"/>
        </w:rPr>
        <w:t>på området</w:t>
      </w:r>
      <w:r w:rsidRPr="00422245">
        <w:rPr>
          <w:lang w:eastAsia="nb-NO"/>
        </w:rPr>
        <w:t>.</w:t>
      </w:r>
    </w:p>
    <w:p w14:paraId="5CB98E97" w14:textId="3D5A16F1" w:rsidR="000D255E" w:rsidRPr="00422245" w:rsidRDefault="000D255E" w:rsidP="00293933">
      <w:pPr>
        <w:pStyle w:val="Overskrift2"/>
      </w:pPr>
      <w:bookmarkStart w:id="47" w:name="_Toc163488400"/>
      <w:r w:rsidRPr="00422245">
        <w:t>Inkludering</w:t>
      </w:r>
      <w:bookmarkEnd w:id="47"/>
      <w:r w:rsidRPr="00422245">
        <w:t xml:space="preserve"> </w:t>
      </w:r>
    </w:p>
    <w:p w14:paraId="070A4B6C" w14:textId="3C3F3A17" w:rsidR="00F563BC" w:rsidRPr="00422245" w:rsidRDefault="00BE6989" w:rsidP="00F563BC">
      <w:r>
        <w:t>Regjeringen er opptatt av å gjøre utdanning mer tilgjengelig.</w:t>
      </w:r>
      <w:r w:rsidR="009F3ABE">
        <w:t xml:space="preserve"> (</w:t>
      </w:r>
      <w:r w:rsidR="00100866">
        <w:t>Meld. St. 14 (2022-2023))</w:t>
      </w:r>
      <w:r w:rsidR="00CF1143">
        <w:t xml:space="preserve">. </w:t>
      </w:r>
      <w:r w:rsidR="00C25BEB">
        <w:t>Det handler blant annet om å legge</w:t>
      </w:r>
      <w:r w:rsidR="003C62DB">
        <w:t xml:space="preserve"> utdanningene</w:t>
      </w:r>
      <w:r w:rsidR="00C25BEB">
        <w:t xml:space="preserve"> </w:t>
      </w:r>
      <w:r w:rsidR="003C62DB">
        <w:t xml:space="preserve">godt til rette for studenter med </w:t>
      </w:r>
      <w:r w:rsidR="0036751C">
        <w:t xml:space="preserve">funksjonsnedsettelser </w:t>
      </w:r>
      <w:r w:rsidR="00ED0CDD">
        <w:t xml:space="preserve">og helserelaterte </w:t>
      </w:r>
      <w:r w:rsidR="002648EB">
        <w:t xml:space="preserve">problemer som kan være til hinder for </w:t>
      </w:r>
      <w:r w:rsidR="00493CA1">
        <w:t xml:space="preserve">studier. </w:t>
      </w:r>
      <w:r w:rsidR="00213E8E">
        <w:t>S</w:t>
      </w:r>
      <w:r w:rsidR="00213E8E" w:rsidRPr="00213E8E">
        <w:t>tudenter med funksjonsnedsettelse og studenter med særskilte behov har rett til egnet individuell tilrettelegging etter</w:t>
      </w:r>
      <w:r w:rsidR="00F00CFC">
        <w:t xml:space="preserve"> </w:t>
      </w:r>
      <w:r w:rsidR="00213E8E" w:rsidRPr="00213E8E">
        <w:t>lov om universiteter og høyskoler (§ 4-3 c)</w:t>
      </w:r>
      <w:r w:rsidR="00F00CFC">
        <w:t xml:space="preserve"> </w:t>
      </w:r>
      <w:r w:rsidR="00213E8E" w:rsidRPr="00213E8E">
        <w:t>og</w:t>
      </w:r>
      <w:r w:rsidR="00F00CFC">
        <w:t xml:space="preserve"> </w:t>
      </w:r>
      <w:r w:rsidR="00213E8E" w:rsidRPr="00213E8E">
        <w:t>lov om likestilling og forbud mot diskriminering (kapittel 3).</w:t>
      </w:r>
    </w:p>
    <w:p w14:paraId="5AC1D159" w14:textId="7C758F9D" w:rsidR="008D280D" w:rsidRDefault="00AF23FF" w:rsidP="00F563BC">
      <w:r>
        <w:t xml:space="preserve">Den europeiske studentundersøkelsen Eurostudent </w:t>
      </w:r>
      <w:r w:rsidR="00BA577E">
        <w:t>tar for seg studentenes</w:t>
      </w:r>
      <w:r w:rsidR="00F23EAA">
        <w:t xml:space="preserve"> </w:t>
      </w:r>
      <w:r w:rsidR="003F6748">
        <w:t xml:space="preserve">levekår og studiesituasjon. </w:t>
      </w:r>
      <w:r w:rsidR="002F1A5E">
        <w:t xml:space="preserve">Den spør blant annet studentene </w:t>
      </w:r>
      <w:r w:rsidR="001A5688">
        <w:t xml:space="preserve">om hvorvidt de har helserelaterte utfordringer </w:t>
      </w:r>
      <w:r w:rsidR="00290D27">
        <w:t>som</w:t>
      </w:r>
      <w:r w:rsidR="00F166D3">
        <w:t xml:space="preserve"> </w:t>
      </w:r>
      <w:r w:rsidR="00467933">
        <w:t>påvirker studiene negativt.</w:t>
      </w:r>
      <w:r w:rsidR="00A11B9D">
        <w:t xml:space="preserve"> Den foreløpig siste tilgjengelige </w:t>
      </w:r>
      <w:r w:rsidR="004D2E84">
        <w:t xml:space="preserve">undersøkelsen på europeisk nivå </w:t>
      </w:r>
      <w:r w:rsidR="00E75E90">
        <w:t xml:space="preserve">(Eurostudent 8) </w:t>
      </w:r>
      <w:r w:rsidR="004D2E84">
        <w:t xml:space="preserve">viser </w:t>
      </w:r>
      <w:r w:rsidR="00CA61EE">
        <w:t>svært store forskjeller mellom landene</w:t>
      </w:r>
      <w:r w:rsidR="00B77572">
        <w:t xml:space="preserve"> med noen tydelige mønstre. </w:t>
      </w:r>
      <w:r w:rsidR="000153CA">
        <w:t xml:space="preserve">Studenter </w:t>
      </w:r>
      <w:r w:rsidR="009313F4">
        <w:t xml:space="preserve">i rikere land rapporter </w:t>
      </w:r>
      <w:r w:rsidR="00FB74AB">
        <w:t xml:space="preserve">i lang større grad om begrensende helseproblemer, </w:t>
      </w:r>
      <w:r w:rsidR="00E834D8">
        <w:t xml:space="preserve">og </w:t>
      </w:r>
      <w:r w:rsidR="004E4831">
        <w:t xml:space="preserve">aller største helseproblemer rapporterer </w:t>
      </w:r>
      <w:r w:rsidR="00D06E0F">
        <w:t xml:space="preserve">nordiske land. Aller høyest var tallene for Island, hvor </w:t>
      </w:r>
      <w:r w:rsidR="00F2493D">
        <w:t>31 prosent av studentene rapporterte om begrensende helseproblemer</w:t>
      </w:r>
      <w:r w:rsidR="00E51C9C">
        <w:t xml:space="preserve">. </w:t>
      </w:r>
      <w:r w:rsidR="0047533E">
        <w:t>Dernest fulgte norske studenter med 22 prosent.</w:t>
      </w:r>
      <w:r w:rsidR="0049715A">
        <w:t xml:space="preserve"> </w:t>
      </w:r>
      <w:r w:rsidR="009E5884">
        <w:t>Laveste andel rappo</w:t>
      </w:r>
      <w:r w:rsidR="008B7489">
        <w:t>rterte helseproblemer</w:t>
      </w:r>
      <w:r w:rsidR="00DC5A13">
        <w:t xml:space="preserve"> hadde </w:t>
      </w:r>
      <w:r w:rsidR="008E6224">
        <w:t xml:space="preserve">Romania og Tyrkia, hvor bare </w:t>
      </w:r>
      <w:r w:rsidR="000F445C">
        <w:t xml:space="preserve">5 og 6 prosent </w:t>
      </w:r>
      <w:r w:rsidR="008D0831">
        <w:t xml:space="preserve">oppga å ha </w:t>
      </w:r>
      <w:r w:rsidR="008D0831">
        <w:lastRenderedPageBreak/>
        <w:t>studiebegrensende helseproblemer.</w:t>
      </w:r>
      <w:r w:rsidR="006A6A95">
        <w:t xml:space="preserve"> Vi må anta at de store nasjonale forskjellene ikke </w:t>
      </w:r>
      <w:r w:rsidR="00284C42">
        <w:t xml:space="preserve">primært handler om </w:t>
      </w:r>
      <w:r w:rsidR="00154B58">
        <w:t xml:space="preserve">folkehelse eller </w:t>
      </w:r>
      <w:r w:rsidR="00E530EE">
        <w:t>dårlig tilrettelagt utdanni</w:t>
      </w:r>
      <w:r w:rsidR="007D7678">
        <w:t>ngstilbud i de nordiske landene.</w:t>
      </w:r>
    </w:p>
    <w:p w14:paraId="169978F6" w14:textId="165A5E5B" w:rsidR="00407780" w:rsidRDefault="004D28DA" w:rsidP="00F563BC">
      <w:r>
        <w:t xml:space="preserve">De norske </w:t>
      </w:r>
      <w:r w:rsidR="00EC087C">
        <w:t xml:space="preserve">tallene for Eurostudent 8 </w:t>
      </w:r>
      <w:r w:rsidR="00851E87">
        <w:t xml:space="preserve">viser </w:t>
      </w:r>
      <w:r w:rsidR="00964364">
        <w:t>en kraftig økning</w:t>
      </w:r>
      <w:r w:rsidR="00851E87">
        <w:t xml:space="preserve"> (</w:t>
      </w:r>
      <w:r w:rsidR="00023B48">
        <w:t xml:space="preserve">kraftig økning eller svak nedgang i antall </w:t>
      </w:r>
      <w:r w:rsidR="00AB4DA9">
        <w:t>studenter som rapporterer om helseproblemer).</w:t>
      </w:r>
      <w:r w:rsidR="00D56196">
        <w:t xml:space="preserve"> </w:t>
      </w:r>
      <w:r w:rsidR="000429EC">
        <w:t xml:space="preserve">Totalt oppga 31 prosent av </w:t>
      </w:r>
      <w:r w:rsidR="009E6A5E">
        <w:t xml:space="preserve">de norske </w:t>
      </w:r>
      <w:r w:rsidR="000429EC">
        <w:t xml:space="preserve">respondentene </w:t>
      </w:r>
      <w:r w:rsidR="009E6A5E">
        <w:t xml:space="preserve">i Eurostudent 8 at </w:t>
      </w:r>
      <w:r w:rsidR="00B732EF">
        <w:t>de hadde en form for funksjonsnedsettelse.</w:t>
      </w:r>
      <w:r w:rsidR="00CA5DF1">
        <w:t xml:space="preserve"> </w:t>
      </w:r>
      <w:r w:rsidR="00CA5DF1" w:rsidRPr="00CA5DF1">
        <w:t>v6_13, Andel studenter med ulike funksjonsnedsettelser, 2022</w:t>
      </w:r>
      <w:r w:rsidR="00850507">
        <w:t>.</w:t>
      </w:r>
    </w:p>
    <w:p w14:paraId="4CEF6981" w14:textId="6800FF5A" w:rsidR="00C50B2F" w:rsidRDefault="00C50B2F" w:rsidP="00C50B2F">
      <w:pPr>
        <w:pStyle w:val="Bildetekst"/>
        <w:keepNext/>
      </w:pPr>
      <w:r>
        <w:t xml:space="preserve">Tabell </w:t>
      </w:r>
      <w:r w:rsidR="00826DA7">
        <w:fldChar w:fldCharType="begin"/>
      </w:r>
      <w:r w:rsidR="00826DA7">
        <w:instrText xml:space="preserve"> STYLEREF 1 \s </w:instrText>
      </w:r>
      <w:r w:rsidR="00826DA7">
        <w:fldChar w:fldCharType="separate"/>
      </w:r>
      <w:r w:rsidR="00826DA7">
        <w:rPr>
          <w:noProof/>
        </w:rPr>
        <w:t>3</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1</w:t>
      </w:r>
      <w:r w:rsidR="00826DA7">
        <w:fldChar w:fldCharType="end"/>
      </w:r>
      <w:r>
        <w:t xml:space="preserve"> </w:t>
      </w:r>
      <w:r w:rsidRPr="00B476A4">
        <w:t>Andel studenter med ulike funksjonsnedsettelser, 2022</w:t>
      </w:r>
      <w:r w:rsidR="00C03FCB">
        <w:t>. n=7720</w:t>
      </w:r>
    </w:p>
    <w:tbl>
      <w:tblPr>
        <w:tblStyle w:val="Listetabell3uthevingsfarge2"/>
        <w:tblW w:w="8154" w:type="dxa"/>
        <w:tblLook w:val="04A0" w:firstRow="1" w:lastRow="0" w:firstColumn="1" w:lastColumn="0" w:noHBand="0" w:noVBand="1"/>
      </w:tblPr>
      <w:tblGrid>
        <w:gridCol w:w="7155"/>
        <w:gridCol w:w="999"/>
      </w:tblGrid>
      <w:tr w:rsidR="00EC7BA9" w:rsidRPr="00824589" w14:paraId="77FAE67A" w14:textId="77777777" w:rsidTr="003C1CA6">
        <w:trPr>
          <w:cnfStyle w:val="100000000000" w:firstRow="1" w:lastRow="0" w:firstColumn="0" w:lastColumn="0" w:oddVBand="0" w:evenVBand="0" w:oddHBand="0" w:evenHBand="0" w:firstRowFirstColumn="0" w:firstRowLastColumn="0" w:lastRowFirstColumn="0" w:lastRowLastColumn="0"/>
          <w:trHeight w:val="364"/>
        </w:trPr>
        <w:tc>
          <w:tcPr>
            <w:cnfStyle w:val="001000000100" w:firstRow="0" w:lastRow="0" w:firstColumn="1" w:lastColumn="0" w:oddVBand="0" w:evenVBand="0" w:oddHBand="0" w:evenHBand="0" w:firstRowFirstColumn="1" w:firstRowLastColumn="0" w:lastRowFirstColumn="0" w:lastRowLastColumn="0"/>
            <w:tcW w:w="0" w:type="auto"/>
            <w:hideMark/>
          </w:tcPr>
          <w:p w14:paraId="39F9451B" w14:textId="77777777" w:rsidR="00EF2F19" w:rsidRPr="00824589" w:rsidRDefault="00EF2F19">
            <w:pPr>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Kronisk sykdom</w:t>
            </w:r>
          </w:p>
        </w:tc>
        <w:tc>
          <w:tcPr>
            <w:tcW w:w="999" w:type="dxa"/>
            <w:hideMark/>
          </w:tcPr>
          <w:p w14:paraId="2ADCE99D" w14:textId="4ECB9772" w:rsidR="00EF2F19" w:rsidRPr="00824589" w:rsidRDefault="00EF2F19">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10 %</w:t>
            </w:r>
          </w:p>
        </w:tc>
      </w:tr>
      <w:tr w:rsidR="00EC7BA9" w:rsidRPr="00824589" w14:paraId="3C66F3F6" w14:textId="77777777" w:rsidTr="003C1CA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hideMark/>
          </w:tcPr>
          <w:p w14:paraId="6F68CA3B" w14:textId="77777777" w:rsidR="00EF2F19" w:rsidRPr="00824589" w:rsidRDefault="00EF2F19">
            <w:pPr>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Psykiske problemer</w:t>
            </w:r>
          </w:p>
        </w:tc>
        <w:tc>
          <w:tcPr>
            <w:tcW w:w="999" w:type="dxa"/>
            <w:hideMark/>
          </w:tcPr>
          <w:p w14:paraId="222339A3" w14:textId="4A8F00D0" w:rsidR="00EF2F19" w:rsidRPr="00824589" w:rsidRDefault="00EF2F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10 %</w:t>
            </w:r>
          </w:p>
        </w:tc>
      </w:tr>
      <w:tr w:rsidR="00EC7BA9" w:rsidRPr="00824589" w14:paraId="7C7341F9" w14:textId="77777777" w:rsidTr="003C1CA6">
        <w:trPr>
          <w:trHeight w:val="364"/>
        </w:trPr>
        <w:tc>
          <w:tcPr>
            <w:cnfStyle w:val="001000000000" w:firstRow="0" w:lastRow="0" w:firstColumn="1" w:lastColumn="0" w:oddVBand="0" w:evenVBand="0" w:oddHBand="0" w:evenHBand="0" w:firstRowFirstColumn="0" w:firstRowLastColumn="0" w:lastRowFirstColumn="0" w:lastRowLastColumn="0"/>
            <w:tcW w:w="0" w:type="auto"/>
            <w:hideMark/>
          </w:tcPr>
          <w:p w14:paraId="54AA04B9" w14:textId="77777777" w:rsidR="00EF2F19" w:rsidRPr="00824589" w:rsidRDefault="00EF2F19">
            <w:pPr>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Fysiske problemer</w:t>
            </w:r>
          </w:p>
        </w:tc>
        <w:tc>
          <w:tcPr>
            <w:tcW w:w="999" w:type="dxa"/>
            <w:hideMark/>
          </w:tcPr>
          <w:p w14:paraId="19841DAD" w14:textId="4723C3C8" w:rsidR="00EF2F19" w:rsidRPr="00824589" w:rsidRDefault="0087092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nb-NO"/>
              </w:rPr>
            </w:pPr>
            <w:r>
              <w:rPr>
                <w:rFonts w:ascii="Calibri" w:eastAsia="Times New Roman" w:hAnsi="Calibri" w:cs="Calibri"/>
                <w:sz w:val="24"/>
                <w:szCs w:val="24"/>
                <w:lang w:eastAsia="nb-NO"/>
              </w:rPr>
              <w:t>5</w:t>
            </w:r>
            <w:r w:rsidR="00EF2F19" w:rsidRPr="00824589">
              <w:rPr>
                <w:rFonts w:ascii="Calibri" w:eastAsia="Times New Roman" w:hAnsi="Calibri" w:cs="Calibri"/>
                <w:sz w:val="24"/>
                <w:szCs w:val="24"/>
                <w:lang w:eastAsia="nb-NO"/>
              </w:rPr>
              <w:t xml:space="preserve"> %</w:t>
            </w:r>
          </w:p>
        </w:tc>
      </w:tr>
      <w:tr w:rsidR="00EC7BA9" w:rsidRPr="00824589" w14:paraId="6D34D4E0" w14:textId="77777777" w:rsidTr="003C1CA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hideMark/>
          </w:tcPr>
          <w:p w14:paraId="6CB6DC46" w14:textId="77777777" w:rsidR="00EF2F19" w:rsidRPr="00824589" w:rsidRDefault="00EF2F19">
            <w:pPr>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Problemer med hørsel eller syn</w:t>
            </w:r>
          </w:p>
        </w:tc>
        <w:tc>
          <w:tcPr>
            <w:tcW w:w="999" w:type="dxa"/>
            <w:hideMark/>
          </w:tcPr>
          <w:p w14:paraId="3E2D5C25" w14:textId="7BA77296" w:rsidR="00EF2F19" w:rsidRPr="00824589" w:rsidRDefault="0087092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nb-NO"/>
              </w:rPr>
            </w:pPr>
            <w:r>
              <w:rPr>
                <w:rFonts w:ascii="Calibri" w:eastAsia="Times New Roman" w:hAnsi="Calibri" w:cs="Calibri"/>
                <w:sz w:val="24"/>
                <w:szCs w:val="24"/>
                <w:lang w:eastAsia="nb-NO"/>
              </w:rPr>
              <w:t>5</w:t>
            </w:r>
            <w:r w:rsidR="00EF2F19" w:rsidRPr="00824589">
              <w:rPr>
                <w:rFonts w:ascii="Calibri" w:eastAsia="Times New Roman" w:hAnsi="Calibri" w:cs="Calibri"/>
                <w:sz w:val="24"/>
                <w:szCs w:val="24"/>
                <w:lang w:eastAsia="nb-NO"/>
              </w:rPr>
              <w:t xml:space="preserve"> %</w:t>
            </w:r>
          </w:p>
        </w:tc>
      </w:tr>
      <w:tr w:rsidR="00EC7BA9" w:rsidRPr="00824589" w14:paraId="38625B7B" w14:textId="77777777" w:rsidTr="003C1CA6">
        <w:trPr>
          <w:trHeight w:val="364"/>
        </w:trPr>
        <w:tc>
          <w:tcPr>
            <w:cnfStyle w:val="001000000000" w:firstRow="0" w:lastRow="0" w:firstColumn="1" w:lastColumn="0" w:oddVBand="0" w:evenVBand="0" w:oddHBand="0" w:evenHBand="0" w:firstRowFirstColumn="0" w:firstRowLastColumn="0" w:lastRowFirstColumn="0" w:lastRowLastColumn="0"/>
            <w:tcW w:w="0" w:type="auto"/>
            <w:hideMark/>
          </w:tcPr>
          <w:p w14:paraId="1ED7829F" w14:textId="77777777" w:rsidR="00EF2F19" w:rsidRPr="00824589" w:rsidRDefault="00EF2F19">
            <w:pPr>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Lærevansker, f,eks, dysleksi</w:t>
            </w:r>
          </w:p>
        </w:tc>
        <w:tc>
          <w:tcPr>
            <w:tcW w:w="999" w:type="dxa"/>
            <w:hideMark/>
          </w:tcPr>
          <w:p w14:paraId="4CBAE14E" w14:textId="0CCBB836" w:rsidR="00EF2F19" w:rsidRPr="00824589" w:rsidRDefault="00EF2F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6 %</w:t>
            </w:r>
          </w:p>
        </w:tc>
      </w:tr>
      <w:tr w:rsidR="008D2153" w:rsidRPr="00824589" w14:paraId="7B93AE6D" w14:textId="77777777" w:rsidTr="003C1CA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0" w:type="auto"/>
            <w:hideMark/>
          </w:tcPr>
          <w:p w14:paraId="305C57F9" w14:textId="77777777" w:rsidR="00EF2F19" w:rsidRPr="00824589" w:rsidRDefault="00EF2F19">
            <w:pPr>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Andre langvarige helseproblemer/funksjonsnedsettelser o,l,</w:t>
            </w:r>
          </w:p>
        </w:tc>
        <w:tc>
          <w:tcPr>
            <w:tcW w:w="999" w:type="dxa"/>
            <w:hideMark/>
          </w:tcPr>
          <w:p w14:paraId="61A7C093" w14:textId="2C8F01C5" w:rsidR="00EF2F19" w:rsidRPr="00824589" w:rsidRDefault="00EF2F1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4 %</w:t>
            </w:r>
          </w:p>
        </w:tc>
      </w:tr>
      <w:tr w:rsidR="00EC7BA9" w:rsidRPr="00824589" w14:paraId="289EB551" w14:textId="77777777" w:rsidTr="003C1CA6">
        <w:trPr>
          <w:trHeight w:val="364"/>
        </w:trPr>
        <w:tc>
          <w:tcPr>
            <w:cnfStyle w:val="001000000000" w:firstRow="0" w:lastRow="0" w:firstColumn="1" w:lastColumn="0" w:oddVBand="0" w:evenVBand="0" w:oddHBand="0" w:evenHBand="0" w:firstRowFirstColumn="0" w:firstRowLastColumn="0" w:lastRowFirstColumn="0" w:lastRowLastColumn="0"/>
            <w:tcW w:w="0" w:type="auto"/>
            <w:hideMark/>
          </w:tcPr>
          <w:p w14:paraId="6B97826E" w14:textId="77777777" w:rsidR="00EF2F19" w:rsidRPr="00824589" w:rsidRDefault="00EF2F19">
            <w:pPr>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Ingen funksjonsnedsettelser</w:t>
            </w:r>
          </w:p>
        </w:tc>
        <w:tc>
          <w:tcPr>
            <w:tcW w:w="999" w:type="dxa"/>
            <w:hideMark/>
          </w:tcPr>
          <w:p w14:paraId="2E73B976" w14:textId="04EC3722" w:rsidR="00EF2F19" w:rsidRPr="00824589" w:rsidRDefault="00EF2F1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4"/>
                <w:szCs w:val="24"/>
                <w:lang w:eastAsia="nb-NO"/>
              </w:rPr>
            </w:pPr>
            <w:r w:rsidRPr="00824589">
              <w:rPr>
                <w:rFonts w:ascii="Calibri" w:eastAsia="Times New Roman" w:hAnsi="Calibri" w:cs="Calibri"/>
                <w:sz w:val="24"/>
                <w:szCs w:val="24"/>
                <w:lang w:eastAsia="nb-NO"/>
              </w:rPr>
              <w:t>69 %</w:t>
            </w:r>
          </w:p>
        </w:tc>
      </w:tr>
    </w:tbl>
    <w:p w14:paraId="5D109B8B" w14:textId="3C605012" w:rsidR="00416BB7" w:rsidRDefault="00C03FCB" w:rsidP="00AA6C54">
      <w:pPr>
        <w:pStyle w:val="Kilde"/>
      </w:pPr>
      <w:r w:rsidRPr="004E373E">
        <w:rPr>
          <w:b/>
        </w:rPr>
        <w:t>Kilde</w:t>
      </w:r>
      <w:r>
        <w:t xml:space="preserve">: </w:t>
      </w:r>
      <w:r w:rsidR="00BE68B0">
        <w:t>Statistisk sentralbyrå, Eurostudent 8</w:t>
      </w:r>
    </w:p>
    <w:p w14:paraId="73FDFB9B" w14:textId="6CF1A32C" w:rsidR="003C5C97" w:rsidRPr="005B2D7D" w:rsidRDefault="003C5C97" w:rsidP="00F563BC">
      <w:r>
        <w:t xml:space="preserve">NIFU </w:t>
      </w:r>
      <w:r w:rsidR="00F174E8">
        <w:t xml:space="preserve">publiserte </w:t>
      </w:r>
      <w:r w:rsidR="00FC6C58">
        <w:t xml:space="preserve">i </w:t>
      </w:r>
      <w:r w:rsidR="00965899">
        <w:t>2023</w:t>
      </w:r>
      <w:r w:rsidR="00FC6C58">
        <w:t xml:space="preserve"> en rapport med analyser om ulike </w:t>
      </w:r>
      <w:r w:rsidR="00D93A84">
        <w:t>gruppers</w:t>
      </w:r>
      <w:r w:rsidR="00FC6C58">
        <w:t xml:space="preserve"> representasjon i høyere utdanning</w:t>
      </w:r>
      <w:r w:rsidR="00E0461E">
        <w:t xml:space="preserve"> </w:t>
      </w:r>
      <w:r w:rsidR="00E0461E">
        <w:fldChar w:fldCharType="begin"/>
      </w:r>
      <w:r w:rsidR="00F77700">
        <w:instrText xml:space="preserve"> ADDIN EN.CITE &lt;EndNote&gt;&lt;Cite&gt;&lt;Author&gt;Korseberg&lt;/Author&gt;&lt;Year&gt;2023&lt;/Year&gt;&lt;RecNum&gt;2267&lt;/RecNum&gt;&lt;DisplayText&gt;(Korseberg et al., 2023)&lt;/DisplayText&gt;&lt;record&gt;&lt;rec-number&gt;2267&lt;/rec-number&gt;&lt;foreign-keys&gt;&lt;key app="EN" db-id="p2et5feaxrpe5zew2eavt29z05fv09aa5s0w" timestamp="1712309879" guid="562eb936-6b12-406a-b7cd-1a22d73ada3f"&gt;2267&lt;/key&gt;&lt;/foreign-keys&gt;&lt;ref-type name="Report"&gt;27&lt;/ref-type&gt;&lt;contributors&gt;&lt;authors&gt;&lt;author&gt;Korseberg, Lene Kirstine&lt;/author&gt;&lt;author&gt;Stubhaug, Magnus Eliasson&lt;/author&gt;&lt;author&gt;Ballo, Jannike Gottschalk&lt;/author&gt;&lt;author&gt;Drange, Christina Vogsted Fossum, Lone Wanderås&lt;/author&gt;&lt;/authors&gt;&lt;/contributors&gt;&lt;titles&gt;&lt;title&gt;Høyere utdanning for alle? En kartlegging av representasjon, deltakelse og tilgjengelighet i norsk høyere utdanning&lt;/title&gt;&lt;secondary-title&gt;NIFU rapport&lt;/secondary-title&gt;&lt;/titles&gt;&lt;dates&gt;&lt;year&gt;2023&lt;/year&gt;&lt;/dates&gt;&lt;publisher&gt;NIFU&lt;/publisher&gt;&lt;isbn&gt;23&lt;/isbn&gt;&lt;urls&gt;&lt;related-urls&gt;&lt;url&gt;https://nifu.brage.unit.no/nifu-xmlui/handle/11250/3117072&lt;/url&gt;&lt;/related-urls&gt;&lt;/urls&gt;&lt;/record&gt;&lt;/Cite&gt;&lt;/EndNote&gt;</w:instrText>
      </w:r>
      <w:r w:rsidR="00E0461E">
        <w:fldChar w:fldCharType="separate"/>
      </w:r>
      <w:r w:rsidR="00E0461E">
        <w:rPr>
          <w:noProof/>
        </w:rPr>
        <w:t>(Korseberg et al., 2023)</w:t>
      </w:r>
      <w:r w:rsidR="00E0461E">
        <w:fldChar w:fldCharType="end"/>
      </w:r>
      <w:r w:rsidR="00FC6C58">
        <w:t xml:space="preserve">. </w:t>
      </w:r>
      <w:r w:rsidR="00051990">
        <w:t>En av ko</w:t>
      </w:r>
      <w:r w:rsidR="00D93A84">
        <w:t>nklusjonene var at personer</w:t>
      </w:r>
      <w:r w:rsidR="00DE4E6C">
        <w:t xml:space="preserve"> med </w:t>
      </w:r>
      <w:r w:rsidR="00127B89">
        <w:t>funks</w:t>
      </w:r>
      <w:r w:rsidR="006906E8">
        <w:t xml:space="preserve">jonsnedsettelser søker seg til høyere utdanning, men at </w:t>
      </w:r>
      <w:r w:rsidR="00A16D7C">
        <w:t>mange faller fra allerede før studiestart.</w:t>
      </w:r>
      <w:r w:rsidR="00965899">
        <w:t xml:space="preserve"> </w:t>
      </w:r>
      <w:r w:rsidR="008118E7">
        <w:t xml:space="preserve">NIFU så på gruppen som har mottatt «grunn- og hjelpestønad», dvs. </w:t>
      </w:r>
      <w:r w:rsidR="009A0E1D">
        <w:t xml:space="preserve"> </w:t>
      </w:r>
      <w:r w:rsidR="00A1184D">
        <w:t>ytelser som gis til personer med medfødt eller varig skade, sykdom eller funksjonsnedsettelse og skal dekke behov for langvarig privat pleie og tilsyn eller utgifter som friske personer og personer uten funksjonsnedsettelser ikke har</w:t>
      </w:r>
      <w:r w:rsidR="004A65FC">
        <w:t xml:space="preserve">. </w:t>
      </w:r>
      <w:r w:rsidR="001C3BA2">
        <w:t xml:space="preserve">Analysen viste at </w:t>
      </w:r>
      <w:r w:rsidR="00DE42B5">
        <w:t xml:space="preserve">personer som har mottatt grunn- og hjelpestønad har </w:t>
      </w:r>
      <w:r w:rsidR="00A46D24">
        <w:t xml:space="preserve">betydelig lavere deltakelse i høyere utdanning enn den øvrige befolkningen. </w:t>
      </w:r>
      <w:r w:rsidR="003D4F1B" w:rsidRPr="003D4F1B">
        <w:t xml:space="preserve">Selv om personer som har mottatt grunn- og hjelpestønad i like stor grad både søker og får tilbud om studieplass sammenlignet med den øvrige befolkningen, er andelen som begynner i høyere utdanning omtrent fire prosentpoeng lavere. </w:t>
      </w:r>
      <w:r w:rsidR="00975D3E">
        <w:t>T</w:t>
      </w:r>
      <w:r w:rsidR="003D4F1B" w:rsidRPr="003D4F1B">
        <w:t xml:space="preserve">ilgang på helsetjenester, økonomi, tilrettelagt bosted og tilrettelegging ved studiestedet </w:t>
      </w:r>
      <w:r w:rsidR="00975D3E">
        <w:t>er alle</w:t>
      </w:r>
      <w:r w:rsidR="003D4F1B" w:rsidRPr="003D4F1B">
        <w:t xml:space="preserve"> faktorer som gjør at personer med funksjonsnedsettelser vegrer seg for å starte i høyere utdanning.</w:t>
      </w:r>
      <w:r w:rsidR="00975D3E">
        <w:t xml:space="preserve"> </w:t>
      </w:r>
      <w:r w:rsidR="008B2EA5">
        <w:t>Rapporten viser også at foreldrenes utdanningsbakgrunn er en enda viktig</w:t>
      </w:r>
      <w:r w:rsidR="009A41EC">
        <w:t xml:space="preserve">ere faktor for denne gruppen enn for </w:t>
      </w:r>
      <w:r w:rsidR="00E13446">
        <w:t>befolkningen ellers</w:t>
      </w:r>
      <w:r w:rsidR="009A41EC">
        <w:t>.</w:t>
      </w:r>
    </w:p>
    <w:p w14:paraId="51116BB1" w14:textId="77777777" w:rsidR="009E49D5" w:rsidRDefault="009E49D5" w:rsidP="00A1184D"/>
    <w:p w14:paraId="6DABAFC6" w14:textId="7A788E22" w:rsidR="00BE68B0" w:rsidRPr="00287AB1" w:rsidRDefault="00287AB1" w:rsidP="000D43B2">
      <w:pPr>
        <w:pStyle w:val="Overskrift3"/>
        <w:spacing w:before="288"/>
      </w:pPr>
      <w:bookmarkStart w:id="48" w:name="_Toc163488401"/>
      <w:r w:rsidRPr="00287AB1">
        <w:t xml:space="preserve">Økt bruk av Lånekassens </w:t>
      </w:r>
      <w:r w:rsidR="00F04C2B">
        <w:t>tilleggsstipend</w:t>
      </w:r>
      <w:bookmarkEnd w:id="48"/>
    </w:p>
    <w:p w14:paraId="75A643FD" w14:textId="1BE5450A" w:rsidR="00FA4D91" w:rsidRPr="00FA4D91" w:rsidRDefault="00BE0B8C" w:rsidP="00F563BC">
      <w:pPr>
        <w:rPr>
          <w:b/>
          <w:bCs/>
        </w:rPr>
      </w:pPr>
      <w:r>
        <w:t xml:space="preserve">Studenter som </w:t>
      </w:r>
      <w:r w:rsidRPr="00EA6EC5">
        <w:t>har nedsatt funksjonsevne og derfor ikke kan jobbe ved siden av studiene, kan få et tilleggsstipend</w:t>
      </w:r>
      <w:r>
        <w:t xml:space="preserve"> fra Lånekassen.</w:t>
      </w:r>
      <w:r w:rsidR="00FF3026">
        <w:rPr>
          <w:rStyle w:val="Fotnotereferanse"/>
        </w:rPr>
        <w:footnoteReference w:id="10"/>
      </w:r>
      <w:r>
        <w:t xml:space="preserve"> </w:t>
      </w:r>
      <w:r w:rsidR="005E5C13">
        <w:t>Ordningen ble innført i studieåret 2011–2012</w:t>
      </w:r>
      <w:r w:rsidR="00E947DF">
        <w:t xml:space="preserve">, og </w:t>
      </w:r>
      <w:r w:rsidR="000B2D4E">
        <w:t xml:space="preserve">den gang </w:t>
      </w:r>
      <w:r w:rsidR="00A04748">
        <w:t xml:space="preserve">mottok 505 studenter slikt stipend. </w:t>
      </w:r>
      <w:r w:rsidR="00A8027F">
        <w:t xml:space="preserve">I 2023 </w:t>
      </w:r>
      <w:r w:rsidR="00EE0CA0">
        <w:t>kan studentene motta stipend på inntil</w:t>
      </w:r>
      <w:r w:rsidR="00A8027F">
        <w:t xml:space="preserve"> </w:t>
      </w:r>
      <w:r w:rsidR="00891CCC">
        <w:t>4</w:t>
      </w:r>
      <w:r w:rsidR="00753434">
        <w:t> </w:t>
      </w:r>
      <w:r w:rsidR="00891CCC">
        <w:t xml:space="preserve">280 kroner per måned. </w:t>
      </w:r>
      <w:r w:rsidR="008855CA">
        <w:fldChar w:fldCharType="begin"/>
      </w:r>
      <w:r w:rsidR="008855CA">
        <w:instrText xml:space="preserve"> REF _Ref163121474 \h </w:instrText>
      </w:r>
      <w:r w:rsidR="008855CA">
        <w:fldChar w:fldCharType="separate"/>
      </w:r>
      <w:r w:rsidR="008855CA">
        <w:t xml:space="preserve">Figur </w:t>
      </w:r>
      <w:r w:rsidR="008B57B9">
        <w:rPr>
          <w:noProof/>
        </w:rPr>
        <w:t>3</w:t>
      </w:r>
      <w:r w:rsidR="008B57B9">
        <w:noBreakHyphen/>
      </w:r>
      <w:r w:rsidR="008B57B9">
        <w:rPr>
          <w:noProof/>
        </w:rPr>
        <w:t>5</w:t>
      </w:r>
      <w:r w:rsidR="008855CA">
        <w:fldChar w:fldCharType="end"/>
      </w:r>
      <w:r w:rsidR="00A04748">
        <w:t xml:space="preserve"> </w:t>
      </w:r>
      <w:r w:rsidR="00F04C2B">
        <w:t xml:space="preserve">viser at bruken har økt kraftig siden da. </w:t>
      </w:r>
      <w:r>
        <w:t>Per 2023 er det om lag 4 prosent av den totale studentmassen i Norge som får dette tilleggsstipendet.</w:t>
      </w:r>
    </w:p>
    <w:p w14:paraId="6DD9921A" w14:textId="680F8A11" w:rsidR="008855CA" w:rsidRDefault="008855CA" w:rsidP="008855CA">
      <w:pPr>
        <w:pStyle w:val="Bildetekst"/>
        <w:keepNext/>
      </w:pPr>
      <w:bookmarkStart w:id="49" w:name="_Ref163121474"/>
      <w:r>
        <w:t xml:space="preserve">Figur </w:t>
      </w:r>
      <w:r w:rsidR="006E1D94">
        <w:fldChar w:fldCharType="begin"/>
      </w:r>
      <w:r w:rsidR="006E1D94">
        <w:instrText xml:space="preserve"> STYLEREF 1 \s </w:instrText>
      </w:r>
      <w:r w:rsidR="006E1D94">
        <w:fldChar w:fldCharType="separate"/>
      </w:r>
      <w:r w:rsidR="006E1D94">
        <w:rPr>
          <w:noProof/>
        </w:rPr>
        <w:t>3</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5</w:t>
      </w:r>
      <w:r w:rsidR="006E1D94">
        <w:fldChar w:fldCharType="end"/>
      </w:r>
      <w:bookmarkEnd w:id="49"/>
      <w:r>
        <w:t xml:space="preserve"> </w:t>
      </w:r>
      <w:r w:rsidRPr="007D67A7">
        <w:t>Lånekassens tilleggsstipend.</w:t>
      </w:r>
      <w:r>
        <w:t xml:space="preserve"> Antall mottakere</w:t>
      </w:r>
    </w:p>
    <w:p w14:paraId="090F64C2" w14:textId="261CF90C" w:rsidR="008254B1" w:rsidRDefault="00264904" w:rsidP="00F563BC">
      <w:r>
        <w:rPr>
          <w:noProof/>
        </w:rPr>
        <w:drawing>
          <wp:inline distT="0" distB="0" distL="0" distR="0" wp14:anchorId="408B14E8" wp14:editId="0AFC210D">
            <wp:extent cx="4572000" cy="2743200"/>
            <wp:effectExtent l="0" t="0" r="0" b="0"/>
            <wp:docPr id="565616510" name="Diagram 1">
              <a:extLst xmlns:a="http://schemas.openxmlformats.org/drawingml/2006/main">
                <a:ext uri="{FF2B5EF4-FFF2-40B4-BE49-F238E27FC236}">
                  <a16:creationId xmlns:a16="http://schemas.microsoft.com/office/drawing/2014/main" id="{A7090715-AF46-BDAB-23B2-FDFCF94CD7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587B70" w14:textId="31FD4509" w:rsidR="00810903" w:rsidRDefault="00810903" w:rsidP="00AA6C54">
      <w:pPr>
        <w:pStyle w:val="Kilde"/>
      </w:pPr>
      <w:r w:rsidRPr="004E373E">
        <w:rPr>
          <w:b/>
        </w:rPr>
        <w:t>Kilde</w:t>
      </w:r>
      <w:r>
        <w:t>: Lånekassen</w:t>
      </w:r>
    </w:p>
    <w:p w14:paraId="25A518B0" w14:textId="50F8405A" w:rsidR="00CF1143" w:rsidRPr="008A0523" w:rsidRDefault="008A0523" w:rsidP="00AA6C54">
      <w:pPr>
        <w:pStyle w:val="Overskrift3"/>
        <w:spacing w:before="288"/>
      </w:pPr>
      <w:bookmarkStart w:id="50" w:name="_Toc163488402"/>
      <w:r w:rsidRPr="008A0523">
        <w:t>T</w:t>
      </w:r>
      <w:r w:rsidR="00810903" w:rsidRPr="008A0523">
        <w:t>ilrettelegging</w:t>
      </w:r>
      <w:bookmarkEnd w:id="50"/>
      <w:r w:rsidR="00A875EC">
        <w:t xml:space="preserve"> </w:t>
      </w:r>
    </w:p>
    <w:p w14:paraId="788A3E78" w14:textId="3998DA10" w:rsidR="00261A74" w:rsidRPr="00896AD0" w:rsidRDefault="00261A74" w:rsidP="00261A74">
      <w:pPr>
        <w:rPr>
          <w:lang w:val="nn-NO"/>
        </w:rPr>
      </w:pPr>
      <w:r w:rsidRPr="00896AD0">
        <w:rPr>
          <w:lang w:val="nn-NO"/>
        </w:rPr>
        <w:t xml:space="preserve">Studenter med syns- eller lesevansker kan låne tilrettelagt studielitteratur fra Nasjonalbiblioteket. Tilbudet er gratis og tilgjengelig for studenter på universitet, høyskole og fagskole. Disse bøkene er en kombinasjon av lyd og digital tekst, digitale bøker og punktskriftsbøker. </w:t>
      </w:r>
    </w:p>
    <w:p w14:paraId="208B6D51" w14:textId="44CDC6D6" w:rsidR="00261A74" w:rsidRPr="00AC17E6" w:rsidRDefault="00261A74" w:rsidP="00261A74">
      <w:r w:rsidRPr="00896AD0">
        <w:rPr>
          <w:lang w:val="nn-NO"/>
        </w:rPr>
        <w:t xml:space="preserve">Det er kun studenter med nedsatt syn som kan få produsert nye bøker gjennom tjenestene Nasjonalbiblioteket har for tilrettelagt litteratur. Andre studenter som har utfordringer med å lese trykt tekst kan låne disse eksemplarene. Den største </w:t>
      </w:r>
      <w:r w:rsidRPr="00896AD0">
        <w:rPr>
          <w:lang w:val="nn-NO"/>
        </w:rPr>
        <w:lastRenderedPageBreak/>
        <w:t xml:space="preserve">gruppen her er studenter med lese- og skrivevansker. </w:t>
      </w:r>
      <w:r w:rsidR="00A922A8" w:rsidRPr="00896AD0">
        <w:rPr>
          <w:lang w:val="nn-NO"/>
        </w:rPr>
        <w:t>Det er</w:t>
      </w:r>
      <w:r w:rsidRPr="00896AD0">
        <w:rPr>
          <w:lang w:val="nn-NO"/>
        </w:rPr>
        <w:t xml:space="preserve"> en stor årlig utlånsvekst og mange nye lånere som registreres av Nasjonalbiblioteket. Dette synliggjør et omfattende behov for alternativer til trykt litteratur.</w:t>
      </w:r>
      <w:r w:rsidR="0030149D" w:rsidRPr="00896AD0">
        <w:rPr>
          <w:lang w:val="nn-NO"/>
        </w:rPr>
        <w:t xml:space="preserve"> </w:t>
      </w:r>
      <w:r w:rsidR="00E315B3" w:rsidRPr="00AC17E6">
        <w:t xml:space="preserve">I 2023 </w:t>
      </w:r>
      <w:r w:rsidR="007E572D" w:rsidRPr="00AC17E6">
        <w:t>var</w:t>
      </w:r>
      <w:r w:rsidR="00E315B3" w:rsidRPr="00AC17E6">
        <w:t xml:space="preserve"> det </w:t>
      </w:r>
      <w:r w:rsidR="007E572D" w:rsidRPr="00AC17E6">
        <w:t>163 000</w:t>
      </w:r>
      <w:r w:rsidRPr="00AC17E6">
        <w:t xml:space="preserve"> utlån av studielitteratur</w:t>
      </w:r>
      <w:r w:rsidR="007E572D" w:rsidRPr="00AC17E6">
        <w:t>,</w:t>
      </w:r>
      <w:r w:rsidRPr="00AC17E6">
        <w:t xml:space="preserve"> en økning på 18 prosent fra året før. </w:t>
      </w:r>
      <w:r w:rsidR="005864B4" w:rsidRPr="00AC17E6">
        <w:t xml:space="preserve">Samme år ble det innmeldt </w:t>
      </w:r>
      <w:r w:rsidR="00BD0680" w:rsidRPr="00AC17E6">
        <w:t>1 900 nye studenter, 16 prosent flere enn i 2022.</w:t>
      </w:r>
    </w:p>
    <w:p w14:paraId="605347FE" w14:textId="23AC9FF5" w:rsidR="000D4D50" w:rsidRDefault="000D4D50" w:rsidP="006A4103">
      <w:r w:rsidRPr="000D4D50">
        <w:t xml:space="preserve">Fra februar 2023 skal offentlige utdanningsinstitusjoner ha </w:t>
      </w:r>
      <w:r w:rsidRPr="009248DC">
        <w:rPr>
          <w:i/>
        </w:rPr>
        <w:t>tilgjengelighetserklæringer</w:t>
      </w:r>
      <w:r w:rsidRPr="000D4D50">
        <w:t xml:space="preserve"> for nettløsninger rettet mot studenter. Tilgjengelighetserklæringen skal hjelpe institusjonene med å få oversikt over hvorvidt nettløsningene oppfyller kravene til universell utforming. </w:t>
      </w:r>
      <w:r w:rsidR="006A4103">
        <w:t>D</w:t>
      </w:r>
      <w:r w:rsidR="00B11EF7" w:rsidRPr="00B11EF7">
        <w:t xml:space="preserve">ata fra tilgjengelighetserklæringene </w:t>
      </w:r>
      <w:r w:rsidR="006A4103">
        <w:t xml:space="preserve">gjør det mulig </w:t>
      </w:r>
      <w:r w:rsidR="00EB33BE">
        <w:t xml:space="preserve">å </w:t>
      </w:r>
      <w:r w:rsidR="00941426">
        <w:t xml:space="preserve">følge utviklingen i hvorvidt </w:t>
      </w:r>
      <w:r w:rsidR="00B11EF7" w:rsidRPr="00B11EF7">
        <w:t>løsningene oppfyller kravene til universell utforming</w:t>
      </w:r>
      <w:r w:rsidR="00826DA7">
        <w:t xml:space="preserve">, se </w:t>
      </w:r>
      <w:r w:rsidR="00826DA7">
        <w:fldChar w:fldCharType="begin"/>
      </w:r>
      <w:r w:rsidR="00826DA7">
        <w:instrText xml:space="preserve"> REF _Ref163474291 \h </w:instrText>
      </w:r>
      <w:r w:rsidR="00826DA7">
        <w:fldChar w:fldCharType="separate"/>
      </w:r>
      <w:r w:rsidR="00826DA7">
        <w:t xml:space="preserve">Tabell </w:t>
      </w:r>
      <w:r w:rsidR="00826DA7">
        <w:rPr>
          <w:noProof/>
        </w:rPr>
        <w:t>3</w:t>
      </w:r>
      <w:r w:rsidR="00826DA7">
        <w:t>.</w:t>
      </w:r>
      <w:r w:rsidR="00826DA7">
        <w:rPr>
          <w:noProof/>
        </w:rPr>
        <w:t>2</w:t>
      </w:r>
      <w:r w:rsidR="00826DA7">
        <w:fldChar w:fldCharType="end"/>
      </w:r>
      <w:r w:rsidR="00826DA7">
        <w:t>.</w:t>
      </w:r>
    </w:p>
    <w:p w14:paraId="1EBEC94B" w14:textId="1C160C66" w:rsidR="00826DA7" w:rsidRDefault="00826DA7" w:rsidP="00826DA7">
      <w:pPr>
        <w:pStyle w:val="Bildetekst"/>
        <w:keepNext/>
      </w:pPr>
      <w:bookmarkStart w:id="51" w:name="_Ref163474291"/>
      <w:r>
        <w:t xml:space="preserve">Tabell </w:t>
      </w:r>
      <w:r>
        <w:fldChar w:fldCharType="begin"/>
      </w:r>
      <w:r>
        <w:instrText xml:space="preserve"> STYLEREF 1 \s </w:instrText>
      </w:r>
      <w:r>
        <w:fldChar w:fldCharType="separate"/>
      </w:r>
      <w:r>
        <w:rPr>
          <w:noProof/>
        </w:rPr>
        <w:t>3</w:t>
      </w:r>
      <w:r>
        <w:fldChar w:fldCharType="end"/>
      </w:r>
      <w:r>
        <w:t>.</w:t>
      </w:r>
      <w:r>
        <w:fldChar w:fldCharType="begin"/>
      </w:r>
      <w:r>
        <w:instrText xml:space="preserve"> SEQ Tabell \* ARABIC \s 1 </w:instrText>
      </w:r>
      <w:r>
        <w:fldChar w:fldCharType="separate"/>
      </w:r>
      <w:r>
        <w:rPr>
          <w:noProof/>
        </w:rPr>
        <w:t>2</w:t>
      </w:r>
      <w:r>
        <w:fldChar w:fldCharType="end"/>
      </w:r>
      <w:bookmarkEnd w:id="51"/>
      <w:r>
        <w:t xml:space="preserve"> </w:t>
      </w:r>
      <w:r w:rsidRPr="00024D95">
        <w:t>Grad av samsvar med krav til universell utforming hos høyere utdanningsinstitusjoner for utvalgte tjenester i 2023.</w:t>
      </w:r>
    </w:p>
    <w:tbl>
      <w:tblPr>
        <w:tblStyle w:val="Vanligtabell2"/>
        <w:tblW w:w="6309" w:type="dxa"/>
        <w:tblLook w:val="04A0" w:firstRow="1" w:lastRow="0" w:firstColumn="1" w:lastColumn="0" w:noHBand="0" w:noVBand="1"/>
      </w:tblPr>
      <w:tblGrid>
        <w:gridCol w:w="2396"/>
        <w:gridCol w:w="1676"/>
        <w:gridCol w:w="1476"/>
        <w:gridCol w:w="761"/>
      </w:tblGrid>
      <w:tr w:rsidR="00C61851" w:rsidRPr="00634D86" w14:paraId="580F5C22" w14:textId="77777777" w:rsidTr="00826DA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96" w:type="dxa"/>
            <w:noWrap/>
            <w:hideMark/>
          </w:tcPr>
          <w:p w14:paraId="577E48F7" w14:textId="77777777" w:rsidR="00C61851" w:rsidRPr="00634D86" w:rsidRDefault="00C61851">
            <w:pPr>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Tjeneste</w:t>
            </w:r>
          </w:p>
        </w:tc>
        <w:tc>
          <w:tcPr>
            <w:tcW w:w="1676" w:type="dxa"/>
            <w:noWrap/>
            <w:hideMark/>
          </w:tcPr>
          <w:p w14:paraId="22C20D37" w14:textId="77777777" w:rsidR="00C61851" w:rsidRPr="00634D86" w:rsidRDefault="00C61851" w:rsidP="00826DA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Prosent samsvar</w:t>
            </w:r>
          </w:p>
        </w:tc>
        <w:tc>
          <w:tcPr>
            <w:tcW w:w="1476" w:type="dxa"/>
            <w:noWrap/>
            <w:hideMark/>
          </w:tcPr>
          <w:p w14:paraId="0981B686" w14:textId="77777777" w:rsidR="00C61851" w:rsidRPr="00634D86" w:rsidRDefault="00C61851" w:rsidP="00826DA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Prosent brudd</w:t>
            </w:r>
          </w:p>
        </w:tc>
        <w:tc>
          <w:tcPr>
            <w:tcW w:w="761" w:type="dxa"/>
            <w:noWrap/>
            <w:hideMark/>
          </w:tcPr>
          <w:p w14:paraId="5043E75B" w14:textId="77777777" w:rsidR="00C61851" w:rsidRPr="00634D86" w:rsidRDefault="00C61851" w:rsidP="00826DA7">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Antall</w:t>
            </w:r>
          </w:p>
        </w:tc>
      </w:tr>
      <w:tr w:rsidR="00C61851" w:rsidRPr="00634D86" w14:paraId="518904C6" w14:textId="77777777" w:rsidTr="00826D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96" w:type="dxa"/>
            <w:noWrap/>
            <w:hideMark/>
          </w:tcPr>
          <w:p w14:paraId="604E6887" w14:textId="77777777" w:rsidR="00C61851" w:rsidRPr="00F632FA" w:rsidRDefault="00C61851">
            <w:pPr>
              <w:rPr>
                <w:rFonts w:ascii="Calibri" w:eastAsia="Times New Roman" w:hAnsi="Calibri" w:cs="Calibri"/>
                <w:b w:val="0"/>
                <w:bCs w:val="0"/>
                <w:kern w:val="0"/>
                <w:lang w:eastAsia="nb-NO"/>
                <w14:ligatures w14:val="none"/>
              </w:rPr>
            </w:pPr>
            <w:r w:rsidRPr="00F632FA">
              <w:rPr>
                <w:rFonts w:ascii="Calibri" w:eastAsia="Times New Roman" w:hAnsi="Calibri" w:cs="Calibri"/>
                <w:b w:val="0"/>
                <w:bCs w:val="0"/>
                <w:kern w:val="0"/>
                <w:lang w:eastAsia="nb-NO"/>
                <w14:ligatures w14:val="none"/>
              </w:rPr>
              <w:t>Videotjeneste</w:t>
            </w:r>
          </w:p>
        </w:tc>
        <w:tc>
          <w:tcPr>
            <w:tcW w:w="1676" w:type="dxa"/>
            <w:noWrap/>
            <w:hideMark/>
          </w:tcPr>
          <w:p w14:paraId="3B0CFDA0" w14:textId="77777777" w:rsidR="00C61851" w:rsidRPr="00634D86" w:rsidRDefault="00C618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92 %</w:t>
            </w:r>
          </w:p>
        </w:tc>
        <w:tc>
          <w:tcPr>
            <w:tcW w:w="1476" w:type="dxa"/>
            <w:noWrap/>
            <w:hideMark/>
          </w:tcPr>
          <w:p w14:paraId="7C6AC341" w14:textId="77777777" w:rsidR="00C61851" w:rsidRPr="00634D86" w:rsidRDefault="00C618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8 %</w:t>
            </w:r>
          </w:p>
        </w:tc>
        <w:tc>
          <w:tcPr>
            <w:tcW w:w="761" w:type="dxa"/>
            <w:noWrap/>
            <w:hideMark/>
          </w:tcPr>
          <w:p w14:paraId="26D1968A" w14:textId="77777777" w:rsidR="00C61851" w:rsidRPr="00634D86" w:rsidRDefault="00C618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11</w:t>
            </w:r>
          </w:p>
        </w:tc>
      </w:tr>
      <w:tr w:rsidR="00C61851" w:rsidRPr="00634D86" w14:paraId="3B732A06" w14:textId="77777777" w:rsidTr="00826DA7">
        <w:trPr>
          <w:trHeight w:val="288"/>
        </w:trPr>
        <w:tc>
          <w:tcPr>
            <w:cnfStyle w:val="001000000000" w:firstRow="0" w:lastRow="0" w:firstColumn="1" w:lastColumn="0" w:oddVBand="0" w:evenVBand="0" w:oddHBand="0" w:evenHBand="0" w:firstRowFirstColumn="0" w:firstRowLastColumn="0" w:lastRowFirstColumn="0" w:lastRowLastColumn="0"/>
            <w:tcW w:w="2396" w:type="dxa"/>
            <w:noWrap/>
            <w:hideMark/>
          </w:tcPr>
          <w:p w14:paraId="1088F534" w14:textId="77777777" w:rsidR="00C61851" w:rsidRPr="00634D86" w:rsidRDefault="00C61851">
            <w:pPr>
              <w:rPr>
                <w:rFonts w:ascii="Calibri" w:eastAsia="Times New Roman" w:hAnsi="Calibri" w:cs="Calibri"/>
                <w:b w:val="0"/>
                <w:bCs w:val="0"/>
                <w:kern w:val="0"/>
                <w:lang w:eastAsia="nb-NO"/>
                <w14:ligatures w14:val="none"/>
              </w:rPr>
            </w:pPr>
            <w:r w:rsidRPr="00634D86">
              <w:rPr>
                <w:rFonts w:ascii="Calibri" w:eastAsia="Times New Roman" w:hAnsi="Calibri" w:cs="Calibri"/>
                <w:b w:val="0"/>
                <w:bCs w:val="0"/>
                <w:kern w:val="0"/>
                <w:lang w:eastAsia="nb-NO"/>
                <w14:ligatures w14:val="none"/>
              </w:rPr>
              <w:t>Institusjonens nettsted</w:t>
            </w:r>
          </w:p>
        </w:tc>
        <w:tc>
          <w:tcPr>
            <w:tcW w:w="1676" w:type="dxa"/>
            <w:noWrap/>
            <w:hideMark/>
          </w:tcPr>
          <w:p w14:paraId="71337420" w14:textId="77777777" w:rsidR="00C61851" w:rsidRPr="00634D86" w:rsidRDefault="00C6185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77 %</w:t>
            </w:r>
          </w:p>
        </w:tc>
        <w:tc>
          <w:tcPr>
            <w:tcW w:w="1476" w:type="dxa"/>
            <w:noWrap/>
            <w:hideMark/>
          </w:tcPr>
          <w:p w14:paraId="5DFADE38" w14:textId="77777777" w:rsidR="00C61851" w:rsidRPr="00634D86" w:rsidRDefault="00C6185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23 %</w:t>
            </w:r>
          </w:p>
        </w:tc>
        <w:tc>
          <w:tcPr>
            <w:tcW w:w="761" w:type="dxa"/>
            <w:noWrap/>
            <w:hideMark/>
          </w:tcPr>
          <w:p w14:paraId="7C2BE813" w14:textId="77777777" w:rsidR="00C61851" w:rsidRPr="00634D86" w:rsidRDefault="00C6185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24</w:t>
            </w:r>
          </w:p>
        </w:tc>
      </w:tr>
      <w:tr w:rsidR="00C61851" w:rsidRPr="00634D86" w14:paraId="0369177B" w14:textId="77777777" w:rsidTr="00826DA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96" w:type="dxa"/>
            <w:noWrap/>
            <w:hideMark/>
          </w:tcPr>
          <w:p w14:paraId="4C1FEB3D" w14:textId="77777777" w:rsidR="00C61851" w:rsidRPr="00634D86" w:rsidRDefault="00C61851">
            <w:pPr>
              <w:rPr>
                <w:rFonts w:ascii="Calibri" w:eastAsia="Times New Roman" w:hAnsi="Calibri" w:cs="Calibri"/>
                <w:b w:val="0"/>
                <w:bCs w:val="0"/>
                <w:kern w:val="0"/>
                <w:lang w:eastAsia="nb-NO"/>
                <w14:ligatures w14:val="none"/>
              </w:rPr>
            </w:pPr>
            <w:r w:rsidRPr="00634D86">
              <w:rPr>
                <w:rFonts w:ascii="Calibri" w:eastAsia="Times New Roman" w:hAnsi="Calibri" w:cs="Calibri"/>
                <w:b w:val="0"/>
                <w:bCs w:val="0"/>
                <w:kern w:val="0"/>
                <w:lang w:eastAsia="nb-NO"/>
                <w14:ligatures w14:val="none"/>
              </w:rPr>
              <w:t>Læringsplattform (LMS)</w:t>
            </w:r>
          </w:p>
        </w:tc>
        <w:tc>
          <w:tcPr>
            <w:tcW w:w="1676" w:type="dxa"/>
            <w:noWrap/>
            <w:hideMark/>
          </w:tcPr>
          <w:p w14:paraId="7F9072CD" w14:textId="77777777" w:rsidR="00C61851" w:rsidRPr="00634D86" w:rsidRDefault="00C618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66 %</w:t>
            </w:r>
          </w:p>
        </w:tc>
        <w:tc>
          <w:tcPr>
            <w:tcW w:w="1476" w:type="dxa"/>
            <w:noWrap/>
            <w:hideMark/>
          </w:tcPr>
          <w:p w14:paraId="63911509" w14:textId="77777777" w:rsidR="00C61851" w:rsidRPr="00634D86" w:rsidRDefault="00C618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34 %</w:t>
            </w:r>
          </w:p>
        </w:tc>
        <w:tc>
          <w:tcPr>
            <w:tcW w:w="761" w:type="dxa"/>
            <w:noWrap/>
            <w:hideMark/>
          </w:tcPr>
          <w:p w14:paraId="4FE0F022" w14:textId="77777777" w:rsidR="00C61851" w:rsidRPr="00634D86" w:rsidRDefault="00C61851">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16</w:t>
            </w:r>
          </w:p>
        </w:tc>
      </w:tr>
      <w:tr w:rsidR="00C61851" w:rsidRPr="00634D86" w14:paraId="548AEC66" w14:textId="77777777" w:rsidTr="00826DA7">
        <w:trPr>
          <w:trHeight w:val="288"/>
        </w:trPr>
        <w:tc>
          <w:tcPr>
            <w:cnfStyle w:val="001000000000" w:firstRow="0" w:lastRow="0" w:firstColumn="1" w:lastColumn="0" w:oddVBand="0" w:evenVBand="0" w:oddHBand="0" w:evenHBand="0" w:firstRowFirstColumn="0" w:firstRowLastColumn="0" w:lastRowFirstColumn="0" w:lastRowLastColumn="0"/>
            <w:tcW w:w="2396" w:type="dxa"/>
            <w:noWrap/>
            <w:hideMark/>
          </w:tcPr>
          <w:p w14:paraId="71B675F7" w14:textId="77777777" w:rsidR="00C61851" w:rsidRPr="00634D86" w:rsidRDefault="00C61851">
            <w:pPr>
              <w:rPr>
                <w:rFonts w:ascii="Calibri" w:eastAsia="Times New Roman" w:hAnsi="Calibri" w:cs="Calibri"/>
                <w:b w:val="0"/>
                <w:bCs w:val="0"/>
                <w:kern w:val="0"/>
                <w:lang w:eastAsia="nb-NO"/>
                <w14:ligatures w14:val="none"/>
              </w:rPr>
            </w:pPr>
            <w:r w:rsidRPr="00634D86">
              <w:rPr>
                <w:rFonts w:ascii="Calibri" w:eastAsia="Times New Roman" w:hAnsi="Calibri" w:cs="Calibri"/>
                <w:b w:val="0"/>
                <w:bCs w:val="0"/>
                <w:kern w:val="0"/>
                <w:lang w:eastAsia="nb-NO"/>
                <w14:ligatures w14:val="none"/>
              </w:rPr>
              <w:t>Digital eksamen</w:t>
            </w:r>
          </w:p>
        </w:tc>
        <w:tc>
          <w:tcPr>
            <w:tcW w:w="1676" w:type="dxa"/>
            <w:noWrap/>
            <w:hideMark/>
          </w:tcPr>
          <w:p w14:paraId="7FD86BFA" w14:textId="77777777" w:rsidR="00C61851" w:rsidRPr="00634D86" w:rsidRDefault="00C6185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59 %</w:t>
            </w:r>
          </w:p>
        </w:tc>
        <w:tc>
          <w:tcPr>
            <w:tcW w:w="1476" w:type="dxa"/>
            <w:noWrap/>
            <w:hideMark/>
          </w:tcPr>
          <w:p w14:paraId="2CB361B7" w14:textId="77777777" w:rsidR="00C61851" w:rsidRPr="00634D86" w:rsidRDefault="00C6185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41 %</w:t>
            </w:r>
          </w:p>
        </w:tc>
        <w:tc>
          <w:tcPr>
            <w:tcW w:w="761" w:type="dxa"/>
            <w:noWrap/>
            <w:hideMark/>
          </w:tcPr>
          <w:p w14:paraId="78B861C0" w14:textId="77777777" w:rsidR="00C61851" w:rsidRPr="00634D86" w:rsidRDefault="00C6185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lang w:eastAsia="nb-NO"/>
                <w14:ligatures w14:val="none"/>
              </w:rPr>
            </w:pPr>
            <w:r w:rsidRPr="00634D86">
              <w:rPr>
                <w:rFonts w:ascii="Calibri" w:eastAsia="Times New Roman" w:hAnsi="Calibri" w:cs="Calibri"/>
                <w:kern w:val="0"/>
                <w:lang w:eastAsia="nb-NO"/>
                <w14:ligatures w14:val="none"/>
              </w:rPr>
              <w:t>7</w:t>
            </w:r>
          </w:p>
        </w:tc>
      </w:tr>
    </w:tbl>
    <w:p w14:paraId="4A30AB0C" w14:textId="033E4225" w:rsidR="00C61851" w:rsidRDefault="00AA6C54" w:rsidP="00A50490">
      <w:pPr>
        <w:pStyle w:val="Kilde"/>
      </w:pPr>
      <w:r w:rsidRPr="004E373E">
        <w:rPr>
          <w:b/>
        </w:rPr>
        <w:t>Kilde</w:t>
      </w:r>
      <w:r>
        <w:t xml:space="preserve">: </w:t>
      </w:r>
      <w:r w:rsidR="001C6467">
        <w:t>HK-dir</w:t>
      </w:r>
    </w:p>
    <w:p w14:paraId="7080270D" w14:textId="5D8C10AF" w:rsidR="00500907" w:rsidRPr="00422245" w:rsidRDefault="0062642D" w:rsidP="00293933">
      <w:pPr>
        <w:pStyle w:val="Overskrift2"/>
      </w:pPr>
      <w:bookmarkStart w:id="52" w:name="_Toc163488403"/>
      <w:r w:rsidRPr="00422245">
        <w:t>Digitalisering</w:t>
      </w:r>
      <w:r w:rsidR="00500907" w:rsidRPr="00422245">
        <w:t xml:space="preserve"> og </w:t>
      </w:r>
      <w:r w:rsidR="007D5487">
        <w:t>digital omstilling</w:t>
      </w:r>
      <w:bookmarkEnd w:id="52"/>
    </w:p>
    <w:p w14:paraId="27CC05CE" w14:textId="09C462B6" w:rsidR="002D2EEB" w:rsidRPr="00EB6841" w:rsidRDefault="00C24678" w:rsidP="00EB6841">
      <w:r w:rsidRPr="00C24678">
        <w:t xml:space="preserve">Høsten 2023 gjennomførte HK-dir </w:t>
      </w:r>
      <w:r w:rsidR="00D3620A">
        <w:t>en</w:t>
      </w:r>
      <w:r w:rsidRPr="00C24678">
        <w:t xml:space="preserve"> kartlegging av universitets- og høyskolesektorens (UH-sektorens) arbeid med digital omstilling. Formålet var å innhente kunnskap om sektorens arbeid med å iverksette «Strategi for digital omstilling i universitets- og høyskolesektoren 2021–2025»</w:t>
      </w:r>
      <w:r w:rsidR="00F77700">
        <w:t xml:space="preserve"> </w:t>
      </w:r>
      <w:r w:rsidR="00F77700">
        <w:fldChar w:fldCharType="begin"/>
      </w:r>
      <w:r w:rsidR="009C20BE">
        <w:instrText xml:space="preserve"> ADDIN EN.CITE &lt;EndNote&gt;&lt;Cite&gt;&lt;Author&gt;Kunnskapsdepartementet&lt;/Author&gt;&lt;Year&gt;2021&lt;/Year&gt;&lt;RecNum&gt;2268&lt;/RecNum&gt;&lt;DisplayText&gt;(HK-dir, 2022c; Kunnskapsdepartementet, 2021)&lt;/DisplayText&gt;&lt;record&gt;&lt;rec-number&gt;2268&lt;/rec-number&gt;&lt;foreign-keys&gt;&lt;key app="EN" db-id="p2et5feaxrpe5zew2eavt29z05fv09aa5s0w" timestamp="1712310291" guid="96909c5e-f7de-4734-bc81-af0bb208ce3e"&gt;2268&lt;/key&gt;&lt;/foreign-keys&gt;&lt;ref-type name="Government Document"&gt;46&lt;/ref-type&gt;&lt;contributors&gt;&lt;authors&gt;&lt;author&gt;Kunnskapsdepartementet&lt;/author&gt;&lt;/authors&gt;&lt;secondary-authors&gt;&lt;author&gt;Kunnskapsdepartementet&lt;/author&gt;&lt;/secondary-authors&gt;&lt;/contributors&gt;&lt;titles&gt;&lt;title&gt;Strategi for digital omstilling i universitets- og høyskolesektoren&lt;/title&gt;&lt;/titles&gt;&lt;dates&gt;&lt;year&gt;2021&lt;/year&gt;&lt;/dates&gt;&lt;urls&gt;&lt;related-urls&gt;&lt;url&gt;https://www.regjeringen.no/contentassets/c151afba427f446b8aa44aa1a673e6d6/no/pdfs/kd-strategi-digital-omstilling.pdf&lt;/url&gt;&lt;/related-urls&gt;&lt;/urls&gt;&lt;/record&gt;&lt;/Cite&gt;&lt;Cite&gt;&lt;Author&gt;HK-dir&lt;/Author&gt;&lt;Year&gt;2022&lt;/Year&gt;&lt;RecNum&gt;1720&lt;/RecNum&gt;&lt;record&gt;&lt;rec-number&gt;1720&lt;/rec-number&gt;&lt;foreign-keys&gt;&lt;key app="EN" db-id="p2et5feaxrpe5zew2eavt29z05fv09aa5s0w" timestamp="1712306682" guid="a23b42ea-b6cc-4aee-bd26-2787fb7cb620"&gt;1720&lt;/key&gt;&lt;/foreign-keys&gt;&lt;ref-type name="Report"&gt;27&lt;/ref-type&gt;&lt;contributors&gt;&lt;authors&gt;&lt;author&gt;HK-dir&lt;/author&gt;&lt;/authors&gt;&lt;tertiary-authors&gt;&lt;author&gt;Direktoratet for høyere utdanning og kompetanse,&lt;/author&gt;&lt;/tertiary-authors&gt;&lt;/contributors&gt;&lt;titles&gt;&lt;title&gt;Tilstandsrapport for høyere utdanning, vedlegg 2022&lt;/title&gt;&lt;/titles&gt;&lt;dates&gt;&lt;year&gt;2022&lt;/year&gt;&lt;/dates&gt;&lt;urls&gt;&lt;related-urls&gt;&lt;url&gt;https://vedlegg.hkdir.no/TRHU/2022&lt;/url&gt;&lt;/related-urls&gt;&lt;/urls&gt;&lt;/record&gt;&lt;/Cite&gt;&lt;/EndNote&gt;</w:instrText>
      </w:r>
      <w:r w:rsidR="00F77700">
        <w:fldChar w:fldCharType="separate"/>
      </w:r>
      <w:r w:rsidR="00914C57">
        <w:rPr>
          <w:noProof/>
        </w:rPr>
        <w:t>(HK-dir, 2022c; Kunnskapsdepartementet, 2021)</w:t>
      </w:r>
      <w:r w:rsidR="00F77700">
        <w:fldChar w:fldCharType="end"/>
      </w:r>
      <w:r w:rsidRPr="00C24678">
        <w:t>.</w:t>
      </w:r>
      <w:r w:rsidR="00A116D6">
        <w:t xml:space="preserve"> </w:t>
      </w:r>
      <w:r w:rsidR="00A116D6" w:rsidRPr="00A116D6">
        <w:t>Kartleggingen bygger primært på en spørreundersøkelse på institusjonsnivå og intervjuer med respondenter fra seks institusjoner. Spørreundersøkelsen ble besvart av alle de 21 statlige universitetene og høgskolene</w:t>
      </w:r>
      <w:r w:rsidR="002D2EEB">
        <w:t xml:space="preserve">. </w:t>
      </w:r>
      <w:r w:rsidR="002D2EEB" w:rsidRPr="002D2EEB">
        <w:t>Funn og konklusjoner fra kartleggingen formidles i rapporten «Digital omstilling i UH-sektoren – status, muligheter og utfordringer 2023»</w:t>
      </w:r>
      <w:r w:rsidR="00257011">
        <w:t xml:space="preserve"> </w:t>
      </w:r>
      <w:r w:rsidR="007302B6">
        <w:fldChar w:fldCharType="begin"/>
      </w:r>
      <w:r w:rsidR="00CD4897">
        <w:instrText xml:space="preserve"> ADDIN EN.CITE &lt;EndNote&gt;&lt;Cite&gt;&lt;Author&gt;HK-dir&lt;/Author&gt;&lt;Year&gt;2024&lt;/Year&gt;&lt;RecNum&gt;2269&lt;/RecNum&gt;&lt;DisplayText&gt;(HK-dir, 2024)&lt;/DisplayText&gt;&lt;record&gt;&lt;rec-number&gt;2269&lt;/rec-number&gt;&lt;foreign-keys&gt;&lt;key app="EN" db-id="p2et5feaxrpe5zew2eavt29z05fv09aa5s0w" timestamp="1712310571" guid="dbb26525-dcc4-4e21-80f2-ed46bd18b909"&gt;2269&lt;/key&gt;&lt;/foreign-keys&gt;&lt;ref-type name="Report"&gt;27&lt;/ref-type&gt;&lt;contributors&gt;&lt;authors&gt;&lt;author&gt;HK-dir&lt;/author&gt;&lt;/authors&gt;&lt;/contributors&gt;&lt;titles&gt;&lt;title&gt;Digital omstilling i UH-sektoren. Status, muligheter og utfordringer 2023&lt;/title&gt;&lt;/titles&gt;&lt;dates&gt;&lt;year&gt;2024&lt;/year&gt;&lt;/dates&gt;&lt;isbn&gt;1&lt;/isbn&gt;&lt;urls&gt;&lt;related-urls&gt;&lt;url&gt;https://hkdir.no/rapporter-undersokelser-og-statistikk/digital-omstilling-i-uh-sektoren-status-muligheter-og-utfordringer-2023&lt;/url&gt;&lt;/related-urls&gt;&lt;/urls&gt;&lt;/record&gt;&lt;/Cite&gt;&lt;/EndNote&gt;</w:instrText>
      </w:r>
      <w:r w:rsidR="007302B6">
        <w:fldChar w:fldCharType="separate"/>
      </w:r>
      <w:r w:rsidR="007302B6">
        <w:rPr>
          <w:noProof/>
        </w:rPr>
        <w:t>(HK-dir, 2024)</w:t>
      </w:r>
      <w:r w:rsidR="007302B6">
        <w:fldChar w:fldCharType="end"/>
      </w:r>
      <w:r w:rsidR="002D2EEB">
        <w:t>.</w:t>
      </w:r>
    </w:p>
    <w:p w14:paraId="0554D71C" w14:textId="42D28761" w:rsidR="00001547" w:rsidRPr="00EB6841" w:rsidRDefault="003D003A" w:rsidP="00A141F7">
      <w:pPr>
        <w:pStyle w:val="Overskrift3"/>
        <w:spacing w:before="288"/>
      </w:pPr>
      <w:bookmarkStart w:id="53" w:name="_Toc163488404"/>
      <w:r w:rsidRPr="00EB6841">
        <w:t>Mye gjort – men mye gjenstår</w:t>
      </w:r>
      <w:bookmarkEnd w:id="53"/>
    </w:p>
    <w:p w14:paraId="1259E136" w14:textId="6CD96123" w:rsidR="007D5487" w:rsidRDefault="008B745A" w:rsidP="00EB6841">
      <w:r w:rsidRPr="008B745A">
        <w:t xml:space="preserve">Av rapporten fremgår det at de 21 statlige universitetene og høgskolene har iverksatt en rekke digitaliseringstiltak som har forbedret og effektivisert deler av virksomheten. Det er likevel betydelige variasjoner i hvor langt arbeidet med </w:t>
      </w:r>
      <w:r w:rsidRPr="008B745A">
        <w:lastRenderedPageBreak/>
        <w:t>digital omstilling har kommet. Rapporten peker derfor på at sektoren har behov for å styrke digitaliseringsarbeidet, dersom ambisjonene i Strategi for digital omstilling skal kunne realiseres.</w:t>
      </w:r>
    </w:p>
    <w:p w14:paraId="29B53C9B" w14:textId="2BB75046" w:rsidR="008B745A" w:rsidRDefault="00DC1C8A" w:rsidP="00EB6841">
      <w:r w:rsidRPr="00DC1C8A">
        <w:t>Kartleggingen indikerer at institusjonene i stor grad prioriterer IT-verktøy, IKT-drift, brukerstøtte, og teknisk infrastruktur i sitt arbeid med digital omstilling. Fagnær digitalisering, som skal bidra til å styrke fagene, forskningen og utdanningskvaliteten, prioriteres ikke i samme grad. Det kommer blant annet til uttrykk ved at kun én institusjon mener at den digitale omstillingen i hovedsak skjer innenfor den faglige kjernevirksomheten.</w:t>
      </w:r>
    </w:p>
    <w:p w14:paraId="6C0E568F" w14:textId="6ED288F8" w:rsidR="00697EE5" w:rsidRPr="00EB6841" w:rsidRDefault="00E36235" w:rsidP="00EB6841">
      <w:r w:rsidRPr="00E36235">
        <w:t xml:space="preserve">Institusjonene gjennomfører mange tiltak for å styrke de </w:t>
      </w:r>
      <w:r w:rsidRPr="00237284">
        <w:rPr>
          <w:i/>
          <w:iCs/>
        </w:rPr>
        <w:t>ansattes digitale kompetanse</w:t>
      </w:r>
      <w:r w:rsidRPr="00E36235">
        <w:t>. Kartleggingen viser likevel at denne kompetansen er mangelfull hos undervisere, forskere og administrativt ansatte. Et mindretall på seks institusjoner mener at deres forskere har tilstrekkelig digital kompetanse. Enda færre mener at undervisere og administrativt ansatte har den digitale kompetansen de trenger.</w:t>
      </w:r>
    </w:p>
    <w:p w14:paraId="3140A6A2" w14:textId="77777777" w:rsidR="00237284" w:rsidRDefault="00237284" w:rsidP="00237284">
      <w:r>
        <w:t xml:space="preserve">Institusjonene prioriterer i begrenset grad kartlegging av </w:t>
      </w:r>
      <w:r w:rsidRPr="00237284">
        <w:rPr>
          <w:i/>
          <w:iCs/>
        </w:rPr>
        <w:t>nytte og gevinster</w:t>
      </w:r>
      <w:r>
        <w:t xml:space="preserve"> etter innføring av nye digitale tjenester. 16 institusjoner mener at dette gjøres i moderat eller liten grad, mens fem institusjoner oppgir at dette er noe de i svært stor eller ganske stor grad prioriterer. Manglende kartlegging av nytte og gevinster ser blant annet ut til å henge sammen med mangel på egnet metodikk og rammeverk, samt begrenset kapasitet og kompetanse lokalt.</w:t>
      </w:r>
    </w:p>
    <w:p w14:paraId="38CBA3F5" w14:textId="77777777" w:rsidR="00237284" w:rsidRDefault="00237284" w:rsidP="00237284">
      <w:r>
        <w:t xml:space="preserve">Institusjonenes holdning til </w:t>
      </w:r>
      <w:r w:rsidRPr="00237284">
        <w:rPr>
          <w:i/>
          <w:iCs/>
        </w:rPr>
        <w:t>sektorsamarbeid</w:t>
      </w:r>
      <w:r>
        <w:t xml:space="preserve"> er grunnleggende positiv. Institusjonene mener at behovet for samarbeid er størst innenfor områdene administrativ effektivisering, digitale fellestjenester, datahåndtering og deling av digitale læringsressurser. 16 institusjoner oppgir at de har løsninger, tjenester og praksiser som de kan dele med andre institusjoner.</w:t>
      </w:r>
    </w:p>
    <w:p w14:paraId="65386A96" w14:textId="7CCC0625" w:rsidR="00237284" w:rsidRDefault="00A86552" w:rsidP="00237284">
      <w:r>
        <w:t>HK-dir konkluderte i rapporten med følgende</w:t>
      </w:r>
      <w:r w:rsidR="00237284">
        <w:t xml:space="preserve"> seks anbefalinger for det videre arbeidet med digital omstilling i UH-sektoren:</w:t>
      </w:r>
    </w:p>
    <w:p w14:paraId="405DDF9F" w14:textId="0E2538AF" w:rsidR="00237284" w:rsidRDefault="00237284" w:rsidP="00A86552">
      <w:pPr>
        <w:pStyle w:val="Listeavsnitt"/>
        <w:numPr>
          <w:ilvl w:val="0"/>
          <w:numId w:val="41"/>
        </w:numPr>
      </w:pPr>
      <w:r>
        <w:t xml:space="preserve">Prioriter arbeidet med grunnlaget for digital omstilling. </w:t>
      </w:r>
    </w:p>
    <w:p w14:paraId="6C58BC83" w14:textId="1BA8DBA7" w:rsidR="00237284" w:rsidRDefault="00237284" w:rsidP="00A86552">
      <w:pPr>
        <w:pStyle w:val="Listeavsnitt"/>
        <w:numPr>
          <w:ilvl w:val="0"/>
          <w:numId w:val="41"/>
        </w:numPr>
      </w:pPr>
      <w:r>
        <w:t xml:space="preserve">Vri innsatsen over mot fagnær digital omstilling. </w:t>
      </w:r>
    </w:p>
    <w:p w14:paraId="2344E10E" w14:textId="79CC7E0E" w:rsidR="00237284" w:rsidRDefault="00237284" w:rsidP="00A86552">
      <w:pPr>
        <w:pStyle w:val="Listeavsnitt"/>
        <w:numPr>
          <w:ilvl w:val="0"/>
          <w:numId w:val="41"/>
        </w:numPr>
      </w:pPr>
      <w:r>
        <w:t xml:space="preserve">Styrk digital kompetanse hos faglig og administrativt ansatte. </w:t>
      </w:r>
    </w:p>
    <w:p w14:paraId="247AAC7B" w14:textId="09471673" w:rsidR="00237284" w:rsidRDefault="00237284" w:rsidP="00A86552">
      <w:pPr>
        <w:pStyle w:val="Listeavsnitt"/>
        <w:numPr>
          <w:ilvl w:val="0"/>
          <w:numId w:val="41"/>
        </w:numPr>
      </w:pPr>
      <w:r>
        <w:t xml:space="preserve">Vektlegg institusjonenes mottakskapasitet ved planlegging av fellestiltak. </w:t>
      </w:r>
    </w:p>
    <w:p w14:paraId="1137AEB9" w14:textId="0CC35442" w:rsidR="00237284" w:rsidRDefault="00237284" w:rsidP="00A86552">
      <w:pPr>
        <w:pStyle w:val="Listeavsnitt"/>
        <w:numPr>
          <w:ilvl w:val="0"/>
          <w:numId w:val="41"/>
        </w:numPr>
      </w:pPr>
      <w:r>
        <w:t xml:space="preserve">Behov for helhetlig forankring av digital omstilling på institusjonsnivå. </w:t>
      </w:r>
    </w:p>
    <w:p w14:paraId="5EF0FF09" w14:textId="093BC6C7" w:rsidR="00A116D6" w:rsidRPr="00EB6841" w:rsidRDefault="00237284" w:rsidP="00A86552">
      <w:pPr>
        <w:pStyle w:val="Listeavsnitt"/>
        <w:numPr>
          <w:ilvl w:val="0"/>
          <w:numId w:val="41"/>
        </w:numPr>
      </w:pPr>
      <w:r>
        <w:t>Styrk arbeidet med gevinstrealisering.</w:t>
      </w:r>
    </w:p>
    <w:p w14:paraId="1B6E30DB" w14:textId="490347FC" w:rsidR="00A116D6" w:rsidRPr="004278B5" w:rsidRDefault="00BB0435" w:rsidP="00A141F7">
      <w:pPr>
        <w:pStyle w:val="Overskrift3"/>
        <w:spacing w:before="288"/>
      </w:pPr>
      <w:bookmarkStart w:id="54" w:name="_Toc163488405"/>
      <w:r w:rsidRPr="004278B5">
        <w:lastRenderedPageBreak/>
        <w:t xml:space="preserve">Digitaliseringens </w:t>
      </w:r>
      <w:r w:rsidR="00614285">
        <w:t xml:space="preserve">muligheter og </w:t>
      </w:r>
      <w:r w:rsidRPr="004278B5">
        <w:t>utfordringer</w:t>
      </w:r>
      <w:bookmarkEnd w:id="54"/>
    </w:p>
    <w:p w14:paraId="04551623" w14:textId="0703CFCA" w:rsidR="004278B5" w:rsidRDefault="004278B5" w:rsidP="007D5487">
      <w:r>
        <w:t>De siste par årene har vist at dig</w:t>
      </w:r>
      <w:r w:rsidR="003B1C13">
        <w:t>italiser</w:t>
      </w:r>
      <w:r w:rsidR="001D6214">
        <w:t>ing også innebærer kolossale utfordringer for høyere utdanning</w:t>
      </w:r>
      <w:r w:rsidR="007400BF">
        <w:t xml:space="preserve">, ikke minst som følge av </w:t>
      </w:r>
      <w:r w:rsidR="00922DE1">
        <w:t>stadig mer utviklede språkmodeller.</w:t>
      </w:r>
      <w:r w:rsidR="005C2C52">
        <w:t xml:space="preserve"> </w:t>
      </w:r>
      <w:r w:rsidR="00141EDC">
        <w:t xml:space="preserve">Dette har bidratt til </w:t>
      </w:r>
      <w:r w:rsidR="00D10EFB">
        <w:t>kriselignende</w:t>
      </w:r>
      <w:r w:rsidR="00141EDC">
        <w:t xml:space="preserve"> tilstander for vitenskapelig publisering, </w:t>
      </w:r>
      <w:r w:rsidR="00DD75F9">
        <w:t xml:space="preserve">det reises spørsmål om </w:t>
      </w:r>
      <w:r w:rsidR="00B60999">
        <w:t xml:space="preserve">negative følger for studentens læring og framfor alt har </w:t>
      </w:r>
      <w:r w:rsidR="0088688C">
        <w:t xml:space="preserve">det </w:t>
      </w:r>
      <w:r w:rsidR="00F57105">
        <w:t xml:space="preserve">skapt </w:t>
      </w:r>
      <w:r w:rsidR="0088688C">
        <w:t xml:space="preserve">stor </w:t>
      </w:r>
      <w:r w:rsidR="00F57105">
        <w:t>usikkerhet om prøving og evaluering av studenters kunnskaper.</w:t>
      </w:r>
    </w:p>
    <w:p w14:paraId="76059E2D" w14:textId="17B51A94" w:rsidR="00D2249F" w:rsidRDefault="002620A1" w:rsidP="007D5487">
      <w:r>
        <w:t xml:space="preserve">NOKUT inkluderte i Studiebarometeret 2023 spørsmål </w:t>
      </w:r>
      <w:r w:rsidR="00324125">
        <w:t xml:space="preserve">som skulle fange opp studentenes bruk av </w:t>
      </w:r>
      <w:r w:rsidR="00E80842">
        <w:t xml:space="preserve">generativ </w:t>
      </w:r>
      <w:r w:rsidR="00324125">
        <w:t>kunstig intelligens</w:t>
      </w:r>
      <w:r w:rsidR="00E80842">
        <w:t xml:space="preserve"> i fo</w:t>
      </w:r>
      <w:r w:rsidR="005342A2">
        <w:t xml:space="preserve">rm av språkmodeller eller verktøy </w:t>
      </w:r>
      <w:r w:rsidR="00A41510">
        <w:t>som genererer eller bearbeider bilder, lyd eller video.</w:t>
      </w:r>
      <w:r w:rsidR="00067DAF">
        <w:t xml:space="preserve"> 39 prosent av studentene </w:t>
      </w:r>
      <w:r w:rsidR="003031E3">
        <w:t xml:space="preserve">svarte at de ikke bruker KI i studiearbeidet i det hele tatt. </w:t>
      </w:r>
      <w:r w:rsidR="007522AA">
        <w:t>Halvparten av studentene oppga å bruke det sjelden (</w:t>
      </w:r>
      <w:r w:rsidR="00911A6F">
        <w:t>24 %) eller av og til (25 %). Bare 12 prosent oppga å bruke slike hjelpemidler ofte.</w:t>
      </w:r>
      <w:r w:rsidR="003B52A2">
        <w:t xml:space="preserve"> (ref. til SB 2023).</w:t>
      </w:r>
      <w:r w:rsidR="000A554D">
        <w:t xml:space="preserve"> Svarene tyder på at det er stor variasjon mellom </w:t>
      </w:r>
      <w:r w:rsidR="001A1E8F">
        <w:t xml:space="preserve">ulike utdanninger og fagområder. </w:t>
      </w:r>
      <w:r w:rsidR="003D0852">
        <w:t>Andelen som oppga å bruke slik</w:t>
      </w:r>
      <w:r w:rsidR="001C66C7">
        <w:t xml:space="preserve">e verktøy av og til eller ofte </w:t>
      </w:r>
      <w:r w:rsidR="001C3408">
        <w:t xml:space="preserve">var tre ganger så høy </w:t>
      </w:r>
      <w:r w:rsidR="0065130C">
        <w:t>blant studenter på</w:t>
      </w:r>
      <w:r w:rsidR="001C3408">
        <w:t xml:space="preserve"> naturvitenskapelige og tekniske fag som </w:t>
      </w:r>
      <w:r w:rsidR="0065130C">
        <w:t xml:space="preserve">for </w:t>
      </w:r>
      <w:r w:rsidR="00F4319F">
        <w:t>studenter i humanistiske og estetiske fag.</w:t>
      </w:r>
      <w:r w:rsidR="00B17E17">
        <w:t xml:space="preserve"> Ikke overraskende tyder svarene også på at </w:t>
      </w:r>
      <w:r w:rsidR="0004190A">
        <w:t>yngre studenter bruker slik teknologi oftere enn eldre studenter.</w:t>
      </w:r>
    </w:p>
    <w:p w14:paraId="3AA6C8A2" w14:textId="3117424B" w:rsidR="00614285" w:rsidRDefault="003E67DC" w:rsidP="00265935">
      <w:r>
        <w:t>D</w:t>
      </w:r>
      <w:r w:rsidR="00A44A52">
        <w:t xml:space="preserve">et offentlige ordskiftet </w:t>
      </w:r>
      <w:r w:rsidR="001D00ED">
        <w:t xml:space="preserve">har </w:t>
      </w:r>
      <w:r>
        <w:t xml:space="preserve">i stor grad handlet om </w:t>
      </w:r>
      <w:r w:rsidR="009F792F">
        <w:t xml:space="preserve">at </w:t>
      </w:r>
      <w:r w:rsidR="00CF1A20">
        <w:t>e</w:t>
      </w:r>
      <w:r w:rsidR="009F792F">
        <w:t xml:space="preserve">lever og studenter </w:t>
      </w:r>
      <w:r w:rsidR="00C15CD4">
        <w:t xml:space="preserve">engasjerer programvaren til å produsere </w:t>
      </w:r>
      <w:r w:rsidR="000C39EC">
        <w:t>tekst</w:t>
      </w:r>
      <w:r w:rsidR="009603A0">
        <w:t>,</w:t>
      </w:r>
      <w:r w:rsidR="000C39EC">
        <w:t xml:space="preserve"> og de utfordringene dette har for læring, men framfor alt vurdering</w:t>
      </w:r>
      <w:r w:rsidR="009603A0">
        <w:t xml:space="preserve">. </w:t>
      </w:r>
      <w:r w:rsidR="00E21A6B">
        <w:t xml:space="preserve">Studentene selv oppgir at </w:t>
      </w:r>
      <w:r w:rsidR="00AC4B17">
        <w:t xml:space="preserve">de i relativt liten grad bruker verktøyene til å </w:t>
      </w:r>
      <w:r w:rsidR="005F4926">
        <w:t>generere</w:t>
      </w:r>
      <w:r w:rsidR="00AC4B17">
        <w:t xml:space="preserve"> tekst. </w:t>
      </w:r>
      <w:r w:rsidR="005F4926">
        <w:t xml:space="preserve">I NOKUTs spørsmålsbatteri </w:t>
      </w:r>
      <w:r w:rsidR="00E53DEA">
        <w:t xml:space="preserve">er det ett bruksområde som skiller seg ut, nemlig </w:t>
      </w:r>
      <w:r w:rsidR="00265935">
        <w:t>å «forklare tema, pensum, konsepter, terminologi, etc.»</w:t>
      </w:r>
      <w:r w:rsidR="008F6372">
        <w:t xml:space="preserve"> </w:t>
      </w:r>
      <w:r w:rsidR="00DD0784">
        <w:t>De</w:t>
      </w:r>
      <w:r w:rsidR="0075602D">
        <w:t xml:space="preserve">t nest mest </w:t>
      </w:r>
      <w:r w:rsidR="00411B20">
        <w:t xml:space="preserve">vanlige bruksområdet var ifølge studentene å kommunisere med språkmodellene som </w:t>
      </w:r>
      <w:r w:rsidR="00D171AE">
        <w:t>«</w:t>
      </w:r>
      <w:r w:rsidR="00411B20">
        <w:t>samtalepartner</w:t>
      </w:r>
      <w:r w:rsidR="00D171AE">
        <w:t>»</w:t>
      </w:r>
      <w:r w:rsidR="00436D87">
        <w:t>.</w:t>
      </w:r>
      <w:r w:rsidR="000C5AEA">
        <w:t xml:space="preserve"> Mens det var stor forskjell mellom fagområdene </w:t>
      </w:r>
      <w:r w:rsidR="00C71842">
        <w:t xml:space="preserve">i </w:t>
      </w:r>
      <w:r w:rsidR="00C71842" w:rsidRPr="00C71842">
        <w:rPr>
          <w:i/>
          <w:iCs/>
        </w:rPr>
        <w:t>hvor mye</w:t>
      </w:r>
      <w:r w:rsidR="00C71842">
        <w:t xml:space="preserve"> studentene bruker slike verktøy, </w:t>
      </w:r>
      <w:r w:rsidR="00916167">
        <w:t xml:space="preserve">er det mye mindre forskjell i </w:t>
      </w:r>
      <w:r w:rsidR="00916167" w:rsidRPr="008D0466">
        <w:rPr>
          <w:i/>
          <w:iCs/>
        </w:rPr>
        <w:t>hva</w:t>
      </w:r>
      <w:r w:rsidR="008D0466">
        <w:t xml:space="preserve"> studentene oppgir å bruke verktøyene til.</w:t>
      </w:r>
      <w:r w:rsidR="007C1BD4">
        <w:t xml:space="preserve"> </w:t>
      </w:r>
      <w:r w:rsidR="0072547D">
        <w:t xml:space="preserve">Et unntak fra dette er </w:t>
      </w:r>
      <w:r w:rsidR="00FF19BC">
        <w:t xml:space="preserve">at studenter i matematisk-naturvitenskapelige fag som forventet i </w:t>
      </w:r>
      <w:r w:rsidR="00C910E1">
        <w:t>langt større grad enn andre studenter oppgir å bruke språkmodellene til å skrive programkode.</w:t>
      </w:r>
    </w:p>
    <w:p w14:paraId="5B39B96F" w14:textId="391CCB0B" w:rsidR="00C910E1" w:rsidRPr="00016656" w:rsidRDefault="003A3A38" w:rsidP="00265935">
      <w:pPr>
        <w:rPr>
          <w:b/>
          <w:bCs/>
        </w:rPr>
      </w:pPr>
      <w:r>
        <w:rPr>
          <w:b/>
          <w:bCs/>
        </w:rPr>
        <w:t xml:space="preserve">Digitale </w:t>
      </w:r>
      <w:r w:rsidR="00016656" w:rsidRPr="00016656">
        <w:rPr>
          <w:b/>
          <w:bCs/>
        </w:rPr>
        <w:t>eksamens</w:t>
      </w:r>
      <w:r w:rsidR="00F57ECD">
        <w:rPr>
          <w:b/>
          <w:bCs/>
        </w:rPr>
        <w:t>- og prøvingsformer</w:t>
      </w:r>
      <w:r w:rsidR="00F14A6D">
        <w:rPr>
          <w:b/>
          <w:bCs/>
        </w:rPr>
        <w:t xml:space="preserve"> (endringer etter </w:t>
      </w:r>
      <w:r w:rsidR="00F92626">
        <w:rPr>
          <w:b/>
          <w:bCs/>
        </w:rPr>
        <w:t>c-gpt?)</w:t>
      </w:r>
    </w:p>
    <w:p w14:paraId="71EE8EFC" w14:textId="7A75AE69" w:rsidR="00016656" w:rsidRDefault="00886055" w:rsidP="00265935">
      <w:r>
        <w:t>LEGGE INN DATA FRA Sikt</w:t>
      </w:r>
      <w:r w:rsidR="00DB1207">
        <w:t>, VENTES MEDIO APRIL</w:t>
      </w:r>
    </w:p>
    <w:p w14:paraId="594173BD" w14:textId="77777777" w:rsidR="00A86552" w:rsidRPr="007D5487" w:rsidRDefault="00A86552" w:rsidP="007D5487"/>
    <w:p w14:paraId="7D6D662E" w14:textId="05244065" w:rsidR="001265C8" w:rsidRPr="00422245" w:rsidRDefault="000F1858" w:rsidP="001265C8">
      <w:pPr>
        <w:pStyle w:val="Overskrift2"/>
      </w:pPr>
      <w:bookmarkStart w:id="55" w:name="_Toc163488406"/>
      <w:r w:rsidRPr="00422245">
        <w:lastRenderedPageBreak/>
        <w:t>Språk</w:t>
      </w:r>
      <w:bookmarkEnd w:id="55"/>
    </w:p>
    <w:p w14:paraId="604AB793" w14:textId="52A499FA" w:rsidR="002F6B56" w:rsidRPr="00422245" w:rsidRDefault="00435204" w:rsidP="008F3A82">
      <w:r w:rsidRPr="00422245">
        <w:t xml:space="preserve">Regjeringen la i 2023 fram en handlingsplan for </w:t>
      </w:r>
      <w:r w:rsidR="00345178" w:rsidRPr="00422245">
        <w:t xml:space="preserve">å sikre og styrke norsk fagspråk i akademia. </w:t>
      </w:r>
      <w:r w:rsidR="00B97DB1" w:rsidRPr="00422245">
        <w:t>Det er derfor viktig å</w:t>
      </w:r>
      <w:r w:rsidR="0015636F" w:rsidRPr="00422245">
        <w:t xml:space="preserve"> følge utviklingen av</w:t>
      </w:r>
      <w:r w:rsidR="005F697C" w:rsidRPr="00422245">
        <w:t xml:space="preserve"> forholdet</w:t>
      </w:r>
      <w:r w:rsidR="00EE0512" w:rsidRPr="00422245">
        <w:t xml:space="preserve"> mello</w:t>
      </w:r>
      <w:r w:rsidR="00126703" w:rsidRPr="00422245">
        <w:t xml:space="preserve">m norsk og engelsk i høyere utdanning. </w:t>
      </w:r>
      <w:r w:rsidR="00E35639" w:rsidRPr="00422245">
        <w:t xml:space="preserve">Per i dag er imidlertid </w:t>
      </w:r>
      <w:r w:rsidR="002B3700" w:rsidRPr="00422245">
        <w:t xml:space="preserve">datagrunnlaget ikke </w:t>
      </w:r>
      <w:r w:rsidR="00710325" w:rsidRPr="00422245">
        <w:t xml:space="preserve">godt nok for </w:t>
      </w:r>
      <w:r w:rsidR="00EE70BA" w:rsidRPr="00422245">
        <w:t>dette formålet</w:t>
      </w:r>
      <w:r w:rsidR="00925B79" w:rsidRPr="00422245">
        <w:t xml:space="preserve">. </w:t>
      </w:r>
    </w:p>
    <w:p w14:paraId="7117A641" w14:textId="2BFD0B3F" w:rsidR="002F6B56" w:rsidRPr="00422245" w:rsidRDefault="00CA013F" w:rsidP="008F3A82">
      <w:r w:rsidRPr="00422245">
        <w:t>I slutten av 2022 dannet HK-dir, Sikt og Språkrådet en arbeidsgruppe med mål om bedre datagrunnlag og statistikk om språksituasjonen i UH-sektoren. Arbeidsgrupp</w:t>
      </w:r>
      <w:r w:rsidR="000713AE" w:rsidRPr="00422245">
        <w:t>en</w:t>
      </w:r>
      <w:r w:rsidRPr="00422245">
        <w:t xml:space="preserve"> har sett på statistikken som finnes</w:t>
      </w:r>
      <w:r w:rsidR="005E7480" w:rsidRPr="00422245">
        <w:t>,</w:t>
      </w:r>
      <w:r w:rsidRPr="00422245">
        <w:t xml:space="preserve"> og vurdert behov for endring i registrering og rapportering</w:t>
      </w:r>
      <w:r w:rsidR="000713AE" w:rsidRPr="00422245">
        <w:t>,</w:t>
      </w:r>
      <w:r w:rsidR="00E66C5D" w:rsidRPr="00422245">
        <w:t xml:space="preserve"> </w:t>
      </w:r>
      <w:r w:rsidR="005B54AF" w:rsidRPr="00422245">
        <w:t xml:space="preserve">og </w:t>
      </w:r>
      <w:r w:rsidR="00C5064D" w:rsidRPr="00422245">
        <w:t xml:space="preserve">gjorde seg blant </w:t>
      </w:r>
      <w:r w:rsidR="002C2FDA" w:rsidRPr="00422245">
        <w:t>annet følgende vurderinger:</w:t>
      </w:r>
    </w:p>
    <w:p w14:paraId="50973B6A" w14:textId="750237FB" w:rsidR="002C2FDA" w:rsidRPr="00422245" w:rsidRDefault="00F07578" w:rsidP="002C2FDA">
      <w:pPr>
        <w:pStyle w:val="Listeavsnitt"/>
        <w:numPr>
          <w:ilvl w:val="0"/>
          <w:numId w:val="31"/>
        </w:numPr>
      </w:pPr>
      <w:r w:rsidRPr="00DF4876">
        <w:rPr>
          <w:b/>
          <w:lang w:val="nn-NO"/>
        </w:rPr>
        <w:t>Språk i undervisningsemner</w:t>
      </w:r>
      <w:r w:rsidRPr="00DF4876">
        <w:rPr>
          <w:lang w:val="nn-NO"/>
        </w:rPr>
        <w:t xml:space="preserve">: </w:t>
      </w:r>
      <w:r w:rsidR="00A81F32" w:rsidRPr="00DF4876">
        <w:rPr>
          <w:lang w:val="nn-NO"/>
        </w:rPr>
        <w:t>Det er ikke obligatorisk å registrere undervisningsspråk, og per</w:t>
      </w:r>
      <w:r w:rsidR="00A20A94" w:rsidRPr="00DF4876">
        <w:rPr>
          <w:lang w:val="nn-NO"/>
        </w:rPr>
        <w:t xml:space="preserve"> i dag </w:t>
      </w:r>
      <w:r w:rsidR="003D0E9A" w:rsidRPr="00DF4876">
        <w:rPr>
          <w:lang w:val="nn-NO"/>
        </w:rPr>
        <w:t xml:space="preserve">mangler sikker informasjon </w:t>
      </w:r>
      <w:r w:rsidR="00990FF0" w:rsidRPr="00DF4876">
        <w:rPr>
          <w:lang w:val="nn-NO"/>
        </w:rPr>
        <w:t>om</w:t>
      </w:r>
      <w:r w:rsidR="003D0E9A" w:rsidRPr="00DF4876">
        <w:rPr>
          <w:lang w:val="nn-NO"/>
        </w:rPr>
        <w:t xml:space="preserve"> språk i halvparten av alle emner.</w:t>
      </w:r>
      <w:r w:rsidR="00961EA8" w:rsidRPr="00DF4876">
        <w:rPr>
          <w:lang w:val="nn-NO"/>
        </w:rPr>
        <w:t xml:space="preserve"> </w:t>
      </w:r>
      <w:r w:rsidR="00961EA8" w:rsidRPr="00422245">
        <w:t xml:space="preserve">Dette bør </w:t>
      </w:r>
      <w:r w:rsidR="005C1F9F" w:rsidRPr="00422245">
        <w:t xml:space="preserve">utbedres </w:t>
      </w:r>
      <w:r w:rsidR="00347DF1" w:rsidRPr="00422245">
        <w:t>framover.</w:t>
      </w:r>
    </w:p>
    <w:p w14:paraId="71766EAA" w14:textId="05F055A7" w:rsidR="00990FF0" w:rsidRPr="00422245" w:rsidRDefault="00347DF1" w:rsidP="002C2FDA">
      <w:pPr>
        <w:pStyle w:val="Listeavsnitt"/>
        <w:numPr>
          <w:ilvl w:val="0"/>
          <w:numId w:val="31"/>
        </w:numPr>
      </w:pPr>
      <w:r w:rsidRPr="00422245">
        <w:rPr>
          <w:b/>
        </w:rPr>
        <w:t>Språk i pensumlitteratur</w:t>
      </w:r>
      <w:r w:rsidRPr="00422245">
        <w:t xml:space="preserve">: </w:t>
      </w:r>
      <w:r w:rsidR="002F178C" w:rsidRPr="00422245">
        <w:t>Det vil trolig være</w:t>
      </w:r>
      <w:r w:rsidR="00917C49" w:rsidRPr="00422245">
        <w:t xml:space="preserve"> </w:t>
      </w:r>
      <w:r w:rsidR="002F178C" w:rsidRPr="00422245">
        <w:t xml:space="preserve">svært arbeidskrevende å oppnå en presis rapportering av </w:t>
      </w:r>
      <w:r w:rsidR="00312636" w:rsidRPr="00422245">
        <w:t>språk i pensum og undervisningsmateriell.</w:t>
      </w:r>
      <w:r w:rsidR="00D26364" w:rsidRPr="00422245">
        <w:t xml:space="preserve"> </w:t>
      </w:r>
      <w:r w:rsidR="00E80890" w:rsidRPr="00422245">
        <w:t>Det kan være mer hensiktsmessig å vurdere en enklere form for rapportering som angir</w:t>
      </w:r>
      <w:r w:rsidR="00543AB3" w:rsidRPr="00422245">
        <w:t xml:space="preserve"> </w:t>
      </w:r>
      <w:r w:rsidR="001641DE" w:rsidRPr="00422245">
        <w:t xml:space="preserve">hvilke(t) språk som utgjør hovedtyngden. </w:t>
      </w:r>
    </w:p>
    <w:p w14:paraId="15DC4059" w14:textId="4869860F" w:rsidR="001641DE" w:rsidRPr="00422245" w:rsidRDefault="001641DE" w:rsidP="002C2FDA">
      <w:pPr>
        <w:pStyle w:val="Listeavsnitt"/>
        <w:numPr>
          <w:ilvl w:val="0"/>
          <w:numId w:val="31"/>
        </w:numPr>
      </w:pPr>
      <w:r w:rsidRPr="00422245">
        <w:rPr>
          <w:b/>
        </w:rPr>
        <w:t>Språk i mastergradsoppgaver</w:t>
      </w:r>
      <w:r w:rsidR="00B1030B" w:rsidRPr="00422245">
        <w:t>:</w:t>
      </w:r>
      <w:r w:rsidRPr="00422245">
        <w:t xml:space="preserve"> </w:t>
      </w:r>
      <w:r w:rsidR="00923C86" w:rsidRPr="00422245">
        <w:t>Data for språk i mastergradsoppgaver er basert på tall fra NORA (Norwegian Open Research Archives) over de mastergradsoppgavene som blir lagt ut med åpen tilgang.</w:t>
      </w:r>
      <w:r w:rsidR="008F2EC0" w:rsidRPr="00422245">
        <w:t xml:space="preserve"> </w:t>
      </w:r>
      <w:r w:rsidR="0051774B" w:rsidRPr="00422245">
        <w:t>For 2022 er det registrert</w:t>
      </w:r>
      <w:r w:rsidR="00B061B7" w:rsidRPr="00422245">
        <w:t xml:space="preserve"> språk for</w:t>
      </w:r>
      <w:r w:rsidR="0051774B" w:rsidRPr="00422245">
        <w:t xml:space="preserve"> </w:t>
      </w:r>
      <w:r w:rsidR="00C262E6" w:rsidRPr="00422245">
        <w:t>12</w:t>
      </w:r>
      <w:r w:rsidR="00B061B7" w:rsidRPr="00422245">
        <w:t> </w:t>
      </w:r>
      <w:r w:rsidR="00C262E6" w:rsidRPr="00422245">
        <w:t>900</w:t>
      </w:r>
      <w:r w:rsidR="00B061B7" w:rsidRPr="00422245">
        <w:t xml:space="preserve"> masteroppgaver, mens tallet på uteksaminerte </w:t>
      </w:r>
      <w:r w:rsidR="00AF6DBD" w:rsidRPr="00422245">
        <w:t xml:space="preserve">med mastergrad samme år var </w:t>
      </w:r>
      <w:r w:rsidR="00181890" w:rsidRPr="00422245">
        <w:t>2</w:t>
      </w:r>
      <w:r w:rsidR="005B3FE6" w:rsidRPr="00422245">
        <w:t>0 2</w:t>
      </w:r>
      <w:r w:rsidR="00181890" w:rsidRPr="00422245">
        <w:t>00.</w:t>
      </w:r>
      <w:r w:rsidR="00685DBD" w:rsidRPr="00422245">
        <w:t xml:space="preserve"> Det betyr at vi har kunnskap </w:t>
      </w:r>
      <w:r w:rsidR="00F240D9" w:rsidRPr="00422245">
        <w:t>om språk i minimum 64 prosent av oppgavene.</w:t>
      </w:r>
    </w:p>
    <w:p w14:paraId="126F9EB6" w14:textId="7E42748E" w:rsidR="005B3FE6" w:rsidRDefault="00F240D9" w:rsidP="005B3FE6">
      <w:pPr>
        <w:ind w:left="360"/>
      </w:pPr>
      <w:r w:rsidRPr="00422245">
        <w:t>Selv om</w:t>
      </w:r>
      <w:r w:rsidR="00E5203B" w:rsidRPr="00422245">
        <w:t xml:space="preserve"> heller ikke datagrunnlaget for språk i masteroppgaver er </w:t>
      </w:r>
      <w:r w:rsidR="008D39BD" w:rsidRPr="00422245">
        <w:t xml:space="preserve">helt ut tilfredsstillende, og også det bør forbedres framover, er det interessant å se hvordan </w:t>
      </w:r>
      <w:r w:rsidR="00230D52" w:rsidRPr="00422245">
        <w:t xml:space="preserve">språkbruken har </w:t>
      </w:r>
      <w:r w:rsidR="00737E49" w:rsidRPr="00422245">
        <w:t>utviklet seg over dit. Vi har data tilbake til 2105,</w:t>
      </w:r>
      <w:r w:rsidR="006D21FF" w:rsidRPr="00422245">
        <w:t xml:space="preserve"> og det ser ut til at andelen oppgaver </w:t>
      </w:r>
      <w:r w:rsidR="00135BE7" w:rsidRPr="00422245">
        <w:t xml:space="preserve">der vi kjenner språket, har holdt seg nokså stabil i denne perioden. </w:t>
      </w:r>
      <w:r w:rsidR="00683154" w:rsidRPr="00422245">
        <w:t xml:space="preserve">Også bruken av norsk og engelsk </w:t>
      </w:r>
      <w:r w:rsidR="00EB63FE" w:rsidRPr="00422245">
        <w:t xml:space="preserve">i masteroppgavene der vi kjenner språket, har vært </w:t>
      </w:r>
      <w:r w:rsidR="00A56551" w:rsidRPr="00422245">
        <w:t xml:space="preserve">stabil over tid, se </w:t>
      </w:r>
      <w:r w:rsidR="00A56551" w:rsidRPr="00422245">
        <w:fldChar w:fldCharType="begin"/>
      </w:r>
      <w:r w:rsidR="00A56551" w:rsidRPr="00422245">
        <w:instrText xml:space="preserve"> REF _Ref161844933 \h </w:instrText>
      </w:r>
      <w:r w:rsidR="00A56551" w:rsidRPr="00422245">
        <w:fldChar w:fldCharType="separate"/>
      </w:r>
      <w:r w:rsidR="00A56551" w:rsidRPr="00422245">
        <w:t xml:space="preserve">Figur </w:t>
      </w:r>
      <w:r w:rsidR="00277E53">
        <w:rPr>
          <w:noProof/>
        </w:rPr>
        <w:t>3</w:t>
      </w:r>
      <w:r w:rsidR="005B096E">
        <w:noBreakHyphen/>
      </w:r>
      <w:r w:rsidR="005B096E">
        <w:rPr>
          <w:noProof/>
        </w:rPr>
        <w:t>6</w:t>
      </w:r>
      <w:r w:rsidR="00A56551" w:rsidRPr="00422245">
        <w:fldChar w:fldCharType="end"/>
      </w:r>
      <w:r w:rsidR="00A56551" w:rsidRPr="00422245">
        <w:t xml:space="preserve">. I både 2015 og 2022 var </w:t>
      </w:r>
      <w:r w:rsidR="00A16E57" w:rsidRPr="00422245">
        <w:t>58 prosent av masteroppgavene skrevet på norsk.</w:t>
      </w:r>
    </w:p>
    <w:p w14:paraId="10891D0A" w14:textId="77777777" w:rsidR="004B6AC9" w:rsidRDefault="004B6AC9" w:rsidP="005B3FE6">
      <w:pPr>
        <w:ind w:left="360"/>
      </w:pPr>
    </w:p>
    <w:p w14:paraId="61193E8A" w14:textId="71BBF7AC" w:rsidR="004B6AC9" w:rsidRPr="00422245" w:rsidRDefault="004B6AC9" w:rsidP="005B3FE6">
      <w:pPr>
        <w:ind w:left="360"/>
      </w:pPr>
      <w:r w:rsidRPr="004B6AC9">
        <w:t>https://vedlegg.hkdir.no/MichaelRev/2024/figur/V3.6</w:t>
      </w:r>
    </w:p>
    <w:p w14:paraId="631EB3C9" w14:textId="5C72E515" w:rsidR="00683154" w:rsidRPr="00422245" w:rsidRDefault="00683154" w:rsidP="00683154">
      <w:pPr>
        <w:pStyle w:val="Bildetekst"/>
        <w:keepNext/>
      </w:pPr>
      <w:bookmarkStart w:id="56" w:name="_Ref161844933"/>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3</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6</w:t>
      </w:r>
      <w:r w:rsidR="006E1D94">
        <w:fldChar w:fldCharType="end"/>
      </w:r>
      <w:bookmarkEnd w:id="56"/>
      <w:r w:rsidRPr="00422245">
        <w:t xml:space="preserve"> Språk i masteroppgaver 2015-2022</w:t>
      </w:r>
    </w:p>
    <w:p w14:paraId="133FDEDF" w14:textId="76908876" w:rsidR="00DB6FE1" w:rsidRDefault="00DB6FE1" w:rsidP="008F3A82">
      <w:r w:rsidRPr="00422245">
        <w:rPr>
          <w:noProof/>
        </w:rPr>
        <w:drawing>
          <wp:inline distT="0" distB="0" distL="0" distR="0" wp14:anchorId="21D017BF" wp14:editId="002D0CA0">
            <wp:extent cx="5725236" cy="2743200"/>
            <wp:effectExtent l="0" t="0" r="8890" b="0"/>
            <wp:docPr id="680298448" name="Diagram 1">
              <a:extLst xmlns:a="http://schemas.openxmlformats.org/drawingml/2006/main">
                <a:ext uri="{FF2B5EF4-FFF2-40B4-BE49-F238E27FC236}">
                  <a16:creationId xmlns:a16="http://schemas.microsoft.com/office/drawing/2014/main" id="{4A716BF4-BBA1-F0E0-B2A1-544513644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E40740" w14:textId="0E45C794" w:rsidR="00A50490" w:rsidRPr="004E5D9B" w:rsidRDefault="000742E0" w:rsidP="000742E0">
      <w:pPr>
        <w:pStyle w:val="Kilde"/>
        <w:rPr>
          <w:lang w:val="nn-NO"/>
        </w:rPr>
      </w:pPr>
      <w:r w:rsidRPr="004E373E">
        <w:rPr>
          <w:b/>
          <w:lang w:val="nn-NO"/>
        </w:rPr>
        <w:t>Kilde</w:t>
      </w:r>
      <w:r w:rsidRPr="004E5D9B">
        <w:rPr>
          <w:lang w:val="nn-NO"/>
        </w:rPr>
        <w:t>: Sikt, NORA</w:t>
      </w:r>
    </w:p>
    <w:p w14:paraId="002DCFF2" w14:textId="2D49988A" w:rsidR="00510309" w:rsidRPr="00422245" w:rsidRDefault="00E00066" w:rsidP="00510309">
      <w:pPr>
        <w:pStyle w:val="Bildetekst"/>
        <w:keepNext/>
      </w:pPr>
      <w:r w:rsidRPr="00896AD0">
        <w:rPr>
          <w:lang w:val="nn-NO"/>
        </w:rPr>
        <w:t xml:space="preserve">Språkbruk i høyere utdanning varier med både utdanningsnivå og fagområder. Vår statistikk om språk i masteroppgaver kan ikke fordeles på fagområder, men denne forskjellen kommer indirekte til syne i forskjellen mellom institusjoner med ulik </w:t>
      </w:r>
      <w:proofErr w:type="spellStart"/>
      <w:r w:rsidRPr="00896AD0">
        <w:rPr>
          <w:lang w:val="nn-NO"/>
        </w:rPr>
        <w:t>faglig</w:t>
      </w:r>
      <w:proofErr w:type="spellEnd"/>
      <w:r w:rsidRPr="00896AD0">
        <w:rPr>
          <w:lang w:val="nn-NO"/>
        </w:rPr>
        <w:t xml:space="preserve"> profil</w:t>
      </w:r>
      <w:r w:rsidR="00990598" w:rsidRPr="00896AD0">
        <w:rPr>
          <w:lang w:val="nn-NO"/>
        </w:rPr>
        <w:t xml:space="preserve">, </w:t>
      </w:r>
      <w:proofErr w:type="spellStart"/>
      <w:r w:rsidR="00990598" w:rsidRPr="00896AD0">
        <w:rPr>
          <w:lang w:val="nn-NO"/>
        </w:rPr>
        <w:t>se</w:t>
      </w:r>
      <w:proofErr w:type="spellEnd"/>
      <w:r w:rsidR="00990598" w:rsidRPr="00896AD0">
        <w:rPr>
          <w:lang w:val="nn-NO"/>
        </w:rPr>
        <w:t xml:space="preserve"> </w:t>
      </w:r>
      <w:r w:rsidR="005A6170">
        <w:fldChar w:fldCharType="begin"/>
      </w:r>
      <w:r w:rsidR="005A6170" w:rsidRPr="00896AD0">
        <w:rPr>
          <w:lang w:val="nn-NO"/>
        </w:rPr>
        <w:instrText xml:space="preserve"> REF _Ref163469451 \h </w:instrText>
      </w:r>
      <w:r w:rsidR="005A6170">
        <w:fldChar w:fldCharType="separate"/>
      </w:r>
      <w:r w:rsidR="005A6170" w:rsidRPr="00896AD0">
        <w:rPr>
          <w:lang w:val="nn-NO"/>
        </w:rPr>
        <w:t>Figur 3</w:t>
      </w:r>
      <w:r w:rsidR="005A6170" w:rsidRPr="00896AD0">
        <w:rPr>
          <w:lang w:val="nn-NO"/>
        </w:rPr>
        <w:noBreakHyphen/>
        <w:t>7</w:t>
      </w:r>
      <w:r w:rsidR="005A6170">
        <w:fldChar w:fldCharType="end"/>
      </w:r>
      <w:r w:rsidR="00990598" w:rsidRPr="00896AD0">
        <w:rPr>
          <w:lang w:val="nn-NO"/>
        </w:rPr>
        <w:t xml:space="preserve">. </w:t>
      </w:r>
      <w:r w:rsidR="00DF5704" w:rsidRPr="00896AD0">
        <w:rPr>
          <w:lang w:val="nn-NO"/>
        </w:rPr>
        <w:t xml:space="preserve">Mens alle skrev på norsk ved DMMH, </w:t>
      </w:r>
      <w:r w:rsidR="00D567FA" w:rsidRPr="00896AD0">
        <w:rPr>
          <w:lang w:val="nn-NO"/>
        </w:rPr>
        <w:t>var…</w:t>
      </w:r>
      <w:r w:rsidR="00F308D8" w:rsidRPr="00896AD0">
        <w:rPr>
          <w:lang w:val="nn-NO"/>
        </w:rPr>
        <w:t>(kommentere ferdig når 2023</w:t>
      </w:r>
      <w:r w:rsidR="00D567FA" w:rsidRPr="00896AD0">
        <w:rPr>
          <w:lang w:val="nn-NO"/>
        </w:rPr>
        <w:t xml:space="preserve">). </w:t>
      </w:r>
      <w:r w:rsidR="007F5CCF" w:rsidRPr="00896AD0">
        <w:rPr>
          <w:lang w:val="nn-NO"/>
        </w:rPr>
        <w:t xml:space="preserve">Andelen ved NTNU preget av teknologifagene, UiO og UiB i en mellomposisjon, </w:t>
      </w:r>
      <w:r w:rsidR="00ED755D" w:rsidRPr="00896AD0">
        <w:rPr>
          <w:lang w:val="nn-NO"/>
        </w:rPr>
        <w:t>mens høyskoler/nye universitet / profesjonsutdanninger har</w:t>
      </w:r>
      <w:r w:rsidR="00A33B8A" w:rsidRPr="00896AD0">
        <w:rPr>
          <w:lang w:val="nn-NO"/>
        </w:rPr>
        <w:t>…</w:t>
      </w:r>
      <w:r w:rsidR="00B822F3" w:rsidRPr="00896AD0">
        <w:rPr>
          <w:lang w:val="nn-NO"/>
        </w:rPr>
        <w:t xml:space="preserve"> </w:t>
      </w:r>
      <w:bookmarkStart w:id="57" w:name="_Ref163469451"/>
      <w:r w:rsidR="00510309" w:rsidRPr="00422245">
        <w:t xml:space="preserve">Figur </w:t>
      </w:r>
      <w:r w:rsidR="006E1D94">
        <w:fldChar w:fldCharType="begin"/>
      </w:r>
      <w:r w:rsidR="006E1D94">
        <w:instrText xml:space="preserve"> STYLEREF 1 \s </w:instrText>
      </w:r>
      <w:r w:rsidR="006E1D94">
        <w:fldChar w:fldCharType="separate"/>
      </w:r>
      <w:r w:rsidR="006E1D94">
        <w:rPr>
          <w:noProof/>
        </w:rPr>
        <w:t>3</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7</w:t>
      </w:r>
      <w:r w:rsidR="006E1D94">
        <w:fldChar w:fldCharType="end"/>
      </w:r>
      <w:bookmarkEnd w:id="57"/>
      <w:r w:rsidR="00510309" w:rsidRPr="00422245">
        <w:t xml:space="preserve"> Andel masteroppgaver skrevet på norsk 2015-2022, per institusjon</w:t>
      </w:r>
    </w:p>
    <w:p w14:paraId="48A8FCD9" w14:textId="6495A8AD" w:rsidR="00510309" w:rsidRPr="00422245" w:rsidRDefault="00510309" w:rsidP="00F92626">
      <w:pPr>
        <w:keepNext/>
      </w:pPr>
      <w:r w:rsidRPr="00422245">
        <w:rPr>
          <w:noProof/>
        </w:rPr>
        <w:drawing>
          <wp:inline distT="0" distB="0" distL="0" distR="0" wp14:anchorId="5C74E490" wp14:editId="4B7BA6CE">
            <wp:extent cx="5711190" cy="2197289"/>
            <wp:effectExtent l="0" t="0" r="3810" b="12700"/>
            <wp:docPr id="1283222057" name="Diagram 1">
              <a:extLst xmlns:a="http://schemas.openxmlformats.org/drawingml/2006/main">
                <a:ext uri="{FF2B5EF4-FFF2-40B4-BE49-F238E27FC236}">
                  <a16:creationId xmlns:a16="http://schemas.microsoft.com/office/drawing/2014/main" id="{54E85BEC-930E-6CBF-1200-F1C7A6352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7C8E3FC" w14:textId="0A53D382" w:rsidR="00646939" w:rsidRDefault="00163310" w:rsidP="00163310">
      <w:pPr>
        <w:pStyle w:val="Kilde"/>
      </w:pPr>
      <w:r w:rsidRPr="004E373E">
        <w:rPr>
          <w:b/>
        </w:rPr>
        <w:t>Kilde</w:t>
      </w:r>
      <w:r>
        <w:t>: Sikt, NORA</w:t>
      </w:r>
      <w:r w:rsidR="00646939">
        <w:br w:type="page"/>
      </w:r>
    </w:p>
    <w:p w14:paraId="1A105DD1" w14:textId="77777777" w:rsidR="00E00066" w:rsidRPr="00422245" w:rsidRDefault="00E00066" w:rsidP="008F3A82"/>
    <w:p w14:paraId="161B01BF" w14:textId="382994AC" w:rsidR="00796635" w:rsidRPr="00422245" w:rsidRDefault="00100036" w:rsidP="00133BEA">
      <w:pPr>
        <w:pStyle w:val="Overskrift1"/>
        <w:spacing w:after="168"/>
      </w:pPr>
      <w:bookmarkStart w:id="58" w:name="_Ref163390044"/>
      <w:bookmarkStart w:id="59" w:name="_Toc163488407"/>
      <w:r w:rsidRPr="00422245">
        <w:t>Internasjonalisering</w:t>
      </w:r>
      <w:bookmarkEnd w:id="39"/>
      <w:bookmarkEnd w:id="58"/>
      <w:bookmarkEnd w:id="59"/>
    </w:p>
    <w:p w14:paraId="6CCD7CC2" w14:textId="3C0E8945" w:rsidR="00A8409C" w:rsidRPr="00422245" w:rsidRDefault="00EC255A" w:rsidP="00710C90">
      <w:r>
        <w:rPr>
          <w:shd w:val="clear" w:color="auto" w:fill="FFFFFF"/>
        </w:rPr>
        <w:t xml:space="preserve">Kapittelet </w:t>
      </w:r>
      <w:r w:rsidR="00246BBA">
        <w:rPr>
          <w:shd w:val="clear" w:color="auto" w:fill="FFFFFF"/>
        </w:rPr>
        <w:t>viser sentrale sider ved</w:t>
      </w:r>
      <w:r>
        <w:rPr>
          <w:shd w:val="clear" w:color="auto" w:fill="FFFFFF"/>
        </w:rPr>
        <w:t xml:space="preserve"> internasjonalisering i høyere utdanning</w:t>
      </w:r>
      <w:r w:rsidR="00AE2587">
        <w:rPr>
          <w:shd w:val="clear" w:color="auto" w:fill="FFFFFF"/>
        </w:rPr>
        <w:t>. Det presenterer</w:t>
      </w:r>
      <w:r>
        <w:rPr>
          <w:shd w:val="clear" w:color="auto" w:fill="FFFFFF"/>
        </w:rPr>
        <w:t xml:space="preserve"> nøkkeltall for utveksling, mobilitet og samarbeid innenfor Erasmus+, norske gradsstudenter i utlandet og internasjonale studenter i Norge. </w:t>
      </w:r>
    </w:p>
    <w:p w14:paraId="45686BD6" w14:textId="5D8BC70E" w:rsidR="00914B14" w:rsidRPr="00422245" w:rsidRDefault="00A8409C" w:rsidP="00914B14">
      <w:pPr>
        <w:pStyle w:val="Overskrift2"/>
      </w:pPr>
      <w:bookmarkStart w:id="60" w:name="_Ref161769035"/>
      <w:bookmarkStart w:id="61" w:name="_Toc163488408"/>
      <w:r w:rsidRPr="00422245">
        <w:t>Rekord</w:t>
      </w:r>
      <w:r w:rsidR="00710C90" w:rsidRPr="00422245">
        <w:t>stor</w:t>
      </w:r>
      <w:r w:rsidRPr="00422245">
        <w:t xml:space="preserve"> studentutveksling</w:t>
      </w:r>
      <w:bookmarkEnd w:id="60"/>
      <w:bookmarkEnd w:id="61"/>
    </w:p>
    <w:p w14:paraId="249D7B6A" w14:textId="6EA57FF6" w:rsidR="004A219D" w:rsidRPr="00422245" w:rsidRDefault="00097B29" w:rsidP="0073150B">
      <w:r w:rsidRPr="00422245">
        <w:t>Et rekordhøyt an</w:t>
      </w:r>
      <w:r w:rsidR="000D0865" w:rsidRPr="00422245">
        <w:t xml:space="preserve">tall </w:t>
      </w:r>
      <w:r w:rsidR="00FB30D3" w:rsidRPr="00422245">
        <w:t xml:space="preserve">studenter reiste på </w:t>
      </w:r>
      <w:r w:rsidR="00E55313" w:rsidRPr="00422245">
        <w:t>utveksling</w:t>
      </w:r>
      <w:r w:rsidR="0083229B" w:rsidRPr="00422245">
        <w:t xml:space="preserve"> </w:t>
      </w:r>
      <w:r w:rsidRPr="00422245">
        <w:t xml:space="preserve">til og fra Norge </w:t>
      </w:r>
      <w:r w:rsidR="0083229B" w:rsidRPr="00422245">
        <w:t xml:space="preserve">i 2023. </w:t>
      </w:r>
      <w:r w:rsidR="000621FF" w:rsidRPr="00422245">
        <w:t xml:space="preserve">Dette kommer fram av </w:t>
      </w:r>
      <w:r w:rsidR="00F51BE8" w:rsidRPr="00422245">
        <w:fldChar w:fldCharType="begin"/>
      </w:r>
      <w:r w:rsidR="00F51BE8" w:rsidRPr="00422245">
        <w:instrText xml:space="preserve"> REF _Ref161043569 \h </w:instrText>
      </w:r>
      <w:r w:rsidR="00F51BE8" w:rsidRPr="00422245">
        <w:fldChar w:fldCharType="separate"/>
      </w:r>
      <w:r w:rsidR="005B096E" w:rsidRPr="00422245">
        <w:t>Figur</w:t>
      </w:r>
      <w:r w:rsidR="004E68F7" w:rsidRPr="00422245">
        <w:t xml:space="preserve"> </w:t>
      </w:r>
      <w:r w:rsidR="00727BB7">
        <w:rPr>
          <w:noProof/>
        </w:rPr>
        <w:t>4</w:t>
      </w:r>
      <w:r w:rsidR="005B096E">
        <w:noBreakHyphen/>
      </w:r>
      <w:r w:rsidR="00F51BE8" w:rsidRPr="00422245">
        <w:t>1</w:t>
      </w:r>
      <w:r w:rsidR="00F51BE8" w:rsidRPr="00422245">
        <w:fldChar w:fldCharType="end"/>
      </w:r>
      <w:r w:rsidR="00DD4FE7" w:rsidRPr="00422245">
        <w:t xml:space="preserve"> nedenfor</w:t>
      </w:r>
      <w:r w:rsidR="000621FF" w:rsidRPr="00422245">
        <w:t xml:space="preserve">. </w:t>
      </w:r>
      <w:r w:rsidR="00F31FD6" w:rsidRPr="00422245">
        <w:t xml:space="preserve">Nær </w:t>
      </w:r>
      <w:r w:rsidR="00F32B3D" w:rsidRPr="00422245">
        <w:t>8</w:t>
      </w:r>
      <w:r w:rsidR="00857F70" w:rsidRPr="00422245">
        <w:t> </w:t>
      </w:r>
      <w:r w:rsidR="00F32B3D" w:rsidRPr="00422245">
        <w:t xml:space="preserve">000 studenter reiste </w:t>
      </w:r>
      <w:r w:rsidR="002B43C3" w:rsidRPr="00422245">
        <w:t>på utveksling</w:t>
      </w:r>
      <w:r w:rsidR="00B93CEC" w:rsidRPr="00422245">
        <w:t xml:space="preserve"> </w:t>
      </w:r>
      <w:r w:rsidR="00B93CEC" w:rsidRPr="00422245">
        <w:rPr>
          <w:i/>
          <w:iCs/>
        </w:rPr>
        <w:t>fra</w:t>
      </w:r>
      <w:r w:rsidR="00B93CEC" w:rsidRPr="00422245">
        <w:t xml:space="preserve"> Norge</w:t>
      </w:r>
      <w:r w:rsidR="00857F70" w:rsidRPr="00422245">
        <w:t>, en økning på</w:t>
      </w:r>
      <w:r w:rsidR="00C0084F" w:rsidRPr="00422245">
        <w:t xml:space="preserve"> 1</w:t>
      </w:r>
      <w:r w:rsidR="00FF275D" w:rsidRPr="00422245">
        <w:t>2</w:t>
      </w:r>
      <w:r w:rsidR="00C0084F" w:rsidRPr="00422245">
        <w:t xml:space="preserve"> prosent fra </w:t>
      </w:r>
      <w:r w:rsidR="00095B70" w:rsidRPr="00422245">
        <w:t>2022</w:t>
      </w:r>
      <w:r w:rsidR="00857F70" w:rsidRPr="00422245">
        <w:t xml:space="preserve">. </w:t>
      </w:r>
      <w:r w:rsidR="00CB5F0E" w:rsidRPr="00422245">
        <w:t>Samtidig kom 10 500 studenter på utveksling til Norge i 2023. Dette utgjør 3 prosent flere innreisende studenter enn i 2022.</w:t>
      </w:r>
      <w:r w:rsidR="00276416" w:rsidRPr="00422245">
        <w:t xml:space="preserve"> </w:t>
      </w:r>
      <w:r w:rsidR="00904F6B" w:rsidRPr="00422245">
        <w:t xml:space="preserve">Det er </w:t>
      </w:r>
      <w:r w:rsidR="00A81A60" w:rsidRPr="00422245">
        <w:t xml:space="preserve">nå </w:t>
      </w:r>
      <w:r w:rsidR="006715E6" w:rsidRPr="00422245">
        <w:t xml:space="preserve">om lag </w:t>
      </w:r>
      <w:r w:rsidR="00CB212E" w:rsidRPr="00422245">
        <w:t>5</w:t>
      </w:r>
      <w:r w:rsidR="00904F6B" w:rsidRPr="00422245">
        <w:t>00 flere</w:t>
      </w:r>
      <w:r w:rsidR="00A81A60" w:rsidRPr="00422245">
        <w:t xml:space="preserve"> som reiser fra Norge på utveksling</w:t>
      </w:r>
      <w:r w:rsidR="00904F6B" w:rsidRPr="00422245">
        <w:t xml:space="preserve"> enn </w:t>
      </w:r>
      <w:r w:rsidR="00A81A60" w:rsidRPr="00422245">
        <w:t xml:space="preserve">det var </w:t>
      </w:r>
      <w:r w:rsidR="00904F6B" w:rsidRPr="00422245">
        <w:t>i toppåret 2019</w:t>
      </w:r>
      <w:r w:rsidR="00C15DE0" w:rsidRPr="00422245">
        <w:t xml:space="preserve">. </w:t>
      </w:r>
      <w:r w:rsidR="00A562E1" w:rsidRPr="00422245">
        <w:t xml:space="preserve">Utvekslingen </w:t>
      </w:r>
      <w:r w:rsidR="002A4B04" w:rsidRPr="00422245">
        <w:t>fikk</w:t>
      </w:r>
      <w:r w:rsidR="007E6FB6" w:rsidRPr="00422245">
        <w:t xml:space="preserve"> </w:t>
      </w:r>
      <w:r w:rsidR="00FB5F30" w:rsidRPr="00422245">
        <w:t>e</w:t>
      </w:r>
      <w:r w:rsidR="002A4B04" w:rsidRPr="00422245">
        <w:t xml:space="preserve">t </w:t>
      </w:r>
      <w:r w:rsidR="00FB5F30" w:rsidRPr="00422245">
        <w:t xml:space="preserve">kraftig </w:t>
      </w:r>
      <w:r w:rsidR="002A4B04" w:rsidRPr="00422245">
        <w:t>fall</w:t>
      </w:r>
      <w:r w:rsidR="00671B54" w:rsidRPr="00422245">
        <w:t xml:space="preserve"> under pandemien</w:t>
      </w:r>
      <w:r w:rsidR="00CC2152" w:rsidRPr="00422245">
        <w:t xml:space="preserve">, men har </w:t>
      </w:r>
      <w:r w:rsidR="000133D5" w:rsidRPr="00422245">
        <w:t>i årene etter</w:t>
      </w:r>
      <w:r w:rsidR="00CC2152" w:rsidRPr="00422245">
        <w:t xml:space="preserve"> </w:t>
      </w:r>
      <w:r w:rsidR="003E78FF" w:rsidRPr="00422245">
        <w:t>2021</w:t>
      </w:r>
      <w:r w:rsidR="007A4338" w:rsidRPr="00422245">
        <w:t xml:space="preserve"> </w:t>
      </w:r>
      <w:r w:rsidR="00F03233" w:rsidRPr="00422245">
        <w:t xml:space="preserve">vært i </w:t>
      </w:r>
      <w:r w:rsidR="007A4338" w:rsidRPr="00422245">
        <w:t xml:space="preserve">god vekst. </w:t>
      </w:r>
      <w:r w:rsidR="001D0994" w:rsidRPr="00422245">
        <w:t xml:space="preserve">For de siste ti årene sett under ett, er det antallet innreisende som har økt mest. Det var 51 prosent flere innkomne studenter i 2023 enn i 2014. Antallet studenter som har utvekslet </w:t>
      </w:r>
      <w:r w:rsidR="001D0994" w:rsidRPr="00422245">
        <w:rPr>
          <w:i/>
          <w:iCs/>
        </w:rPr>
        <w:t>fra</w:t>
      </w:r>
      <w:r w:rsidR="001D0994" w:rsidRPr="00422245">
        <w:t xml:space="preserve"> Norge i samme periode har økt med 37 prosent. </w:t>
      </w:r>
    </w:p>
    <w:p w14:paraId="7F803F80" w14:textId="5714CDCD" w:rsidR="00124B0E" w:rsidRPr="00422245" w:rsidRDefault="004742BB" w:rsidP="00710C90">
      <w:pPr>
        <w:pStyle w:val="Bildetekst"/>
        <w:keepNext/>
        <w:keepLines/>
      </w:pPr>
      <w:bookmarkStart w:id="62" w:name="_Ref161043569"/>
      <w:r w:rsidRPr="00422245">
        <w:t xml:space="preserve">Figur </w:t>
      </w:r>
      <w:r w:rsidR="006E1D94">
        <w:fldChar w:fldCharType="begin"/>
      </w:r>
      <w:r w:rsidR="006E1D94">
        <w:instrText xml:space="preserve"> STYLEREF 1 \s </w:instrText>
      </w:r>
      <w:r w:rsidR="006E1D94">
        <w:fldChar w:fldCharType="separate"/>
      </w:r>
      <w:r w:rsidR="006E1D94">
        <w:rPr>
          <w:noProof/>
        </w:rPr>
        <w:t>4</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w:t>
      </w:r>
      <w:r w:rsidR="006E1D94">
        <w:fldChar w:fldCharType="end"/>
      </w:r>
      <w:bookmarkEnd w:id="62"/>
      <w:r w:rsidRPr="00422245">
        <w:t xml:space="preserve"> </w:t>
      </w:r>
      <w:r w:rsidR="00124B68" w:rsidRPr="00422245">
        <w:t>Utvekslingsstudenter til og fra Norge 201</w:t>
      </w:r>
      <w:r w:rsidR="00451B3A" w:rsidRPr="00422245">
        <w:t>4</w:t>
      </w:r>
      <w:r w:rsidR="00124B68" w:rsidRPr="00422245">
        <w:t>–2</w:t>
      </w:r>
      <w:r w:rsidR="00451B3A" w:rsidRPr="00422245">
        <w:t>3</w:t>
      </w:r>
      <w:r w:rsidR="00124B68" w:rsidRPr="00422245">
        <w:t>. Antall</w:t>
      </w:r>
    </w:p>
    <w:p w14:paraId="3AE6FE1A" w14:textId="69300554" w:rsidR="00124B0E" w:rsidRPr="00422245" w:rsidRDefault="00FF395B" w:rsidP="00710C90">
      <w:pPr>
        <w:keepNext/>
        <w:keepLines/>
      </w:pPr>
      <w:r w:rsidRPr="00422245">
        <w:rPr>
          <w:noProof/>
        </w:rPr>
        <w:drawing>
          <wp:inline distT="0" distB="0" distL="0" distR="0" wp14:anchorId="72494519" wp14:editId="549C1541">
            <wp:extent cx="5731510" cy="2674961"/>
            <wp:effectExtent l="0" t="0" r="2540" b="11430"/>
            <wp:docPr id="755632858" name="Diagram 1">
              <a:extLst xmlns:a="http://schemas.openxmlformats.org/drawingml/2006/main">
                <a:ext uri="{FF2B5EF4-FFF2-40B4-BE49-F238E27FC236}">
                  <a16:creationId xmlns:a16="http://schemas.microsoft.com/office/drawing/2014/main" id="{00000000-0008-0000-0A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FB23E0" w14:textId="5C0CAF95" w:rsidR="00501C90" w:rsidRPr="00163310" w:rsidRDefault="00501C90" w:rsidP="00163310">
      <w:pPr>
        <w:pStyle w:val="Merknad"/>
      </w:pPr>
      <w:r w:rsidRPr="00163310">
        <w:t>Figuren viser utvekslingsopphold over tre måneder</w:t>
      </w:r>
    </w:p>
    <w:p w14:paraId="540C0045" w14:textId="6A9C0C42" w:rsidR="00501C90" w:rsidRPr="00C7078C" w:rsidRDefault="00501C90" w:rsidP="00163310">
      <w:pPr>
        <w:pStyle w:val="Kilde"/>
        <w:rPr>
          <w:lang w:val="nn-NO"/>
        </w:rPr>
      </w:pPr>
      <w:r w:rsidRPr="004E373E">
        <w:rPr>
          <w:b/>
          <w:lang w:val="nn-NO"/>
        </w:rPr>
        <w:t>Kilde</w:t>
      </w:r>
      <w:r w:rsidRPr="00C7078C">
        <w:rPr>
          <w:lang w:val="nn-NO"/>
        </w:rPr>
        <w:t>: DBH</w:t>
      </w:r>
    </w:p>
    <w:p w14:paraId="1A7D8966" w14:textId="73511E16" w:rsidR="006425E9" w:rsidRPr="00163310" w:rsidRDefault="00D87A0A" w:rsidP="00276416">
      <w:pPr>
        <w:widowControl w:val="0"/>
        <w:rPr>
          <w:highlight w:val="yellow"/>
        </w:rPr>
      </w:pPr>
      <w:r w:rsidRPr="00DF4876">
        <w:rPr>
          <w:lang w:val="nn-NO"/>
        </w:rPr>
        <w:t>I 2023 reiste det f</w:t>
      </w:r>
      <w:r w:rsidR="006425E9" w:rsidRPr="00DF4876">
        <w:rPr>
          <w:lang w:val="nn-NO"/>
        </w:rPr>
        <w:t xml:space="preserve">lest utvekslingsstudenter </w:t>
      </w:r>
      <w:r w:rsidRPr="00DF4876">
        <w:rPr>
          <w:lang w:val="nn-NO"/>
        </w:rPr>
        <w:t xml:space="preserve">fra Norge </w:t>
      </w:r>
      <w:r w:rsidR="006425E9" w:rsidRPr="00DF4876">
        <w:rPr>
          <w:lang w:val="nn-NO"/>
        </w:rPr>
        <w:t>til</w:t>
      </w:r>
      <w:r w:rsidR="00ED4121" w:rsidRPr="00DF4876">
        <w:rPr>
          <w:lang w:val="nn-NO"/>
        </w:rPr>
        <w:t xml:space="preserve"> Australia</w:t>
      </w:r>
      <w:r w:rsidR="009066CF" w:rsidRPr="00DF4876">
        <w:rPr>
          <w:lang w:val="nn-NO"/>
        </w:rPr>
        <w:t xml:space="preserve"> </w:t>
      </w:r>
      <w:r w:rsidR="00276734" w:rsidRPr="00DF4876">
        <w:rPr>
          <w:lang w:val="nn-NO"/>
        </w:rPr>
        <w:t>(1 350)</w:t>
      </w:r>
      <w:r w:rsidR="0039117A" w:rsidRPr="00DF4876">
        <w:rPr>
          <w:lang w:val="nn-NO"/>
        </w:rPr>
        <w:t xml:space="preserve">, Italia </w:t>
      </w:r>
      <w:r w:rsidR="0039117A" w:rsidRPr="00DF4876">
        <w:rPr>
          <w:lang w:val="nn-NO"/>
        </w:rPr>
        <w:lastRenderedPageBreak/>
        <w:t>(</w:t>
      </w:r>
      <w:r w:rsidR="004D42F4" w:rsidRPr="00DF4876">
        <w:rPr>
          <w:lang w:val="nn-NO"/>
        </w:rPr>
        <w:t xml:space="preserve">700) og </w:t>
      </w:r>
      <w:r w:rsidR="00C04C56" w:rsidRPr="00DF4876">
        <w:rPr>
          <w:lang w:val="nn-NO"/>
        </w:rPr>
        <w:t>USA (660)</w:t>
      </w:r>
      <w:r w:rsidR="006425E9" w:rsidRPr="00DF4876">
        <w:rPr>
          <w:lang w:val="nn-NO"/>
        </w:rPr>
        <w:t>. Australia</w:t>
      </w:r>
      <w:r w:rsidR="00FC5D5A" w:rsidRPr="00DF4876">
        <w:rPr>
          <w:lang w:val="nn-NO"/>
        </w:rPr>
        <w:t xml:space="preserve"> har </w:t>
      </w:r>
      <w:r w:rsidR="006425E9" w:rsidRPr="00DF4876">
        <w:rPr>
          <w:lang w:val="nn-NO"/>
        </w:rPr>
        <w:t xml:space="preserve">over dobbelt så mange studenter utvekslet fra Norge </w:t>
      </w:r>
      <w:r w:rsidR="00FC5D5A" w:rsidRPr="00DF4876">
        <w:rPr>
          <w:lang w:val="nn-NO"/>
        </w:rPr>
        <w:t xml:space="preserve">i 2023 </w:t>
      </w:r>
      <w:r w:rsidR="002F053B" w:rsidRPr="00DF4876">
        <w:rPr>
          <w:lang w:val="nn-NO"/>
        </w:rPr>
        <w:t xml:space="preserve">som </w:t>
      </w:r>
      <w:r w:rsidR="006425E9" w:rsidRPr="00DF4876">
        <w:rPr>
          <w:lang w:val="nn-NO"/>
        </w:rPr>
        <w:t>året før</w:t>
      </w:r>
      <w:r w:rsidR="00BD09C5" w:rsidRPr="00DF4876">
        <w:rPr>
          <w:lang w:val="nn-NO"/>
        </w:rPr>
        <w:t xml:space="preserve"> og </w:t>
      </w:r>
      <w:r w:rsidR="00293D47" w:rsidRPr="00DF4876">
        <w:rPr>
          <w:lang w:val="nn-NO"/>
        </w:rPr>
        <w:t>ligg</w:t>
      </w:r>
      <w:r w:rsidR="00BD09C5" w:rsidRPr="00DF4876">
        <w:rPr>
          <w:lang w:val="nn-NO"/>
        </w:rPr>
        <w:t xml:space="preserve">er </w:t>
      </w:r>
      <w:r w:rsidR="00F82355" w:rsidRPr="00DF4876">
        <w:rPr>
          <w:lang w:val="nn-NO"/>
        </w:rPr>
        <w:t>nå</w:t>
      </w:r>
      <w:r w:rsidR="006425E9" w:rsidRPr="00DF4876">
        <w:rPr>
          <w:lang w:val="nn-NO"/>
        </w:rPr>
        <w:t xml:space="preserve"> </w:t>
      </w:r>
      <w:r w:rsidR="00293D47" w:rsidRPr="00DF4876">
        <w:rPr>
          <w:lang w:val="nn-NO"/>
        </w:rPr>
        <w:t>over</w:t>
      </w:r>
      <w:r w:rsidR="006425E9" w:rsidRPr="00DF4876">
        <w:rPr>
          <w:lang w:val="nn-NO"/>
        </w:rPr>
        <w:t xml:space="preserve"> nivå</w:t>
      </w:r>
      <w:r w:rsidR="00F82355" w:rsidRPr="00DF4876">
        <w:rPr>
          <w:lang w:val="nn-NO"/>
        </w:rPr>
        <w:t>et</w:t>
      </w:r>
      <w:r w:rsidR="006425E9" w:rsidRPr="00DF4876">
        <w:rPr>
          <w:lang w:val="nn-NO"/>
        </w:rPr>
        <w:t xml:space="preserve"> </w:t>
      </w:r>
      <w:r w:rsidR="00293D47" w:rsidRPr="00DF4876">
        <w:rPr>
          <w:lang w:val="nn-NO"/>
        </w:rPr>
        <w:t>fra</w:t>
      </w:r>
      <w:r w:rsidR="006425E9" w:rsidRPr="00DF4876">
        <w:rPr>
          <w:lang w:val="nn-NO"/>
        </w:rPr>
        <w:t xml:space="preserve"> </w:t>
      </w:r>
      <w:r w:rsidR="00763272" w:rsidRPr="00DF4876">
        <w:rPr>
          <w:lang w:val="nn-NO"/>
        </w:rPr>
        <w:t xml:space="preserve">2019, </w:t>
      </w:r>
      <w:r w:rsidR="006425E9" w:rsidRPr="00DF4876">
        <w:rPr>
          <w:lang w:val="nn-NO"/>
        </w:rPr>
        <w:t xml:space="preserve">før pandemien. Stengte grenser, strenge innreisekrav og vedvarende usikkerhet rundt pandemisituasjonen bidro til å gjøre </w:t>
      </w:r>
      <w:r w:rsidR="008217B7" w:rsidRPr="00DF4876">
        <w:rPr>
          <w:lang w:val="nn-NO"/>
        </w:rPr>
        <w:t>oversjøiske studiedestinasjoner</w:t>
      </w:r>
      <w:r w:rsidR="006425E9" w:rsidRPr="00DF4876">
        <w:rPr>
          <w:lang w:val="nn-NO"/>
        </w:rPr>
        <w:t xml:space="preserve"> mindre attraktiv</w:t>
      </w:r>
      <w:r w:rsidR="009C0D21" w:rsidRPr="00DF4876">
        <w:rPr>
          <w:lang w:val="nn-NO"/>
        </w:rPr>
        <w:t xml:space="preserve">e </w:t>
      </w:r>
      <w:r w:rsidR="00F865CC" w:rsidRPr="00DF4876">
        <w:rPr>
          <w:lang w:val="nn-NO"/>
        </w:rPr>
        <w:t>og tilgjengelige</w:t>
      </w:r>
      <w:r w:rsidR="006425E9" w:rsidRPr="00DF4876">
        <w:rPr>
          <w:lang w:val="nn-NO"/>
        </w:rPr>
        <w:t xml:space="preserve"> i </w:t>
      </w:r>
      <w:r w:rsidR="00CE6096" w:rsidRPr="00DF4876">
        <w:rPr>
          <w:lang w:val="nn-NO"/>
        </w:rPr>
        <w:t>årene 2020-2022</w:t>
      </w:r>
      <w:r w:rsidR="008217B7" w:rsidRPr="00DF4876">
        <w:rPr>
          <w:lang w:val="nn-NO"/>
        </w:rPr>
        <w:t xml:space="preserve">, </w:t>
      </w:r>
      <w:r w:rsidR="005951D9" w:rsidRPr="00DF4876">
        <w:rPr>
          <w:lang w:val="nn-NO"/>
        </w:rPr>
        <w:t>mens</w:t>
      </w:r>
      <w:r w:rsidR="008217B7" w:rsidRPr="00DF4876">
        <w:rPr>
          <w:lang w:val="nn-NO"/>
        </w:rPr>
        <w:t xml:space="preserve"> </w:t>
      </w:r>
      <w:r w:rsidR="00B835A4" w:rsidRPr="00DF4876">
        <w:rPr>
          <w:lang w:val="nn-NO"/>
        </w:rPr>
        <w:t xml:space="preserve">europeiske </w:t>
      </w:r>
      <w:r w:rsidR="00E00987" w:rsidRPr="00DF4876">
        <w:rPr>
          <w:lang w:val="nn-NO"/>
        </w:rPr>
        <w:t>studieland</w:t>
      </w:r>
      <w:r w:rsidR="005951D9" w:rsidRPr="00DF4876">
        <w:rPr>
          <w:lang w:val="nn-NO"/>
        </w:rPr>
        <w:t xml:space="preserve"> styrket seg i </w:t>
      </w:r>
      <w:r w:rsidR="002F10B2" w:rsidRPr="00DF4876">
        <w:rPr>
          <w:lang w:val="nn-NO"/>
        </w:rPr>
        <w:t xml:space="preserve">denne </w:t>
      </w:r>
      <w:r w:rsidR="005951D9" w:rsidRPr="00DF4876">
        <w:rPr>
          <w:lang w:val="nn-NO"/>
        </w:rPr>
        <w:t>perioden</w:t>
      </w:r>
      <w:r w:rsidR="006425E9" w:rsidRPr="00DF4876">
        <w:rPr>
          <w:lang w:val="nn-NO"/>
        </w:rPr>
        <w:t xml:space="preserve">. </w:t>
      </w:r>
      <w:r w:rsidR="00650D43" w:rsidRPr="00163310">
        <w:t xml:space="preserve">Særlig Italia har </w:t>
      </w:r>
      <w:r w:rsidR="00960C03" w:rsidRPr="00163310">
        <w:t>blitt et mer attraktivt</w:t>
      </w:r>
      <w:r w:rsidR="00650D43" w:rsidRPr="00163310">
        <w:t xml:space="preserve"> </w:t>
      </w:r>
      <w:r w:rsidR="00270432" w:rsidRPr="00163310">
        <w:t xml:space="preserve">studiemål </w:t>
      </w:r>
      <w:r w:rsidR="00803A08" w:rsidRPr="00163310">
        <w:t xml:space="preserve">siden </w:t>
      </w:r>
      <w:r w:rsidR="0012758A" w:rsidRPr="00163310">
        <w:t xml:space="preserve">før </w:t>
      </w:r>
      <w:r w:rsidR="00803A08" w:rsidRPr="00163310">
        <w:t>pandemien</w:t>
      </w:r>
      <w:r w:rsidR="00645E9D" w:rsidRPr="00163310">
        <w:t xml:space="preserve">, med </w:t>
      </w:r>
      <w:r w:rsidR="00792AEE" w:rsidRPr="00163310">
        <w:t>mer enn</w:t>
      </w:r>
      <w:r w:rsidR="003A318F" w:rsidRPr="00163310">
        <w:t xml:space="preserve"> </w:t>
      </w:r>
      <w:r w:rsidR="00792AEE" w:rsidRPr="00163310">
        <w:t>for</w:t>
      </w:r>
      <w:r w:rsidR="003A318F" w:rsidRPr="00163310">
        <w:t xml:space="preserve">dobling av antallet </w:t>
      </w:r>
      <w:r w:rsidR="00BC4CEB" w:rsidRPr="00163310">
        <w:t>utvekslingsstudenter</w:t>
      </w:r>
      <w:r w:rsidR="00803A08" w:rsidRPr="00163310">
        <w:t xml:space="preserve"> </w:t>
      </w:r>
      <w:r w:rsidR="0012758A" w:rsidRPr="00163310">
        <w:t>fra Norge.</w:t>
      </w:r>
      <w:r w:rsidR="00865996" w:rsidRPr="00163310">
        <w:t xml:space="preserve"> </w:t>
      </w:r>
      <w:r w:rsidR="00865996" w:rsidRPr="00163310">
        <w:rPr>
          <w:highlight w:val="yellow"/>
        </w:rPr>
        <w:fldChar w:fldCharType="begin"/>
      </w:r>
      <w:r w:rsidR="00865996" w:rsidRPr="00163310">
        <w:instrText xml:space="preserve"> REF _Ref161043493 \h </w:instrText>
      </w:r>
      <w:r w:rsidR="00865996" w:rsidRPr="00163310">
        <w:rPr>
          <w:highlight w:val="yellow"/>
        </w:rPr>
      </w:r>
      <w:r w:rsidR="00865996" w:rsidRPr="00163310">
        <w:rPr>
          <w:highlight w:val="yellow"/>
        </w:rPr>
        <w:fldChar w:fldCharType="separate"/>
      </w:r>
      <w:r w:rsidR="00865996" w:rsidRPr="00163310">
        <w:t xml:space="preserve">Figur </w:t>
      </w:r>
      <w:r w:rsidR="0015359A">
        <w:rPr>
          <w:noProof/>
        </w:rPr>
        <w:t>4</w:t>
      </w:r>
      <w:r w:rsidR="005B096E" w:rsidRPr="00163310">
        <w:noBreakHyphen/>
      </w:r>
      <w:r w:rsidR="00865996" w:rsidRPr="00163310">
        <w:t>2</w:t>
      </w:r>
      <w:r w:rsidR="00865996" w:rsidRPr="00163310">
        <w:rPr>
          <w:highlight w:val="yellow"/>
        </w:rPr>
        <w:fldChar w:fldCharType="end"/>
      </w:r>
      <w:r w:rsidR="00865996" w:rsidRPr="00163310">
        <w:t xml:space="preserve"> viser noen av de mest populære studiedestinasjonene for norske utvekslingsstudenter de siste ti årene.</w:t>
      </w:r>
    </w:p>
    <w:p w14:paraId="496B136E" w14:textId="55A1343F" w:rsidR="00EC5FC7" w:rsidRPr="00422245" w:rsidRDefault="0067690A" w:rsidP="0067690A">
      <w:pPr>
        <w:pStyle w:val="Bildetekst"/>
        <w:keepNext/>
      </w:pPr>
      <w:bookmarkStart w:id="63" w:name="_Ref161043493"/>
      <w:bookmarkStart w:id="64" w:name="_Ref161043370"/>
      <w:r w:rsidRPr="00422245">
        <w:t xml:space="preserve">Figur </w:t>
      </w:r>
      <w:r w:rsidR="006E1D94">
        <w:fldChar w:fldCharType="begin"/>
      </w:r>
      <w:r w:rsidR="006E1D94">
        <w:instrText xml:space="preserve"> STYLEREF 1 \s </w:instrText>
      </w:r>
      <w:r w:rsidR="006E1D94">
        <w:fldChar w:fldCharType="separate"/>
      </w:r>
      <w:r w:rsidR="006E1D94">
        <w:rPr>
          <w:noProof/>
        </w:rPr>
        <w:t>4</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63"/>
      <w:r w:rsidRPr="00422245">
        <w:t xml:space="preserve"> </w:t>
      </w:r>
      <w:r w:rsidR="00EC5FC7" w:rsidRPr="00422245">
        <w:t>Utreisende utvekslingsstudenter 2014–23, fem land med flest studenter. Antall</w:t>
      </w:r>
      <w:bookmarkEnd w:id="64"/>
    </w:p>
    <w:p w14:paraId="119B7237" w14:textId="17F651A7" w:rsidR="00EF3035" w:rsidRPr="00422245" w:rsidRDefault="00EF3035" w:rsidP="006425E9">
      <w:r w:rsidRPr="00422245">
        <w:rPr>
          <w:noProof/>
        </w:rPr>
        <w:drawing>
          <wp:inline distT="0" distB="0" distL="0" distR="0" wp14:anchorId="5FA7305C" wp14:editId="0AB9264F">
            <wp:extent cx="5711588" cy="3130550"/>
            <wp:effectExtent l="0" t="0" r="3810" b="12700"/>
            <wp:docPr id="41289426" name="Diagram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CC0579C" w14:textId="77777777" w:rsidR="00725A81" w:rsidRPr="00163310" w:rsidRDefault="00725A81" w:rsidP="00163310">
      <w:pPr>
        <w:pStyle w:val="Merknad"/>
      </w:pPr>
      <w:r w:rsidRPr="00163310">
        <w:t>Fem mest populære destinasjonsland per 2023. Utvekslingsopphold på tre måneder og over. Individbaserte avtaler, samt studenter på forskerutdanning er ikke tatt med.</w:t>
      </w:r>
    </w:p>
    <w:p w14:paraId="5C86E2EF" w14:textId="5FB40EEA" w:rsidR="00E974EB" w:rsidRPr="00422245" w:rsidRDefault="00DF0893" w:rsidP="00163310">
      <w:pPr>
        <w:pStyle w:val="Kilde"/>
        <w:rPr>
          <w:lang w:eastAsia="nb-NO"/>
        </w:rPr>
      </w:pPr>
      <w:r w:rsidRPr="004E373E">
        <w:rPr>
          <w:b/>
          <w:lang w:eastAsia="nb-NO"/>
        </w:rPr>
        <w:t>Kilde</w:t>
      </w:r>
      <w:r w:rsidRPr="00422245">
        <w:rPr>
          <w:lang w:eastAsia="nb-NO"/>
        </w:rPr>
        <w:t>: DBH</w:t>
      </w:r>
    </w:p>
    <w:p w14:paraId="6C2B2BF5" w14:textId="35136EFF" w:rsidR="00DD4FE7" w:rsidRPr="00422245" w:rsidRDefault="00483CB5" w:rsidP="00DD4FE7">
      <w:r w:rsidRPr="00422245">
        <w:t xml:space="preserve">Totalt for den siste tiårsperioden har utvekslingen til Europa nesten doblet seg, mens utvekslingen til land utenfor EU har gått ned i samme periode. Dette gjelder også de prioriterte landene for norsk utdanningssamarbeid utenfor EU, som har hatt en samlet nedgang på 21 prosent de siste ti årene. </w:t>
      </w:r>
      <w:r w:rsidR="00DD4FE7" w:rsidRPr="00422245">
        <w:t xml:space="preserve">Vedleggstabell V2.51 gir en detaljert framstilling av utreisende utvekslingsstudenter per land i perioden 2014–23. </w:t>
      </w:r>
    </w:p>
    <w:p w14:paraId="4F4258D4" w14:textId="581410A7" w:rsidR="00DD4FE7" w:rsidRPr="00422245" w:rsidRDefault="00DD4FE7" w:rsidP="00DD4FE7">
      <w:r w:rsidRPr="0062491A">
        <w:lastRenderedPageBreak/>
        <w:t>Norges viktigste handelspartnere inkluderer Tyskland, Sverige, Storbritannia, Kina og USA.</w:t>
      </w:r>
      <w:r w:rsidRPr="00422245">
        <w:rPr>
          <w:rStyle w:val="Fotnotereferanse"/>
        </w:rPr>
        <w:footnoteReference w:id="11"/>
      </w:r>
      <w:r w:rsidRPr="0062491A">
        <w:t xml:space="preserve"> </w:t>
      </w:r>
      <w:r w:rsidRPr="00422245">
        <w:t>Av disse er kun USA med på listen over de fem mest populære utvekslingsdestinasjoner for norske studenter i 2023. USA går dessuten tilbake i popularitet siste år med 27 prosent. Mens utvekslingen til Tyskland er nokså stabil siste år, går Sverige tilbake med 20 prosent og Storbritannia 36 prosent fra året før. Storbritannia avsluttet sin deltakelse i Erasmus+ etter studieåret 2022/23 som følge av Brexit. Årets tall inkluderer derfor siste rest av utveksling mellom Norge og Storbritannia innenfor det europeiske utvekslingsprogrammet. Neste år forventer vi derfor å se en ytterligere nedgang i utvekslingen til og fra Storbritannia.</w:t>
      </w:r>
    </w:p>
    <w:p w14:paraId="52E6955E" w14:textId="3099A8A1" w:rsidR="00E71C79" w:rsidRPr="00422245" w:rsidRDefault="00150598" w:rsidP="0073150B">
      <w:r>
        <w:t>N</w:t>
      </w:r>
      <w:r w:rsidR="00EB0CF1">
        <w:t xml:space="preserve">orske utvekslingsstudenter </w:t>
      </w:r>
      <w:r>
        <w:t xml:space="preserve">reiser i </w:t>
      </w:r>
      <w:r w:rsidR="00EB0CF1">
        <w:t xml:space="preserve">stor grad reiser ut av Europa, </w:t>
      </w:r>
      <w:r>
        <w:t xml:space="preserve">men </w:t>
      </w:r>
      <w:r w:rsidR="00EB0CF1">
        <w:t xml:space="preserve">innreisende </w:t>
      </w:r>
      <w:r>
        <w:t xml:space="preserve">utvekslingsstudenter kommer </w:t>
      </w:r>
      <w:r w:rsidR="0050712A">
        <w:t>i hovedsak fra europeiske land</w:t>
      </w:r>
      <w:r w:rsidR="00E64F30" w:rsidRPr="00422245">
        <w:t>, se vedleggstabell V</w:t>
      </w:r>
      <w:r w:rsidR="00611F54" w:rsidRPr="00422245">
        <w:t>2.53</w:t>
      </w:r>
      <w:r w:rsidR="006C7BDE" w:rsidRPr="00422245">
        <w:t xml:space="preserve">. </w:t>
      </w:r>
      <w:r w:rsidR="00B44A50" w:rsidRPr="00422245">
        <w:t xml:space="preserve">Mens kun 4 prosent av norske studenter </w:t>
      </w:r>
      <w:r w:rsidR="0012292B">
        <w:t xml:space="preserve">på utveksling </w:t>
      </w:r>
      <w:r w:rsidR="00B44A50" w:rsidRPr="00422245">
        <w:t>reiser til Tyskland,</w:t>
      </w:r>
      <w:r w:rsidR="0081351C" w:rsidRPr="00422245">
        <w:t xml:space="preserve"> </w:t>
      </w:r>
      <w:r w:rsidR="00DF6CD0" w:rsidRPr="00422245">
        <w:t>utgjør tyske studenter den største gruppen av innreisende utvekslingsstudenter</w:t>
      </w:r>
      <w:r w:rsidR="006A6AE3" w:rsidRPr="00422245">
        <w:t xml:space="preserve"> (21 prosent)</w:t>
      </w:r>
      <w:r w:rsidR="00DF6CD0" w:rsidRPr="00422245">
        <w:t xml:space="preserve">, med </w:t>
      </w:r>
      <w:r w:rsidR="00931734" w:rsidRPr="00422245">
        <w:t>F</w:t>
      </w:r>
      <w:r w:rsidR="00E522C8" w:rsidRPr="00422245">
        <w:t xml:space="preserve">rankrike </w:t>
      </w:r>
      <w:r w:rsidR="00DF6CD0" w:rsidRPr="00422245">
        <w:t>på an</w:t>
      </w:r>
      <w:r w:rsidR="00F40569" w:rsidRPr="00422245">
        <w:t xml:space="preserve">dreplass </w:t>
      </w:r>
      <w:r w:rsidR="00E522C8" w:rsidRPr="00422245">
        <w:t>(</w:t>
      </w:r>
      <w:r w:rsidR="00931734" w:rsidRPr="00422245">
        <w:t xml:space="preserve">14 prosent). </w:t>
      </w:r>
      <w:r w:rsidR="000813EE" w:rsidRPr="00422245">
        <w:t xml:space="preserve">Blant </w:t>
      </w:r>
      <w:r w:rsidR="003B0002" w:rsidRPr="00422245">
        <w:t xml:space="preserve">andre </w:t>
      </w:r>
      <w:r w:rsidR="000813EE" w:rsidRPr="00422245">
        <w:t xml:space="preserve">land Norge har </w:t>
      </w:r>
      <w:r w:rsidR="003B0002" w:rsidRPr="00422245">
        <w:t>mye</w:t>
      </w:r>
      <w:r w:rsidR="000813EE" w:rsidRPr="00422245">
        <w:t xml:space="preserve"> handel med</w:t>
      </w:r>
      <w:r w:rsidR="00CF3A28" w:rsidRPr="00422245">
        <w:t>,</w:t>
      </w:r>
      <w:r w:rsidR="000813EE" w:rsidRPr="00422245">
        <w:t xml:space="preserve"> </w:t>
      </w:r>
      <w:r w:rsidR="001C79E4" w:rsidRPr="00422245">
        <w:t>øker antall</w:t>
      </w:r>
      <w:r w:rsidR="003B0002" w:rsidRPr="00422245">
        <w:t xml:space="preserve"> </w:t>
      </w:r>
      <w:r w:rsidR="00573A84" w:rsidRPr="00422245">
        <w:t>utveksling</w:t>
      </w:r>
      <w:r w:rsidR="001C79E4" w:rsidRPr="00422245">
        <w:t>sstudenter</w:t>
      </w:r>
      <w:r w:rsidR="00AA3579" w:rsidRPr="00422245">
        <w:t xml:space="preserve"> fra </w:t>
      </w:r>
      <w:r w:rsidR="008E4C79" w:rsidRPr="00422245">
        <w:t>Sverige</w:t>
      </w:r>
      <w:r w:rsidR="00F07850" w:rsidRPr="00422245">
        <w:t xml:space="preserve"> </w:t>
      </w:r>
      <w:r w:rsidR="000813EE" w:rsidRPr="00422245">
        <w:t>med 45 prosent siste år</w:t>
      </w:r>
      <w:r w:rsidR="00724345" w:rsidRPr="00422245">
        <w:t xml:space="preserve">, </w:t>
      </w:r>
      <w:r w:rsidR="006E33F9" w:rsidRPr="00422245">
        <w:t xml:space="preserve">USA </w:t>
      </w:r>
      <w:r w:rsidR="00E71C79" w:rsidRPr="00422245">
        <w:t>22 prosent</w:t>
      </w:r>
      <w:r w:rsidR="00724345" w:rsidRPr="00422245">
        <w:t xml:space="preserve"> og Kina </w:t>
      </w:r>
      <w:r w:rsidR="004C38C5" w:rsidRPr="00422245">
        <w:t>hele 80 prosent</w:t>
      </w:r>
      <w:r w:rsidR="00E71C79" w:rsidRPr="00422245">
        <w:t>.</w:t>
      </w:r>
      <w:r w:rsidR="002C77F0" w:rsidRPr="00422245">
        <w:rPr>
          <w:rStyle w:val="Fotnotereferanse"/>
        </w:rPr>
        <w:footnoteReference w:id="12"/>
      </w:r>
      <w:r w:rsidR="000813EE" w:rsidRPr="00422245">
        <w:t xml:space="preserve"> </w:t>
      </w:r>
      <w:r w:rsidR="00E71C79" w:rsidRPr="00422245">
        <w:t xml:space="preserve">Antallet britiske studenter til Norge går ned </w:t>
      </w:r>
      <w:r w:rsidR="00C81026" w:rsidRPr="00422245">
        <w:t>med 11 prosent</w:t>
      </w:r>
      <w:r w:rsidR="00A323E4" w:rsidRPr="00422245">
        <w:t xml:space="preserve"> siste år, i tråd med forventningene </w:t>
      </w:r>
      <w:r w:rsidR="006B327C" w:rsidRPr="00422245">
        <w:t>i kjølvannet av</w:t>
      </w:r>
      <w:r w:rsidR="00C91DF2" w:rsidRPr="00422245">
        <w:t xml:space="preserve"> Brexit og </w:t>
      </w:r>
      <w:r w:rsidR="00B72B7E" w:rsidRPr="00422245">
        <w:t>utmeldingen fra Erasmus+</w:t>
      </w:r>
      <w:r w:rsidR="00C81026" w:rsidRPr="00422245">
        <w:t xml:space="preserve">. </w:t>
      </w:r>
    </w:p>
    <w:p w14:paraId="5718B74C" w14:textId="7815CE27" w:rsidR="003760AD" w:rsidRPr="00422245" w:rsidRDefault="003D45ED" w:rsidP="00161622">
      <w:pPr>
        <w:pStyle w:val="Overskrift3"/>
        <w:spacing w:before="288"/>
      </w:pPr>
      <w:bookmarkStart w:id="65" w:name="_Toc163488409"/>
      <w:r w:rsidRPr="00422245">
        <w:t>Langt unna</w:t>
      </w:r>
      <w:r w:rsidR="00161622" w:rsidRPr="00422245">
        <w:t xml:space="preserve"> mål</w:t>
      </w:r>
      <w:r w:rsidR="004867AB" w:rsidRPr="00422245">
        <w:t>et</w:t>
      </w:r>
      <w:bookmarkEnd w:id="65"/>
    </w:p>
    <w:p w14:paraId="64A94124" w14:textId="0BD20D99" w:rsidR="006E10F3" w:rsidRPr="00422245" w:rsidRDefault="00D17DB4" w:rsidP="0073150B">
      <w:r w:rsidRPr="00422245">
        <w:t xml:space="preserve">Utveksling har høy politisk prioritet, og det er et langsiktig mål at 50 prosent av studentene i høyere utdanning skal ha et utenlandsopphold i løpet av sin studietid. Det kortsiktige målet er 20 prosent </w:t>
      </w:r>
      <w:r w:rsidR="002C5B81">
        <w:fldChar w:fldCharType="begin"/>
      </w:r>
      <w:r w:rsidR="002C5B81">
        <w:instrText xml:space="preserve"> ADDIN EN.CITE &lt;EndNote&gt;&lt;Cite&gt;&lt;Author&gt;Meld. St. 16. (2016-2017)&lt;/Author&gt;&lt;RecNum&gt;1380&lt;/RecNum&gt;&lt;DisplayText&gt;(Meld. St. 16. (2016-2017))&lt;/DisplayText&gt;&lt;record&gt;&lt;rec-number&gt;1380&lt;/rec-number&gt;&lt;foreign-keys&gt;&lt;key app="EN" db-id="p2et5feaxrpe5zew2eavt29z05fv09aa5s0w" timestamp="1712306667" guid="304a4799-039f-481f-bcca-cb846b110bbd"&gt;1380&lt;/key&gt;&lt;/foreign-keys&gt;&lt;ref-type name="Report"&gt;27&lt;/ref-type&gt;&lt;contributors&gt;&lt;authors&gt;&lt;author&gt;Meld. St. 16. (2016-2017),&lt;/author&gt;&lt;/authors&gt;&lt;secondary-authors&gt;&lt;author&gt;Kunnskapsdepartementet&lt;/author&gt;&lt;/secondary-authors&gt;&lt;/contributors&gt;&lt;titles&gt;&lt;title&gt;Kultur for kvalitet i høyere utdanning&lt;/title&gt;&lt;/titles&gt;&lt;keywords&gt;&lt;keyword&gt;Keyword&lt;/keyword&gt;&lt;/keywords&gt;&lt;dates&gt;&lt;/dates&gt;&lt;urls&gt;&lt;related-urls&gt;&lt;url&gt;https://www.regjeringen.no/no/dokumenter/meld.-st.-16-20162017/id2536007/&lt;/url&gt;&lt;/related-urls&gt;&lt;/urls&gt;&lt;/record&gt;&lt;/Cite&gt;&lt;/EndNote&gt;</w:instrText>
      </w:r>
      <w:r w:rsidR="002C5B81">
        <w:fldChar w:fldCharType="separate"/>
      </w:r>
      <w:r w:rsidR="002C5B81">
        <w:rPr>
          <w:noProof/>
        </w:rPr>
        <w:t>(Meld. St. 16. (2016-2017))</w:t>
      </w:r>
      <w:r w:rsidR="002C5B81">
        <w:fldChar w:fldCharType="end"/>
      </w:r>
      <w:r w:rsidR="002C5B81">
        <w:t>.</w:t>
      </w:r>
      <w:r w:rsidRPr="00422245">
        <w:t xml:space="preserve"> Fram til 2020 hadde om lag 16,5 prosent av de uteksaminerte i høyere utdanning hatt et studieopphold i utlandet over tre måneder. Tilsvarende tall i 202</w:t>
      </w:r>
      <w:r w:rsidR="00F936AA" w:rsidRPr="00422245">
        <w:t>3</w:t>
      </w:r>
      <w:r w:rsidRPr="00422245">
        <w:t xml:space="preserve"> er </w:t>
      </w:r>
      <w:r w:rsidR="00DB07E2" w:rsidRPr="00422245">
        <w:t>13,</w:t>
      </w:r>
      <w:r w:rsidR="00A52397" w:rsidRPr="00422245">
        <w:t>7</w:t>
      </w:r>
      <w:r w:rsidR="00CA6990" w:rsidRPr="00422245">
        <w:t xml:space="preserve"> </w:t>
      </w:r>
      <w:r w:rsidRPr="00422245">
        <w:t xml:space="preserve">prosent. </w:t>
      </w:r>
      <w:r w:rsidR="00193401" w:rsidRPr="00422245">
        <w:t xml:space="preserve">Andelen uteksaminerte med utvekslingserfaring har dermed gått opp siste år, etter en nedgang under pandemien. </w:t>
      </w:r>
    </w:p>
    <w:p w14:paraId="3903A17F" w14:textId="5BD28538" w:rsidR="00A46B84" w:rsidRPr="00422245" w:rsidRDefault="00193401" w:rsidP="0073150B">
      <w:r w:rsidRPr="00422245">
        <w:t>Mange av de som ble uteksaminert</w:t>
      </w:r>
      <w:r w:rsidR="009D32FE" w:rsidRPr="00422245">
        <w:t xml:space="preserve"> fra universiteter og høyskoler</w:t>
      </w:r>
      <w:r w:rsidRPr="00422245">
        <w:t xml:space="preserve"> i 2021 og 2022 </w:t>
      </w:r>
      <w:r w:rsidR="00B212BC" w:rsidRPr="00422245">
        <w:t>gikk</w:t>
      </w:r>
      <w:r w:rsidRPr="00422245">
        <w:t xml:space="preserve"> glipp av muligheten for utveksling i studieløpet sitt. </w:t>
      </w:r>
      <w:r w:rsidR="00AE165B" w:rsidRPr="00422245">
        <w:t>Til dels</w:t>
      </w:r>
      <w:r w:rsidRPr="00422245">
        <w:t xml:space="preserve"> </w:t>
      </w:r>
      <w:r w:rsidR="00ED0E45" w:rsidRPr="00422245">
        <w:t xml:space="preserve">gjelder </w:t>
      </w:r>
      <w:r w:rsidR="00AE165B" w:rsidRPr="00422245">
        <w:t>dette</w:t>
      </w:r>
      <w:r w:rsidR="00ED0E45" w:rsidRPr="00422245">
        <w:t xml:space="preserve"> </w:t>
      </w:r>
      <w:r w:rsidR="009B0A9C" w:rsidRPr="00422245">
        <w:t>også for kandidater uteksaminert</w:t>
      </w:r>
      <w:r w:rsidR="00ED0E45" w:rsidRPr="00422245">
        <w:t xml:space="preserve"> i 2023</w:t>
      </w:r>
      <w:r w:rsidR="00AE165B" w:rsidRPr="00422245">
        <w:t xml:space="preserve">, noe som </w:t>
      </w:r>
      <w:r w:rsidRPr="00422245">
        <w:t>forklar</w:t>
      </w:r>
      <w:r w:rsidR="00AE165B" w:rsidRPr="00422245">
        <w:t xml:space="preserve">er </w:t>
      </w:r>
      <w:r w:rsidRPr="00422245">
        <w:t>hvorfor andelen uteksaminerte med utvekslingserfaring fortsatt er lavere enn før pandemien</w:t>
      </w:r>
      <w:r w:rsidR="00A936BB" w:rsidRPr="00422245">
        <w:t xml:space="preserve">. </w:t>
      </w:r>
      <w:r w:rsidR="00FD2EB3" w:rsidRPr="00422245">
        <w:t xml:space="preserve">Selv med stadig økende utvekslingstall </w:t>
      </w:r>
      <w:r w:rsidR="00436B2E" w:rsidRPr="00422245">
        <w:t>kan vi forvente at</w:t>
      </w:r>
      <w:r w:rsidR="00D862F9" w:rsidRPr="00422245">
        <w:t xml:space="preserve"> denne forsinkede </w:t>
      </w:r>
      <w:r w:rsidR="00D862F9" w:rsidRPr="00422245">
        <w:lastRenderedPageBreak/>
        <w:t xml:space="preserve">pandemieffekten </w:t>
      </w:r>
      <w:r w:rsidR="00436B2E" w:rsidRPr="00422245">
        <w:t>vedvarer i</w:t>
      </w:r>
      <w:r w:rsidR="00D539DA" w:rsidRPr="00422245">
        <w:t>nntil</w:t>
      </w:r>
      <w:r w:rsidRPr="00422245">
        <w:t xml:space="preserve"> gruppen av uteksaminerte hovedsakelig består av personer som begynte studieløpet etter pandemien</w:t>
      </w:r>
      <w:r w:rsidR="00436B2E" w:rsidRPr="00422245">
        <w:t>.</w:t>
      </w:r>
    </w:p>
    <w:p w14:paraId="377DC712" w14:textId="549F26BB" w:rsidR="00EE7E72" w:rsidRPr="00796BF2" w:rsidRDefault="00A60A3D" w:rsidP="00796BF2">
      <w:r w:rsidRPr="00422245">
        <w:t xml:space="preserve">Særlig </w:t>
      </w:r>
      <w:r w:rsidR="0059743A" w:rsidRPr="00422245">
        <w:t>for</w:t>
      </w:r>
      <w:r w:rsidRPr="00422245">
        <w:t xml:space="preserve"> </w:t>
      </w:r>
      <w:r w:rsidR="00AA4A6B" w:rsidRPr="00422245">
        <w:t>integrert mastergrad/profesjon</w:t>
      </w:r>
      <w:r w:rsidR="0059743A" w:rsidRPr="00422245">
        <w:t>sstudier</w:t>
      </w:r>
      <w:r w:rsidR="005A17B9" w:rsidRPr="00422245">
        <w:t xml:space="preserve"> er prosentandelen </w:t>
      </w:r>
      <w:r w:rsidR="00E677C7" w:rsidRPr="00422245">
        <w:t>med utveksling fortsatt lav</w:t>
      </w:r>
      <w:r w:rsidR="0019748C" w:rsidRPr="00422245">
        <w:t xml:space="preserve"> i forhold til </w:t>
      </w:r>
      <w:r w:rsidR="005B6557" w:rsidRPr="00422245">
        <w:t xml:space="preserve">nivået </w:t>
      </w:r>
      <w:r w:rsidR="00AE2132" w:rsidRPr="00422245">
        <w:t>slik det var ett år inn i pandemien (2020)</w:t>
      </w:r>
      <w:r w:rsidR="00E677C7" w:rsidRPr="00422245">
        <w:t>. Dette går fram av vedleggstabell V2.56.</w:t>
      </w:r>
      <w:r w:rsidR="008D4C20" w:rsidRPr="00422245">
        <w:t xml:space="preserve"> Nivået</w:t>
      </w:r>
      <w:r w:rsidR="008D4C20" w:rsidRPr="00422245" w:rsidDel="00EB4583">
        <w:t xml:space="preserve"> </w:t>
      </w:r>
      <w:r w:rsidR="00EB4583">
        <w:t>er</w:t>
      </w:r>
      <w:r w:rsidR="00EB4583" w:rsidRPr="00422245">
        <w:t xml:space="preserve"> </w:t>
      </w:r>
      <w:r w:rsidR="00547DFB" w:rsidRPr="00422245">
        <w:t>15 prosentpoeng lavere i 2023 enn tre år tidligere.</w:t>
      </w:r>
      <w:r w:rsidR="00E677C7" w:rsidRPr="00422245">
        <w:t xml:space="preserve"> </w:t>
      </w:r>
      <w:r w:rsidR="005A7459" w:rsidRPr="00422245">
        <w:t xml:space="preserve">Dette </w:t>
      </w:r>
      <w:r w:rsidR="00547DFB" w:rsidRPr="00422245">
        <w:t>må</w:t>
      </w:r>
      <w:r w:rsidR="007872F8" w:rsidRPr="00422245">
        <w:t xml:space="preserve"> blant annet ses i sammenheng med at </w:t>
      </w:r>
      <w:r w:rsidR="000831F4" w:rsidRPr="00422245">
        <w:t>antallet uteksaminerte på d</w:t>
      </w:r>
      <w:r w:rsidR="00752E5E" w:rsidRPr="00422245">
        <w:t>ette utdanningsnivået økte med 53 prosent</w:t>
      </w:r>
      <w:r w:rsidR="00547DFB" w:rsidRPr="00422245">
        <w:t xml:space="preserve"> i samme periode</w:t>
      </w:r>
      <w:r w:rsidR="00752E5E" w:rsidRPr="00422245">
        <w:t xml:space="preserve"> </w:t>
      </w:r>
      <w:r w:rsidR="00B44CD1" w:rsidRPr="00422245">
        <w:t xml:space="preserve">Verdt å nevne </w:t>
      </w:r>
      <w:r w:rsidR="0088669E" w:rsidRPr="00422245">
        <w:t xml:space="preserve">i denne sammenhengen </w:t>
      </w:r>
      <w:r w:rsidR="00B44CD1" w:rsidRPr="00422245">
        <w:t xml:space="preserve">er omleggingen </w:t>
      </w:r>
      <w:r w:rsidR="0088669E" w:rsidRPr="00422245">
        <w:t>fra</w:t>
      </w:r>
      <w:r w:rsidR="00825230" w:rsidRPr="00422245">
        <w:t xml:space="preserve"> </w:t>
      </w:r>
      <w:r w:rsidR="008D08AA" w:rsidRPr="00422245">
        <w:t>fire</w:t>
      </w:r>
      <w:r w:rsidR="00EC00C7" w:rsidRPr="00422245">
        <w:t xml:space="preserve">årig </w:t>
      </w:r>
      <w:r w:rsidR="00985CC0" w:rsidRPr="00422245">
        <w:t xml:space="preserve">grunnskolelærerutdanning </w:t>
      </w:r>
      <w:r w:rsidR="008D08AA" w:rsidRPr="00422245">
        <w:t xml:space="preserve">(GLU) til femårig integrert master </w:t>
      </w:r>
      <w:r w:rsidR="00EC00C7" w:rsidRPr="00EE7E72">
        <w:t>h</w:t>
      </w:r>
      <w:r w:rsidR="00985CC0" w:rsidRPr="00EE7E72">
        <w:t>østen 2017</w:t>
      </w:r>
      <w:r w:rsidR="00B44CD1" w:rsidRPr="00EE7E72">
        <w:t>. D</w:t>
      </w:r>
      <w:r w:rsidR="007E0A9F" w:rsidRPr="00EE7E72">
        <w:t xml:space="preserve">e </w:t>
      </w:r>
      <w:r w:rsidR="00D670AB" w:rsidRPr="00EE7E72">
        <w:t xml:space="preserve">første studentkullene på </w:t>
      </w:r>
      <w:r w:rsidR="006312A9" w:rsidRPr="00EE7E72">
        <w:t>grunnskolelærer</w:t>
      </w:r>
      <w:r w:rsidR="007E0A9F" w:rsidRPr="00EE7E72">
        <w:t xml:space="preserve">utdanningene </w:t>
      </w:r>
      <w:r w:rsidR="00A97A15" w:rsidRPr="00EE7E72">
        <w:t>ble uteksaminert i 2022</w:t>
      </w:r>
      <w:r w:rsidR="00B44CD1" w:rsidRPr="00EE7E72">
        <w:t>.</w:t>
      </w:r>
      <w:r w:rsidR="00671872" w:rsidRPr="00EE7E72">
        <w:t xml:space="preserve"> </w:t>
      </w:r>
      <w:r w:rsidR="00317142">
        <w:t>L</w:t>
      </w:r>
      <w:r w:rsidR="00EE7E72" w:rsidRPr="00796BF2">
        <w:t>ærerutd</w:t>
      </w:r>
      <w:r w:rsidR="00317142">
        <w:t>anningene har</w:t>
      </w:r>
      <w:r w:rsidR="00EE7E72" w:rsidRPr="00796BF2">
        <w:t xml:space="preserve"> tradisjonelt hatt </w:t>
      </w:r>
      <w:r w:rsidR="00035195">
        <w:t>lave</w:t>
      </w:r>
      <w:r w:rsidR="007935EC">
        <w:t>re</w:t>
      </w:r>
      <w:r w:rsidR="00EE7E72" w:rsidRPr="00796BF2">
        <w:t xml:space="preserve"> utveks</w:t>
      </w:r>
      <w:r w:rsidR="00317142">
        <w:t>l</w:t>
      </w:r>
      <w:r w:rsidR="00EE7E72" w:rsidRPr="00796BF2">
        <w:t>ing</w:t>
      </w:r>
      <w:r w:rsidR="00035195">
        <w:t>s</w:t>
      </w:r>
      <w:r w:rsidR="00162632">
        <w:t>andel</w:t>
      </w:r>
      <w:r w:rsidR="007935EC">
        <w:t xml:space="preserve"> enn</w:t>
      </w:r>
      <w:r w:rsidR="007A2267">
        <w:t xml:space="preserve"> mange </w:t>
      </w:r>
      <w:r w:rsidR="009D0036">
        <w:t xml:space="preserve">av de </w:t>
      </w:r>
      <w:r w:rsidR="00C72696">
        <w:t>fem</w:t>
      </w:r>
      <w:r w:rsidR="00EE7E72" w:rsidRPr="00796BF2">
        <w:t>årige maste</w:t>
      </w:r>
      <w:r w:rsidR="009D0036">
        <w:t>rutdanningene</w:t>
      </w:r>
      <w:r w:rsidR="007E7D38">
        <w:t xml:space="preserve">. </w:t>
      </w:r>
      <w:r w:rsidR="00E92607">
        <w:t>Når</w:t>
      </w:r>
      <w:r w:rsidR="002204B5">
        <w:t xml:space="preserve"> </w:t>
      </w:r>
      <w:r w:rsidR="00A23C4D">
        <w:t xml:space="preserve">de store kullene av </w:t>
      </w:r>
      <w:r w:rsidR="000310FD">
        <w:t xml:space="preserve">femårige </w:t>
      </w:r>
      <w:r w:rsidR="00A23C4D">
        <w:t>lærerstudenter</w:t>
      </w:r>
      <w:r w:rsidR="00637370">
        <w:t xml:space="preserve"> </w:t>
      </w:r>
      <w:r w:rsidR="00EB4583">
        <w:t>regnes</w:t>
      </w:r>
      <w:r w:rsidR="00637370">
        <w:t xml:space="preserve"> med</w:t>
      </w:r>
      <w:r w:rsidR="00D70266">
        <w:t xml:space="preserve">, </w:t>
      </w:r>
      <w:r w:rsidR="009C45B1">
        <w:t xml:space="preserve">går </w:t>
      </w:r>
      <w:r w:rsidR="00843FE8">
        <w:t xml:space="preserve">altså </w:t>
      </w:r>
      <w:r w:rsidR="0077750B">
        <w:t>andelen utveksl</w:t>
      </w:r>
      <w:r w:rsidR="00A23C4D">
        <w:t>ede</w:t>
      </w:r>
      <w:r w:rsidR="009C45B1">
        <w:t xml:space="preserve"> ned</w:t>
      </w:r>
      <w:r w:rsidR="00843FE8">
        <w:t xml:space="preserve">, </w:t>
      </w:r>
      <w:r w:rsidR="002204B5">
        <w:t xml:space="preserve">samtidig </w:t>
      </w:r>
      <w:r w:rsidR="009C45B1">
        <w:t xml:space="preserve">som </w:t>
      </w:r>
      <w:r w:rsidR="00993EF3">
        <w:t xml:space="preserve">det totale </w:t>
      </w:r>
      <w:r w:rsidR="00222DF9">
        <w:t xml:space="preserve">antallet </w:t>
      </w:r>
      <w:r w:rsidR="009C45B1">
        <w:t xml:space="preserve">uteksaminerte </w:t>
      </w:r>
      <w:r w:rsidR="00222DF9">
        <w:t>studenter</w:t>
      </w:r>
      <w:r w:rsidR="009C45B1">
        <w:t xml:space="preserve"> øker</w:t>
      </w:r>
      <w:r w:rsidR="00843FE8">
        <w:t>.</w:t>
      </w:r>
      <w:r w:rsidR="000310FD">
        <w:t xml:space="preserve"> </w:t>
      </w:r>
      <w:r w:rsidR="00E07AED">
        <w:t xml:space="preserve">Dette </w:t>
      </w:r>
      <w:r w:rsidR="0060358C">
        <w:t xml:space="preserve">er en faktor som </w:t>
      </w:r>
      <w:r w:rsidR="00E73B43">
        <w:t>bidrar til å holde</w:t>
      </w:r>
      <w:r w:rsidR="00E07AED">
        <w:t xml:space="preserve"> </w:t>
      </w:r>
      <w:r w:rsidR="008C1C8B">
        <w:t xml:space="preserve">andelen uteksaminerte med utvekslingserfaring </w:t>
      </w:r>
      <w:r w:rsidR="00E73B43">
        <w:t>lavere</w:t>
      </w:r>
      <w:r w:rsidR="00312F2F">
        <w:t xml:space="preserve"> </w:t>
      </w:r>
      <w:r w:rsidR="002767E3" w:rsidRPr="00422245">
        <w:t xml:space="preserve">i 2023 </w:t>
      </w:r>
      <w:r w:rsidR="00E73B43">
        <w:t>enn</w:t>
      </w:r>
      <w:r w:rsidR="002342D5">
        <w:t xml:space="preserve"> </w:t>
      </w:r>
      <w:r w:rsidR="00AF0B9B">
        <w:t>det som har vært normalt</w:t>
      </w:r>
      <w:r w:rsidR="00A737F5">
        <w:t xml:space="preserve"> tidligere</w:t>
      </w:r>
      <w:r w:rsidR="002767E3" w:rsidRPr="00422245">
        <w:t>.</w:t>
      </w:r>
    </w:p>
    <w:p w14:paraId="247BAFE8" w14:textId="12A012DF" w:rsidR="004911D4" w:rsidRPr="00422245" w:rsidRDefault="006312A9" w:rsidP="0073150B">
      <w:r w:rsidRPr="00422245">
        <w:t xml:space="preserve">På bachelornivået </w:t>
      </w:r>
      <w:r w:rsidR="00A87AB4" w:rsidRPr="00422245">
        <w:t xml:space="preserve">derimot, </w:t>
      </w:r>
      <w:r w:rsidR="00AB78DC" w:rsidRPr="00422245">
        <w:t>er</w:t>
      </w:r>
      <w:r w:rsidR="005A3C0E" w:rsidRPr="00422245">
        <w:t xml:space="preserve"> </w:t>
      </w:r>
      <w:r w:rsidR="00A87AB4" w:rsidRPr="00422245">
        <w:t xml:space="preserve">nivået av uteksaminerte med utvekslingserfaring </w:t>
      </w:r>
      <w:r w:rsidR="00591A52">
        <w:t xml:space="preserve">11,2 </w:t>
      </w:r>
      <w:r w:rsidR="00E6218C">
        <w:t xml:space="preserve">prosent </w:t>
      </w:r>
      <w:r w:rsidR="0006114C">
        <w:t xml:space="preserve">i 2023. Dette er </w:t>
      </w:r>
      <w:r w:rsidR="00492795" w:rsidRPr="00422245">
        <w:t>kun 1,5 prosent</w:t>
      </w:r>
      <w:r w:rsidR="006D2901">
        <w:t>poeng</w:t>
      </w:r>
      <w:r w:rsidR="00492795" w:rsidRPr="00422245">
        <w:t xml:space="preserve"> lavere enn tre år tidligere. </w:t>
      </w:r>
    </w:p>
    <w:p w14:paraId="1F630822" w14:textId="74B02D65" w:rsidR="00DF0D02" w:rsidRPr="00422245" w:rsidRDefault="00C617D4" w:rsidP="0014338B">
      <w:pPr>
        <w:pStyle w:val="Overskrift3"/>
        <w:spacing w:before="288"/>
      </w:pPr>
      <w:bookmarkStart w:id="66" w:name="_Toc163488410"/>
      <w:bookmarkStart w:id="67" w:name="_Ref161410639"/>
      <w:bookmarkStart w:id="68" w:name="_Ref161410668"/>
      <w:r w:rsidRPr="00422245">
        <w:t>Bergen</w:t>
      </w:r>
      <w:r w:rsidR="00150C25" w:rsidRPr="00422245">
        <w:t xml:space="preserve"> </w:t>
      </w:r>
      <w:r w:rsidR="001E1DF3" w:rsidRPr="00422245">
        <w:t xml:space="preserve">på </w:t>
      </w:r>
      <w:r w:rsidR="007207AB" w:rsidRPr="00422245">
        <w:t>utvekslings</w:t>
      </w:r>
      <w:r w:rsidR="001E1DF3" w:rsidRPr="00422245">
        <w:t>topp</w:t>
      </w:r>
      <w:r w:rsidR="007207AB" w:rsidRPr="00422245">
        <w:t>en</w:t>
      </w:r>
      <w:bookmarkEnd w:id="66"/>
      <w:r w:rsidR="005946DD" w:rsidRPr="00422245">
        <w:t xml:space="preserve"> </w:t>
      </w:r>
      <w:bookmarkEnd w:id="67"/>
      <w:bookmarkEnd w:id="68"/>
    </w:p>
    <w:p w14:paraId="4178B2B9" w14:textId="0489AA01" w:rsidR="00637926" w:rsidRPr="00896AD0" w:rsidRDefault="00637926" w:rsidP="0073150B">
      <w:pPr>
        <w:rPr>
          <w:lang w:val="nn-NO"/>
        </w:rPr>
      </w:pPr>
      <w:r w:rsidRPr="009C494F">
        <w:t>S</w:t>
      </w:r>
      <w:r w:rsidR="00FC7F84" w:rsidRPr="009C494F">
        <w:t>e</w:t>
      </w:r>
      <w:r w:rsidRPr="009C494F">
        <w:t xml:space="preserve">lv om </w:t>
      </w:r>
      <w:r w:rsidR="00F130DF" w:rsidRPr="009C494F">
        <w:t>pandemien</w:t>
      </w:r>
      <w:r w:rsidR="001A6B0E" w:rsidRPr="009C494F">
        <w:t xml:space="preserve"> delvis</w:t>
      </w:r>
      <w:r w:rsidR="00F130DF" w:rsidRPr="009C494F">
        <w:t xml:space="preserve"> </w:t>
      </w:r>
      <w:r w:rsidR="002C1B28" w:rsidRPr="009C494F">
        <w:t xml:space="preserve">lukket </w:t>
      </w:r>
      <w:r w:rsidR="00B549F1" w:rsidRPr="009C494F">
        <w:t xml:space="preserve">utvekslingsvinduet </w:t>
      </w:r>
      <w:r w:rsidR="001A6B0E" w:rsidRPr="009C494F">
        <w:t xml:space="preserve">for </w:t>
      </w:r>
      <w:r w:rsidR="00C77795" w:rsidRPr="009C494F">
        <w:t xml:space="preserve">flere kull av studenter, </w:t>
      </w:r>
      <w:r w:rsidR="00FC7F84" w:rsidRPr="009C494F">
        <w:t xml:space="preserve">har </w:t>
      </w:r>
      <w:r w:rsidR="00C77795" w:rsidRPr="009C494F">
        <w:t xml:space="preserve">enkelte institusjoner </w:t>
      </w:r>
      <w:r w:rsidR="00FC7F84" w:rsidRPr="009C494F">
        <w:t>allikevel</w:t>
      </w:r>
      <w:r w:rsidR="00C77795" w:rsidRPr="009C494F">
        <w:t xml:space="preserve"> </w:t>
      </w:r>
      <w:r w:rsidR="0036661F" w:rsidRPr="009C494F">
        <w:t>prioritert</w:t>
      </w:r>
      <w:r w:rsidR="009775BF" w:rsidRPr="009C494F">
        <w:t xml:space="preserve"> å </w:t>
      </w:r>
      <w:r w:rsidR="00EF6781" w:rsidRPr="009C494F">
        <w:t>hold</w:t>
      </w:r>
      <w:r w:rsidR="009775BF" w:rsidRPr="009C494F">
        <w:t>e</w:t>
      </w:r>
      <w:r w:rsidR="00EF6781" w:rsidRPr="009C494F">
        <w:t xml:space="preserve"> </w:t>
      </w:r>
      <w:r w:rsidR="004860A4" w:rsidRPr="009C494F">
        <w:t>utvekslings</w:t>
      </w:r>
      <w:r w:rsidR="0032320E" w:rsidRPr="009C494F">
        <w:t>andelen høy</w:t>
      </w:r>
      <w:r w:rsidR="005D566B" w:rsidRPr="009C494F">
        <w:t>.</w:t>
      </w:r>
      <w:r w:rsidR="00EF6781" w:rsidRPr="009C494F">
        <w:t xml:space="preserve"> </w:t>
      </w:r>
      <w:r w:rsidRPr="00896AD0">
        <w:rPr>
          <w:lang w:val="nn-NO"/>
        </w:rPr>
        <w:t xml:space="preserve">Oversikt over </w:t>
      </w:r>
      <w:r w:rsidR="000D2D66" w:rsidRPr="00896AD0">
        <w:rPr>
          <w:lang w:val="nn-NO"/>
        </w:rPr>
        <w:t>for uteksaminerte studenter med utveksling per institusjon</w:t>
      </w:r>
      <w:r w:rsidR="00D67102" w:rsidRPr="00896AD0">
        <w:rPr>
          <w:lang w:val="nn-NO"/>
        </w:rPr>
        <w:t xml:space="preserve"> ligger i v</w:t>
      </w:r>
      <w:r w:rsidR="00CA1B5D" w:rsidRPr="00896AD0">
        <w:rPr>
          <w:lang w:val="nn-NO"/>
        </w:rPr>
        <w:t>edleggstabell V2.57</w:t>
      </w:r>
      <w:r w:rsidR="00D67102" w:rsidRPr="00896AD0">
        <w:rPr>
          <w:lang w:val="nn-NO"/>
        </w:rPr>
        <w:t xml:space="preserve">. I tillegg inneholder vedleggstabellene </w:t>
      </w:r>
      <w:r w:rsidR="005D40A7" w:rsidRPr="00896AD0">
        <w:rPr>
          <w:lang w:val="nn-NO"/>
        </w:rPr>
        <w:t>V</w:t>
      </w:r>
      <w:r w:rsidR="00C919AC" w:rsidRPr="00896AD0">
        <w:rPr>
          <w:lang w:val="nn-NO"/>
        </w:rPr>
        <w:t>2.52 og V 2.</w:t>
      </w:r>
      <w:r w:rsidR="00633FC6" w:rsidRPr="00896AD0">
        <w:rPr>
          <w:lang w:val="nn-NO"/>
        </w:rPr>
        <w:t>54</w:t>
      </w:r>
      <w:r w:rsidR="00C919AC" w:rsidRPr="00896AD0">
        <w:rPr>
          <w:lang w:val="nn-NO"/>
        </w:rPr>
        <w:t xml:space="preserve"> </w:t>
      </w:r>
      <w:r w:rsidR="00283ABE" w:rsidRPr="00896AD0">
        <w:rPr>
          <w:lang w:val="nn-NO"/>
        </w:rPr>
        <w:t xml:space="preserve">tall for </w:t>
      </w:r>
      <w:r w:rsidR="0096008D" w:rsidRPr="00896AD0">
        <w:rPr>
          <w:lang w:val="nn-NO"/>
        </w:rPr>
        <w:t xml:space="preserve">henholdsvis </w:t>
      </w:r>
      <w:r w:rsidR="00806577" w:rsidRPr="00896AD0">
        <w:rPr>
          <w:lang w:val="nn-NO"/>
        </w:rPr>
        <w:t xml:space="preserve">utreisende og innreisende utvekslingsstudenter </w:t>
      </w:r>
      <w:r w:rsidR="00DF0A88" w:rsidRPr="00896AD0">
        <w:rPr>
          <w:lang w:val="nn-NO"/>
        </w:rPr>
        <w:t xml:space="preserve">per institusjon </w:t>
      </w:r>
      <w:r w:rsidR="00E330D4" w:rsidRPr="00896AD0">
        <w:rPr>
          <w:lang w:val="nn-NO"/>
        </w:rPr>
        <w:t>de s</w:t>
      </w:r>
      <w:r w:rsidR="00D46F43" w:rsidRPr="00896AD0">
        <w:rPr>
          <w:lang w:val="nn-NO"/>
        </w:rPr>
        <w:t>iste ti årene.</w:t>
      </w:r>
    </w:p>
    <w:p w14:paraId="3CE56B56" w14:textId="304BA309" w:rsidR="00B077C3" w:rsidRPr="00422245" w:rsidRDefault="00D360FF" w:rsidP="0073150B">
      <w:r w:rsidRPr="00422245">
        <w:t xml:space="preserve">Tre </w:t>
      </w:r>
      <w:r w:rsidR="00B9667F" w:rsidRPr="00422245">
        <w:t>lærestede</w:t>
      </w:r>
      <w:r w:rsidR="00E27483" w:rsidRPr="00422245">
        <w:t>r</w:t>
      </w:r>
      <w:r w:rsidR="00B9667F" w:rsidRPr="00422245">
        <w:t xml:space="preserve"> i Bergen </w:t>
      </w:r>
      <w:r w:rsidR="009E14C4" w:rsidRPr="00422245">
        <w:t xml:space="preserve">har </w:t>
      </w:r>
      <w:r w:rsidR="00BA77B5" w:rsidRPr="00422245">
        <w:t xml:space="preserve">et særlig høyt </w:t>
      </w:r>
      <w:r w:rsidR="004627BE" w:rsidRPr="00422245">
        <w:t>utvekslings</w:t>
      </w:r>
      <w:r w:rsidR="00BA77B5" w:rsidRPr="00422245">
        <w:t>vol</w:t>
      </w:r>
      <w:r w:rsidR="00726552" w:rsidRPr="00422245">
        <w:t>um</w:t>
      </w:r>
      <w:r w:rsidR="00F15DFC" w:rsidRPr="00422245">
        <w:t>, både blant ut- og innreisende</w:t>
      </w:r>
      <w:r w:rsidR="00B9667F" w:rsidRPr="00422245">
        <w:t xml:space="preserve">. </w:t>
      </w:r>
      <w:r w:rsidR="00A35F50" w:rsidRPr="00422245">
        <w:t>I fremst</w:t>
      </w:r>
      <w:r w:rsidR="00B87553" w:rsidRPr="00422245">
        <w:t>e</w:t>
      </w:r>
      <w:r w:rsidR="00A35F50" w:rsidRPr="00422245">
        <w:t xml:space="preserve"> rekke gjelder dette</w:t>
      </w:r>
      <w:r w:rsidR="00D43DF3" w:rsidRPr="00422245">
        <w:t xml:space="preserve"> </w:t>
      </w:r>
      <w:r w:rsidR="00D17DB4" w:rsidRPr="00422245">
        <w:t>NHH</w:t>
      </w:r>
      <w:r w:rsidR="00A35F50" w:rsidRPr="00422245">
        <w:t>, som</w:t>
      </w:r>
      <w:r w:rsidR="00D17DB4" w:rsidRPr="00422245">
        <w:t xml:space="preserve"> </w:t>
      </w:r>
      <w:r w:rsidR="00A56BAF" w:rsidRPr="00422245">
        <w:t xml:space="preserve">over mange år </w:t>
      </w:r>
      <w:r w:rsidR="005A5208" w:rsidRPr="00422245">
        <w:t xml:space="preserve">har </w:t>
      </w:r>
      <w:r w:rsidR="004627BE" w:rsidRPr="00422245">
        <w:t xml:space="preserve">utmerket seg med </w:t>
      </w:r>
      <w:r w:rsidR="007A08B7" w:rsidRPr="00422245">
        <w:t xml:space="preserve">en </w:t>
      </w:r>
      <w:r w:rsidR="004627BE" w:rsidRPr="00422245">
        <w:t>høy utveksling</w:t>
      </w:r>
      <w:r w:rsidR="007A08B7" w:rsidRPr="00422245">
        <w:t>sandel</w:t>
      </w:r>
      <w:r w:rsidR="00D17DB4" w:rsidRPr="00422245">
        <w:t>. Av de som ble uteksaminert ved NHH i 202</w:t>
      </w:r>
      <w:r w:rsidR="007020DC" w:rsidRPr="00422245">
        <w:t>3</w:t>
      </w:r>
      <w:r w:rsidR="00D17DB4" w:rsidRPr="00422245">
        <w:t xml:space="preserve">, hadde </w:t>
      </w:r>
      <w:r w:rsidR="00BD05C6" w:rsidRPr="00422245">
        <w:t>over halvparten</w:t>
      </w:r>
      <w:r w:rsidR="00D17DB4" w:rsidRPr="00422245">
        <w:t xml:space="preserve"> </w:t>
      </w:r>
      <w:r w:rsidR="00BD05C6" w:rsidRPr="00422245">
        <w:t>(</w:t>
      </w:r>
      <w:r w:rsidR="008A3015" w:rsidRPr="00422245">
        <w:t>55</w:t>
      </w:r>
      <w:r w:rsidR="00D17DB4" w:rsidRPr="00422245">
        <w:t xml:space="preserve"> prosent</w:t>
      </w:r>
      <w:r w:rsidR="00BD05C6" w:rsidRPr="00422245">
        <w:t>)</w:t>
      </w:r>
      <w:r w:rsidR="00D17DB4" w:rsidRPr="00422245">
        <w:t xml:space="preserve"> vært på utveksling i løpet av studiene. </w:t>
      </w:r>
      <w:r w:rsidR="002C3849" w:rsidRPr="00422245">
        <w:t>I</w:t>
      </w:r>
      <w:r w:rsidR="00193EBA" w:rsidRPr="00422245">
        <w:t xml:space="preserve"> tillegg </w:t>
      </w:r>
      <w:r w:rsidR="004B54CA">
        <w:t xml:space="preserve">utgjorde </w:t>
      </w:r>
      <w:r w:rsidR="00C20BF4" w:rsidRPr="00422245">
        <w:t xml:space="preserve">innreisende utvekslingsstudenter </w:t>
      </w:r>
      <w:r w:rsidR="002C3849" w:rsidRPr="00422245">
        <w:t xml:space="preserve">15 </w:t>
      </w:r>
      <w:r w:rsidR="002D04D0" w:rsidRPr="00422245">
        <w:t xml:space="preserve">prosent </w:t>
      </w:r>
      <w:r w:rsidR="00C20BF4">
        <w:t xml:space="preserve">av alle registrerte </w:t>
      </w:r>
      <w:r w:rsidR="00B76963" w:rsidRPr="00422245">
        <w:t>student</w:t>
      </w:r>
      <w:r w:rsidR="00C20BF4">
        <w:t>er</w:t>
      </w:r>
      <w:r w:rsidR="00C62577" w:rsidRPr="00422245">
        <w:t xml:space="preserve"> i 2023. </w:t>
      </w:r>
      <w:r w:rsidR="0066332C" w:rsidRPr="00422245">
        <w:t>Enda høyere ligger</w:t>
      </w:r>
      <w:r w:rsidR="00FB5C72" w:rsidRPr="00422245">
        <w:t xml:space="preserve"> BAS</w:t>
      </w:r>
      <w:r w:rsidR="00A37EDA" w:rsidRPr="00422245">
        <w:t>,</w:t>
      </w:r>
      <w:r w:rsidR="007B61AB" w:rsidRPr="00422245">
        <w:t xml:space="preserve"> </w:t>
      </w:r>
      <w:r w:rsidR="0066332C" w:rsidRPr="00422245">
        <w:t xml:space="preserve">med </w:t>
      </w:r>
      <w:r w:rsidR="006E0559" w:rsidRPr="00422245">
        <w:t xml:space="preserve">17 prosent innreisende utvekslingsstudenter </w:t>
      </w:r>
      <w:r w:rsidR="00B71D46" w:rsidRPr="00422245">
        <w:t xml:space="preserve">i 2023. </w:t>
      </w:r>
      <w:r w:rsidR="00033B77" w:rsidRPr="00422245">
        <w:t xml:space="preserve">Her har </w:t>
      </w:r>
      <w:r w:rsidR="00A47A41" w:rsidRPr="00422245">
        <w:t>3</w:t>
      </w:r>
      <w:r w:rsidR="008D7D39" w:rsidRPr="00422245">
        <w:t>6 prosent</w:t>
      </w:r>
      <w:r w:rsidR="00654E1D" w:rsidRPr="00422245">
        <w:t xml:space="preserve"> </w:t>
      </w:r>
      <w:r w:rsidR="001F44DB" w:rsidRPr="00422245">
        <w:t xml:space="preserve">av </w:t>
      </w:r>
      <w:r w:rsidR="00033B77" w:rsidRPr="00422245">
        <w:t xml:space="preserve">de </w:t>
      </w:r>
      <w:r w:rsidR="00CB31A3" w:rsidRPr="00422245">
        <w:t xml:space="preserve">uteksaminerte </w:t>
      </w:r>
      <w:r w:rsidR="00852829" w:rsidRPr="00422245">
        <w:t xml:space="preserve">i 2023 </w:t>
      </w:r>
      <w:r w:rsidR="00654E1D" w:rsidRPr="00422245">
        <w:t>utvekslingserfaring</w:t>
      </w:r>
      <w:r w:rsidR="00CB31A3" w:rsidRPr="00422245">
        <w:t xml:space="preserve">. </w:t>
      </w:r>
      <w:r w:rsidR="00AB10CB" w:rsidRPr="00422245">
        <w:t xml:space="preserve">Blant </w:t>
      </w:r>
      <w:r w:rsidR="0010221B" w:rsidRPr="00422245">
        <w:t xml:space="preserve">de store institusjonene </w:t>
      </w:r>
      <w:r w:rsidR="00351A98" w:rsidRPr="00422245">
        <w:t xml:space="preserve">står UiB fram med </w:t>
      </w:r>
      <w:r w:rsidR="00A27516" w:rsidRPr="00422245">
        <w:t xml:space="preserve">en utvekslingsandel på </w:t>
      </w:r>
      <w:r w:rsidR="00314D87" w:rsidRPr="00422245">
        <w:t>22 prosent</w:t>
      </w:r>
      <w:r w:rsidR="005916D8" w:rsidRPr="00422245">
        <w:t xml:space="preserve"> blant </w:t>
      </w:r>
      <w:r w:rsidR="00314D87" w:rsidRPr="00422245">
        <w:t>alle</w:t>
      </w:r>
      <w:r w:rsidR="005916D8" w:rsidRPr="00422245">
        <w:t xml:space="preserve"> </w:t>
      </w:r>
      <w:r w:rsidR="00326DBB" w:rsidRPr="00422245">
        <w:t xml:space="preserve">uteksaminerte </w:t>
      </w:r>
      <w:r w:rsidR="00365849">
        <w:t xml:space="preserve">samtidig som </w:t>
      </w:r>
      <w:r w:rsidR="00365849" w:rsidRPr="00422245">
        <w:t xml:space="preserve">innreisende utvekslingsstudenter </w:t>
      </w:r>
      <w:r w:rsidR="00365849">
        <w:t xml:space="preserve">utgjorde </w:t>
      </w:r>
      <w:r w:rsidR="00DC5FAC" w:rsidRPr="00422245">
        <w:t xml:space="preserve">8 prosent </w:t>
      </w:r>
      <w:r w:rsidR="00365849">
        <w:t>av studentene</w:t>
      </w:r>
      <w:r w:rsidR="00DC5FAC" w:rsidRPr="00422245">
        <w:t xml:space="preserve"> i 2023. </w:t>
      </w:r>
    </w:p>
    <w:p w14:paraId="57DD0885" w14:textId="5DCACAFF" w:rsidR="00914B14" w:rsidRPr="00422245" w:rsidRDefault="00914B14" w:rsidP="00914B14">
      <w:pPr>
        <w:pStyle w:val="Overskrift2"/>
      </w:pPr>
      <w:bookmarkStart w:id="69" w:name="_Toc163488411"/>
      <w:r w:rsidRPr="00422245">
        <w:lastRenderedPageBreak/>
        <w:t>Internasjonalt samarbeid</w:t>
      </w:r>
      <w:bookmarkEnd w:id="69"/>
    </w:p>
    <w:p w14:paraId="79CA7A6E" w14:textId="5CA893FE" w:rsidR="00F50F50" w:rsidRPr="00422245" w:rsidRDefault="00F50F50" w:rsidP="00F50F50">
      <w:pPr>
        <w:pStyle w:val="Overskrift3"/>
        <w:spacing w:before="288"/>
      </w:pPr>
      <w:bookmarkStart w:id="70" w:name="_Toc163488412"/>
      <w:r w:rsidRPr="00422245">
        <w:t>Fortsatt høy mobilitet gjennom Erasmus+</w:t>
      </w:r>
      <w:bookmarkEnd w:id="70"/>
      <w:r w:rsidRPr="00422245">
        <w:t xml:space="preserve"> </w:t>
      </w:r>
    </w:p>
    <w:p w14:paraId="4233BE16" w14:textId="5A15BC8F" w:rsidR="0079381E" w:rsidRPr="00422245" w:rsidRDefault="00EB2CEA" w:rsidP="0079381E">
      <w:r w:rsidRPr="00422245">
        <w:t xml:space="preserve">Europa er et høyt prioritert område for norsk utdanningssamarbeid, og norsk deltakelse i Erasmus+ er </w:t>
      </w:r>
      <w:r w:rsidR="00F42DF2" w:rsidRPr="00422245">
        <w:t>sentralt</w:t>
      </w:r>
      <w:r w:rsidRPr="00422245">
        <w:t xml:space="preserve"> i denne sammenhengen. </w:t>
      </w:r>
      <w:r w:rsidR="002C2E9E" w:rsidRPr="00422245">
        <w:t>P</w:t>
      </w:r>
      <w:r w:rsidR="0079381E" w:rsidRPr="00422245">
        <w:t xml:space="preserve">rogrammet gir norsk utdanning tilgang til internasjonale nettverk, fagmiljøer og allianser som fremmer kunnskapsutveksling og kvalitetsutvikling. </w:t>
      </w:r>
      <w:r w:rsidR="00292A70" w:rsidRPr="00422245">
        <w:t xml:space="preserve">Kontinuerlig dialog </w:t>
      </w:r>
      <w:r w:rsidR="00AD43A8" w:rsidRPr="00422245">
        <w:t xml:space="preserve">med </w:t>
      </w:r>
      <w:r w:rsidR="00292A70" w:rsidRPr="00422245">
        <w:t xml:space="preserve">partnere </w:t>
      </w:r>
      <w:r w:rsidR="00B90822" w:rsidRPr="00422245">
        <w:t xml:space="preserve">i andre land </w:t>
      </w:r>
      <w:r w:rsidR="007B5459" w:rsidRPr="00422245">
        <w:t xml:space="preserve">gir </w:t>
      </w:r>
      <w:r w:rsidR="00AD43A8" w:rsidRPr="00422245">
        <w:t xml:space="preserve">norske læresteder og fagmiljø </w:t>
      </w:r>
      <w:r w:rsidR="004A59A3" w:rsidRPr="00422245">
        <w:t>viktig</w:t>
      </w:r>
      <w:r w:rsidR="007B5459" w:rsidRPr="00422245">
        <w:t>e</w:t>
      </w:r>
      <w:r w:rsidR="004A59A3" w:rsidRPr="00422245">
        <w:t xml:space="preserve"> </w:t>
      </w:r>
      <w:r w:rsidR="007B5459" w:rsidRPr="00422245">
        <w:t xml:space="preserve">internasjonale </w:t>
      </w:r>
      <w:r w:rsidR="00A44FDC" w:rsidRPr="00422245">
        <w:t>impulser og</w:t>
      </w:r>
      <w:r w:rsidR="007B5459" w:rsidRPr="00422245">
        <w:t xml:space="preserve"> perspektiv</w:t>
      </w:r>
      <w:r w:rsidR="0030309A" w:rsidRPr="00422245">
        <w:t>er</w:t>
      </w:r>
      <w:r w:rsidR="00527F12" w:rsidRPr="00422245">
        <w:t>. Det europeiske samarbeidet bidrar også med</w:t>
      </w:r>
      <w:r w:rsidR="00A44FDC" w:rsidRPr="00422245">
        <w:t xml:space="preserve"> et </w:t>
      </w:r>
      <w:r w:rsidR="00B90822" w:rsidRPr="00422245">
        <w:t>relevant</w:t>
      </w:r>
      <w:r w:rsidR="00292A70" w:rsidRPr="00422245">
        <w:t xml:space="preserve"> sammenligningsgrunnlag for norsk høyere utdanning.</w:t>
      </w:r>
      <w:r w:rsidR="00B40251" w:rsidRPr="00422245">
        <w:t xml:space="preserve"> Nåværende programperiode for Erasmus+ er </w:t>
      </w:r>
      <w:r w:rsidR="00A74478" w:rsidRPr="00422245">
        <w:t xml:space="preserve">fra </w:t>
      </w:r>
      <w:r w:rsidR="00B40251" w:rsidRPr="00422245">
        <w:t xml:space="preserve">2021 </w:t>
      </w:r>
      <w:r w:rsidR="00A74478" w:rsidRPr="00422245">
        <w:t>til</w:t>
      </w:r>
      <w:r w:rsidR="00B40251" w:rsidRPr="00422245">
        <w:t xml:space="preserve"> 2027.</w:t>
      </w:r>
    </w:p>
    <w:p w14:paraId="334E21F7" w14:textId="1B450AD8" w:rsidR="00775CAC" w:rsidRPr="00422245" w:rsidRDefault="00715C88" w:rsidP="0079381E">
      <w:r>
        <w:fldChar w:fldCharType="begin"/>
      </w:r>
      <w:r>
        <w:instrText xml:space="preserve"> REF _Ref163469725 \h </w:instrText>
      </w:r>
      <w:r>
        <w:fldChar w:fldCharType="separate"/>
      </w:r>
      <w:r w:rsidRPr="00422245">
        <w:t xml:space="preserve">Figur </w:t>
      </w:r>
      <w:r>
        <w:rPr>
          <w:noProof/>
        </w:rPr>
        <w:t>4</w:t>
      </w:r>
      <w:r>
        <w:noBreakHyphen/>
      </w:r>
      <w:r>
        <w:rPr>
          <w:noProof/>
        </w:rPr>
        <w:t>3</w:t>
      </w:r>
      <w:r>
        <w:fldChar w:fldCharType="end"/>
      </w:r>
      <w:r>
        <w:t xml:space="preserve"> </w:t>
      </w:r>
      <w:r w:rsidR="00EB2CEA" w:rsidRPr="00422245">
        <w:t xml:space="preserve">viser utreisende utvekslingsstudenter fra Norge på Erasmus+ som andel av alle studenter. </w:t>
      </w:r>
      <w:r w:rsidR="00895183" w:rsidRPr="00422245">
        <w:t xml:space="preserve">Etter et historisk sterkt resultat for Erasmus i Norge i 2022, </w:t>
      </w:r>
      <w:r w:rsidR="00775CAC" w:rsidRPr="00422245">
        <w:t>peker</w:t>
      </w:r>
      <w:r w:rsidR="00895183" w:rsidRPr="00422245">
        <w:t xml:space="preserve"> </w:t>
      </w:r>
      <w:r w:rsidR="00B758E3" w:rsidRPr="00422245">
        <w:t xml:space="preserve">andelen </w:t>
      </w:r>
      <w:r w:rsidR="00A20A89" w:rsidRPr="00422245">
        <w:t>utreisende fra Norge sva</w:t>
      </w:r>
      <w:r w:rsidR="00775CAC" w:rsidRPr="00422245">
        <w:t>kt nedover i 2023</w:t>
      </w:r>
      <w:r w:rsidR="00495596" w:rsidRPr="00422245">
        <w:t xml:space="preserve"> med 335 færre </w:t>
      </w:r>
      <w:r w:rsidR="00B82880" w:rsidRPr="00422245">
        <w:t xml:space="preserve">Erasmus-studenter </w:t>
      </w:r>
      <w:r w:rsidR="00495596" w:rsidRPr="00422245">
        <w:t xml:space="preserve">enn året før. </w:t>
      </w:r>
      <w:r w:rsidR="00933528" w:rsidRPr="00422245">
        <w:t xml:space="preserve">Dette er som forventet. </w:t>
      </w:r>
      <w:r w:rsidR="004C2A5B" w:rsidRPr="00422245">
        <w:t>P</w:t>
      </w:r>
      <w:r w:rsidR="001C7549" w:rsidRPr="00422245">
        <w:t xml:space="preserve">rogrammet </w:t>
      </w:r>
      <w:r w:rsidR="00A3422A" w:rsidRPr="00422245">
        <w:t>ble</w:t>
      </w:r>
      <w:r w:rsidR="001C7549" w:rsidRPr="00422245">
        <w:t xml:space="preserve"> </w:t>
      </w:r>
      <w:r w:rsidR="00294F6E" w:rsidRPr="00422245">
        <w:t xml:space="preserve">i 2022 </w:t>
      </w:r>
      <w:r w:rsidR="001C7549" w:rsidRPr="00422245">
        <w:t xml:space="preserve">en </w:t>
      </w:r>
      <w:r w:rsidR="0013573C" w:rsidRPr="00422245">
        <w:t>betydelig</w:t>
      </w:r>
      <w:r w:rsidR="001C7549" w:rsidRPr="00422245">
        <w:t xml:space="preserve"> katalysator for å få studentmobiliteten i gang igjen etter pandemien</w:t>
      </w:r>
      <w:r w:rsidR="00AB75D0" w:rsidRPr="00422245">
        <w:t xml:space="preserve">, </w:t>
      </w:r>
      <w:r w:rsidR="000D490D" w:rsidRPr="00422245">
        <w:t xml:space="preserve">samtidig som </w:t>
      </w:r>
      <w:r w:rsidR="006D73E7" w:rsidRPr="00422245">
        <w:t xml:space="preserve">fortsatte </w:t>
      </w:r>
      <w:r w:rsidR="000D490D" w:rsidRPr="00422245">
        <w:t xml:space="preserve">reiserestriksjoner </w:t>
      </w:r>
      <w:r w:rsidR="006D73E7" w:rsidRPr="00422245">
        <w:t xml:space="preserve">og usikkerhet </w:t>
      </w:r>
      <w:r w:rsidR="006F5705" w:rsidRPr="00422245">
        <w:t xml:space="preserve">begrenset mobiliteten </w:t>
      </w:r>
      <w:r w:rsidR="00C544B3" w:rsidRPr="00422245">
        <w:t>til land utenfor Europa.</w:t>
      </w:r>
      <w:r w:rsidR="006B30F9" w:rsidRPr="00422245">
        <w:t xml:space="preserve"> I </w:t>
      </w:r>
      <w:r w:rsidR="00CF378F" w:rsidRPr="00422245">
        <w:t xml:space="preserve">tillegg </w:t>
      </w:r>
      <w:r w:rsidR="00416EB0" w:rsidRPr="00422245">
        <w:t xml:space="preserve">så man en </w:t>
      </w:r>
      <w:r w:rsidR="00B85E13" w:rsidRPr="00422245">
        <w:t>viss «ketchup-effekt» av at</w:t>
      </w:r>
      <w:r w:rsidR="00CF378F" w:rsidRPr="00422245">
        <w:t xml:space="preserve"> m</w:t>
      </w:r>
      <w:r w:rsidR="00AB75D0" w:rsidRPr="00422245">
        <w:t>obilit</w:t>
      </w:r>
      <w:r w:rsidR="0047506C" w:rsidRPr="00422245">
        <w:t xml:space="preserve">etsopphold </w:t>
      </w:r>
      <w:r w:rsidR="00AB75D0" w:rsidRPr="00422245">
        <w:t xml:space="preserve">som </w:t>
      </w:r>
      <w:r w:rsidR="00CF378F" w:rsidRPr="00422245">
        <w:t xml:space="preserve">hadde blitt </w:t>
      </w:r>
      <w:r w:rsidR="00AB75D0" w:rsidRPr="00422245">
        <w:t>satt på vent under pandemien</w:t>
      </w:r>
      <w:r w:rsidR="00603F05" w:rsidRPr="00422245">
        <w:t xml:space="preserve"> nå</w:t>
      </w:r>
      <w:r w:rsidR="00AB75D0" w:rsidRPr="00422245">
        <w:t xml:space="preserve"> </w:t>
      </w:r>
      <w:r w:rsidR="00B85E13" w:rsidRPr="00422245">
        <w:t xml:space="preserve">ble </w:t>
      </w:r>
      <w:r w:rsidR="00CF378F" w:rsidRPr="00422245">
        <w:t>gjennomført</w:t>
      </w:r>
      <w:r w:rsidR="006C4ED4" w:rsidRPr="00422245">
        <w:t>, og i</w:t>
      </w:r>
      <w:r w:rsidR="002A23F9" w:rsidRPr="00422245">
        <w:t>nstitusjoner</w:t>
      </w:r>
      <w:r w:rsidR="006309C5" w:rsidRPr="00422245">
        <w:t xml:space="preserve"> som</w:t>
      </w:r>
      <w:r w:rsidR="002A23F9" w:rsidRPr="00422245">
        <w:t xml:space="preserve"> </w:t>
      </w:r>
      <w:r w:rsidR="006C4ED4" w:rsidRPr="00422245">
        <w:t>satt på</w:t>
      </w:r>
      <w:r w:rsidR="002A23F9" w:rsidRPr="00422245">
        <w:t xml:space="preserve"> </w:t>
      </w:r>
      <w:r w:rsidR="004B0E51" w:rsidRPr="00422245">
        <w:t xml:space="preserve">ubenyttede </w:t>
      </w:r>
      <w:r w:rsidR="008D7FAC" w:rsidRPr="00422245">
        <w:t>m</w:t>
      </w:r>
      <w:r w:rsidR="00446587" w:rsidRPr="00422245">
        <w:t xml:space="preserve">idler </w:t>
      </w:r>
      <w:r w:rsidR="006309C5" w:rsidRPr="00422245">
        <w:t xml:space="preserve">fra </w:t>
      </w:r>
      <w:r w:rsidR="0037775A" w:rsidRPr="00422245">
        <w:t xml:space="preserve">tildelinger for </w:t>
      </w:r>
      <w:r w:rsidR="004B0E51" w:rsidRPr="00422245">
        <w:t xml:space="preserve">pandemiårene 2020 og 2021 </w:t>
      </w:r>
      <w:r w:rsidR="009E1BEA" w:rsidRPr="00422245">
        <w:t>har hatt anledning til å bruke disse fram til 2023</w:t>
      </w:r>
      <w:r w:rsidR="00B375B2">
        <w:t xml:space="preserve"> </w:t>
      </w:r>
      <w:r w:rsidR="007E5187">
        <w:fldChar w:fldCharType="begin"/>
      </w:r>
      <w:r w:rsidR="00914C57">
        <w:instrText xml:space="preserve"> ADDIN EN.CITE &lt;EndNote&gt;&lt;Cite&gt;&lt;Author&gt;HK-dir&lt;/Author&gt;&lt;Year&gt;2022&lt;/Year&gt;&lt;RecNum&gt;2270&lt;/RecNum&gt;&lt;DisplayText&gt;(HK-dir, 2022b)&lt;/DisplayText&gt;&lt;record&gt;&lt;rec-number&gt;2270&lt;/rec-number&gt;&lt;foreign-keys&gt;&lt;key app="EN" db-id="p2et5feaxrpe5zew2eavt29z05fv09aa5s0w" timestamp="1712310993" guid="1015506f-c05b-48eb-9bd9-97086ef78d07"&gt;2270&lt;/key&gt;&lt;/foreign-keys&gt;&lt;ref-type name="Report"&gt;27&lt;/ref-type&gt;&lt;contributors&gt;&lt;authors&gt;&lt;author&gt;HK-dir&lt;/author&gt;&lt;/authors&gt;&lt;/contributors&gt;&lt;titles&gt;&lt;title&gt;Erasmus+ i norsk høyere utdanning 2022&lt;/title&gt;&lt;/titles&gt;&lt;dates&gt;&lt;year&gt;2022&lt;/year&gt;&lt;/dates&gt;&lt;isbn&gt;10&lt;/isbn&gt;&lt;urls&gt;&lt;related-urls&gt;&lt;url&gt;https://erasmuspluss.no/rapporter-undersokelser-og-statistikk/erasmus-i-norsk-hoyere-utdanning-2022&lt;/url&gt;&lt;/related-urls&gt;&lt;/urls&gt;&lt;/record&gt;&lt;/Cite&gt;&lt;/EndNote&gt;</w:instrText>
      </w:r>
      <w:r w:rsidR="007E5187">
        <w:fldChar w:fldCharType="separate"/>
      </w:r>
      <w:r w:rsidR="00914C57">
        <w:rPr>
          <w:noProof/>
        </w:rPr>
        <w:t>(HK-dir, 2022b)</w:t>
      </w:r>
      <w:r w:rsidR="007E5187">
        <w:fldChar w:fldCharType="end"/>
      </w:r>
      <w:r w:rsidR="009E1BEA" w:rsidRPr="00422245">
        <w:t xml:space="preserve">. </w:t>
      </w:r>
      <w:r w:rsidR="00580D4C" w:rsidRPr="00422245">
        <w:t xml:space="preserve">Dette gjør at </w:t>
      </w:r>
      <w:r w:rsidR="00A908A6" w:rsidRPr="00422245">
        <w:t>bruken av Erasmus+</w:t>
      </w:r>
      <w:r w:rsidR="004E3746" w:rsidRPr="00422245">
        <w:t xml:space="preserve"> i 2022 og </w:t>
      </w:r>
      <w:r w:rsidR="000707F5" w:rsidRPr="00422245">
        <w:t xml:space="preserve">til dels i </w:t>
      </w:r>
      <w:r w:rsidR="004E3746" w:rsidRPr="00422245">
        <w:t xml:space="preserve">2023 </w:t>
      </w:r>
      <w:r w:rsidR="00A908A6" w:rsidRPr="00422245">
        <w:t xml:space="preserve">trolig </w:t>
      </w:r>
      <w:r w:rsidR="004E3746" w:rsidRPr="00422245">
        <w:t xml:space="preserve">har vært kunstig høy. </w:t>
      </w:r>
      <w:r w:rsidR="0037775A" w:rsidRPr="00422245">
        <w:t xml:space="preserve">Det kan derfor ventes en ytterligere nedgang </w:t>
      </w:r>
      <w:r w:rsidR="006D768A" w:rsidRPr="00422245">
        <w:t>i Erasmus-mobiliteten neste år</w:t>
      </w:r>
      <w:r w:rsidR="003D7F36" w:rsidRPr="00422245">
        <w:t xml:space="preserve">, når </w:t>
      </w:r>
      <w:r w:rsidR="0055332F" w:rsidRPr="00422245">
        <w:t xml:space="preserve">utestående midler </w:t>
      </w:r>
      <w:r w:rsidR="000707F5" w:rsidRPr="00422245">
        <w:t xml:space="preserve">fra pandemiårene </w:t>
      </w:r>
      <w:r w:rsidR="003D7F36" w:rsidRPr="00422245">
        <w:t>er oppbrukt.</w:t>
      </w:r>
    </w:p>
    <w:p w14:paraId="631A5738" w14:textId="106B997D" w:rsidR="000065DF" w:rsidRPr="00422245" w:rsidRDefault="00925521" w:rsidP="006D768A">
      <w:pPr>
        <w:pStyle w:val="Bildetekst"/>
        <w:keepNext/>
        <w:keepLines/>
      </w:pPr>
      <w:bookmarkStart w:id="71" w:name="_Ref163469725"/>
      <w:bookmarkStart w:id="72" w:name="_Ref161406767"/>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4</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bookmarkEnd w:id="71"/>
      <w:r w:rsidRPr="00422245">
        <w:t xml:space="preserve"> Utreisende utvekslingsstudenter på Erasmus+ 2014–23 av totalt antall studenter. Prosent</w:t>
      </w:r>
      <w:bookmarkEnd w:id="72"/>
    </w:p>
    <w:p w14:paraId="20040042" w14:textId="466EEF7F" w:rsidR="00D365DB" w:rsidRPr="00422245" w:rsidRDefault="00D365DB" w:rsidP="006D768A">
      <w:pPr>
        <w:keepNext/>
        <w:keepLines/>
      </w:pPr>
      <w:r w:rsidRPr="00422245">
        <w:rPr>
          <w:noProof/>
        </w:rPr>
        <w:drawing>
          <wp:inline distT="0" distB="0" distL="0" distR="0" wp14:anchorId="28E6ADA2" wp14:editId="47093BBF">
            <wp:extent cx="5403215" cy="2367886"/>
            <wp:effectExtent l="0" t="0" r="6985" b="13970"/>
            <wp:docPr id="1816181770" name="Diagram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E5B7033" w14:textId="409335C2" w:rsidR="00EA4F89" w:rsidRPr="00422245" w:rsidRDefault="000065DF" w:rsidP="00163310">
      <w:pPr>
        <w:pStyle w:val="Kilde"/>
        <w:rPr>
          <w:lang w:eastAsia="nb-NO"/>
        </w:rPr>
      </w:pPr>
      <w:r w:rsidRPr="004E373E">
        <w:rPr>
          <w:b/>
          <w:lang w:eastAsia="nb-NO"/>
        </w:rPr>
        <w:t>Kilde</w:t>
      </w:r>
      <w:r w:rsidRPr="00422245">
        <w:rPr>
          <w:lang w:eastAsia="nb-NO"/>
        </w:rPr>
        <w:t>: DBH</w:t>
      </w:r>
    </w:p>
    <w:p w14:paraId="6C8EDE88" w14:textId="6A8E5AEB" w:rsidR="00D078CA" w:rsidRPr="00422245" w:rsidRDefault="00895183" w:rsidP="00895183">
      <w:r w:rsidRPr="00422245">
        <w:t xml:space="preserve">Det er nå </w:t>
      </w:r>
      <w:r w:rsidR="00852203" w:rsidRPr="00422245">
        <w:t>30</w:t>
      </w:r>
      <w:r w:rsidRPr="00422245">
        <w:t xml:space="preserve"> prosent flere studenter på utveksling fra Norge gjennom Erasmus+ enn </w:t>
      </w:r>
      <w:r w:rsidR="00852203" w:rsidRPr="00422245">
        <w:t xml:space="preserve">i siste normalår </w:t>
      </w:r>
      <w:r w:rsidRPr="00422245">
        <w:t>før pandemien (2019)</w:t>
      </w:r>
      <w:r w:rsidR="00852203" w:rsidRPr="00422245">
        <w:t xml:space="preserve">. </w:t>
      </w:r>
      <w:r w:rsidRPr="00422245">
        <w:t xml:space="preserve">Dette går fram av vedleggstabell V2.49, som viser institusjonenes antall og andel utvekslingsstudenter i Erasmus-programmet i årene 2014–22. </w:t>
      </w:r>
      <w:r w:rsidR="00EB17F6" w:rsidRPr="00422245">
        <w:t>Antallet utvekslede gjennom programmet g</w:t>
      </w:r>
      <w:r w:rsidR="00536739" w:rsidRPr="00422245">
        <w:t>ikk</w:t>
      </w:r>
      <w:r w:rsidR="00EB17F6" w:rsidRPr="00422245">
        <w:t xml:space="preserve"> ned med 8 prosent siste år. </w:t>
      </w:r>
      <w:r w:rsidR="00D078CA" w:rsidRPr="00422245">
        <w:t>Den nasjonale strategien for Erasmus+ har som mål at 30 000 studenter reiser på utvekslingsopphold i løpet av inneværende programperiode, 2021–27 (Kunnskapsdepartementet, 2021). For å nå dette målet, må antallet utvekslede i programmet øke med o</w:t>
      </w:r>
      <w:r w:rsidR="00600630" w:rsidRPr="00422245">
        <w:t>ver 30</w:t>
      </w:r>
      <w:r w:rsidR="0030338B" w:rsidRPr="00422245">
        <w:t xml:space="preserve"> </w:t>
      </w:r>
      <w:r w:rsidR="00D078CA" w:rsidRPr="00422245">
        <w:t>prosent fra nivået i 202</w:t>
      </w:r>
      <w:r w:rsidR="0030338B" w:rsidRPr="00422245">
        <w:t>3</w:t>
      </w:r>
      <w:r w:rsidR="00D078CA" w:rsidRPr="00422245">
        <w:t xml:space="preserve">. </w:t>
      </w:r>
      <w:r w:rsidR="00004959">
        <w:t>M</w:t>
      </w:r>
      <w:r w:rsidR="000923FA">
        <w:t>ed en for</w:t>
      </w:r>
      <w:r w:rsidR="000923FA" w:rsidRPr="00422245">
        <w:t>vente</w:t>
      </w:r>
      <w:r w:rsidR="000923FA">
        <w:t>t</w:t>
      </w:r>
      <w:r w:rsidR="000923FA" w:rsidRPr="00422245">
        <w:t xml:space="preserve"> </w:t>
      </w:r>
      <w:r w:rsidR="00F61AAC" w:rsidRPr="00F61AAC">
        <w:t>nedgang i utvekslingen gjennom programmet framover</w:t>
      </w:r>
      <w:r w:rsidR="00954256">
        <w:t xml:space="preserve"> </w:t>
      </w:r>
      <w:r w:rsidR="002954F4" w:rsidRPr="00422245">
        <w:t xml:space="preserve">er det </w:t>
      </w:r>
      <w:r w:rsidR="00954256">
        <w:t xml:space="preserve">imidlertid </w:t>
      </w:r>
      <w:r w:rsidR="002954F4" w:rsidRPr="00422245">
        <w:t xml:space="preserve">høyst usikkert om </w:t>
      </w:r>
      <w:r w:rsidR="00BF42D9" w:rsidRPr="00422245">
        <w:t>det nasjonale målet</w:t>
      </w:r>
      <w:r w:rsidR="001F2913" w:rsidRPr="00422245">
        <w:t xml:space="preserve"> </w:t>
      </w:r>
      <w:r w:rsidR="0047006B" w:rsidRPr="00422245">
        <w:t xml:space="preserve">faktisk </w:t>
      </w:r>
      <w:r w:rsidR="001F2913" w:rsidRPr="00422245">
        <w:t>lar seg innfri</w:t>
      </w:r>
      <w:r w:rsidR="00D078CA" w:rsidRPr="00422245">
        <w:t>.</w:t>
      </w:r>
    </w:p>
    <w:p w14:paraId="746CDC6B" w14:textId="6F542B7F" w:rsidR="00895183" w:rsidRPr="00422245" w:rsidRDefault="00895DF9" w:rsidP="00895183">
      <w:r w:rsidRPr="00422245">
        <w:t>Siste års n</w:t>
      </w:r>
      <w:r w:rsidR="00EB17F6" w:rsidRPr="00422245">
        <w:t>edgang</w:t>
      </w:r>
      <w:r w:rsidR="0091492A" w:rsidRPr="00422245">
        <w:t xml:space="preserve"> </w:t>
      </w:r>
      <w:r w:rsidR="00EB17F6" w:rsidRPr="00422245">
        <w:t>er markert høyere blant de private lærestedene med 29 prosent</w:t>
      </w:r>
      <w:r w:rsidR="00396EDF" w:rsidRPr="00422245">
        <w:t>,</w:t>
      </w:r>
      <w:r w:rsidR="009059F5" w:rsidRPr="00422245">
        <w:t xml:space="preserve"> mot </w:t>
      </w:r>
      <w:r w:rsidR="00396EDF" w:rsidRPr="00422245">
        <w:t xml:space="preserve">en nedgang på </w:t>
      </w:r>
      <w:r w:rsidR="008A513A" w:rsidRPr="00422245">
        <w:t>5 prosent ved de statlige</w:t>
      </w:r>
      <w:r w:rsidR="00EB17F6" w:rsidRPr="00422245">
        <w:t xml:space="preserve">. </w:t>
      </w:r>
      <w:r w:rsidR="004D02A5" w:rsidRPr="00422245">
        <w:t xml:space="preserve">Samlet har de </w:t>
      </w:r>
      <w:r w:rsidR="005A4FE7" w:rsidRPr="00422245">
        <w:t xml:space="preserve">statlige </w:t>
      </w:r>
      <w:r w:rsidR="004D02A5" w:rsidRPr="00422245">
        <w:t xml:space="preserve">institusjonene en høyere andel studenter på utveksling i Erasmus+ (1,5 prosent) enn de private (0,7 prosent). </w:t>
      </w:r>
      <w:r w:rsidR="00EA12D3" w:rsidRPr="00422245">
        <w:t xml:space="preserve">De siste ti årene har </w:t>
      </w:r>
      <w:r w:rsidR="009059F5" w:rsidRPr="00422245">
        <w:t xml:space="preserve">imidlertid </w:t>
      </w:r>
      <w:r w:rsidR="00F3095B" w:rsidRPr="00422245">
        <w:t xml:space="preserve">de private institusjonene tredoblet antallet </w:t>
      </w:r>
      <w:r w:rsidR="00D65859" w:rsidRPr="00422245">
        <w:t>studenter de sender ut gjennom programmet</w:t>
      </w:r>
      <w:r w:rsidR="009059F5" w:rsidRPr="00422245">
        <w:t xml:space="preserve">. Også </w:t>
      </w:r>
      <w:r w:rsidR="00D65859" w:rsidRPr="00422245">
        <w:t xml:space="preserve">de statlige institusjonene </w:t>
      </w:r>
      <w:r w:rsidR="009059F5" w:rsidRPr="00422245">
        <w:t xml:space="preserve">har </w:t>
      </w:r>
      <w:r w:rsidR="005934B7" w:rsidRPr="00422245">
        <w:t xml:space="preserve">hatt betydelig økt bruk av utmobilitet gjennom Erasmus de siste ti årene og har doblet </w:t>
      </w:r>
      <w:r w:rsidR="00A96736" w:rsidRPr="00422245">
        <w:t>antallet de sender ut.</w:t>
      </w:r>
    </w:p>
    <w:p w14:paraId="0F50E797" w14:textId="6640BA16" w:rsidR="00895183" w:rsidRPr="00422245" w:rsidRDefault="00895183" w:rsidP="00895183">
      <w:pPr>
        <w:rPr>
          <w:highlight w:val="yellow"/>
        </w:rPr>
      </w:pPr>
      <w:r w:rsidRPr="00422245">
        <w:t xml:space="preserve">Det store omfanget av utveksling ved NHH kommer </w:t>
      </w:r>
      <w:r w:rsidR="00BA1830" w:rsidRPr="00422245">
        <w:t xml:space="preserve">igjen </w:t>
      </w:r>
      <w:r w:rsidRPr="00422245">
        <w:t xml:space="preserve">til syne </w:t>
      </w:r>
      <w:r w:rsidR="00BA1830" w:rsidRPr="00422245">
        <w:t>i statistikken</w:t>
      </w:r>
      <w:r w:rsidR="00CC1D13" w:rsidRPr="00422245">
        <w:t xml:space="preserve"> (se kapittel </w:t>
      </w:r>
      <w:r w:rsidR="00CC1D13" w:rsidRPr="00422245">
        <w:fldChar w:fldCharType="begin"/>
      </w:r>
      <w:r w:rsidR="00CC1D13" w:rsidRPr="00422245">
        <w:instrText xml:space="preserve"> REF _Ref161410668 \r \h </w:instrText>
      </w:r>
      <w:r w:rsidR="00CC1D13" w:rsidRPr="00422245">
        <w:fldChar w:fldCharType="separate"/>
      </w:r>
      <w:r w:rsidR="00CC1D13" w:rsidRPr="00422245">
        <w:t>3.1.</w:t>
      </w:r>
      <w:r w:rsidR="005B096E">
        <w:t>2</w:t>
      </w:r>
      <w:r w:rsidR="00CC1D13" w:rsidRPr="00422245">
        <w:fldChar w:fldCharType="end"/>
      </w:r>
      <w:r w:rsidR="00CC1D13" w:rsidRPr="00422245">
        <w:t>)</w:t>
      </w:r>
      <w:r w:rsidRPr="00422245">
        <w:t>. Ved NHH reiste 8,</w:t>
      </w:r>
      <w:r w:rsidR="008A6C36" w:rsidRPr="00422245">
        <w:t>2</w:t>
      </w:r>
      <w:r w:rsidRPr="00422245">
        <w:t xml:space="preserve"> prosent på utveksling gjennom </w:t>
      </w:r>
      <w:r w:rsidR="00402AFC" w:rsidRPr="00422245">
        <w:t>Erasmus</w:t>
      </w:r>
      <w:r w:rsidRPr="00422245">
        <w:t>+ i 202</w:t>
      </w:r>
      <w:r w:rsidR="008A6C36" w:rsidRPr="00422245">
        <w:t>3</w:t>
      </w:r>
      <w:r w:rsidRPr="00422245">
        <w:t xml:space="preserve">, noe som er langt over den nasjonale andelen </w:t>
      </w:r>
      <w:r w:rsidR="008A6C36" w:rsidRPr="00422245">
        <w:t>på 1,4</w:t>
      </w:r>
      <w:r w:rsidR="00211FF5" w:rsidRPr="00422245">
        <w:t xml:space="preserve"> prosent</w:t>
      </w:r>
      <w:r w:rsidR="008A6C36" w:rsidRPr="00422245">
        <w:t xml:space="preserve"> </w:t>
      </w:r>
      <w:r w:rsidRPr="00422245">
        <w:t>vist i</w:t>
      </w:r>
      <w:r w:rsidR="00211FF5" w:rsidRPr="00422245">
        <w:t xml:space="preserve"> </w:t>
      </w:r>
      <w:r w:rsidR="00211FF5" w:rsidRPr="00422245">
        <w:fldChar w:fldCharType="begin"/>
      </w:r>
      <w:r w:rsidR="00211FF5" w:rsidRPr="00422245">
        <w:instrText xml:space="preserve"> REF _Ref161406767 \h </w:instrText>
      </w:r>
      <w:r w:rsidR="00211FF5" w:rsidRPr="00422245">
        <w:fldChar w:fldCharType="separate"/>
      </w:r>
      <w:r w:rsidR="005B096E" w:rsidRPr="00422245">
        <w:t xml:space="preserve">Figur </w:t>
      </w:r>
      <w:r w:rsidR="00E505B7">
        <w:rPr>
          <w:noProof/>
        </w:rPr>
        <w:t>4</w:t>
      </w:r>
      <w:r w:rsidR="005B096E">
        <w:noBreakHyphen/>
      </w:r>
      <w:r w:rsidR="005B096E">
        <w:rPr>
          <w:noProof/>
        </w:rPr>
        <w:t>3</w:t>
      </w:r>
      <w:r w:rsidR="005B096E" w:rsidRPr="00422245">
        <w:t xml:space="preserve"> Utreisende utvekslingsstudenter på Erasmus+ 2014–23 av totalt antall studenter. </w:t>
      </w:r>
      <w:r w:rsidR="005B096E" w:rsidRPr="00422245">
        <w:lastRenderedPageBreak/>
        <w:t>Prosent</w:t>
      </w:r>
      <w:r w:rsidR="00211FF5" w:rsidRPr="00422245">
        <w:fldChar w:fldCharType="end"/>
      </w:r>
      <w:r w:rsidRPr="00422245">
        <w:t>. Blant de private høyskolene ligger</w:t>
      </w:r>
      <w:r w:rsidR="00C504F3" w:rsidRPr="00422245">
        <w:t xml:space="preserve"> </w:t>
      </w:r>
      <w:r w:rsidR="000B4F2C" w:rsidRPr="00422245">
        <w:t xml:space="preserve">igjen </w:t>
      </w:r>
      <w:r w:rsidRPr="00422245">
        <w:t xml:space="preserve">BAS høyt med </w:t>
      </w:r>
      <w:r w:rsidR="00C504F3" w:rsidRPr="00422245">
        <w:t>8,8</w:t>
      </w:r>
      <w:r w:rsidRPr="00422245">
        <w:t xml:space="preserve"> prosent. </w:t>
      </w:r>
      <w:r w:rsidR="00A03DF4" w:rsidRPr="00422245">
        <w:t xml:space="preserve">Ikke overraskende er det </w:t>
      </w:r>
      <w:r w:rsidR="008645BB" w:rsidRPr="00422245">
        <w:t xml:space="preserve">derimot </w:t>
      </w:r>
      <w:r w:rsidR="00A03DF4" w:rsidRPr="00422245">
        <w:t xml:space="preserve">de største institusjonene som sender </w:t>
      </w:r>
      <w:r w:rsidR="008E7829" w:rsidRPr="00422245">
        <w:t xml:space="preserve">ut </w:t>
      </w:r>
      <w:r w:rsidR="00A03DF4" w:rsidRPr="00422245">
        <w:t>flest</w:t>
      </w:r>
      <w:r w:rsidR="008645BB" w:rsidRPr="00422245">
        <w:t xml:space="preserve"> </w:t>
      </w:r>
      <w:r w:rsidR="00337D6C" w:rsidRPr="00422245">
        <w:t>hoder</w:t>
      </w:r>
      <w:r w:rsidR="00A03DF4" w:rsidRPr="00422245">
        <w:t>. I 2023 sender NTNU ut 1</w:t>
      </w:r>
      <w:r w:rsidR="00337D6C" w:rsidRPr="00422245">
        <w:t> </w:t>
      </w:r>
      <w:r w:rsidR="00A03DF4" w:rsidRPr="00422245">
        <w:t>015, UiB 505 og UiO 466 Erasmus-studenter.</w:t>
      </w:r>
    </w:p>
    <w:p w14:paraId="6861BAF3" w14:textId="63DD7B64" w:rsidR="00D365DB" w:rsidRPr="00422245" w:rsidRDefault="00895183" w:rsidP="00895183">
      <w:r w:rsidRPr="00422245">
        <w:t>Det er over dobbelt så mange Erasmus-studenter på utveksling til Norge (8</w:t>
      </w:r>
      <w:r w:rsidR="00586269">
        <w:t> </w:t>
      </w:r>
      <w:r w:rsidRPr="00422245">
        <w:t>400) som fra Norge (</w:t>
      </w:r>
      <w:r w:rsidR="00860E3D" w:rsidRPr="00422245">
        <w:t>3</w:t>
      </w:r>
      <w:r w:rsidR="00586269">
        <w:t> </w:t>
      </w:r>
      <w:r w:rsidR="004E5D49" w:rsidRPr="00422245">
        <w:t>8</w:t>
      </w:r>
      <w:r w:rsidRPr="00422245">
        <w:t>00). Dette kommer fram av vedleggstabell V2.55, som viser utreisende og innreisende Erasmus-studenter per institusjon i 202</w:t>
      </w:r>
      <w:r w:rsidR="004E5D49" w:rsidRPr="00422245">
        <w:t>3</w:t>
      </w:r>
      <w:r w:rsidRPr="00422245">
        <w:t xml:space="preserve">. Med unntak av </w:t>
      </w:r>
      <w:r w:rsidR="00F85764" w:rsidRPr="00422245">
        <w:t>enkelte</w:t>
      </w:r>
      <w:r w:rsidRPr="00422245">
        <w:t xml:space="preserve"> mindre institusjoner med svært lave Erasmus-tall, mottar samtlige institusjoner flere tilreisende studenter i programmet enn de sender ut. </w:t>
      </w:r>
      <w:r w:rsidR="00C6319A" w:rsidRPr="00422245">
        <w:t>Til sammen</w:t>
      </w:r>
      <w:r w:rsidRPr="00422245">
        <w:t xml:space="preserve"> har de private institusjonene bedre balanse i Erasmus-mobiliteten enn de offentlige, men de private høyskolene deltar </w:t>
      </w:r>
      <w:r w:rsidR="00051ADF" w:rsidRPr="00422245">
        <w:t>også</w:t>
      </w:r>
      <w:r w:rsidRPr="00422245">
        <w:t xml:space="preserve"> i mindre grad i programmet enn de offentlige. </w:t>
      </w:r>
    </w:p>
    <w:p w14:paraId="6BCA4809" w14:textId="3358483D" w:rsidR="006A3F80" w:rsidRPr="00422245" w:rsidRDefault="006A3F80" w:rsidP="006A3F80">
      <w:pPr>
        <w:pStyle w:val="Overskrift2"/>
      </w:pPr>
      <w:bookmarkStart w:id="73" w:name="_Toc163488413"/>
      <w:r w:rsidRPr="00422245">
        <w:t>Norske gradsstudenter i utlandet</w:t>
      </w:r>
      <w:bookmarkEnd w:id="73"/>
    </w:p>
    <w:p w14:paraId="260D1EFE" w14:textId="00C8F3F8" w:rsidR="00860F8E" w:rsidRDefault="00334878" w:rsidP="002D2A65">
      <w:r w:rsidRPr="00222149">
        <w:t xml:space="preserve">I </w:t>
      </w:r>
      <w:r w:rsidR="00946870" w:rsidRPr="00222149">
        <w:t xml:space="preserve">studieåret </w:t>
      </w:r>
      <w:r w:rsidR="00946870" w:rsidRPr="00222149" w:rsidDel="00334878">
        <w:t>20</w:t>
      </w:r>
      <w:r w:rsidR="001F45DF" w:rsidRPr="00222149">
        <w:t>22</w:t>
      </w:r>
      <w:r w:rsidRPr="00222149">
        <w:t>-</w:t>
      </w:r>
      <w:r w:rsidR="001F45DF" w:rsidRPr="00222149">
        <w:t>2</w:t>
      </w:r>
      <w:r w:rsidR="00D74C94">
        <w:t>3</w:t>
      </w:r>
      <w:r w:rsidR="001F45DF" w:rsidRPr="00222149">
        <w:t xml:space="preserve"> </w:t>
      </w:r>
      <w:r w:rsidRPr="00222149">
        <w:t>var det</w:t>
      </w:r>
      <w:r w:rsidR="001F45DF" w:rsidRPr="00222149">
        <w:t xml:space="preserve"> </w:t>
      </w:r>
      <w:r w:rsidRPr="00222149">
        <w:t>i overka</w:t>
      </w:r>
      <w:r w:rsidRPr="00D02164">
        <w:t>nt av</w:t>
      </w:r>
      <w:r w:rsidRPr="00222149">
        <w:t xml:space="preserve"> </w:t>
      </w:r>
      <w:r w:rsidR="001F45DF" w:rsidRPr="00222149">
        <w:t>13</w:t>
      </w:r>
      <w:r w:rsidR="001F45DF" w:rsidRPr="00222149" w:rsidDel="002E29AC">
        <w:t> </w:t>
      </w:r>
      <w:r w:rsidR="001F45DF" w:rsidRPr="00222149">
        <w:t>600</w:t>
      </w:r>
      <w:r w:rsidR="002E29AC" w:rsidRPr="00D02164">
        <w:t xml:space="preserve"> norske</w:t>
      </w:r>
      <w:r w:rsidR="001F45DF" w:rsidRPr="00222149">
        <w:t xml:space="preserve"> </w:t>
      </w:r>
      <w:r w:rsidRPr="00D02164">
        <w:t>grads</w:t>
      </w:r>
      <w:r w:rsidR="001F45DF" w:rsidRPr="00222149">
        <w:t>stude</w:t>
      </w:r>
      <w:r w:rsidR="004E6BBC" w:rsidRPr="00222149">
        <w:t>nter</w:t>
      </w:r>
      <w:r w:rsidRPr="00D02164">
        <w:t xml:space="preserve"> i utlandet</w:t>
      </w:r>
      <w:r w:rsidR="004E6BBC" w:rsidRPr="00222149">
        <w:t xml:space="preserve">. </w:t>
      </w:r>
      <w:r w:rsidR="00DD676E">
        <w:t>Tallet</w:t>
      </w:r>
      <w:r w:rsidR="00BA7FF5">
        <w:t xml:space="preserve"> har vært nedadgående </w:t>
      </w:r>
      <w:r w:rsidR="002C1F94">
        <w:t xml:space="preserve">hvert år </w:t>
      </w:r>
      <w:r w:rsidR="00BA7FF5">
        <w:t xml:space="preserve">siden </w:t>
      </w:r>
      <w:r w:rsidR="004664E7">
        <w:t xml:space="preserve">toppåret </w:t>
      </w:r>
      <w:r w:rsidR="00A82481">
        <w:t>2015</w:t>
      </w:r>
      <w:r w:rsidR="00222149">
        <w:t xml:space="preserve"> </w:t>
      </w:r>
      <w:r w:rsidR="00B457FD">
        <w:t xml:space="preserve">og </w:t>
      </w:r>
      <w:r w:rsidR="00222149">
        <w:t xml:space="preserve">er </w:t>
      </w:r>
      <w:r w:rsidR="00F11524">
        <w:t xml:space="preserve">nå </w:t>
      </w:r>
      <w:r w:rsidR="005F4CDC">
        <w:t xml:space="preserve">på </w:t>
      </w:r>
      <w:r w:rsidR="00222149">
        <w:t xml:space="preserve">det laveste i hele </w:t>
      </w:r>
      <w:r w:rsidR="00D41595">
        <w:t>den siste tiårsperioden</w:t>
      </w:r>
      <w:r w:rsidR="00260B09">
        <w:t xml:space="preserve">. </w:t>
      </w:r>
      <w:r w:rsidR="00E72389">
        <w:t xml:space="preserve">Nedgangen </w:t>
      </w:r>
      <w:r w:rsidR="00992B84">
        <w:t xml:space="preserve">siden 2015 </w:t>
      </w:r>
      <w:r w:rsidR="005D627D">
        <w:t>er på</w:t>
      </w:r>
      <w:r w:rsidR="00992B84">
        <w:t xml:space="preserve"> 22 prosent, </w:t>
      </w:r>
      <w:r w:rsidR="007B0667">
        <w:t xml:space="preserve">det utgjør 3 800 studenter. </w:t>
      </w:r>
      <w:r w:rsidR="00A84900" w:rsidRPr="00422245">
        <w:t xml:space="preserve">Den markante </w:t>
      </w:r>
      <w:r w:rsidR="00EE05E8">
        <w:t>endringen</w:t>
      </w:r>
      <w:r w:rsidR="00EE05E8" w:rsidRPr="00422245">
        <w:t xml:space="preserve"> </w:t>
      </w:r>
      <w:r w:rsidR="00A84900" w:rsidRPr="00422245">
        <w:t>har skjedd samtidig som studentkullene i Norge har økt. I 2015 utgjorde norske gradsstudenter i utlandet</w:t>
      </w:r>
      <w:r w:rsidR="0077422E" w:rsidRPr="00422245">
        <w:t xml:space="preserve"> </w:t>
      </w:r>
      <w:r w:rsidR="006D4F88" w:rsidRPr="00422245">
        <w:t>7 prosent av tallet på alle studenter i Norge</w:t>
      </w:r>
      <w:r w:rsidR="004F47D5" w:rsidRPr="00422245">
        <w:t xml:space="preserve">, i 2015 i underkant av 5 prosent. </w:t>
      </w:r>
    </w:p>
    <w:p w14:paraId="382FD2AB" w14:textId="4FCA4EB7" w:rsidR="005500D4" w:rsidRDefault="004B6893" w:rsidP="004B6893">
      <w:r>
        <w:t xml:space="preserve">Nedgangen </w:t>
      </w:r>
      <w:r w:rsidRPr="00576250">
        <w:t xml:space="preserve">er ikke helt uventet. </w:t>
      </w:r>
      <w:r>
        <w:t>Allerede i</w:t>
      </w:r>
      <w:r w:rsidRPr="00576250">
        <w:t xml:space="preserve"> </w:t>
      </w:r>
      <w:r w:rsidR="00975BB4">
        <w:fldChar w:fldCharType="begin"/>
      </w:r>
      <w:r w:rsidR="00975BB4">
        <w:instrText xml:space="preserve"> ADDIN EN.CITE &lt;EndNote&gt;&lt;Cite&gt;&lt;Author&gt;Meld. St. 14. (2008-2009)&lt;/Author&gt;&lt;RecNum&gt;1379&lt;/RecNum&gt;&lt;DisplayText&gt;(Meld. St. 14. (2008-2009))&lt;/DisplayText&gt;&lt;record&gt;&lt;rec-number&gt;1379&lt;/rec-number&gt;&lt;foreign-keys&gt;&lt;key app="EN" db-id="p2et5feaxrpe5zew2eavt29z05fv09aa5s0w" timestamp="1712306667" guid="76889d30-ad40-45f8-9003-9139967948a0"&gt;1379&lt;/key&gt;&lt;/foreign-keys&gt;&lt;ref-type name="Report"&gt;27&lt;/ref-type&gt;&lt;contributors&gt;&lt;authors&gt;&lt;author&gt;Meld. St. 14. (2008-2009),&lt;/author&gt;&lt;/authors&gt;&lt;secondary-authors&gt;&lt;author&gt;Kunnskapsdepartementet&lt;/author&gt;&lt;/secondary-authors&gt;&lt;/contributors&gt;&lt;titles&gt;&lt;title&gt;Internasjonalisering av utdanning&lt;/title&gt;&lt;/titles&gt;&lt;dates&gt;&lt;/dates&gt;&lt;urls&gt;&lt;related-urls&gt;&lt;url&gt;https://www.regjeringen.no/no/dokumenter/stmeld-nr-14-2008-2009-/id545749/&lt;/url&gt;&lt;/related-urls&gt;&lt;/urls&gt;&lt;/record&gt;&lt;/Cite&gt;&lt;/EndNote&gt;</w:instrText>
      </w:r>
      <w:r w:rsidR="00975BB4">
        <w:fldChar w:fldCharType="separate"/>
      </w:r>
      <w:r w:rsidR="00975BB4">
        <w:rPr>
          <w:noProof/>
        </w:rPr>
        <w:t>(Meld. St. 14. (2008-2009))</w:t>
      </w:r>
      <w:r w:rsidR="00975BB4">
        <w:fldChar w:fldCharType="end"/>
      </w:r>
      <w:r w:rsidRPr="00576250">
        <w:t xml:space="preserve"> spurte regjeringen seg om Kvalitetsreformen, gjennom nye studietilbud og økt markedsføring fra norske institusjoner, ville gjøre utenlandsstudier mindre attraktivt, relativt sett. </w:t>
      </w:r>
      <w:r w:rsidR="000E08D1">
        <w:t>D</w:t>
      </w:r>
      <w:r w:rsidR="0071560A">
        <w:t xml:space="preserve">e første </w:t>
      </w:r>
      <w:r w:rsidR="00376768">
        <w:t xml:space="preserve">tolv </w:t>
      </w:r>
      <w:r w:rsidR="0071560A">
        <w:t xml:space="preserve">årene etter </w:t>
      </w:r>
      <w:r w:rsidR="00376768">
        <w:t xml:space="preserve">innføringen av </w:t>
      </w:r>
      <w:r w:rsidR="00CE4617">
        <w:t>K</w:t>
      </w:r>
      <w:r w:rsidR="0071560A">
        <w:t>valitetsreformen</w:t>
      </w:r>
      <w:r w:rsidR="000E08D1" w:rsidRPr="000E08D1">
        <w:t xml:space="preserve"> </w:t>
      </w:r>
      <w:r w:rsidR="000E08D1">
        <w:t>skjedde snarere det motsatte; gradsstudier i utlandet styrket seg i popularitet</w:t>
      </w:r>
      <w:r w:rsidR="008E36EA">
        <w:t>.</w:t>
      </w:r>
      <w:r w:rsidR="00911124">
        <w:t xml:space="preserve"> </w:t>
      </w:r>
      <w:r w:rsidR="008E36EA">
        <w:t xml:space="preserve">Allikevel </w:t>
      </w:r>
      <w:r w:rsidR="00911124">
        <w:t xml:space="preserve">kan </w:t>
      </w:r>
      <w:r w:rsidR="008E36EA">
        <w:t xml:space="preserve">ikke </w:t>
      </w:r>
      <w:r w:rsidR="00911124">
        <w:t xml:space="preserve">en slik langtidseffekt </w:t>
      </w:r>
      <w:r w:rsidR="00066B70">
        <w:t xml:space="preserve">som stortingsmeldingen peker på </w:t>
      </w:r>
      <w:r w:rsidR="0043331D">
        <w:t>utelukkes</w:t>
      </w:r>
      <w:r w:rsidR="005355CC">
        <w:t>, iallfall</w:t>
      </w:r>
      <w:r w:rsidR="00042EFF">
        <w:t xml:space="preserve"> når man ser på </w:t>
      </w:r>
      <w:r w:rsidR="00042EFF" w:rsidRPr="005C311F">
        <w:rPr>
          <w:i/>
          <w:iCs/>
        </w:rPr>
        <w:t>hvilke</w:t>
      </w:r>
      <w:r w:rsidR="00042EFF">
        <w:t xml:space="preserve"> utdannin</w:t>
      </w:r>
      <w:r w:rsidR="00B37321">
        <w:t xml:space="preserve">ger </w:t>
      </w:r>
      <w:r w:rsidR="005623E0">
        <w:t>utenlandsstudentene velger.</w:t>
      </w:r>
      <w:r w:rsidR="00756F61">
        <w:t xml:space="preserve"> </w:t>
      </w:r>
      <w:r>
        <w:t xml:space="preserve">En stor andel av de norske gradsstudentene tar helseutdanninger som har høye opptakskrav </w:t>
      </w:r>
      <w:r w:rsidR="004555DB" w:rsidRPr="004555DB">
        <w:t xml:space="preserve">i Norge </w:t>
      </w:r>
      <w:r>
        <w:t xml:space="preserve">og dermed er vanskelige </w:t>
      </w:r>
      <w:r w:rsidR="00FF025C">
        <w:t>å</w:t>
      </w:r>
      <w:r>
        <w:t xml:space="preserve"> komme inn på. </w:t>
      </w:r>
      <w:r w:rsidR="00BC2657">
        <w:t xml:space="preserve">Flest, </w:t>
      </w:r>
      <w:r>
        <w:t xml:space="preserve">22 prosent tar medisinstudier. Mange tar også psykologi, veterinærmedisin og odontologi, til sammen 11 prosent. </w:t>
      </w:r>
    </w:p>
    <w:p w14:paraId="4801DFF4" w14:textId="0CC69281" w:rsidR="00470F48" w:rsidRDefault="004B6893" w:rsidP="004B6893">
      <w:r>
        <w:t>Videre studerer en av fem norske helgradsstudenter i utlandet økonomi og administrasjon.</w:t>
      </w:r>
      <w:r w:rsidR="005355CC">
        <w:t xml:space="preserve"> </w:t>
      </w:r>
      <w:r>
        <w:t>Det er nettopp økonomi som har hatt størst nedgang i antall grads</w:t>
      </w:r>
      <w:r w:rsidR="009D7CC4">
        <w:t>s</w:t>
      </w:r>
      <w:r>
        <w:t xml:space="preserve">tudenter i utlandet, med 1 000 færre i 2022 enn i 2014. </w:t>
      </w:r>
      <w:r w:rsidR="00EE0303">
        <w:t>D</w:t>
      </w:r>
      <w:r w:rsidR="00972D20">
        <w:t xml:space="preserve">ette er et fagområde som har vært i stor vekst </w:t>
      </w:r>
      <w:r w:rsidR="0090184B">
        <w:t>hjemme i samme period</w:t>
      </w:r>
      <w:r w:rsidR="00C331B8">
        <w:t xml:space="preserve">e. </w:t>
      </w:r>
      <w:r w:rsidR="00692B97">
        <w:t xml:space="preserve">Det kan være </w:t>
      </w:r>
      <w:r w:rsidR="00692B97">
        <w:lastRenderedPageBreak/>
        <w:t xml:space="preserve">grunn til å anta at </w:t>
      </w:r>
      <w:r w:rsidR="001D39AE">
        <w:t xml:space="preserve">det stadig økende </w:t>
      </w:r>
      <w:r w:rsidR="002F11F7">
        <w:t xml:space="preserve">fagtilbudet i </w:t>
      </w:r>
      <w:r w:rsidR="002D2F5A">
        <w:t>Norge</w:t>
      </w:r>
      <w:r w:rsidR="002F11F7">
        <w:t xml:space="preserve"> har dempet lysten og behovet for å </w:t>
      </w:r>
      <w:r w:rsidR="005811D8">
        <w:t xml:space="preserve">tilsvarende utdanning </w:t>
      </w:r>
      <w:r w:rsidR="00FF1106">
        <w:t>utenfor landets grenser.</w:t>
      </w:r>
    </w:p>
    <w:p w14:paraId="0A40A23A" w14:textId="5A9CACEE" w:rsidR="00DD0E4D" w:rsidRDefault="004B6893" w:rsidP="004B6893">
      <w:r>
        <w:t>Relativt sett har nedgangen</w:t>
      </w:r>
      <w:r w:rsidR="00173CD2">
        <w:t xml:space="preserve"> blant utenlandsstudentene</w:t>
      </w:r>
      <w:r>
        <w:t xml:space="preserve"> de siste ni årene vært særlig merkbar innenfor humanistiske fag (42 prosent), og bildende kunst (38 prosent). Derimot har IKT hatt en nær dobling i antall helgradsstudenter utenlands i tiårsperioden, men antallet her er lavt med noe over 300 studenter i 2022. </w:t>
      </w:r>
    </w:p>
    <w:p w14:paraId="6B30EFC7" w14:textId="3CE2BEBC" w:rsidR="004B6893" w:rsidRPr="00422245" w:rsidRDefault="00E539EA" w:rsidP="00E539EA">
      <w:pPr>
        <w:pStyle w:val="Bildetekst"/>
      </w:pPr>
      <w:r>
        <w:t xml:space="preserve">Tabell </w:t>
      </w:r>
      <w:r w:rsidR="00826DA7">
        <w:fldChar w:fldCharType="begin"/>
      </w:r>
      <w:r w:rsidR="00826DA7">
        <w:instrText xml:space="preserve"> STYLEREF 1 \s </w:instrText>
      </w:r>
      <w:r w:rsidR="00000000">
        <w:fldChar w:fldCharType="separate"/>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1</w:t>
      </w:r>
      <w:r w:rsidR="00826DA7">
        <w:fldChar w:fldCharType="end"/>
      </w:r>
      <w:r>
        <w:t xml:space="preserve"> </w:t>
      </w:r>
      <w:r w:rsidRPr="00FE7635">
        <w:t>Norske gradsstudenter i utlandet 2014-2022, fordelt på fagområde</w:t>
      </w:r>
    </w:p>
    <w:tbl>
      <w:tblPr>
        <w:tblW w:w="0" w:type="auto"/>
        <w:tblLayout w:type="fixed"/>
        <w:tblCellMar>
          <w:left w:w="70" w:type="dxa"/>
          <w:right w:w="70" w:type="dxa"/>
        </w:tblCellMar>
        <w:tblLook w:val="04A0" w:firstRow="1" w:lastRow="0" w:firstColumn="1" w:lastColumn="0" w:noHBand="0" w:noVBand="1"/>
      </w:tblPr>
      <w:tblGrid>
        <w:gridCol w:w="2835"/>
        <w:gridCol w:w="687"/>
        <w:gridCol w:w="688"/>
        <w:gridCol w:w="688"/>
        <w:gridCol w:w="688"/>
        <w:gridCol w:w="688"/>
        <w:gridCol w:w="688"/>
        <w:gridCol w:w="688"/>
        <w:gridCol w:w="688"/>
        <w:gridCol w:w="688"/>
      </w:tblGrid>
      <w:tr w:rsidR="004B6893" w:rsidRPr="00422245" w14:paraId="682F542D" w14:textId="77777777" w:rsidTr="00FF1106">
        <w:trPr>
          <w:trHeight w:val="290"/>
        </w:trPr>
        <w:tc>
          <w:tcPr>
            <w:tcW w:w="2835" w:type="dxa"/>
            <w:tcBorders>
              <w:top w:val="nil"/>
              <w:left w:val="nil"/>
              <w:bottom w:val="nil"/>
              <w:right w:val="nil"/>
            </w:tcBorders>
            <w:shd w:val="clear" w:color="000000" w:fill="0098CF"/>
            <w:noWrap/>
            <w:vAlign w:val="bottom"/>
            <w:hideMark/>
          </w:tcPr>
          <w:p w14:paraId="4F6B9AB4"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Fagområde</w:t>
            </w:r>
          </w:p>
        </w:tc>
        <w:tc>
          <w:tcPr>
            <w:tcW w:w="687" w:type="dxa"/>
            <w:tcBorders>
              <w:top w:val="nil"/>
              <w:left w:val="nil"/>
              <w:bottom w:val="nil"/>
              <w:right w:val="nil"/>
            </w:tcBorders>
            <w:shd w:val="clear" w:color="000000" w:fill="0098CF"/>
            <w:noWrap/>
            <w:vAlign w:val="bottom"/>
            <w:hideMark/>
          </w:tcPr>
          <w:p w14:paraId="6E1ADD81"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2014</w:t>
            </w:r>
          </w:p>
        </w:tc>
        <w:tc>
          <w:tcPr>
            <w:tcW w:w="688" w:type="dxa"/>
            <w:tcBorders>
              <w:top w:val="nil"/>
              <w:left w:val="nil"/>
              <w:bottom w:val="nil"/>
              <w:right w:val="nil"/>
            </w:tcBorders>
            <w:shd w:val="clear" w:color="000000" w:fill="0098CF"/>
            <w:noWrap/>
            <w:vAlign w:val="bottom"/>
            <w:hideMark/>
          </w:tcPr>
          <w:p w14:paraId="17B09035"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2015</w:t>
            </w:r>
          </w:p>
        </w:tc>
        <w:tc>
          <w:tcPr>
            <w:tcW w:w="688" w:type="dxa"/>
            <w:tcBorders>
              <w:top w:val="nil"/>
              <w:left w:val="nil"/>
              <w:bottom w:val="nil"/>
              <w:right w:val="nil"/>
            </w:tcBorders>
            <w:shd w:val="clear" w:color="000000" w:fill="0098CF"/>
            <w:noWrap/>
            <w:vAlign w:val="bottom"/>
            <w:hideMark/>
          </w:tcPr>
          <w:p w14:paraId="6B98FBEC"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2016</w:t>
            </w:r>
          </w:p>
        </w:tc>
        <w:tc>
          <w:tcPr>
            <w:tcW w:w="688" w:type="dxa"/>
            <w:tcBorders>
              <w:top w:val="nil"/>
              <w:left w:val="nil"/>
              <w:bottom w:val="nil"/>
              <w:right w:val="nil"/>
            </w:tcBorders>
            <w:shd w:val="clear" w:color="000000" w:fill="0098CF"/>
            <w:noWrap/>
            <w:vAlign w:val="bottom"/>
            <w:hideMark/>
          </w:tcPr>
          <w:p w14:paraId="67056F30"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2017</w:t>
            </w:r>
          </w:p>
        </w:tc>
        <w:tc>
          <w:tcPr>
            <w:tcW w:w="688" w:type="dxa"/>
            <w:tcBorders>
              <w:top w:val="nil"/>
              <w:left w:val="nil"/>
              <w:bottom w:val="nil"/>
              <w:right w:val="nil"/>
            </w:tcBorders>
            <w:shd w:val="clear" w:color="000000" w:fill="0098CF"/>
            <w:noWrap/>
            <w:vAlign w:val="bottom"/>
            <w:hideMark/>
          </w:tcPr>
          <w:p w14:paraId="5687785A"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2018</w:t>
            </w:r>
          </w:p>
        </w:tc>
        <w:tc>
          <w:tcPr>
            <w:tcW w:w="688" w:type="dxa"/>
            <w:tcBorders>
              <w:top w:val="nil"/>
              <w:left w:val="nil"/>
              <w:bottom w:val="nil"/>
              <w:right w:val="nil"/>
            </w:tcBorders>
            <w:shd w:val="clear" w:color="000000" w:fill="0098CF"/>
            <w:noWrap/>
            <w:vAlign w:val="bottom"/>
            <w:hideMark/>
          </w:tcPr>
          <w:p w14:paraId="2620EE76"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2019</w:t>
            </w:r>
          </w:p>
        </w:tc>
        <w:tc>
          <w:tcPr>
            <w:tcW w:w="688" w:type="dxa"/>
            <w:tcBorders>
              <w:top w:val="nil"/>
              <w:left w:val="nil"/>
              <w:bottom w:val="nil"/>
              <w:right w:val="nil"/>
            </w:tcBorders>
            <w:shd w:val="clear" w:color="000000" w:fill="0098CF"/>
            <w:noWrap/>
            <w:vAlign w:val="bottom"/>
            <w:hideMark/>
          </w:tcPr>
          <w:p w14:paraId="5868EF92"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2020</w:t>
            </w:r>
          </w:p>
        </w:tc>
        <w:tc>
          <w:tcPr>
            <w:tcW w:w="688" w:type="dxa"/>
            <w:tcBorders>
              <w:top w:val="nil"/>
              <w:left w:val="nil"/>
              <w:bottom w:val="nil"/>
              <w:right w:val="nil"/>
            </w:tcBorders>
            <w:shd w:val="clear" w:color="000000" w:fill="0098CF"/>
            <w:noWrap/>
            <w:vAlign w:val="bottom"/>
            <w:hideMark/>
          </w:tcPr>
          <w:p w14:paraId="4CBB918D"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2021</w:t>
            </w:r>
          </w:p>
        </w:tc>
        <w:tc>
          <w:tcPr>
            <w:tcW w:w="688" w:type="dxa"/>
            <w:tcBorders>
              <w:top w:val="nil"/>
              <w:left w:val="nil"/>
              <w:bottom w:val="nil"/>
              <w:right w:val="nil"/>
            </w:tcBorders>
            <w:shd w:val="clear" w:color="000000" w:fill="0098CF"/>
            <w:noWrap/>
            <w:vAlign w:val="bottom"/>
            <w:hideMark/>
          </w:tcPr>
          <w:p w14:paraId="52CB9C13" w14:textId="77777777" w:rsidR="004B6893" w:rsidRPr="00422245" w:rsidRDefault="004B6893" w:rsidP="00FF1106">
            <w:pPr>
              <w:keepNext/>
              <w:keepLines/>
              <w:spacing w:after="0" w:line="240" w:lineRule="auto"/>
              <w:jc w:val="center"/>
              <w:rPr>
                <w:rFonts w:ascii="Calibri" w:eastAsia="Times New Roman" w:hAnsi="Calibri" w:cs="Calibri"/>
                <w:b/>
                <w:bCs/>
                <w:color w:val="FFFFFF"/>
                <w:sz w:val="20"/>
                <w:szCs w:val="20"/>
                <w:lang w:eastAsia="nb-NO"/>
              </w:rPr>
            </w:pPr>
            <w:r w:rsidRPr="00422245">
              <w:rPr>
                <w:rFonts w:ascii="Calibri" w:eastAsia="Times New Roman" w:hAnsi="Calibri" w:cs="Calibri"/>
                <w:b/>
                <w:bCs/>
                <w:color w:val="FFFFFF"/>
                <w:sz w:val="20"/>
                <w:szCs w:val="20"/>
                <w:lang w:eastAsia="nb-NO"/>
              </w:rPr>
              <w:t>2022</w:t>
            </w:r>
          </w:p>
        </w:tc>
      </w:tr>
      <w:tr w:rsidR="004B6893" w:rsidRPr="00422245" w14:paraId="671268BA" w14:textId="77777777" w:rsidTr="00FF1106">
        <w:trPr>
          <w:trHeight w:val="290"/>
        </w:trPr>
        <w:tc>
          <w:tcPr>
            <w:tcW w:w="2835" w:type="dxa"/>
            <w:tcBorders>
              <w:top w:val="nil"/>
              <w:left w:val="nil"/>
              <w:bottom w:val="nil"/>
              <w:right w:val="nil"/>
            </w:tcBorders>
            <w:shd w:val="clear" w:color="auto" w:fill="auto"/>
            <w:noWrap/>
            <w:vAlign w:val="bottom"/>
            <w:hideMark/>
          </w:tcPr>
          <w:p w14:paraId="7ABD22ED"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Medisin</w:t>
            </w:r>
          </w:p>
        </w:tc>
        <w:tc>
          <w:tcPr>
            <w:tcW w:w="687" w:type="dxa"/>
            <w:tcBorders>
              <w:top w:val="nil"/>
              <w:left w:val="nil"/>
              <w:bottom w:val="nil"/>
              <w:right w:val="nil"/>
            </w:tcBorders>
            <w:shd w:val="clear" w:color="auto" w:fill="auto"/>
            <w:noWrap/>
            <w:vAlign w:val="bottom"/>
            <w:hideMark/>
          </w:tcPr>
          <w:p w14:paraId="44F1E37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3225</w:t>
            </w:r>
          </w:p>
        </w:tc>
        <w:tc>
          <w:tcPr>
            <w:tcW w:w="688" w:type="dxa"/>
            <w:tcBorders>
              <w:top w:val="nil"/>
              <w:left w:val="nil"/>
              <w:bottom w:val="nil"/>
              <w:right w:val="nil"/>
            </w:tcBorders>
            <w:shd w:val="clear" w:color="auto" w:fill="auto"/>
            <w:noWrap/>
            <w:vAlign w:val="bottom"/>
            <w:hideMark/>
          </w:tcPr>
          <w:p w14:paraId="0EB058B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3318</w:t>
            </w:r>
          </w:p>
        </w:tc>
        <w:tc>
          <w:tcPr>
            <w:tcW w:w="688" w:type="dxa"/>
            <w:tcBorders>
              <w:top w:val="nil"/>
              <w:left w:val="nil"/>
              <w:bottom w:val="nil"/>
              <w:right w:val="nil"/>
            </w:tcBorders>
            <w:shd w:val="clear" w:color="auto" w:fill="auto"/>
            <w:noWrap/>
            <w:vAlign w:val="bottom"/>
            <w:hideMark/>
          </w:tcPr>
          <w:p w14:paraId="1E487ACA"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3285</w:t>
            </w:r>
          </w:p>
        </w:tc>
        <w:tc>
          <w:tcPr>
            <w:tcW w:w="688" w:type="dxa"/>
            <w:tcBorders>
              <w:top w:val="nil"/>
              <w:left w:val="nil"/>
              <w:bottom w:val="nil"/>
              <w:right w:val="nil"/>
            </w:tcBorders>
            <w:shd w:val="clear" w:color="auto" w:fill="auto"/>
            <w:noWrap/>
            <w:vAlign w:val="bottom"/>
            <w:hideMark/>
          </w:tcPr>
          <w:p w14:paraId="5D9B591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3177</w:t>
            </w:r>
          </w:p>
        </w:tc>
        <w:tc>
          <w:tcPr>
            <w:tcW w:w="688" w:type="dxa"/>
            <w:tcBorders>
              <w:top w:val="nil"/>
              <w:left w:val="nil"/>
              <w:bottom w:val="nil"/>
              <w:right w:val="nil"/>
            </w:tcBorders>
            <w:shd w:val="clear" w:color="auto" w:fill="auto"/>
            <w:noWrap/>
            <w:vAlign w:val="bottom"/>
            <w:hideMark/>
          </w:tcPr>
          <w:p w14:paraId="2BB5D30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3101</w:t>
            </w:r>
          </w:p>
        </w:tc>
        <w:tc>
          <w:tcPr>
            <w:tcW w:w="688" w:type="dxa"/>
            <w:tcBorders>
              <w:top w:val="nil"/>
              <w:left w:val="nil"/>
              <w:bottom w:val="nil"/>
              <w:right w:val="nil"/>
            </w:tcBorders>
            <w:shd w:val="clear" w:color="auto" w:fill="auto"/>
            <w:noWrap/>
            <w:vAlign w:val="bottom"/>
            <w:hideMark/>
          </w:tcPr>
          <w:p w14:paraId="796D56D5"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3071</w:t>
            </w:r>
          </w:p>
        </w:tc>
        <w:tc>
          <w:tcPr>
            <w:tcW w:w="688" w:type="dxa"/>
            <w:tcBorders>
              <w:top w:val="nil"/>
              <w:left w:val="nil"/>
              <w:bottom w:val="nil"/>
              <w:right w:val="nil"/>
            </w:tcBorders>
            <w:shd w:val="clear" w:color="auto" w:fill="auto"/>
            <w:noWrap/>
            <w:vAlign w:val="bottom"/>
            <w:hideMark/>
          </w:tcPr>
          <w:p w14:paraId="72A9186B"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3064</w:t>
            </w:r>
          </w:p>
        </w:tc>
        <w:tc>
          <w:tcPr>
            <w:tcW w:w="688" w:type="dxa"/>
            <w:tcBorders>
              <w:top w:val="nil"/>
              <w:left w:val="nil"/>
              <w:bottom w:val="nil"/>
              <w:right w:val="nil"/>
            </w:tcBorders>
            <w:shd w:val="clear" w:color="auto" w:fill="auto"/>
            <w:noWrap/>
            <w:vAlign w:val="bottom"/>
            <w:hideMark/>
          </w:tcPr>
          <w:p w14:paraId="5C1AC89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3032</w:t>
            </w:r>
          </w:p>
        </w:tc>
        <w:tc>
          <w:tcPr>
            <w:tcW w:w="688" w:type="dxa"/>
            <w:tcBorders>
              <w:top w:val="nil"/>
              <w:left w:val="nil"/>
              <w:bottom w:val="nil"/>
              <w:right w:val="nil"/>
            </w:tcBorders>
            <w:shd w:val="clear" w:color="auto" w:fill="auto"/>
            <w:noWrap/>
            <w:vAlign w:val="bottom"/>
            <w:hideMark/>
          </w:tcPr>
          <w:p w14:paraId="0A8D3AB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2975</w:t>
            </w:r>
          </w:p>
        </w:tc>
      </w:tr>
      <w:tr w:rsidR="004B6893" w:rsidRPr="00422245" w14:paraId="7F46B176" w14:textId="77777777" w:rsidTr="00FF1106">
        <w:trPr>
          <w:trHeight w:val="290"/>
        </w:trPr>
        <w:tc>
          <w:tcPr>
            <w:tcW w:w="2835" w:type="dxa"/>
            <w:tcBorders>
              <w:top w:val="nil"/>
              <w:left w:val="nil"/>
              <w:bottom w:val="nil"/>
              <w:right w:val="nil"/>
            </w:tcBorders>
            <w:shd w:val="clear" w:color="auto" w:fill="auto"/>
            <w:noWrap/>
            <w:vAlign w:val="bottom"/>
            <w:hideMark/>
          </w:tcPr>
          <w:p w14:paraId="48489723"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Økonomi/business/admini-strasjon/ledelse</w:t>
            </w:r>
          </w:p>
        </w:tc>
        <w:tc>
          <w:tcPr>
            <w:tcW w:w="687" w:type="dxa"/>
            <w:tcBorders>
              <w:top w:val="nil"/>
              <w:left w:val="nil"/>
              <w:bottom w:val="nil"/>
              <w:right w:val="nil"/>
            </w:tcBorders>
            <w:shd w:val="clear" w:color="auto" w:fill="auto"/>
            <w:noWrap/>
            <w:vAlign w:val="bottom"/>
            <w:hideMark/>
          </w:tcPr>
          <w:p w14:paraId="23DB055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3674</w:t>
            </w:r>
          </w:p>
        </w:tc>
        <w:tc>
          <w:tcPr>
            <w:tcW w:w="688" w:type="dxa"/>
            <w:tcBorders>
              <w:top w:val="nil"/>
              <w:left w:val="nil"/>
              <w:bottom w:val="nil"/>
              <w:right w:val="nil"/>
            </w:tcBorders>
            <w:shd w:val="clear" w:color="auto" w:fill="auto"/>
            <w:noWrap/>
            <w:vAlign w:val="bottom"/>
            <w:hideMark/>
          </w:tcPr>
          <w:p w14:paraId="2467A19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3680</w:t>
            </w:r>
          </w:p>
        </w:tc>
        <w:tc>
          <w:tcPr>
            <w:tcW w:w="688" w:type="dxa"/>
            <w:tcBorders>
              <w:top w:val="nil"/>
              <w:left w:val="nil"/>
              <w:bottom w:val="nil"/>
              <w:right w:val="nil"/>
            </w:tcBorders>
            <w:shd w:val="clear" w:color="auto" w:fill="auto"/>
            <w:noWrap/>
            <w:vAlign w:val="bottom"/>
            <w:hideMark/>
          </w:tcPr>
          <w:p w14:paraId="36AFA574"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3441</w:t>
            </w:r>
          </w:p>
        </w:tc>
        <w:tc>
          <w:tcPr>
            <w:tcW w:w="688" w:type="dxa"/>
            <w:tcBorders>
              <w:top w:val="nil"/>
              <w:left w:val="nil"/>
              <w:bottom w:val="nil"/>
              <w:right w:val="nil"/>
            </w:tcBorders>
            <w:shd w:val="clear" w:color="auto" w:fill="auto"/>
            <w:noWrap/>
            <w:vAlign w:val="bottom"/>
            <w:hideMark/>
          </w:tcPr>
          <w:p w14:paraId="0B6B2D6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3297</w:t>
            </w:r>
          </w:p>
        </w:tc>
        <w:tc>
          <w:tcPr>
            <w:tcW w:w="688" w:type="dxa"/>
            <w:tcBorders>
              <w:top w:val="nil"/>
              <w:left w:val="nil"/>
              <w:bottom w:val="nil"/>
              <w:right w:val="nil"/>
            </w:tcBorders>
            <w:shd w:val="clear" w:color="auto" w:fill="auto"/>
            <w:noWrap/>
            <w:vAlign w:val="bottom"/>
            <w:hideMark/>
          </w:tcPr>
          <w:p w14:paraId="29BAAA15"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3063</w:t>
            </w:r>
          </w:p>
        </w:tc>
        <w:tc>
          <w:tcPr>
            <w:tcW w:w="688" w:type="dxa"/>
            <w:tcBorders>
              <w:top w:val="nil"/>
              <w:left w:val="nil"/>
              <w:bottom w:val="nil"/>
              <w:right w:val="nil"/>
            </w:tcBorders>
            <w:shd w:val="clear" w:color="auto" w:fill="auto"/>
            <w:noWrap/>
            <w:vAlign w:val="bottom"/>
            <w:hideMark/>
          </w:tcPr>
          <w:p w14:paraId="791BA84A"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2852</w:t>
            </w:r>
          </w:p>
        </w:tc>
        <w:tc>
          <w:tcPr>
            <w:tcW w:w="688" w:type="dxa"/>
            <w:tcBorders>
              <w:top w:val="nil"/>
              <w:left w:val="nil"/>
              <w:bottom w:val="nil"/>
              <w:right w:val="nil"/>
            </w:tcBorders>
            <w:shd w:val="clear" w:color="auto" w:fill="auto"/>
            <w:noWrap/>
            <w:vAlign w:val="bottom"/>
            <w:hideMark/>
          </w:tcPr>
          <w:p w14:paraId="351415B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2632</w:t>
            </w:r>
          </w:p>
        </w:tc>
        <w:tc>
          <w:tcPr>
            <w:tcW w:w="688" w:type="dxa"/>
            <w:tcBorders>
              <w:top w:val="nil"/>
              <w:left w:val="nil"/>
              <w:bottom w:val="nil"/>
              <w:right w:val="nil"/>
            </w:tcBorders>
            <w:shd w:val="clear" w:color="auto" w:fill="auto"/>
            <w:noWrap/>
            <w:vAlign w:val="bottom"/>
            <w:hideMark/>
          </w:tcPr>
          <w:p w14:paraId="5E9210FA"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2655</w:t>
            </w:r>
          </w:p>
        </w:tc>
        <w:tc>
          <w:tcPr>
            <w:tcW w:w="688" w:type="dxa"/>
            <w:tcBorders>
              <w:top w:val="nil"/>
              <w:left w:val="nil"/>
              <w:bottom w:val="nil"/>
              <w:right w:val="nil"/>
            </w:tcBorders>
            <w:shd w:val="clear" w:color="auto" w:fill="auto"/>
            <w:noWrap/>
            <w:vAlign w:val="bottom"/>
            <w:hideMark/>
          </w:tcPr>
          <w:p w14:paraId="24A23E8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2666</w:t>
            </w:r>
          </w:p>
        </w:tc>
      </w:tr>
      <w:tr w:rsidR="004B6893" w:rsidRPr="00422245" w14:paraId="330C34FE" w14:textId="77777777" w:rsidTr="00FF1106">
        <w:trPr>
          <w:trHeight w:val="290"/>
        </w:trPr>
        <w:tc>
          <w:tcPr>
            <w:tcW w:w="2835" w:type="dxa"/>
            <w:tcBorders>
              <w:top w:val="nil"/>
              <w:left w:val="nil"/>
              <w:bottom w:val="nil"/>
              <w:right w:val="nil"/>
            </w:tcBorders>
            <w:shd w:val="clear" w:color="auto" w:fill="auto"/>
            <w:noWrap/>
            <w:vAlign w:val="bottom"/>
            <w:hideMark/>
          </w:tcPr>
          <w:p w14:paraId="561300F0"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Samfunnsfag</w:t>
            </w:r>
          </w:p>
        </w:tc>
        <w:tc>
          <w:tcPr>
            <w:tcW w:w="687" w:type="dxa"/>
            <w:tcBorders>
              <w:top w:val="nil"/>
              <w:left w:val="nil"/>
              <w:bottom w:val="nil"/>
              <w:right w:val="nil"/>
            </w:tcBorders>
            <w:shd w:val="clear" w:color="auto" w:fill="auto"/>
            <w:noWrap/>
            <w:vAlign w:val="bottom"/>
            <w:hideMark/>
          </w:tcPr>
          <w:p w14:paraId="3217E7CE"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1328</w:t>
            </w:r>
          </w:p>
        </w:tc>
        <w:tc>
          <w:tcPr>
            <w:tcW w:w="688" w:type="dxa"/>
            <w:tcBorders>
              <w:top w:val="nil"/>
              <w:left w:val="nil"/>
              <w:bottom w:val="nil"/>
              <w:right w:val="nil"/>
            </w:tcBorders>
            <w:shd w:val="clear" w:color="auto" w:fill="auto"/>
            <w:noWrap/>
            <w:vAlign w:val="bottom"/>
            <w:hideMark/>
          </w:tcPr>
          <w:p w14:paraId="5A24A3E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1343</w:t>
            </w:r>
          </w:p>
        </w:tc>
        <w:tc>
          <w:tcPr>
            <w:tcW w:w="688" w:type="dxa"/>
            <w:tcBorders>
              <w:top w:val="nil"/>
              <w:left w:val="nil"/>
              <w:bottom w:val="nil"/>
              <w:right w:val="nil"/>
            </w:tcBorders>
            <w:shd w:val="clear" w:color="auto" w:fill="auto"/>
            <w:noWrap/>
            <w:vAlign w:val="bottom"/>
            <w:hideMark/>
          </w:tcPr>
          <w:p w14:paraId="4AB0952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1374</w:t>
            </w:r>
          </w:p>
        </w:tc>
        <w:tc>
          <w:tcPr>
            <w:tcW w:w="688" w:type="dxa"/>
            <w:tcBorders>
              <w:top w:val="nil"/>
              <w:left w:val="nil"/>
              <w:bottom w:val="nil"/>
              <w:right w:val="nil"/>
            </w:tcBorders>
            <w:shd w:val="clear" w:color="auto" w:fill="auto"/>
            <w:noWrap/>
            <w:vAlign w:val="bottom"/>
            <w:hideMark/>
          </w:tcPr>
          <w:p w14:paraId="7356066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1362</w:t>
            </w:r>
          </w:p>
        </w:tc>
        <w:tc>
          <w:tcPr>
            <w:tcW w:w="688" w:type="dxa"/>
            <w:tcBorders>
              <w:top w:val="nil"/>
              <w:left w:val="nil"/>
              <w:bottom w:val="nil"/>
              <w:right w:val="nil"/>
            </w:tcBorders>
            <w:shd w:val="clear" w:color="auto" w:fill="auto"/>
            <w:noWrap/>
            <w:vAlign w:val="bottom"/>
            <w:hideMark/>
          </w:tcPr>
          <w:p w14:paraId="463F869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1306</w:t>
            </w:r>
          </w:p>
        </w:tc>
        <w:tc>
          <w:tcPr>
            <w:tcW w:w="688" w:type="dxa"/>
            <w:tcBorders>
              <w:top w:val="nil"/>
              <w:left w:val="nil"/>
              <w:bottom w:val="nil"/>
              <w:right w:val="nil"/>
            </w:tcBorders>
            <w:shd w:val="clear" w:color="auto" w:fill="auto"/>
            <w:noWrap/>
            <w:vAlign w:val="bottom"/>
            <w:hideMark/>
          </w:tcPr>
          <w:p w14:paraId="0E1B101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1264</w:t>
            </w:r>
          </w:p>
        </w:tc>
        <w:tc>
          <w:tcPr>
            <w:tcW w:w="688" w:type="dxa"/>
            <w:tcBorders>
              <w:top w:val="nil"/>
              <w:left w:val="nil"/>
              <w:bottom w:val="nil"/>
              <w:right w:val="nil"/>
            </w:tcBorders>
            <w:shd w:val="clear" w:color="auto" w:fill="auto"/>
            <w:noWrap/>
            <w:vAlign w:val="bottom"/>
            <w:hideMark/>
          </w:tcPr>
          <w:p w14:paraId="3F4630C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1173</w:t>
            </w:r>
          </w:p>
        </w:tc>
        <w:tc>
          <w:tcPr>
            <w:tcW w:w="688" w:type="dxa"/>
            <w:tcBorders>
              <w:top w:val="nil"/>
              <w:left w:val="nil"/>
              <w:bottom w:val="nil"/>
              <w:right w:val="nil"/>
            </w:tcBorders>
            <w:shd w:val="clear" w:color="auto" w:fill="auto"/>
            <w:noWrap/>
            <w:vAlign w:val="bottom"/>
            <w:hideMark/>
          </w:tcPr>
          <w:p w14:paraId="02C93E8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1241</w:t>
            </w:r>
          </w:p>
        </w:tc>
        <w:tc>
          <w:tcPr>
            <w:tcW w:w="688" w:type="dxa"/>
            <w:tcBorders>
              <w:top w:val="nil"/>
              <w:left w:val="nil"/>
              <w:bottom w:val="nil"/>
              <w:right w:val="nil"/>
            </w:tcBorders>
            <w:shd w:val="clear" w:color="auto" w:fill="auto"/>
            <w:noWrap/>
            <w:vAlign w:val="bottom"/>
            <w:hideMark/>
          </w:tcPr>
          <w:p w14:paraId="7D6F549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1201</w:t>
            </w:r>
          </w:p>
        </w:tc>
      </w:tr>
      <w:tr w:rsidR="004B6893" w:rsidRPr="00422245" w14:paraId="4ED8C88A" w14:textId="77777777" w:rsidTr="00FF1106">
        <w:trPr>
          <w:trHeight w:val="290"/>
        </w:trPr>
        <w:tc>
          <w:tcPr>
            <w:tcW w:w="2835" w:type="dxa"/>
            <w:tcBorders>
              <w:top w:val="nil"/>
              <w:left w:val="nil"/>
              <w:bottom w:val="nil"/>
              <w:right w:val="nil"/>
            </w:tcBorders>
            <w:shd w:val="clear" w:color="auto" w:fill="auto"/>
            <w:noWrap/>
            <w:vAlign w:val="bottom"/>
            <w:hideMark/>
          </w:tcPr>
          <w:p w14:paraId="7659B77B"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Psykologi</w:t>
            </w:r>
          </w:p>
        </w:tc>
        <w:tc>
          <w:tcPr>
            <w:tcW w:w="687" w:type="dxa"/>
            <w:tcBorders>
              <w:top w:val="nil"/>
              <w:left w:val="nil"/>
              <w:bottom w:val="nil"/>
              <w:right w:val="nil"/>
            </w:tcBorders>
            <w:shd w:val="clear" w:color="auto" w:fill="auto"/>
            <w:noWrap/>
            <w:vAlign w:val="bottom"/>
            <w:hideMark/>
          </w:tcPr>
          <w:p w14:paraId="6AE0E74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983</w:t>
            </w:r>
          </w:p>
        </w:tc>
        <w:tc>
          <w:tcPr>
            <w:tcW w:w="688" w:type="dxa"/>
            <w:tcBorders>
              <w:top w:val="nil"/>
              <w:left w:val="nil"/>
              <w:bottom w:val="nil"/>
              <w:right w:val="nil"/>
            </w:tcBorders>
            <w:shd w:val="clear" w:color="auto" w:fill="auto"/>
            <w:noWrap/>
            <w:vAlign w:val="bottom"/>
            <w:hideMark/>
          </w:tcPr>
          <w:p w14:paraId="5114DFAA"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1065</w:t>
            </w:r>
          </w:p>
        </w:tc>
        <w:tc>
          <w:tcPr>
            <w:tcW w:w="688" w:type="dxa"/>
            <w:tcBorders>
              <w:top w:val="nil"/>
              <w:left w:val="nil"/>
              <w:bottom w:val="nil"/>
              <w:right w:val="nil"/>
            </w:tcBorders>
            <w:shd w:val="clear" w:color="auto" w:fill="auto"/>
            <w:noWrap/>
            <w:vAlign w:val="bottom"/>
            <w:hideMark/>
          </w:tcPr>
          <w:p w14:paraId="28D54D0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1005</w:t>
            </w:r>
          </w:p>
        </w:tc>
        <w:tc>
          <w:tcPr>
            <w:tcW w:w="688" w:type="dxa"/>
            <w:tcBorders>
              <w:top w:val="nil"/>
              <w:left w:val="nil"/>
              <w:bottom w:val="nil"/>
              <w:right w:val="nil"/>
            </w:tcBorders>
            <w:shd w:val="clear" w:color="auto" w:fill="auto"/>
            <w:noWrap/>
            <w:vAlign w:val="bottom"/>
            <w:hideMark/>
          </w:tcPr>
          <w:p w14:paraId="19F80DC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956</w:t>
            </w:r>
          </w:p>
        </w:tc>
        <w:tc>
          <w:tcPr>
            <w:tcW w:w="688" w:type="dxa"/>
            <w:tcBorders>
              <w:top w:val="nil"/>
              <w:left w:val="nil"/>
              <w:bottom w:val="nil"/>
              <w:right w:val="nil"/>
            </w:tcBorders>
            <w:shd w:val="clear" w:color="auto" w:fill="auto"/>
            <w:noWrap/>
            <w:vAlign w:val="bottom"/>
            <w:hideMark/>
          </w:tcPr>
          <w:p w14:paraId="5C368DF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951</w:t>
            </w:r>
          </w:p>
        </w:tc>
        <w:tc>
          <w:tcPr>
            <w:tcW w:w="688" w:type="dxa"/>
            <w:tcBorders>
              <w:top w:val="nil"/>
              <w:left w:val="nil"/>
              <w:bottom w:val="nil"/>
              <w:right w:val="nil"/>
            </w:tcBorders>
            <w:shd w:val="clear" w:color="auto" w:fill="auto"/>
            <w:noWrap/>
            <w:vAlign w:val="bottom"/>
            <w:hideMark/>
          </w:tcPr>
          <w:p w14:paraId="33F25AA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967</w:t>
            </w:r>
          </w:p>
        </w:tc>
        <w:tc>
          <w:tcPr>
            <w:tcW w:w="688" w:type="dxa"/>
            <w:tcBorders>
              <w:top w:val="nil"/>
              <w:left w:val="nil"/>
              <w:bottom w:val="nil"/>
              <w:right w:val="nil"/>
            </w:tcBorders>
            <w:shd w:val="clear" w:color="auto" w:fill="auto"/>
            <w:noWrap/>
            <w:vAlign w:val="bottom"/>
            <w:hideMark/>
          </w:tcPr>
          <w:p w14:paraId="738BE16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922</w:t>
            </w:r>
          </w:p>
        </w:tc>
        <w:tc>
          <w:tcPr>
            <w:tcW w:w="688" w:type="dxa"/>
            <w:tcBorders>
              <w:top w:val="nil"/>
              <w:left w:val="nil"/>
              <w:bottom w:val="nil"/>
              <w:right w:val="nil"/>
            </w:tcBorders>
            <w:shd w:val="clear" w:color="auto" w:fill="auto"/>
            <w:noWrap/>
            <w:vAlign w:val="bottom"/>
            <w:hideMark/>
          </w:tcPr>
          <w:p w14:paraId="585208A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834</w:t>
            </w:r>
          </w:p>
        </w:tc>
        <w:tc>
          <w:tcPr>
            <w:tcW w:w="688" w:type="dxa"/>
            <w:tcBorders>
              <w:top w:val="nil"/>
              <w:left w:val="nil"/>
              <w:bottom w:val="nil"/>
              <w:right w:val="nil"/>
            </w:tcBorders>
            <w:shd w:val="clear" w:color="auto" w:fill="auto"/>
            <w:noWrap/>
            <w:vAlign w:val="bottom"/>
            <w:hideMark/>
          </w:tcPr>
          <w:p w14:paraId="5E21B99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796</w:t>
            </w:r>
          </w:p>
        </w:tc>
      </w:tr>
      <w:tr w:rsidR="004B6893" w:rsidRPr="00422245" w14:paraId="6DB41E4D" w14:textId="77777777" w:rsidTr="00FF1106">
        <w:trPr>
          <w:trHeight w:val="290"/>
        </w:trPr>
        <w:tc>
          <w:tcPr>
            <w:tcW w:w="2835" w:type="dxa"/>
            <w:tcBorders>
              <w:top w:val="nil"/>
              <w:left w:val="nil"/>
              <w:bottom w:val="nil"/>
              <w:right w:val="nil"/>
            </w:tcBorders>
            <w:shd w:val="clear" w:color="auto" w:fill="auto"/>
            <w:noWrap/>
            <w:vAlign w:val="bottom"/>
            <w:hideMark/>
          </w:tcPr>
          <w:p w14:paraId="6D92404E"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Ingeniørfag</w:t>
            </w:r>
          </w:p>
        </w:tc>
        <w:tc>
          <w:tcPr>
            <w:tcW w:w="687" w:type="dxa"/>
            <w:tcBorders>
              <w:top w:val="nil"/>
              <w:left w:val="nil"/>
              <w:bottom w:val="nil"/>
              <w:right w:val="nil"/>
            </w:tcBorders>
            <w:shd w:val="clear" w:color="auto" w:fill="auto"/>
            <w:noWrap/>
            <w:vAlign w:val="bottom"/>
            <w:hideMark/>
          </w:tcPr>
          <w:p w14:paraId="1EB9D8F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750</w:t>
            </w:r>
          </w:p>
        </w:tc>
        <w:tc>
          <w:tcPr>
            <w:tcW w:w="688" w:type="dxa"/>
            <w:tcBorders>
              <w:top w:val="nil"/>
              <w:left w:val="nil"/>
              <w:bottom w:val="nil"/>
              <w:right w:val="nil"/>
            </w:tcBorders>
            <w:shd w:val="clear" w:color="auto" w:fill="auto"/>
            <w:noWrap/>
            <w:vAlign w:val="bottom"/>
            <w:hideMark/>
          </w:tcPr>
          <w:p w14:paraId="5AC4388A"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812</w:t>
            </w:r>
          </w:p>
        </w:tc>
        <w:tc>
          <w:tcPr>
            <w:tcW w:w="688" w:type="dxa"/>
            <w:tcBorders>
              <w:top w:val="nil"/>
              <w:left w:val="nil"/>
              <w:bottom w:val="nil"/>
              <w:right w:val="nil"/>
            </w:tcBorders>
            <w:shd w:val="clear" w:color="auto" w:fill="auto"/>
            <w:noWrap/>
            <w:vAlign w:val="bottom"/>
            <w:hideMark/>
          </w:tcPr>
          <w:p w14:paraId="34B9FFAB"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823</w:t>
            </w:r>
          </w:p>
        </w:tc>
        <w:tc>
          <w:tcPr>
            <w:tcW w:w="688" w:type="dxa"/>
            <w:tcBorders>
              <w:top w:val="nil"/>
              <w:left w:val="nil"/>
              <w:bottom w:val="nil"/>
              <w:right w:val="nil"/>
            </w:tcBorders>
            <w:shd w:val="clear" w:color="auto" w:fill="auto"/>
            <w:noWrap/>
            <w:vAlign w:val="bottom"/>
            <w:hideMark/>
          </w:tcPr>
          <w:p w14:paraId="5E920E6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803</w:t>
            </w:r>
          </w:p>
        </w:tc>
        <w:tc>
          <w:tcPr>
            <w:tcW w:w="688" w:type="dxa"/>
            <w:tcBorders>
              <w:top w:val="nil"/>
              <w:left w:val="nil"/>
              <w:bottom w:val="nil"/>
              <w:right w:val="nil"/>
            </w:tcBorders>
            <w:shd w:val="clear" w:color="auto" w:fill="auto"/>
            <w:noWrap/>
            <w:vAlign w:val="bottom"/>
            <w:hideMark/>
          </w:tcPr>
          <w:p w14:paraId="2440342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776</w:t>
            </w:r>
          </w:p>
        </w:tc>
        <w:tc>
          <w:tcPr>
            <w:tcW w:w="688" w:type="dxa"/>
            <w:tcBorders>
              <w:top w:val="nil"/>
              <w:left w:val="nil"/>
              <w:bottom w:val="nil"/>
              <w:right w:val="nil"/>
            </w:tcBorders>
            <w:shd w:val="clear" w:color="auto" w:fill="auto"/>
            <w:noWrap/>
            <w:vAlign w:val="bottom"/>
            <w:hideMark/>
          </w:tcPr>
          <w:p w14:paraId="4E1CA93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708</w:t>
            </w:r>
          </w:p>
        </w:tc>
        <w:tc>
          <w:tcPr>
            <w:tcW w:w="688" w:type="dxa"/>
            <w:tcBorders>
              <w:top w:val="nil"/>
              <w:left w:val="nil"/>
              <w:bottom w:val="nil"/>
              <w:right w:val="nil"/>
            </w:tcBorders>
            <w:shd w:val="clear" w:color="auto" w:fill="auto"/>
            <w:noWrap/>
            <w:vAlign w:val="bottom"/>
            <w:hideMark/>
          </w:tcPr>
          <w:p w14:paraId="3C95351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600</w:t>
            </w:r>
          </w:p>
        </w:tc>
        <w:tc>
          <w:tcPr>
            <w:tcW w:w="688" w:type="dxa"/>
            <w:tcBorders>
              <w:top w:val="nil"/>
              <w:left w:val="nil"/>
              <w:bottom w:val="nil"/>
              <w:right w:val="nil"/>
            </w:tcBorders>
            <w:shd w:val="clear" w:color="auto" w:fill="auto"/>
            <w:noWrap/>
            <w:vAlign w:val="bottom"/>
            <w:hideMark/>
          </w:tcPr>
          <w:p w14:paraId="4321B7F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562</w:t>
            </w:r>
          </w:p>
        </w:tc>
        <w:tc>
          <w:tcPr>
            <w:tcW w:w="688" w:type="dxa"/>
            <w:tcBorders>
              <w:top w:val="nil"/>
              <w:left w:val="nil"/>
              <w:bottom w:val="nil"/>
              <w:right w:val="nil"/>
            </w:tcBorders>
            <w:shd w:val="clear" w:color="auto" w:fill="auto"/>
            <w:noWrap/>
            <w:vAlign w:val="bottom"/>
            <w:hideMark/>
          </w:tcPr>
          <w:p w14:paraId="7F9AB8E5"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576</w:t>
            </w:r>
          </w:p>
        </w:tc>
      </w:tr>
      <w:tr w:rsidR="004B6893" w:rsidRPr="00422245" w14:paraId="1832207A" w14:textId="77777777" w:rsidTr="00FF1106">
        <w:trPr>
          <w:trHeight w:val="290"/>
        </w:trPr>
        <w:tc>
          <w:tcPr>
            <w:tcW w:w="2835" w:type="dxa"/>
            <w:tcBorders>
              <w:top w:val="nil"/>
              <w:left w:val="nil"/>
              <w:bottom w:val="nil"/>
              <w:right w:val="nil"/>
            </w:tcBorders>
            <w:shd w:val="clear" w:color="auto" w:fill="auto"/>
            <w:noWrap/>
            <w:vAlign w:val="bottom"/>
            <w:hideMark/>
          </w:tcPr>
          <w:p w14:paraId="31FB6C94"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Realfag</w:t>
            </w:r>
          </w:p>
        </w:tc>
        <w:tc>
          <w:tcPr>
            <w:tcW w:w="687" w:type="dxa"/>
            <w:tcBorders>
              <w:top w:val="nil"/>
              <w:left w:val="nil"/>
              <w:bottom w:val="nil"/>
              <w:right w:val="nil"/>
            </w:tcBorders>
            <w:shd w:val="clear" w:color="auto" w:fill="auto"/>
            <w:noWrap/>
            <w:vAlign w:val="bottom"/>
            <w:hideMark/>
          </w:tcPr>
          <w:p w14:paraId="1581464E"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539</w:t>
            </w:r>
          </w:p>
        </w:tc>
        <w:tc>
          <w:tcPr>
            <w:tcW w:w="688" w:type="dxa"/>
            <w:tcBorders>
              <w:top w:val="nil"/>
              <w:left w:val="nil"/>
              <w:bottom w:val="nil"/>
              <w:right w:val="nil"/>
            </w:tcBorders>
            <w:shd w:val="clear" w:color="auto" w:fill="auto"/>
            <w:noWrap/>
            <w:vAlign w:val="bottom"/>
            <w:hideMark/>
          </w:tcPr>
          <w:p w14:paraId="1B72DE54"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582</w:t>
            </w:r>
          </w:p>
        </w:tc>
        <w:tc>
          <w:tcPr>
            <w:tcW w:w="688" w:type="dxa"/>
            <w:tcBorders>
              <w:top w:val="nil"/>
              <w:left w:val="nil"/>
              <w:bottom w:val="nil"/>
              <w:right w:val="nil"/>
            </w:tcBorders>
            <w:shd w:val="clear" w:color="auto" w:fill="auto"/>
            <w:noWrap/>
            <w:vAlign w:val="bottom"/>
            <w:hideMark/>
          </w:tcPr>
          <w:p w14:paraId="20C7F4A4"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605</w:t>
            </w:r>
          </w:p>
        </w:tc>
        <w:tc>
          <w:tcPr>
            <w:tcW w:w="688" w:type="dxa"/>
            <w:tcBorders>
              <w:top w:val="nil"/>
              <w:left w:val="nil"/>
              <w:bottom w:val="nil"/>
              <w:right w:val="nil"/>
            </w:tcBorders>
            <w:shd w:val="clear" w:color="auto" w:fill="auto"/>
            <w:noWrap/>
            <w:vAlign w:val="bottom"/>
            <w:hideMark/>
          </w:tcPr>
          <w:p w14:paraId="3200ECEE"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667</w:t>
            </w:r>
          </w:p>
        </w:tc>
        <w:tc>
          <w:tcPr>
            <w:tcW w:w="688" w:type="dxa"/>
            <w:tcBorders>
              <w:top w:val="nil"/>
              <w:left w:val="nil"/>
              <w:bottom w:val="nil"/>
              <w:right w:val="nil"/>
            </w:tcBorders>
            <w:shd w:val="clear" w:color="auto" w:fill="auto"/>
            <w:noWrap/>
            <w:vAlign w:val="bottom"/>
            <w:hideMark/>
          </w:tcPr>
          <w:p w14:paraId="688E268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681</w:t>
            </w:r>
          </w:p>
        </w:tc>
        <w:tc>
          <w:tcPr>
            <w:tcW w:w="688" w:type="dxa"/>
            <w:tcBorders>
              <w:top w:val="nil"/>
              <w:left w:val="nil"/>
              <w:bottom w:val="nil"/>
              <w:right w:val="nil"/>
            </w:tcBorders>
            <w:shd w:val="clear" w:color="auto" w:fill="auto"/>
            <w:noWrap/>
            <w:vAlign w:val="bottom"/>
            <w:hideMark/>
          </w:tcPr>
          <w:p w14:paraId="3068C82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658</w:t>
            </w:r>
          </w:p>
        </w:tc>
        <w:tc>
          <w:tcPr>
            <w:tcW w:w="688" w:type="dxa"/>
            <w:tcBorders>
              <w:top w:val="nil"/>
              <w:left w:val="nil"/>
              <w:bottom w:val="nil"/>
              <w:right w:val="nil"/>
            </w:tcBorders>
            <w:shd w:val="clear" w:color="auto" w:fill="auto"/>
            <w:noWrap/>
            <w:vAlign w:val="bottom"/>
            <w:hideMark/>
          </w:tcPr>
          <w:p w14:paraId="3ED297F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620</w:t>
            </w:r>
          </w:p>
        </w:tc>
        <w:tc>
          <w:tcPr>
            <w:tcW w:w="688" w:type="dxa"/>
            <w:tcBorders>
              <w:top w:val="nil"/>
              <w:left w:val="nil"/>
              <w:bottom w:val="nil"/>
              <w:right w:val="nil"/>
            </w:tcBorders>
            <w:shd w:val="clear" w:color="auto" w:fill="auto"/>
            <w:noWrap/>
            <w:vAlign w:val="bottom"/>
            <w:hideMark/>
          </w:tcPr>
          <w:p w14:paraId="301BDF5B"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591</w:t>
            </w:r>
          </w:p>
        </w:tc>
        <w:tc>
          <w:tcPr>
            <w:tcW w:w="688" w:type="dxa"/>
            <w:tcBorders>
              <w:top w:val="nil"/>
              <w:left w:val="nil"/>
              <w:bottom w:val="nil"/>
              <w:right w:val="nil"/>
            </w:tcBorders>
            <w:shd w:val="clear" w:color="auto" w:fill="auto"/>
            <w:noWrap/>
            <w:vAlign w:val="bottom"/>
            <w:hideMark/>
          </w:tcPr>
          <w:p w14:paraId="385461A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556</w:t>
            </w:r>
          </w:p>
        </w:tc>
      </w:tr>
      <w:tr w:rsidR="004B6893" w:rsidRPr="00422245" w14:paraId="2CE61977" w14:textId="77777777" w:rsidTr="00FF1106">
        <w:trPr>
          <w:trHeight w:val="290"/>
        </w:trPr>
        <w:tc>
          <w:tcPr>
            <w:tcW w:w="2835" w:type="dxa"/>
            <w:tcBorders>
              <w:top w:val="nil"/>
              <w:left w:val="nil"/>
              <w:bottom w:val="nil"/>
              <w:right w:val="nil"/>
            </w:tcBorders>
            <w:shd w:val="clear" w:color="auto" w:fill="auto"/>
            <w:noWrap/>
            <w:vAlign w:val="bottom"/>
            <w:hideMark/>
          </w:tcPr>
          <w:p w14:paraId="5614AAA1"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Humanistiske fag</w:t>
            </w:r>
          </w:p>
        </w:tc>
        <w:tc>
          <w:tcPr>
            <w:tcW w:w="687" w:type="dxa"/>
            <w:tcBorders>
              <w:top w:val="nil"/>
              <w:left w:val="nil"/>
              <w:bottom w:val="nil"/>
              <w:right w:val="nil"/>
            </w:tcBorders>
            <w:shd w:val="clear" w:color="auto" w:fill="auto"/>
            <w:noWrap/>
            <w:vAlign w:val="bottom"/>
            <w:hideMark/>
          </w:tcPr>
          <w:p w14:paraId="71E2D92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885</w:t>
            </w:r>
          </w:p>
        </w:tc>
        <w:tc>
          <w:tcPr>
            <w:tcW w:w="688" w:type="dxa"/>
            <w:tcBorders>
              <w:top w:val="nil"/>
              <w:left w:val="nil"/>
              <w:bottom w:val="nil"/>
              <w:right w:val="nil"/>
            </w:tcBorders>
            <w:shd w:val="clear" w:color="auto" w:fill="auto"/>
            <w:noWrap/>
            <w:vAlign w:val="bottom"/>
            <w:hideMark/>
          </w:tcPr>
          <w:p w14:paraId="26B2626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839</w:t>
            </w:r>
          </w:p>
        </w:tc>
        <w:tc>
          <w:tcPr>
            <w:tcW w:w="688" w:type="dxa"/>
            <w:tcBorders>
              <w:top w:val="nil"/>
              <w:left w:val="nil"/>
              <w:bottom w:val="nil"/>
              <w:right w:val="nil"/>
            </w:tcBorders>
            <w:shd w:val="clear" w:color="auto" w:fill="auto"/>
            <w:noWrap/>
            <w:vAlign w:val="bottom"/>
            <w:hideMark/>
          </w:tcPr>
          <w:p w14:paraId="2475AEC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770</w:t>
            </w:r>
          </w:p>
        </w:tc>
        <w:tc>
          <w:tcPr>
            <w:tcW w:w="688" w:type="dxa"/>
            <w:tcBorders>
              <w:top w:val="nil"/>
              <w:left w:val="nil"/>
              <w:bottom w:val="nil"/>
              <w:right w:val="nil"/>
            </w:tcBorders>
            <w:shd w:val="clear" w:color="auto" w:fill="auto"/>
            <w:noWrap/>
            <w:vAlign w:val="bottom"/>
            <w:hideMark/>
          </w:tcPr>
          <w:p w14:paraId="51C0072D"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765</w:t>
            </w:r>
          </w:p>
        </w:tc>
        <w:tc>
          <w:tcPr>
            <w:tcW w:w="688" w:type="dxa"/>
            <w:tcBorders>
              <w:top w:val="nil"/>
              <w:left w:val="nil"/>
              <w:bottom w:val="nil"/>
              <w:right w:val="nil"/>
            </w:tcBorders>
            <w:shd w:val="clear" w:color="auto" w:fill="auto"/>
            <w:noWrap/>
            <w:vAlign w:val="bottom"/>
            <w:hideMark/>
          </w:tcPr>
          <w:p w14:paraId="4EE02A3B"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723</w:t>
            </w:r>
          </w:p>
        </w:tc>
        <w:tc>
          <w:tcPr>
            <w:tcW w:w="688" w:type="dxa"/>
            <w:tcBorders>
              <w:top w:val="nil"/>
              <w:left w:val="nil"/>
              <w:bottom w:val="nil"/>
              <w:right w:val="nil"/>
            </w:tcBorders>
            <w:shd w:val="clear" w:color="auto" w:fill="auto"/>
            <w:noWrap/>
            <w:vAlign w:val="bottom"/>
            <w:hideMark/>
          </w:tcPr>
          <w:p w14:paraId="08C0EDF5"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671</w:t>
            </w:r>
          </w:p>
        </w:tc>
        <w:tc>
          <w:tcPr>
            <w:tcW w:w="688" w:type="dxa"/>
            <w:tcBorders>
              <w:top w:val="nil"/>
              <w:left w:val="nil"/>
              <w:bottom w:val="nil"/>
              <w:right w:val="nil"/>
            </w:tcBorders>
            <w:shd w:val="clear" w:color="auto" w:fill="auto"/>
            <w:noWrap/>
            <w:vAlign w:val="bottom"/>
            <w:hideMark/>
          </w:tcPr>
          <w:p w14:paraId="6C757F4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597</w:t>
            </w:r>
          </w:p>
        </w:tc>
        <w:tc>
          <w:tcPr>
            <w:tcW w:w="688" w:type="dxa"/>
            <w:tcBorders>
              <w:top w:val="nil"/>
              <w:left w:val="nil"/>
              <w:bottom w:val="nil"/>
              <w:right w:val="nil"/>
            </w:tcBorders>
            <w:shd w:val="clear" w:color="auto" w:fill="auto"/>
            <w:noWrap/>
            <w:vAlign w:val="bottom"/>
            <w:hideMark/>
          </w:tcPr>
          <w:p w14:paraId="72A0DE9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523</w:t>
            </w:r>
          </w:p>
        </w:tc>
        <w:tc>
          <w:tcPr>
            <w:tcW w:w="688" w:type="dxa"/>
            <w:tcBorders>
              <w:top w:val="nil"/>
              <w:left w:val="nil"/>
              <w:bottom w:val="nil"/>
              <w:right w:val="nil"/>
            </w:tcBorders>
            <w:shd w:val="clear" w:color="auto" w:fill="auto"/>
            <w:noWrap/>
            <w:vAlign w:val="bottom"/>
            <w:hideMark/>
          </w:tcPr>
          <w:p w14:paraId="20886DB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511</w:t>
            </w:r>
          </w:p>
        </w:tc>
      </w:tr>
      <w:tr w:rsidR="004B6893" w:rsidRPr="00422245" w14:paraId="20F68E68" w14:textId="77777777" w:rsidTr="00FF1106">
        <w:trPr>
          <w:trHeight w:val="290"/>
        </w:trPr>
        <w:tc>
          <w:tcPr>
            <w:tcW w:w="2835" w:type="dxa"/>
            <w:tcBorders>
              <w:top w:val="nil"/>
              <w:left w:val="nil"/>
              <w:bottom w:val="nil"/>
              <w:right w:val="nil"/>
            </w:tcBorders>
            <w:shd w:val="clear" w:color="auto" w:fill="auto"/>
            <w:noWrap/>
            <w:vAlign w:val="bottom"/>
            <w:hideMark/>
          </w:tcPr>
          <w:p w14:paraId="126BBA1B"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Bildende kunst / kunst</w:t>
            </w:r>
            <w:r w:rsidRPr="00422245">
              <w:rPr>
                <w:rFonts w:ascii="Calibri" w:eastAsia="Times New Roman" w:hAnsi="Calibri" w:cs="Calibri"/>
                <w:sz w:val="20"/>
                <w:szCs w:val="20"/>
                <w:lang w:eastAsia="nb-NO"/>
              </w:rPr>
              <w:softHyphen/>
              <w:t>-håndverk</w:t>
            </w:r>
          </w:p>
        </w:tc>
        <w:tc>
          <w:tcPr>
            <w:tcW w:w="687" w:type="dxa"/>
            <w:tcBorders>
              <w:top w:val="nil"/>
              <w:left w:val="nil"/>
              <w:bottom w:val="nil"/>
              <w:right w:val="nil"/>
            </w:tcBorders>
            <w:shd w:val="clear" w:color="auto" w:fill="auto"/>
            <w:noWrap/>
            <w:vAlign w:val="bottom"/>
            <w:hideMark/>
          </w:tcPr>
          <w:p w14:paraId="49CF696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689</w:t>
            </w:r>
          </w:p>
        </w:tc>
        <w:tc>
          <w:tcPr>
            <w:tcW w:w="688" w:type="dxa"/>
            <w:tcBorders>
              <w:top w:val="nil"/>
              <w:left w:val="nil"/>
              <w:bottom w:val="nil"/>
              <w:right w:val="nil"/>
            </w:tcBorders>
            <w:shd w:val="clear" w:color="auto" w:fill="auto"/>
            <w:noWrap/>
            <w:vAlign w:val="bottom"/>
            <w:hideMark/>
          </w:tcPr>
          <w:p w14:paraId="350BC58D"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649</w:t>
            </w:r>
          </w:p>
        </w:tc>
        <w:tc>
          <w:tcPr>
            <w:tcW w:w="688" w:type="dxa"/>
            <w:tcBorders>
              <w:top w:val="nil"/>
              <w:left w:val="nil"/>
              <w:bottom w:val="nil"/>
              <w:right w:val="nil"/>
            </w:tcBorders>
            <w:shd w:val="clear" w:color="auto" w:fill="auto"/>
            <w:noWrap/>
            <w:vAlign w:val="bottom"/>
            <w:hideMark/>
          </w:tcPr>
          <w:p w14:paraId="1FA674F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555</w:t>
            </w:r>
          </w:p>
        </w:tc>
        <w:tc>
          <w:tcPr>
            <w:tcW w:w="688" w:type="dxa"/>
            <w:tcBorders>
              <w:top w:val="nil"/>
              <w:left w:val="nil"/>
              <w:bottom w:val="nil"/>
              <w:right w:val="nil"/>
            </w:tcBorders>
            <w:shd w:val="clear" w:color="auto" w:fill="auto"/>
            <w:noWrap/>
            <w:vAlign w:val="bottom"/>
            <w:hideMark/>
          </w:tcPr>
          <w:p w14:paraId="4FE2BB5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483</w:t>
            </w:r>
          </w:p>
        </w:tc>
        <w:tc>
          <w:tcPr>
            <w:tcW w:w="688" w:type="dxa"/>
            <w:tcBorders>
              <w:top w:val="nil"/>
              <w:left w:val="nil"/>
              <w:bottom w:val="nil"/>
              <w:right w:val="nil"/>
            </w:tcBorders>
            <w:shd w:val="clear" w:color="auto" w:fill="auto"/>
            <w:noWrap/>
            <w:vAlign w:val="bottom"/>
            <w:hideMark/>
          </w:tcPr>
          <w:p w14:paraId="4838EF1D"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482</w:t>
            </w:r>
          </w:p>
        </w:tc>
        <w:tc>
          <w:tcPr>
            <w:tcW w:w="688" w:type="dxa"/>
            <w:tcBorders>
              <w:top w:val="nil"/>
              <w:left w:val="nil"/>
              <w:bottom w:val="nil"/>
              <w:right w:val="nil"/>
            </w:tcBorders>
            <w:shd w:val="clear" w:color="auto" w:fill="auto"/>
            <w:noWrap/>
            <w:vAlign w:val="bottom"/>
            <w:hideMark/>
          </w:tcPr>
          <w:p w14:paraId="4B39F97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462</w:t>
            </w:r>
          </w:p>
        </w:tc>
        <w:tc>
          <w:tcPr>
            <w:tcW w:w="688" w:type="dxa"/>
            <w:tcBorders>
              <w:top w:val="nil"/>
              <w:left w:val="nil"/>
              <w:bottom w:val="nil"/>
              <w:right w:val="nil"/>
            </w:tcBorders>
            <w:shd w:val="clear" w:color="auto" w:fill="auto"/>
            <w:noWrap/>
            <w:vAlign w:val="bottom"/>
            <w:hideMark/>
          </w:tcPr>
          <w:p w14:paraId="0A23FA1D"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418</w:t>
            </w:r>
          </w:p>
        </w:tc>
        <w:tc>
          <w:tcPr>
            <w:tcW w:w="688" w:type="dxa"/>
            <w:tcBorders>
              <w:top w:val="nil"/>
              <w:left w:val="nil"/>
              <w:bottom w:val="nil"/>
              <w:right w:val="nil"/>
            </w:tcBorders>
            <w:shd w:val="clear" w:color="auto" w:fill="auto"/>
            <w:noWrap/>
            <w:vAlign w:val="bottom"/>
            <w:hideMark/>
          </w:tcPr>
          <w:p w14:paraId="213EE0A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431</w:t>
            </w:r>
          </w:p>
        </w:tc>
        <w:tc>
          <w:tcPr>
            <w:tcW w:w="688" w:type="dxa"/>
            <w:tcBorders>
              <w:top w:val="nil"/>
              <w:left w:val="nil"/>
              <w:bottom w:val="nil"/>
              <w:right w:val="nil"/>
            </w:tcBorders>
            <w:shd w:val="clear" w:color="auto" w:fill="auto"/>
            <w:noWrap/>
            <w:vAlign w:val="bottom"/>
            <w:hideMark/>
          </w:tcPr>
          <w:p w14:paraId="043C863D"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426</w:t>
            </w:r>
          </w:p>
        </w:tc>
      </w:tr>
      <w:tr w:rsidR="004B6893" w:rsidRPr="00422245" w14:paraId="0F2EA631" w14:textId="77777777" w:rsidTr="00FF1106">
        <w:trPr>
          <w:trHeight w:val="290"/>
        </w:trPr>
        <w:tc>
          <w:tcPr>
            <w:tcW w:w="2835" w:type="dxa"/>
            <w:tcBorders>
              <w:top w:val="nil"/>
              <w:left w:val="nil"/>
              <w:bottom w:val="nil"/>
              <w:right w:val="nil"/>
            </w:tcBorders>
            <w:shd w:val="clear" w:color="auto" w:fill="auto"/>
            <w:noWrap/>
            <w:vAlign w:val="bottom"/>
            <w:hideMark/>
          </w:tcPr>
          <w:p w14:paraId="2DC1E0C2"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Veterinærmedisin</w:t>
            </w:r>
          </w:p>
        </w:tc>
        <w:tc>
          <w:tcPr>
            <w:tcW w:w="687" w:type="dxa"/>
            <w:tcBorders>
              <w:top w:val="nil"/>
              <w:left w:val="nil"/>
              <w:bottom w:val="nil"/>
              <w:right w:val="nil"/>
            </w:tcBorders>
            <w:shd w:val="clear" w:color="auto" w:fill="auto"/>
            <w:noWrap/>
            <w:vAlign w:val="bottom"/>
            <w:hideMark/>
          </w:tcPr>
          <w:p w14:paraId="01D8361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412</w:t>
            </w:r>
          </w:p>
        </w:tc>
        <w:tc>
          <w:tcPr>
            <w:tcW w:w="688" w:type="dxa"/>
            <w:tcBorders>
              <w:top w:val="nil"/>
              <w:left w:val="nil"/>
              <w:bottom w:val="nil"/>
              <w:right w:val="nil"/>
            </w:tcBorders>
            <w:shd w:val="clear" w:color="auto" w:fill="auto"/>
            <w:noWrap/>
            <w:vAlign w:val="bottom"/>
            <w:hideMark/>
          </w:tcPr>
          <w:p w14:paraId="5E9ED78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437</w:t>
            </w:r>
          </w:p>
        </w:tc>
        <w:tc>
          <w:tcPr>
            <w:tcW w:w="688" w:type="dxa"/>
            <w:tcBorders>
              <w:top w:val="nil"/>
              <w:left w:val="nil"/>
              <w:bottom w:val="nil"/>
              <w:right w:val="nil"/>
            </w:tcBorders>
            <w:shd w:val="clear" w:color="auto" w:fill="auto"/>
            <w:noWrap/>
            <w:vAlign w:val="bottom"/>
            <w:hideMark/>
          </w:tcPr>
          <w:p w14:paraId="0EBE6BF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422</w:t>
            </w:r>
          </w:p>
        </w:tc>
        <w:tc>
          <w:tcPr>
            <w:tcW w:w="688" w:type="dxa"/>
            <w:tcBorders>
              <w:top w:val="nil"/>
              <w:left w:val="nil"/>
              <w:bottom w:val="nil"/>
              <w:right w:val="nil"/>
            </w:tcBorders>
            <w:shd w:val="clear" w:color="auto" w:fill="auto"/>
            <w:noWrap/>
            <w:vAlign w:val="bottom"/>
            <w:hideMark/>
          </w:tcPr>
          <w:p w14:paraId="3A400BF7"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415</w:t>
            </w:r>
          </w:p>
        </w:tc>
        <w:tc>
          <w:tcPr>
            <w:tcW w:w="688" w:type="dxa"/>
            <w:tcBorders>
              <w:top w:val="nil"/>
              <w:left w:val="nil"/>
              <w:bottom w:val="nil"/>
              <w:right w:val="nil"/>
            </w:tcBorders>
            <w:shd w:val="clear" w:color="auto" w:fill="auto"/>
            <w:noWrap/>
            <w:vAlign w:val="bottom"/>
            <w:hideMark/>
          </w:tcPr>
          <w:p w14:paraId="4617CF8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410</w:t>
            </w:r>
          </w:p>
        </w:tc>
        <w:tc>
          <w:tcPr>
            <w:tcW w:w="688" w:type="dxa"/>
            <w:tcBorders>
              <w:top w:val="nil"/>
              <w:left w:val="nil"/>
              <w:bottom w:val="nil"/>
              <w:right w:val="nil"/>
            </w:tcBorders>
            <w:shd w:val="clear" w:color="auto" w:fill="auto"/>
            <w:noWrap/>
            <w:vAlign w:val="bottom"/>
            <w:hideMark/>
          </w:tcPr>
          <w:p w14:paraId="1A817537"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392</w:t>
            </w:r>
          </w:p>
        </w:tc>
        <w:tc>
          <w:tcPr>
            <w:tcW w:w="688" w:type="dxa"/>
            <w:tcBorders>
              <w:top w:val="nil"/>
              <w:left w:val="nil"/>
              <w:bottom w:val="nil"/>
              <w:right w:val="nil"/>
            </w:tcBorders>
            <w:shd w:val="clear" w:color="auto" w:fill="auto"/>
            <w:noWrap/>
            <w:vAlign w:val="bottom"/>
            <w:hideMark/>
          </w:tcPr>
          <w:p w14:paraId="737A8C87"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391</w:t>
            </w:r>
          </w:p>
        </w:tc>
        <w:tc>
          <w:tcPr>
            <w:tcW w:w="688" w:type="dxa"/>
            <w:tcBorders>
              <w:top w:val="nil"/>
              <w:left w:val="nil"/>
              <w:bottom w:val="nil"/>
              <w:right w:val="nil"/>
            </w:tcBorders>
            <w:shd w:val="clear" w:color="auto" w:fill="auto"/>
            <w:noWrap/>
            <w:vAlign w:val="bottom"/>
            <w:hideMark/>
          </w:tcPr>
          <w:p w14:paraId="3F6E172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381</w:t>
            </w:r>
          </w:p>
        </w:tc>
        <w:tc>
          <w:tcPr>
            <w:tcW w:w="688" w:type="dxa"/>
            <w:tcBorders>
              <w:top w:val="nil"/>
              <w:left w:val="nil"/>
              <w:bottom w:val="nil"/>
              <w:right w:val="nil"/>
            </w:tcBorders>
            <w:shd w:val="clear" w:color="auto" w:fill="auto"/>
            <w:noWrap/>
            <w:vAlign w:val="bottom"/>
            <w:hideMark/>
          </w:tcPr>
          <w:p w14:paraId="7D7BBDD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372</w:t>
            </w:r>
          </w:p>
        </w:tc>
      </w:tr>
      <w:tr w:rsidR="004B6893" w:rsidRPr="00422245" w14:paraId="77306C28" w14:textId="77777777" w:rsidTr="00FF1106">
        <w:trPr>
          <w:trHeight w:val="290"/>
        </w:trPr>
        <w:tc>
          <w:tcPr>
            <w:tcW w:w="2835" w:type="dxa"/>
            <w:tcBorders>
              <w:top w:val="nil"/>
              <w:left w:val="nil"/>
              <w:bottom w:val="nil"/>
              <w:right w:val="nil"/>
            </w:tcBorders>
            <w:shd w:val="clear" w:color="auto" w:fill="auto"/>
            <w:noWrap/>
            <w:vAlign w:val="bottom"/>
            <w:hideMark/>
          </w:tcPr>
          <w:p w14:paraId="0BAA6B90"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Odontologi</w:t>
            </w:r>
          </w:p>
        </w:tc>
        <w:tc>
          <w:tcPr>
            <w:tcW w:w="687" w:type="dxa"/>
            <w:tcBorders>
              <w:top w:val="nil"/>
              <w:left w:val="nil"/>
              <w:bottom w:val="nil"/>
              <w:right w:val="nil"/>
            </w:tcBorders>
            <w:shd w:val="clear" w:color="auto" w:fill="auto"/>
            <w:noWrap/>
            <w:vAlign w:val="bottom"/>
            <w:hideMark/>
          </w:tcPr>
          <w:p w14:paraId="23ED2AE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286</w:t>
            </w:r>
          </w:p>
        </w:tc>
        <w:tc>
          <w:tcPr>
            <w:tcW w:w="688" w:type="dxa"/>
            <w:tcBorders>
              <w:top w:val="nil"/>
              <w:left w:val="nil"/>
              <w:bottom w:val="nil"/>
              <w:right w:val="nil"/>
            </w:tcBorders>
            <w:shd w:val="clear" w:color="auto" w:fill="auto"/>
            <w:noWrap/>
            <w:vAlign w:val="bottom"/>
            <w:hideMark/>
          </w:tcPr>
          <w:p w14:paraId="5C93FDF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289</w:t>
            </w:r>
          </w:p>
        </w:tc>
        <w:tc>
          <w:tcPr>
            <w:tcW w:w="688" w:type="dxa"/>
            <w:tcBorders>
              <w:top w:val="nil"/>
              <w:left w:val="nil"/>
              <w:bottom w:val="nil"/>
              <w:right w:val="nil"/>
            </w:tcBorders>
            <w:shd w:val="clear" w:color="auto" w:fill="auto"/>
            <w:noWrap/>
            <w:vAlign w:val="bottom"/>
            <w:hideMark/>
          </w:tcPr>
          <w:p w14:paraId="3481E37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284</w:t>
            </w:r>
          </w:p>
        </w:tc>
        <w:tc>
          <w:tcPr>
            <w:tcW w:w="688" w:type="dxa"/>
            <w:tcBorders>
              <w:top w:val="nil"/>
              <w:left w:val="nil"/>
              <w:bottom w:val="nil"/>
              <w:right w:val="nil"/>
            </w:tcBorders>
            <w:shd w:val="clear" w:color="auto" w:fill="auto"/>
            <w:noWrap/>
            <w:vAlign w:val="bottom"/>
            <w:hideMark/>
          </w:tcPr>
          <w:p w14:paraId="760008B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272</w:t>
            </w:r>
          </w:p>
        </w:tc>
        <w:tc>
          <w:tcPr>
            <w:tcW w:w="688" w:type="dxa"/>
            <w:tcBorders>
              <w:top w:val="nil"/>
              <w:left w:val="nil"/>
              <w:bottom w:val="nil"/>
              <w:right w:val="nil"/>
            </w:tcBorders>
            <w:shd w:val="clear" w:color="auto" w:fill="auto"/>
            <w:noWrap/>
            <w:vAlign w:val="bottom"/>
            <w:hideMark/>
          </w:tcPr>
          <w:p w14:paraId="7A5A84E7"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284</w:t>
            </w:r>
          </w:p>
        </w:tc>
        <w:tc>
          <w:tcPr>
            <w:tcW w:w="688" w:type="dxa"/>
            <w:tcBorders>
              <w:top w:val="nil"/>
              <w:left w:val="nil"/>
              <w:bottom w:val="nil"/>
              <w:right w:val="nil"/>
            </w:tcBorders>
            <w:shd w:val="clear" w:color="auto" w:fill="auto"/>
            <w:noWrap/>
            <w:vAlign w:val="bottom"/>
            <w:hideMark/>
          </w:tcPr>
          <w:p w14:paraId="7DA9960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302</w:t>
            </w:r>
          </w:p>
        </w:tc>
        <w:tc>
          <w:tcPr>
            <w:tcW w:w="688" w:type="dxa"/>
            <w:tcBorders>
              <w:top w:val="nil"/>
              <w:left w:val="nil"/>
              <w:bottom w:val="nil"/>
              <w:right w:val="nil"/>
            </w:tcBorders>
            <w:shd w:val="clear" w:color="auto" w:fill="auto"/>
            <w:noWrap/>
            <w:vAlign w:val="bottom"/>
            <w:hideMark/>
          </w:tcPr>
          <w:p w14:paraId="6DECFA4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315</w:t>
            </w:r>
          </w:p>
        </w:tc>
        <w:tc>
          <w:tcPr>
            <w:tcW w:w="688" w:type="dxa"/>
            <w:tcBorders>
              <w:top w:val="nil"/>
              <w:left w:val="nil"/>
              <w:bottom w:val="nil"/>
              <w:right w:val="nil"/>
            </w:tcBorders>
            <w:shd w:val="clear" w:color="auto" w:fill="auto"/>
            <w:noWrap/>
            <w:vAlign w:val="bottom"/>
            <w:hideMark/>
          </w:tcPr>
          <w:p w14:paraId="374A8C7A"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323</w:t>
            </w:r>
          </w:p>
        </w:tc>
        <w:tc>
          <w:tcPr>
            <w:tcW w:w="688" w:type="dxa"/>
            <w:tcBorders>
              <w:top w:val="nil"/>
              <w:left w:val="nil"/>
              <w:bottom w:val="nil"/>
              <w:right w:val="nil"/>
            </w:tcBorders>
            <w:shd w:val="clear" w:color="auto" w:fill="auto"/>
            <w:noWrap/>
            <w:vAlign w:val="bottom"/>
            <w:hideMark/>
          </w:tcPr>
          <w:p w14:paraId="41FBE29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353</w:t>
            </w:r>
          </w:p>
        </w:tc>
      </w:tr>
      <w:tr w:rsidR="004B6893" w:rsidRPr="00422245" w14:paraId="7EA21AE8" w14:textId="77777777" w:rsidTr="00FF1106">
        <w:trPr>
          <w:trHeight w:val="290"/>
        </w:trPr>
        <w:tc>
          <w:tcPr>
            <w:tcW w:w="2835" w:type="dxa"/>
            <w:tcBorders>
              <w:top w:val="nil"/>
              <w:left w:val="nil"/>
              <w:bottom w:val="nil"/>
              <w:right w:val="nil"/>
            </w:tcBorders>
            <w:shd w:val="clear" w:color="auto" w:fill="auto"/>
            <w:noWrap/>
            <w:vAlign w:val="bottom"/>
            <w:hideMark/>
          </w:tcPr>
          <w:p w14:paraId="17B2284E"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Juridiske fag</w:t>
            </w:r>
          </w:p>
        </w:tc>
        <w:tc>
          <w:tcPr>
            <w:tcW w:w="687" w:type="dxa"/>
            <w:tcBorders>
              <w:top w:val="nil"/>
              <w:left w:val="nil"/>
              <w:bottom w:val="nil"/>
              <w:right w:val="nil"/>
            </w:tcBorders>
            <w:shd w:val="clear" w:color="auto" w:fill="auto"/>
            <w:noWrap/>
            <w:vAlign w:val="bottom"/>
            <w:hideMark/>
          </w:tcPr>
          <w:p w14:paraId="28C0EFD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208</w:t>
            </w:r>
          </w:p>
        </w:tc>
        <w:tc>
          <w:tcPr>
            <w:tcW w:w="688" w:type="dxa"/>
            <w:tcBorders>
              <w:top w:val="nil"/>
              <w:left w:val="nil"/>
              <w:bottom w:val="nil"/>
              <w:right w:val="nil"/>
            </w:tcBorders>
            <w:shd w:val="clear" w:color="auto" w:fill="auto"/>
            <w:noWrap/>
            <w:vAlign w:val="bottom"/>
            <w:hideMark/>
          </w:tcPr>
          <w:p w14:paraId="0CBE954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269</w:t>
            </w:r>
          </w:p>
        </w:tc>
        <w:tc>
          <w:tcPr>
            <w:tcW w:w="688" w:type="dxa"/>
            <w:tcBorders>
              <w:top w:val="nil"/>
              <w:left w:val="nil"/>
              <w:bottom w:val="nil"/>
              <w:right w:val="nil"/>
            </w:tcBorders>
            <w:shd w:val="clear" w:color="auto" w:fill="auto"/>
            <w:noWrap/>
            <w:vAlign w:val="bottom"/>
            <w:hideMark/>
          </w:tcPr>
          <w:p w14:paraId="0670994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287</w:t>
            </w:r>
          </w:p>
        </w:tc>
        <w:tc>
          <w:tcPr>
            <w:tcW w:w="688" w:type="dxa"/>
            <w:tcBorders>
              <w:top w:val="nil"/>
              <w:left w:val="nil"/>
              <w:bottom w:val="nil"/>
              <w:right w:val="nil"/>
            </w:tcBorders>
            <w:shd w:val="clear" w:color="auto" w:fill="auto"/>
            <w:noWrap/>
            <w:vAlign w:val="bottom"/>
            <w:hideMark/>
          </w:tcPr>
          <w:p w14:paraId="28B5419D"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325</w:t>
            </w:r>
          </w:p>
        </w:tc>
        <w:tc>
          <w:tcPr>
            <w:tcW w:w="688" w:type="dxa"/>
            <w:tcBorders>
              <w:top w:val="nil"/>
              <w:left w:val="nil"/>
              <w:bottom w:val="nil"/>
              <w:right w:val="nil"/>
            </w:tcBorders>
            <w:shd w:val="clear" w:color="auto" w:fill="auto"/>
            <w:noWrap/>
            <w:vAlign w:val="bottom"/>
            <w:hideMark/>
          </w:tcPr>
          <w:p w14:paraId="4CA2F17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357</w:t>
            </w:r>
          </w:p>
        </w:tc>
        <w:tc>
          <w:tcPr>
            <w:tcW w:w="688" w:type="dxa"/>
            <w:tcBorders>
              <w:top w:val="nil"/>
              <w:left w:val="nil"/>
              <w:bottom w:val="nil"/>
              <w:right w:val="nil"/>
            </w:tcBorders>
            <w:shd w:val="clear" w:color="auto" w:fill="auto"/>
            <w:noWrap/>
            <w:vAlign w:val="bottom"/>
            <w:hideMark/>
          </w:tcPr>
          <w:p w14:paraId="22152184"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401</w:t>
            </w:r>
          </w:p>
        </w:tc>
        <w:tc>
          <w:tcPr>
            <w:tcW w:w="688" w:type="dxa"/>
            <w:tcBorders>
              <w:top w:val="nil"/>
              <w:left w:val="nil"/>
              <w:bottom w:val="nil"/>
              <w:right w:val="nil"/>
            </w:tcBorders>
            <w:shd w:val="clear" w:color="auto" w:fill="auto"/>
            <w:noWrap/>
            <w:vAlign w:val="bottom"/>
            <w:hideMark/>
          </w:tcPr>
          <w:p w14:paraId="1FB397E7"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375</w:t>
            </w:r>
          </w:p>
        </w:tc>
        <w:tc>
          <w:tcPr>
            <w:tcW w:w="688" w:type="dxa"/>
            <w:tcBorders>
              <w:top w:val="nil"/>
              <w:left w:val="nil"/>
              <w:bottom w:val="nil"/>
              <w:right w:val="nil"/>
            </w:tcBorders>
            <w:shd w:val="clear" w:color="auto" w:fill="auto"/>
            <w:noWrap/>
            <w:vAlign w:val="bottom"/>
            <w:hideMark/>
          </w:tcPr>
          <w:p w14:paraId="47D72F51"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378</w:t>
            </w:r>
          </w:p>
        </w:tc>
        <w:tc>
          <w:tcPr>
            <w:tcW w:w="688" w:type="dxa"/>
            <w:tcBorders>
              <w:top w:val="nil"/>
              <w:left w:val="nil"/>
              <w:bottom w:val="nil"/>
              <w:right w:val="nil"/>
            </w:tcBorders>
            <w:shd w:val="clear" w:color="auto" w:fill="auto"/>
            <w:noWrap/>
            <w:vAlign w:val="bottom"/>
            <w:hideMark/>
          </w:tcPr>
          <w:p w14:paraId="253F0B5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349</w:t>
            </w:r>
          </w:p>
        </w:tc>
      </w:tr>
      <w:tr w:rsidR="004B6893" w:rsidRPr="00422245" w14:paraId="1727B792" w14:textId="77777777" w:rsidTr="00FF1106">
        <w:trPr>
          <w:trHeight w:val="290"/>
        </w:trPr>
        <w:tc>
          <w:tcPr>
            <w:tcW w:w="2835" w:type="dxa"/>
            <w:tcBorders>
              <w:top w:val="nil"/>
              <w:left w:val="nil"/>
              <w:bottom w:val="nil"/>
              <w:right w:val="nil"/>
            </w:tcBorders>
            <w:shd w:val="clear" w:color="auto" w:fill="auto"/>
            <w:noWrap/>
            <w:vAlign w:val="bottom"/>
            <w:hideMark/>
          </w:tcPr>
          <w:p w14:paraId="2BEF397B"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Informasjons- og kommunikasjonsteknologi</w:t>
            </w:r>
          </w:p>
        </w:tc>
        <w:tc>
          <w:tcPr>
            <w:tcW w:w="687" w:type="dxa"/>
            <w:tcBorders>
              <w:top w:val="nil"/>
              <w:left w:val="nil"/>
              <w:bottom w:val="nil"/>
              <w:right w:val="nil"/>
            </w:tcBorders>
            <w:shd w:val="clear" w:color="auto" w:fill="auto"/>
            <w:noWrap/>
            <w:vAlign w:val="bottom"/>
            <w:hideMark/>
          </w:tcPr>
          <w:p w14:paraId="137CFFA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174</w:t>
            </w:r>
          </w:p>
        </w:tc>
        <w:tc>
          <w:tcPr>
            <w:tcW w:w="688" w:type="dxa"/>
            <w:tcBorders>
              <w:top w:val="nil"/>
              <w:left w:val="nil"/>
              <w:bottom w:val="nil"/>
              <w:right w:val="nil"/>
            </w:tcBorders>
            <w:shd w:val="clear" w:color="auto" w:fill="auto"/>
            <w:noWrap/>
            <w:vAlign w:val="bottom"/>
            <w:hideMark/>
          </w:tcPr>
          <w:p w14:paraId="3D674BBB"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198</w:t>
            </w:r>
          </w:p>
        </w:tc>
        <w:tc>
          <w:tcPr>
            <w:tcW w:w="688" w:type="dxa"/>
            <w:tcBorders>
              <w:top w:val="nil"/>
              <w:left w:val="nil"/>
              <w:bottom w:val="nil"/>
              <w:right w:val="nil"/>
            </w:tcBorders>
            <w:shd w:val="clear" w:color="auto" w:fill="auto"/>
            <w:noWrap/>
            <w:vAlign w:val="bottom"/>
            <w:hideMark/>
          </w:tcPr>
          <w:p w14:paraId="3ED11E0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238</w:t>
            </w:r>
          </w:p>
        </w:tc>
        <w:tc>
          <w:tcPr>
            <w:tcW w:w="688" w:type="dxa"/>
            <w:tcBorders>
              <w:top w:val="nil"/>
              <w:left w:val="nil"/>
              <w:bottom w:val="nil"/>
              <w:right w:val="nil"/>
            </w:tcBorders>
            <w:shd w:val="clear" w:color="auto" w:fill="auto"/>
            <w:noWrap/>
            <w:vAlign w:val="bottom"/>
            <w:hideMark/>
          </w:tcPr>
          <w:p w14:paraId="7779A4E4"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250</w:t>
            </w:r>
          </w:p>
        </w:tc>
        <w:tc>
          <w:tcPr>
            <w:tcW w:w="688" w:type="dxa"/>
            <w:tcBorders>
              <w:top w:val="nil"/>
              <w:left w:val="nil"/>
              <w:bottom w:val="nil"/>
              <w:right w:val="nil"/>
            </w:tcBorders>
            <w:shd w:val="clear" w:color="auto" w:fill="auto"/>
            <w:noWrap/>
            <w:vAlign w:val="bottom"/>
            <w:hideMark/>
          </w:tcPr>
          <w:p w14:paraId="10B7C16E"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287</w:t>
            </w:r>
          </w:p>
        </w:tc>
        <w:tc>
          <w:tcPr>
            <w:tcW w:w="688" w:type="dxa"/>
            <w:tcBorders>
              <w:top w:val="nil"/>
              <w:left w:val="nil"/>
              <w:bottom w:val="nil"/>
              <w:right w:val="nil"/>
            </w:tcBorders>
            <w:shd w:val="clear" w:color="auto" w:fill="auto"/>
            <w:noWrap/>
            <w:vAlign w:val="bottom"/>
            <w:hideMark/>
          </w:tcPr>
          <w:p w14:paraId="7484638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307</w:t>
            </w:r>
          </w:p>
        </w:tc>
        <w:tc>
          <w:tcPr>
            <w:tcW w:w="688" w:type="dxa"/>
            <w:tcBorders>
              <w:top w:val="nil"/>
              <w:left w:val="nil"/>
              <w:bottom w:val="nil"/>
              <w:right w:val="nil"/>
            </w:tcBorders>
            <w:shd w:val="clear" w:color="auto" w:fill="auto"/>
            <w:noWrap/>
            <w:vAlign w:val="bottom"/>
            <w:hideMark/>
          </w:tcPr>
          <w:p w14:paraId="15EA8E8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328</w:t>
            </w:r>
          </w:p>
        </w:tc>
        <w:tc>
          <w:tcPr>
            <w:tcW w:w="688" w:type="dxa"/>
            <w:tcBorders>
              <w:top w:val="nil"/>
              <w:left w:val="nil"/>
              <w:bottom w:val="nil"/>
              <w:right w:val="nil"/>
            </w:tcBorders>
            <w:shd w:val="clear" w:color="auto" w:fill="auto"/>
            <w:noWrap/>
            <w:vAlign w:val="bottom"/>
            <w:hideMark/>
          </w:tcPr>
          <w:p w14:paraId="626AA74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333</w:t>
            </w:r>
          </w:p>
        </w:tc>
        <w:tc>
          <w:tcPr>
            <w:tcW w:w="688" w:type="dxa"/>
            <w:tcBorders>
              <w:top w:val="nil"/>
              <w:left w:val="nil"/>
              <w:bottom w:val="nil"/>
              <w:right w:val="nil"/>
            </w:tcBorders>
            <w:shd w:val="clear" w:color="auto" w:fill="auto"/>
            <w:noWrap/>
            <w:vAlign w:val="bottom"/>
            <w:hideMark/>
          </w:tcPr>
          <w:p w14:paraId="30A077FB"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339</w:t>
            </w:r>
          </w:p>
        </w:tc>
      </w:tr>
      <w:tr w:rsidR="004B6893" w:rsidRPr="00422245" w14:paraId="5385A1C5" w14:textId="77777777" w:rsidTr="00FF1106">
        <w:trPr>
          <w:trHeight w:val="290"/>
        </w:trPr>
        <w:tc>
          <w:tcPr>
            <w:tcW w:w="2835" w:type="dxa"/>
            <w:tcBorders>
              <w:top w:val="nil"/>
              <w:left w:val="nil"/>
              <w:bottom w:val="nil"/>
              <w:right w:val="nil"/>
            </w:tcBorders>
            <w:shd w:val="clear" w:color="auto" w:fill="auto"/>
            <w:noWrap/>
            <w:vAlign w:val="bottom"/>
            <w:hideMark/>
          </w:tcPr>
          <w:p w14:paraId="69BA1847"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Arkitektur</w:t>
            </w:r>
          </w:p>
        </w:tc>
        <w:tc>
          <w:tcPr>
            <w:tcW w:w="687" w:type="dxa"/>
            <w:tcBorders>
              <w:top w:val="nil"/>
              <w:left w:val="nil"/>
              <w:bottom w:val="nil"/>
              <w:right w:val="nil"/>
            </w:tcBorders>
            <w:shd w:val="clear" w:color="auto" w:fill="auto"/>
            <w:noWrap/>
            <w:vAlign w:val="bottom"/>
            <w:hideMark/>
          </w:tcPr>
          <w:p w14:paraId="23425D7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387</w:t>
            </w:r>
          </w:p>
        </w:tc>
        <w:tc>
          <w:tcPr>
            <w:tcW w:w="688" w:type="dxa"/>
            <w:tcBorders>
              <w:top w:val="nil"/>
              <w:left w:val="nil"/>
              <w:bottom w:val="nil"/>
              <w:right w:val="nil"/>
            </w:tcBorders>
            <w:shd w:val="clear" w:color="auto" w:fill="auto"/>
            <w:noWrap/>
            <w:vAlign w:val="bottom"/>
            <w:hideMark/>
          </w:tcPr>
          <w:p w14:paraId="440994B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425</w:t>
            </w:r>
          </w:p>
        </w:tc>
        <w:tc>
          <w:tcPr>
            <w:tcW w:w="688" w:type="dxa"/>
            <w:tcBorders>
              <w:top w:val="nil"/>
              <w:left w:val="nil"/>
              <w:bottom w:val="nil"/>
              <w:right w:val="nil"/>
            </w:tcBorders>
            <w:shd w:val="clear" w:color="auto" w:fill="auto"/>
            <w:noWrap/>
            <w:vAlign w:val="bottom"/>
            <w:hideMark/>
          </w:tcPr>
          <w:p w14:paraId="3E9B50E7"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413</w:t>
            </w:r>
          </w:p>
        </w:tc>
        <w:tc>
          <w:tcPr>
            <w:tcW w:w="688" w:type="dxa"/>
            <w:tcBorders>
              <w:top w:val="nil"/>
              <w:left w:val="nil"/>
              <w:bottom w:val="nil"/>
              <w:right w:val="nil"/>
            </w:tcBorders>
            <w:shd w:val="clear" w:color="auto" w:fill="auto"/>
            <w:noWrap/>
            <w:vAlign w:val="bottom"/>
            <w:hideMark/>
          </w:tcPr>
          <w:p w14:paraId="677B83A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414</w:t>
            </w:r>
          </w:p>
        </w:tc>
        <w:tc>
          <w:tcPr>
            <w:tcW w:w="688" w:type="dxa"/>
            <w:tcBorders>
              <w:top w:val="nil"/>
              <w:left w:val="nil"/>
              <w:bottom w:val="nil"/>
              <w:right w:val="nil"/>
            </w:tcBorders>
            <w:shd w:val="clear" w:color="auto" w:fill="auto"/>
            <w:noWrap/>
            <w:vAlign w:val="bottom"/>
            <w:hideMark/>
          </w:tcPr>
          <w:p w14:paraId="0875D644"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393</w:t>
            </w:r>
          </w:p>
        </w:tc>
        <w:tc>
          <w:tcPr>
            <w:tcW w:w="688" w:type="dxa"/>
            <w:tcBorders>
              <w:top w:val="nil"/>
              <w:left w:val="nil"/>
              <w:bottom w:val="nil"/>
              <w:right w:val="nil"/>
            </w:tcBorders>
            <w:shd w:val="clear" w:color="auto" w:fill="auto"/>
            <w:noWrap/>
            <w:vAlign w:val="bottom"/>
            <w:hideMark/>
          </w:tcPr>
          <w:p w14:paraId="2BA99E3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413</w:t>
            </w:r>
          </w:p>
        </w:tc>
        <w:tc>
          <w:tcPr>
            <w:tcW w:w="688" w:type="dxa"/>
            <w:tcBorders>
              <w:top w:val="nil"/>
              <w:left w:val="nil"/>
              <w:bottom w:val="nil"/>
              <w:right w:val="nil"/>
            </w:tcBorders>
            <w:shd w:val="clear" w:color="auto" w:fill="auto"/>
            <w:noWrap/>
            <w:vAlign w:val="bottom"/>
            <w:hideMark/>
          </w:tcPr>
          <w:p w14:paraId="2527373D"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397</w:t>
            </w:r>
          </w:p>
        </w:tc>
        <w:tc>
          <w:tcPr>
            <w:tcW w:w="688" w:type="dxa"/>
            <w:tcBorders>
              <w:top w:val="nil"/>
              <w:left w:val="nil"/>
              <w:bottom w:val="nil"/>
              <w:right w:val="nil"/>
            </w:tcBorders>
            <w:shd w:val="clear" w:color="auto" w:fill="auto"/>
            <w:noWrap/>
            <w:vAlign w:val="bottom"/>
            <w:hideMark/>
          </w:tcPr>
          <w:p w14:paraId="6C7EECC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350</w:t>
            </w:r>
          </w:p>
        </w:tc>
        <w:tc>
          <w:tcPr>
            <w:tcW w:w="688" w:type="dxa"/>
            <w:tcBorders>
              <w:top w:val="nil"/>
              <w:left w:val="nil"/>
              <w:bottom w:val="nil"/>
              <w:right w:val="nil"/>
            </w:tcBorders>
            <w:shd w:val="clear" w:color="auto" w:fill="auto"/>
            <w:noWrap/>
            <w:vAlign w:val="bottom"/>
            <w:hideMark/>
          </w:tcPr>
          <w:p w14:paraId="5C4EBBC0"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333</w:t>
            </w:r>
          </w:p>
        </w:tc>
      </w:tr>
      <w:tr w:rsidR="004B6893" w:rsidRPr="00422245" w14:paraId="42FDB65C" w14:textId="77777777" w:rsidTr="00FF1106">
        <w:trPr>
          <w:trHeight w:val="290"/>
        </w:trPr>
        <w:tc>
          <w:tcPr>
            <w:tcW w:w="2835" w:type="dxa"/>
            <w:tcBorders>
              <w:top w:val="nil"/>
              <w:left w:val="nil"/>
              <w:bottom w:val="nil"/>
              <w:right w:val="nil"/>
            </w:tcBorders>
            <w:shd w:val="clear" w:color="auto" w:fill="auto"/>
            <w:noWrap/>
            <w:vAlign w:val="bottom"/>
            <w:hideMark/>
          </w:tcPr>
          <w:p w14:paraId="489BE76B"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Musikk</w:t>
            </w:r>
          </w:p>
        </w:tc>
        <w:tc>
          <w:tcPr>
            <w:tcW w:w="687" w:type="dxa"/>
            <w:tcBorders>
              <w:top w:val="nil"/>
              <w:left w:val="nil"/>
              <w:bottom w:val="nil"/>
              <w:right w:val="nil"/>
            </w:tcBorders>
            <w:shd w:val="clear" w:color="auto" w:fill="auto"/>
            <w:noWrap/>
            <w:vAlign w:val="bottom"/>
            <w:hideMark/>
          </w:tcPr>
          <w:p w14:paraId="2009E072"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302</w:t>
            </w:r>
          </w:p>
        </w:tc>
        <w:tc>
          <w:tcPr>
            <w:tcW w:w="688" w:type="dxa"/>
            <w:tcBorders>
              <w:top w:val="nil"/>
              <w:left w:val="nil"/>
              <w:bottom w:val="nil"/>
              <w:right w:val="nil"/>
            </w:tcBorders>
            <w:shd w:val="clear" w:color="auto" w:fill="auto"/>
            <w:noWrap/>
            <w:vAlign w:val="bottom"/>
            <w:hideMark/>
          </w:tcPr>
          <w:p w14:paraId="35F43075"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319</w:t>
            </w:r>
          </w:p>
        </w:tc>
        <w:tc>
          <w:tcPr>
            <w:tcW w:w="688" w:type="dxa"/>
            <w:tcBorders>
              <w:top w:val="nil"/>
              <w:left w:val="nil"/>
              <w:bottom w:val="nil"/>
              <w:right w:val="nil"/>
            </w:tcBorders>
            <w:shd w:val="clear" w:color="auto" w:fill="auto"/>
            <w:noWrap/>
            <w:vAlign w:val="bottom"/>
            <w:hideMark/>
          </w:tcPr>
          <w:p w14:paraId="73F3D76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321</w:t>
            </w:r>
          </w:p>
        </w:tc>
        <w:tc>
          <w:tcPr>
            <w:tcW w:w="688" w:type="dxa"/>
            <w:tcBorders>
              <w:top w:val="nil"/>
              <w:left w:val="nil"/>
              <w:bottom w:val="nil"/>
              <w:right w:val="nil"/>
            </w:tcBorders>
            <w:shd w:val="clear" w:color="auto" w:fill="auto"/>
            <w:noWrap/>
            <w:vAlign w:val="bottom"/>
            <w:hideMark/>
          </w:tcPr>
          <w:p w14:paraId="6C9CC2D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329</w:t>
            </w:r>
          </w:p>
        </w:tc>
        <w:tc>
          <w:tcPr>
            <w:tcW w:w="688" w:type="dxa"/>
            <w:tcBorders>
              <w:top w:val="nil"/>
              <w:left w:val="nil"/>
              <w:bottom w:val="nil"/>
              <w:right w:val="nil"/>
            </w:tcBorders>
            <w:shd w:val="clear" w:color="auto" w:fill="auto"/>
            <w:noWrap/>
            <w:vAlign w:val="bottom"/>
            <w:hideMark/>
          </w:tcPr>
          <w:p w14:paraId="54EBCCAE"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359</w:t>
            </w:r>
          </w:p>
        </w:tc>
        <w:tc>
          <w:tcPr>
            <w:tcW w:w="688" w:type="dxa"/>
            <w:tcBorders>
              <w:top w:val="nil"/>
              <w:left w:val="nil"/>
              <w:bottom w:val="nil"/>
              <w:right w:val="nil"/>
            </w:tcBorders>
            <w:shd w:val="clear" w:color="auto" w:fill="auto"/>
            <w:noWrap/>
            <w:vAlign w:val="bottom"/>
            <w:hideMark/>
          </w:tcPr>
          <w:p w14:paraId="751824E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367</w:t>
            </w:r>
          </w:p>
        </w:tc>
        <w:tc>
          <w:tcPr>
            <w:tcW w:w="688" w:type="dxa"/>
            <w:tcBorders>
              <w:top w:val="nil"/>
              <w:left w:val="nil"/>
              <w:bottom w:val="nil"/>
              <w:right w:val="nil"/>
            </w:tcBorders>
            <w:shd w:val="clear" w:color="auto" w:fill="auto"/>
            <w:noWrap/>
            <w:vAlign w:val="bottom"/>
            <w:hideMark/>
          </w:tcPr>
          <w:p w14:paraId="3A4D594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341</w:t>
            </w:r>
          </w:p>
        </w:tc>
        <w:tc>
          <w:tcPr>
            <w:tcW w:w="688" w:type="dxa"/>
            <w:tcBorders>
              <w:top w:val="nil"/>
              <w:left w:val="nil"/>
              <w:bottom w:val="nil"/>
              <w:right w:val="nil"/>
            </w:tcBorders>
            <w:shd w:val="clear" w:color="auto" w:fill="auto"/>
            <w:noWrap/>
            <w:vAlign w:val="bottom"/>
            <w:hideMark/>
          </w:tcPr>
          <w:p w14:paraId="4467208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331</w:t>
            </w:r>
          </w:p>
        </w:tc>
        <w:tc>
          <w:tcPr>
            <w:tcW w:w="688" w:type="dxa"/>
            <w:tcBorders>
              <w:top w:val="nil"/>
              <w:left w:val="nil"/>
              <w:bottom w:val="nil"/>
              <w:right w:val="nil"/>
            </w:tcBorders>
            <w:shd w:val="clear" w:color="auto" w:fill="auto"/>
            <w:noWrap/>
            <w:vAlign w:val="bottom"/>
            <w:hideMark/>
          </w:tcPr>
          <w:p w14:paraId="4358DC06"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271</w:t>
            </w:r>
          </w:p>
        </w:tc>
      </w:tr>
      <w:tr w:rsidR="004B6893" w:rsidRPr="00422245" w14:paraId="501314DB" w14:textId="77777777" w:rsidTr="00FF1106">
        <w:trPr>
          <w:trHeight w:val="290"/>
        </w:trPr>
        <w:tc>
          <w:tcPr>
            <w:tcW w:w="2835" w:type="dxa"/>
            <w:tcBorders>
              <w:top w:val="nil"/>
              <w:left w:val="nil"/>
              <w:bottom w:val="nil"/>
              <w:right w:val="nil"/>
            </w:tcBorders>
            <w:shd w:val="clear" w:color="auto" w:fill="auto"/>
            <w:noWrap/>
            <w:vAlign w:val="bottom"/>
            <w:hideMark/>
          </w:tcPr>
          <w:p w14:paraId="1A49BBA5" w14:textId="77777777" w:rsidR="004B6893" w:rsidRPr="00422245" w:rsidRDefault="004B6893" w:rsidP="00FF1106">
            <w:pPr>
              <w:keepNext/>
              <w:keepLines/>
              <w:spacing w:after="0" w:line="240" w:lineRule="auto"/>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Andre fag</w:t>
            </w:r>
          </w:p>
        </w:tc>
        <w:tc>
          <w:tcPr>
            <w:tcW w:w="687" w:type="dxa"/>
            <w:tcBorders>
              <w:top w:val="nil"/>
              <w:left w:val="nil"/>
              <w:bottom w:val="nil"/>
              <w:right w:val="nil"/>
            </w:tcBorders>
            <w:shd w:val="clear" w:color="auto" w:fill="auto"/>
            <w:noWrap/>
            <w:vAlign w:val="bottom"/>
            <w:hideMark/>
          </w:tcPr>
          <w:p w14:paraId="19B062B7"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3451</w:t>
            </w:r>
          </w:p>
        </w:tc>
        <w:tc>
          <w:tcPr>
            <w:tcW w:w="688" w:type="dxa"/>
            <w:tcBorders>
              <w:top w:val="nil"/>
              <w:left w:val="nil"/>
              <w:bottom w:val="nil"/>
              <w:right w:val="nil"/>
            </w:tcBorders>
            <w:shd w:val="clear" w:color="auto" w:fill="auto"/>
            <w:noWrap/>
            <w:vAlign w:val="bottom"/>
            <w:hideMark/>
          </w:tcPr>
          <w:p w14:paraId="1EC7BBAF"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3217</w:t>
            </w:r>
          </w:p>
        </w:tc>
        <w:tc>
          <w:tcPr>
            <w:tcW w:w="688" w:type="dxa"/>
            <w:tcBorders>
              <w:top w:val="nil"/>
              <w:left w:val="nil"/>
              <w:bottom w:val="nil"/>
              <w:right w:val="nil"/>
            </w:tcBorders>
            <w:shd w:val="clear" w:color="auto" w:fill="auto"/>
            <w:noWrap/>
            <w:vAlign w:val="bottom"/>
            <w:hideMark/>
          </w:tcPr>
          <w:p w14:paraId="6F77DAB3"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3090</w:t>
            </w:r>
          </w:p>
        </w:tc>
        <w:tc>
          <w:tcPr>
            <w:tcW w:w="688" w:type="dxa"/>
            <w:tcBorders>
              <w:top w:val="nil"/>
              <w:left w:val="nil"/>
              <w:bottom w:val="nil"/>
              <w:right w:val="nil"/>
            </w:tcBorders>
            <w:shd w:val="clear" w:color="auto" w:fill="auto"/>
            <w:noWrap/>
            <w:vAlign w:val="bottom"/>
            <w:hideMark/>
          </w:tcPr>
          <w:p w14:paraId="640DF2B8"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3119</w:t>
            </w:r>
          </w:p>
        </w:tc>
        <w:tc>
          <w:tcPr>
            <w:tcW w:w="688" w:type="dxa"/>
            <w:tcBorders>
              <w:top w:val="nil"/>
              <w:left w:val="nil"/>
              <w:bottom w:val="nil"/>
              <w:right w:val="nil"/>
            </w:tcBorders>
            <w:shd w:val="clear" w:color="auto" w:fill="auto"/>
            <w:noWrap/>
            <w:vAlign w:val="bottom"/>
            <w:hideMark/>
          </w:tcPr>
          <w:p w14:paraId="06257A0E"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2779</w:t>
            </w:r>
          </w:p>
        </w:tc>
        <w:tc>
          <w:tcPr>
            <w:tcW w:w="688" w:type="dxa"/>
            <w:tcBorders>
              <w:top w:val="nil"/>
              <w:left w:val="nil"/>
              <w:bottom w:val="nil"/>
              <w:right w:val="nil"/>
            </w:tcBorders>
            <w:shd w:val="clear" w:color="auto" w:fill="auto"/>
            <w:noWrap/>
            <w:vAlign w:val="bottom"/>
            <w:hideMark/>
          </w:tcPr>
          <w:p w14:paraId="66C80C34"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2531</w:t>
            </w:r>
          </w:p>
        </w:tc>
        <w:tc>
          <w:tcPr>
            <w:tcW w:w="688" w:type="dxa"/>
            <w:tcBorders>
              <w:top w:val="nil"/>
              <w:left w:val="nil"/>
              <w:bottom w:val="nil"/>
              <w:right w:val="nil"/>
            </w:tcBorders>
            <w:shd w:val="clear" w:color="auto" w:fill="auto"/>
            <w:noWrap/>
            <w:vAlign w:val="bottom"/>
            <w:hideMark/>
          </w:tcPr>
          <w:p w14:paraId="23890BAC"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2145</w:t>
            </w:r>
          </w:p>
        </w:tc>
        <w:tc>
          <w:tcPr>
            <w:tcW w:w="688" w:type="dxa"/>
            <w:tcBorders>
              <w:top w:val="nil"/>
              <w:left w:val="nil"/>
              <w:bottom w:val="nil"/>
              <w:right w:val="nil"/>
            </w:tcBorders>
            <w:shd w:val="clear" w:color="auto" w:fill="auto"/>
            <w:noWrap/>
            <w:vAlign w:val="bottom"/>
            <w:hideMark/>
          </w:tcPr>
          <w:p w14:paraId="5B9184B9"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2088</w:t>
            </w:r>
          </w:p>
        </w:tc>
        <w:tc>
          <w:tcPr>
            <w:tcW w:w="688" w:type="dxa"/>
            <w:tcBorders>
              <w:top w:val="nil"/>
              <w:left w:val="nil"/>
              <w:bottom w:val="nil"/>
              <w:right w:val="nil"/>
            </w:tcBorders>
            <w:shd w:val="clear" w:color="auto" w:fill="auto"/>
            <w:noWrap/>
            <w:vAlign w:val="bottom"/>
            <w:hideMark/>
          </w:tcPr>
          <w:p w14:paraId="789D92BB" w14:textId="77777777" w:rsidR="004B6893" w:rsidRPr="00422245" w:rsidRDefault="004B6893" w:rsidP="00FF1106">
            <w:pPr>
              <w:keepNext/>
              <w:keepLines/>
              <w:spacing w:after="0" w:line="240" w:lineRule="auto"/>
              <w:jc w:val="right"/>
              <w:rPr>
                <w:rFonts w:ascii="Calibri" w:eastAsia="Times New Roman" w:hAnsi="Calibri" w:cs="Calibri"/>
                <w:sz w:val="20"/>
                <w:szCs w:val="20"/>
                <w:lang w:eastAsia="nb-NO"/>
              </w:rPr>
            </w:pPr>
            <w:r w:rsidRPr="00422245">
              <w:rPr>
                <w:rFonts w:ascii="Calibri" w:eastAsia="Times New Roman" w:hAnsi="Calibri" w:cs="Calibri"/>
                <w:sz w:val="20"/>
                <w:szCs w:val="20"/>
                <w:lang w:eastAsia="nb-NO"/>
              </w:rPr>
              <w:t>1917</w:t>
            </w:r>
          </w:p>
        </w:tc>
      </w:tr>
      <w:tr w:rsidR="004B6893" w:rsidRPr="00422245" w14:paraId="1EB00669" w14:textId="77777777" w:rsidTr="00FF1106">
        <w:trPr>
          <w:trHeight w:val="290"/>
        </w:trPr>
        <w:tc>
          <w:tcPr>
            <w:tcW w:w="2835" w:type="dxa"/>
            <w:tcBorders>
              <w:top w:val="nil"/>
              <w:left w:val="nil"/>
              <w:bottom w:val="nil"/>
              <w:right w:val="nil"/>
            </w:tcBorders>
            <w:shd w:val="clear" w:color="auto" w:fill="auto"/>
            <w:noWrap/>
            <w:vAlign w:val="bottom"/>
            <w:hideMark/>
          </w:tcPr>
          <w:p w14:paraId="0713F865" w14:textId="77777777" w:rsidR="004B6893" w:rsidRPr="00422245" w:rsidRDefault="004B6893" w:rsidP="00FF1106">
            <w:pPr>
              <w:keepNext/>
              <w:keepLines/>
              <w:spacing w:after="0" w:line="240" w:lineRule="auto"/>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I alt</w:t>
            </w:r>
          </w:p>
        </w:tc>
        <w:tc>
          <w:tcPr>
            <w:tcW w:w="687" w:type="dxa"/>
            <w:tcBorders>
              <w:top w:val="nil"/>
              <w:left w:val="nil"/>
              <w:bottom w:val="nil"/>
              <w:right w:val="nil"/>
            </w:tcBorders>
            <w:shd w:val="clear" w:color="auto" w:fill="auto"/>
            <w:noWrap/>
            <w:vAlign w:val="bottom"/>
            <w:hideMark/>
          </w:tcPr>
          <w:p w14:paraId="242CDE36"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17293</w:t>
            </w:r>
          </w:p>
        </w:tc>
        <w:tc>
          <w:tcPr>
            <w:tcW w:w="688" w:type="dxa"/>
            <w:tcBorders>
              <w:top w:val="nil"/>
              <w:left w:val="nil"/>
              <w:bottom w:val="nil"/>
              <w:right w:val="nil"/>
            </w:tcBorders>
            <w:shd w:val="clear" w:color="auto" w:fill="auto"/>
            <w:noWrap/>
            <w:vAlign w:val="bottom"/>
            <w:hideMark/>
          </w:tcPr>
          <w:p w14:paraId="685574D6"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17442</w:t>
            </w:r>
          </w:p>
        </w:tc>
        <w:tc>
          <w:tcPr>
            <w:tcW w:w="688" w:type="dxa"/>
            <w:tcBorders>
              <w:top w:val="nil"/>
              <w:left w:val="nil"/>
              <w:bottom w:val="nil"/>
              <w:right w:val="nil"/>
            </w:tcBorders>
            <w:shd w:val="clear" w:color="auto" w:fill="auto"/>
            <w:noWrap/>
            <w:vAlign w:val="bottom"/>
            <w:hideMark/>
          </w:tcPr>
          <w:p w14:paraId="317030ED"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16913</w:t>
            </w:r>
          </w:p>
        </w:tc>
        <w:tc>
          <w:tcPr>
            <w:tcW w:w="688" w:type="dxa"/>
            <w:tcBorders>
              <w:top w:val="nil"/>
              <w:left w:val="nil"/>
              <w:bottom w:val="nil"/>
              <w:right w:val="nil"/>
            </w:tcBorders>
            <w:shd w:val="clear" w:color="auto" w:fill="auto"/>
            <w:noWrap/>
            <w:vAlign w:val="bottom"/>
            <w:hideMark/>
          </w:tcPr>
          <w:p w14:paraId="3811BF40"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16634</w:t>
            </w:r>
          </w:p>
        </w:tc>
        <w:tc>
          <w:tcPr>
            <w:tcW w:w="688" w:type="dxa"/>
            <w:tcBorders>
              <w:top w:val="nil"/>
              <w:left w:val="nil"/>
              <w:bottom w:val="nil"/>
              <w:right w:val="nil"/>
            </w:tcBorders>
            <w:shd w:val="clear" w:color="auto" w:fill="auto"/>
            <w:noWrap/>
            <w:vAlign w:val="bottom"/>
            <w:hideMark/>
          </w:tcPr>
          <w:p w14:paraId="1BE2DB36"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15952</w:t>
            </w:r>
          </w:p>
        </w:tc>
        <w:tc>
          <w:tcPr>
            <w:tcW w:w="688" w:type="dxa"/>
            <w:tcBorders>
              <w:top w:val="nil"/>
              <w:left w:val="nil"/>
              <w:bottom w:val="nil"/>
              <w:right w:val="nil"/>
            </w:tcBorders>
            <w:shd w:val="clear" w:color="auto" w:fill="auto"/>
            <w:noWrap/>
            <w:vAlign w:val="bottom"/>
            <w:hideMark/>
          </w:tcPr>
          <w:p w14:paraId="69005BBD"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15366</w:t>
            </w:r>
          </w:p>
        </w:tc>
        <w:tc>
          <w:tcPr>
            <w:tcW w:w="688" w:type="dxa"/>
            <w:tcBorders>
              <w:top w:val="nil"/>
              <w:left w:val="nil"/>
              <w:bottom w:val="nil"/>
              <w:right w:val="nil"/>
            </w:tcBorders>
            <w:shd w:val="clear" w:color="auto" w:fill="auto"/>
            <w:noWrap/>
            <w:vAlign w:val="bottom"/>
            <w:hideMark/>
          </w:tcPr>
          <w:p w14:paraId="4DCC598B"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14318</w:t>
            </w:r>
          </w:p>
        </w:tc>
        <w:tc>
          <w:tcPr>
            <w:tcW w:w="688" w:type="dxa"/>
            <w:tcBorders>
              <w:top w:val="nil"/>
              <w:left w:val="nil"/>
              <w:bottom w:val="nil"/>
              <w:right w:val="nil"/>
            </w:tcBorders>
            <w:shd w:val="clear" w:color="auto" w:fill="auto"/>
            <w:noWrap/>
            <w:vAlign w:val="bottom"/>
            <w:hideMark/>
          </w:tcPr>
          <w:p w14:paraId="33941B50"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14053</w:t>
            </w:r>
          </w:p>
        </w:tc>
        <w:tc>
          <w:tcPr>
            <w:tcW w:w="688" w:type="dxa"/>
            <w:tcBorders>
              <w:top w:val="nil"/>
              <w:left w:val="nil"/>
              <w:bottom w:val="nil"/>
              <w:right w:val="nil"/>
            </w:tcBorders>
            <w:shd w:val="clear" w:color="auto" w:fill="auto"/>
            <w:noWrap/>
            <w:vAlign w:val="bottom"/>
            <w:hideMark/>
          </w:tcPr>
          <w:p w14:paraId="53E8A287" w14:textId="77777777" w:rsidR="004B6893" w:rsidRPr="00422245" w:rsidRDefault="004B6893" w:rsidP="00FF1106">
            <w:pPr>
              <w:keepNext/>
              <w:keepLines/>
              <w:spacing w:after="0" w:line="240" w:lineRule="auto"/>
              <w:jc w:val="right"/>
              <w:rPr>
                <w:rFonts w:ascii="Calibri" w:eastAsia="Times New Roman" w:hAnsi="Calibri" w:cs="Calibri"/>
                <w:b/>
                <w:bCs/>
                <w:sz w:val="20"/>
                <w:szCs w:val="20"/>
                <w:lang w:eastAsia="nb-NO"/>
              </w:rPr>
            </w:pPr>
            <w:r w:rsidRPr="00422245">
              <w:rPr>
                <w:rFonts w:ascii="Calibri" w:eastAsia="Times New Roman" w:hAnsi="Calibri" w:cs="Calibri"/>
                <w:b/>
                <w:bCs/>
                <w:sz w:val="20"/>
                <w:szCs w:val="20"/>
                <w:lang w:eastAsia="nb-NO"/>
              </w:rPr>
              <w:t>13641</w:t>
            </w:r>
          </w:p>
        </w:tc>
      </w:tr>
    </w:tbl>
    <w:p w14:paraId="61F2BD2A" w14:textId="77777777" w:rsidR="004B6893" w:rsidRPr="00163310" w:rsidRDefault="004B6893" w:rsidP="00163310">
      <w:pPr>
        <w:pStyle w:val="Merknad"/>
      </w:pPr>
      <w:r w:rsidRPr="00163310">
        <w:t>Tabellen viser norske gradsstudenter i utlandet med støtte fra Lånekassen per studieår</w:t>
      </w:r>
    </w:p>
    <w:p w14:paraId="384FD7FD" w14:textId="77777777" w:rsidR="004B6893" w:rsidRDefault="004B6893" w:rsidP="00163310">
      <w:pPr>
        <w:pStyle w:val="Kilde"/>
      </w:pPr>
      <w:r w:rsidRPr="004E373E">
        <w:rPr>
          <w:b/>
        </w:rPr>
        <w:t>Kilde</w:t>
      </w:r>
      <w:r>
        <w:t>:</w:t>
      </w:r>
      <w:r w:rsidRPr="00422245">
        <w:t xml:space="preserve"> Lånekassen</w:t>
      </w:r>
    </w:p>
    <w:p w14:paraId="7E8DC9D1" w14:textId="464D1882" w:rsidR="007A52A0" w:rsidRDefault="00747655" w:rsidP="00BB34C9">
      <w:r>
        <w:fldChar w:fldCharType="begin"/>
      </w:r>
      <w:r>
        <w:instrText xml:space="preserve"> REF _Ref163138456 \h </w:instrText>
      </w:r>
      <w:r>
        <w:fldChar w:fldCharType="separate"/>
      </w:r>
      <w:r>
        <w:t xml:space="preserve">Figur </w:t>
      </w:r>
      <w:r>
        <w:rPr>
          <w:noProof/>
        </w:rPr>
        <w:t>4</w:t>
      </w:r>
      <w:r>
        <w:noBreakHyphen/>
      </w:r>
      <w:r>
        <w:rPr>
          <w:noProof/>
        </w:rPr>
        <w:t>4</w:t>
      </w:r>
      <w:r>
        <w:fldChar w:fldCharType="end"/>
      </w:r>
      <w:r>
        <w:t xml:space="preserve"> viser antall norske gradsstudenter i de mest populære landene over en tiårsperiode. </w:t>
      </w:r>
      <w:r w:rsidR="00C57402">
        <w:t xml:space="preserve">I 2022 er det Storbritannia, Danmark og USA som har de største andelene av de norske gradsstudentene, med henholdsvis 20, 15 og 12 prosent. I en spørreundersøkelse blant norske gradsstudenter i utlandet gjennomført av NIFU </w:t>
      </w:r>
      <w:r w:rsidR="00CD4897">
        <w:fldChar w:fldCharType="begin"/>
      </w:r>
      <w:r w:rsidR="00E215DA">
        <w:instrText xml:space="preserve"> ADDIN EN.CITE &lt;EndNote&gt;&lt;Cite&gt;&lt;Author&gt;Hovdhaugen&lt;/Author&gt;&lt;Year&gt;2017&lt;/Year&gt;&lt;RecNum&gt;2271&lt;/RecNum&gt;&lt;DisplayText&gt;(Hovdhaugen &amp;amp; Wiers-Jenssen, 2017)&lt;/DisplayText&gt;&lt;record&gt;&lt;rec-number&gt;2271&lt;/rec-number&gt;&lt;foreign-keys&gt;&lt;key app="EN" db-id="p2et5feaxrpe5zew2eavt29z05fv09aa5s0w" timestamp="1712311462" guid="b786a6a8-b250-4acf-8497-8b2bd186f870"&gt;2271&lt;/key&gt;&lt;/foreign-keys&gt;&lt;ref-type name="Report"&gt;27&lt;/ref-type&gt;&lt;contributors&gt;&lt;authors&gt;&lt;author&gt;Hovdhaugen, Elisabeth&lt;/author&gt;&lt;author&gt;Wiers-Jenssen, Jannecke&lt;/author&gt;&lt;/authors&gt;&lt;/contributors&gt;&lt;titles&gt;&lt;title&gt;Norske gradsstudenter i utlandet : Hvorfor reiser de ut, og hvor søker de informasjon?&lt;/title&gt;&lt;secondary-title&gt;NIFU arbeidsnotat&lt;/secondary-title&gt;&lt;/titles&gt;&lt;dates&gt;&lt;year&gt;2017&lt;/year&gt;&lt;/dates&gt;&lt;isbn&gt;1&lt;/isbn&gt;&lt;urls&gt;&lt;related-urls&gt;&lt;url&gt;https://nifu.brage.unit.no/nifu-xmlui/handle/11250/2432088&lt;/url&gt;&lt;/related-urls&gt;&lt;/urls&gt;&lt;/record&gt;&lt;/Cite&gt;&lt;/EndNote&gt;</w:instrText>
      </w:r>
      <w:r w:rsidR="00CD4897">
        <w:fldChar w:fldCharType="separate"/>
      </w:r>
      <w:r w:rsidR="00CD4897">
        <w:rPr>
          <w:noProof/>
        </w:rPr>
        <w:t>(Hovdhaugen &amp; Wiers-Jenssen, 2017)</w:t>
      </w:r>
      <w:r w:rsidR="00CD4897">
        <w:fldChar w:fldCharType="end"/>
      </w:r>
      <w:r w:rsidR="00C57402">
        <w:t>, svarte mer enn halvparten av studentene at gode forkunnskaper i språk hadde avgjørende eller stor betydning for valg av studieland. Statistikken tyder på at dette fortsatt er tilfellet</w:t>
      </w:r>
      <w:r w:rsidR="006F1328">
        <w:t>,</w:t>
      </w:r>
      <w:r w:rsidR="0051136D">
        <w:t xml:space="preserve"> </w:t>
      </w:r>
      <w:r w:rsidR="00B127DC">
        <w:t>gitt at</w:t>
      </w:r>
      <w:r w:rsidR="001D7F53">
        <w:t xml:space="preserve"> nordiske og engelskspråklige </w:t>
      </w:r>
      <w:r w:rsidR="006F1328">
        <w:t>land er så populære</w:t>
      </w:r>
      <w:r w:rsidR="00C57402">
        <w:t xml:space="preserve">. Mange nordmenn tar også utdanningen sin i Polen (11 prosent), noe som henger sammen med at polske universiteter tilbyr et stort volum av engelskspråklige medisinstudier. </w:t>
      </w:r>
      <w:bookmarkStart w:id="74" w:name="_Ref163042754"/>
      <w:bookmarkStart w:id="75" w:name="_Ref163042682"/>
    </w:p>
    <w:p w14:paraId="5A78A56C" w14:textId="72F145E2" w:rsidR="0011591D" w:rsidRDefault="008F03AF" w:rsidP="00BB34C9">
      <w:r>
        <w:lastRenderedPageBreak/>
        <w:t>St</w:t>
      </w:r>
      <w:r w:rsidR="00147CD5">
        <w:t>o</w:t>
      </w:r>
      <w:r>
        <w:t xml:space="preserve">rbritannia </w:t>
      </w:r>
      <w:r w:rsidR="00935A98">
        <w:t xml:space="preserve">har ligget på topp </w:t>
      </w:r>
      <w:r w:rsidR="00BF5A91">
        <w:t>i hele perioden og er fortsatt det mest ettertraktede studielandet for helgradsstudenter</w:t>
      </w:r>
      <w:r w:rsidR="00935A98">
        <w:t xml:space="preserve">. </w:t>
      </w:r>
      <w:r w:rsidR="00BF5A91">
        <w:t xml:space="preserve">Allikevel er </w:t>
      </w:r>
      <w:r w:rsidR="00147CD5">
        <w:t>t</w:t>
      </w:r>
      <w:r w:rsidR="00103622">
        <w:t xml:space="preserve">allet på nordmenn som tar </w:t>
      </w:r>
      <w:r w:rsidR="00EE443E">
        <w:t xml:space="preserve">en </w:t>
      </w:r>
      <w:r w:rsidR="005E5721">
        <w:t xml:space="preserve">akademisk grad i Storbritannia </w:t>
      </w:r>
      <w:r w:rsidR="00403E25">
        <w:t>er nær halvert de siste ti årene</w:t>
      </w:r>
      <w:r w:rsidR="005538D5">
        <w:t xml:space="preserve">, fra </w:t>
      </w:r>
      <w:r w:rsidR="005B66B9">
        <w:t xml:space="preserve">5 000 i 2013 til </w:t>
      </w:r>
      <w:r w:rsidR="00B675FA">
        <w:t xml:space="preserve">i underkant av 2 800 i 2022. </w:t>
      </w:r>
      <w:r w:rsidR="00E62302">
        <w:t>O</w:t>
      </w:r>
      <w:r w:rsidR="00480711">
        <w:t xml:space="preserve">gså Australia har </w:t>
      </w:r>
      <w:r w:rsidR="00E62302">
        <w:t xml:space="preserve">opplevd </w:t>
      </w:r>
      <w:r w:rsidR="004D3769">
        <w:t xml:space="preserve">bortimot </w:t>
      </w:r>
      <w:r w:rsidR="00E62302">
        <w:t xml:space="preserve">en halvering i antall norske </w:t>
      </w:r>
      <w:r w:rsidR="00465C14">
        <w:t xml:space="preserve">gradsstudenter, fra </w:t>
      </w:r>
      <w:r w:rsidR="002120A7">
        <w:t xml:space="preserve">nær 1100 i 2013 til nær 600 </w:t>
      </w:r>
      <w:r w:rsidR="00E955E3">
        <w:t xml:space="preserve">ti år senere. </w:t>
      </w:r>
      <w:r w:rsidR="00BD4D01">
        <w:t xml:space="preserve">Et interessant </w:t>
      </w:r>
      <w:r w:rsidR="004C7AF3">
        <w:t>unntak</w:t>
      </w:r>
      <w:r w:rsidR="002D4543">
        <w:t xml:space="preserve"> er Spania, som </w:t>
      </w:r>
      <w:r w:rsidR="00F234DE">
        <w:t>nå</w:t>
      </w:r>
      <w:r w:rsidR="00BA1574">
        <w:t xml:space="preserve"> har </w:t>
      </w:r>
      <w:r w:rsidR="00187F50">
        <w:t xml:space="preserve">tre og en halv gang så mange norske gradsstudenter </w:t>
      </w:r>
      <w:r w:rsidR="00F234DE">
        <w:t xml:space="preserve">som for ti år siden. </w:t>
      </w:r>
      <w:r w:rsidR="00606812">
        <w:t xml:space="preserve">Dette er </w:t>
      </w:r>
      <w:r w:rsidR="007C7072">
        <w:t xml:space="preserve">ikke overraskende, gitt at spansk </w:t>
      </w:r>
      <w:r w:rsidR="00700565">
        <w:t xml:space="preserve">siden </w:t>
      </w:r>
      <w:r w:rsidR="00214372">
        <w:t>i flere år har vært</w:t>
      </w:r>
      <w:r w:rsidR="007C7072">
        <w:t xml:space="preserve"> det mest populære fremmedspråket </w:t>
      </w:r>
      <w:r w:rsidR="00257F95">
        <w:t xml:space="preserve">både </w:t>
      </w:r>
      <w:r w:rsidR="00AA4C77">
        <w:t>i ungdomsskole</w:t>
      </w:r>
      <w:r w:rsidR="00214372">
        <w:t xml:space="preserve"> og videregående</w:t>
      </w:r>
      <w:r w:rsidR="00AF5ECC">
        <w:t>.</w:t>
      </w:r>
      <w:r w:rsidR="00AF5ECC">
        <w:rPr>
          <w:rStyle w:val="Fotnotereferanse"/>
        </w:rPr>
        <w:footnoteReference w:id="13"/>
      </w:r>
    </w:p>
    <w:p w14:paraId="701D088D" w14:textId="13FC76AC" w:rsidR="00D84632" w:rsidRPr="00422245" w:rsidRDefault="00D84632" w:rsidP="0061300B">
      <w:pPr>
        <w:pStyle w:val="Bildetekst"/>
        <w:keepNext/>
        <w:keepLines/>
      </w:pPr>
      <w:bookmarkStart w:id="76" w:name="_Ref163138456"/>
      <w:r>
        <w:t xml:space="preserve">Figur </w:t>
      </w:r>
      <w:r w:rsidR="006E1D94">
        <w:fldChar w:fldCharType="begin"/>
      </w:r>
      <w:r w:rsidR="006E1D94">
        <w:instrText xml:space="preserve"> STYLEREF 1 \s </w:instrText>
      </w:r>
      <w:r w:rsidR="006E1D94">
        <w:fldChar w:fldCharType="separate"/>
      </w:r>
      <w:r w:rsidR="006E1D94">
        <w:rPr>
          <w:noProof/>
        </w:rPr>
        <w:t>4</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74"/>
      <w:bookmarkEnd w:id="76"/>
      <w:r>
        <w:t xml:space="preserve"> </w:t>
      </w:r>
      <w:r w:rsidRPr="00422245">
        <w:t>Norske gradsstudenter i utlandet, fordelt på land. Antall</w:t>
      </w:r>
      <w:bookmarkEnd w:id="75"/>
    </w:p>
    <w:p w14:paraId="7CC273AE" w14:textId="513D9CE7" w:rsidR="00E4760E" w:rsidRPr="00422245" w:rsidRDefault="007E53E1" w:rsidP="0061300B">
      <w:pPr>
        <w:keepNext/>
        <w:keepLines/>
      </w:pPr>
      <w:r>
        <w:rPr>
          <w:noProof/>
        </w:rPr>
        <w:drawing>
          <wp:inline distT="0" distB="0" distL="0" distR="0" wp14:anchorId="43B91871" wp14:editId="6D8E0928">
            <wp:extent cx="5854890" cy="3507475"/>
            <wp:effectExtent l="0" t="0" r="12700" b="17145"/>
            <wp:docPr id="291314344" name="Diagram 1">
              <a:extLst xmlns:a="http://schemas.openxmlformats.org/drawingml/2006/main">
                <a:ext uri="{FF2B5EF4-FFF2-40B4-BE49-F238E27FC236}">
                  <a16:creationId xmlns:a16="http://schemas.microsoft.com/office/drawing/2014/main" id="{A7A440CF-18A5-A903-8879-5E2D8FA585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0969C9" w14:textId="73E80A69" w:rsidR="00BB34C9" w:rsidRPr="00163310" w:rsidRDefault="00BB34C9" w:rsidP="0061300B">
      <w:pPr>
        <w:pStyle w:val="Merknad"/>
        <w:keepNext/>
        <w:keepLines/>
      </w:pPr>
      <w:r w:rsidRPr="00163310">
        <w:t>Figuren viser norske gradsstudenter i utlandet med støtte fra Lånekasse</w:t>
      </w:r>
      <w:r w:rsidR="00653F1A" w:rsidRPr="00163310">
        <w:t xml:space="preserve">n per </w:t>
      </w:r>
      <w:r w:rsidRPr="00163310">
        <w:t>studieår</w:t>
      </w:r>
    </w:p>
    <w:p w14:paraId="36191E51" w14:textId="044DFE9E" w:rsidR="00A04E35" w:rsidRDefault="00A04E35" w:rsidP="009839F4">
      <w:pPr>
        <w:pStyle w:val="Kilde"/>
        <w:keepNext w:val="0"/>
        <w:keepLines w:val="0"/>
      </w:pPr>
      <w:r w:rsidRPr="004E373E">
        <w:rPr>
          <w:b/>
        </w:rPr>
        <w:t>Kilde</w:t>
      </w:r>
      <w:r>
        <w:t>: Lånekassen</w:t>
      </w:r>
    </w:p>
    <w:p w14:paraId="42926FA5" w14:textId="0C35BCA8" w:rsidR="006A3F80" w:rsidRPr="00422245" w:rsidRDefault="006A3F80" w:rsidP="009839F4">
      <w:pPr>
        <w:pStyle w:val="Overskrift2"/>
        <w:keepNext w:val="0"/>
        <w:keepLines w:val="0"/>
      </w:pPr>
      <w:bookmarkStart w:id="77" w:name="_Toc163488414"/>
      <w:r w:rsidRPr="00422245">
        <w:t>Internasjonale studenter i Norge</w:t>
      </w:r>
      <w:bookmarkEnd w:id="77"/>
    </w:p>
    <w:p w14:paraId="7BD975D3" w14:textId="77777777" w:rsidR="001612E8" w:rsidRPr="00422245" w:rsidRDefault="00217241" w:rsidP="009839F4">
      <w:r w:rsidRPr="00422245">
        <w:rPr>
          <w:highlight w:val="yellow"/>
        </w:rPr>
        <w:t>[Data fra SSB</w:t>
      </w:r>
      <w:r w:rsidR="00D606C4" w:rsidRPr="00422245">
        <w:rPr>
          <w:highlight w:val="yellow"/>
        </w:rPr>
        <w:t xml:space="preserve"> kommer i</w:t>
      </w:r>
      <w:r w:rsidR="00701600" w:rsidRPr="00422245">
        <w:rPr>
          <w:highlight w:val="yellow"/>
        </w:rPr>
        <w:t>nnen</w:t>
      </w:r>
      <w:r w:rsidR="00D606C4" w:rsidRPr="00422245">
        <w:rPr>
          <w:highlight w:val="yellow"/>
        </w:rPr>
        <w:t xml:space="preserve"> </w:t>
      </w:r>
      <w:r w:rsidR="00701600" w:rsidRPr="00422245">
        <w:rPr>
          <w:highlight w:val="yellow"/>
        </w:rPr>
        <w:t xml:space="preserve">25. </w:t>
      </w:r>
      <w:r w:rsidR="00D606C4" w:rsidRPr="00422245">
        <w:rPr>
          <w:highlight w:val="yellow"/>
        </w:rPr>
        <w:t>april</w:t>
      </w:r>
      <w:r w:rsidRPr="00422245">
        <w:rPr>
          <w:highlight w:val="yellow"/>
        </w:rPr>
        <w:t>]</w:t>
      </w:r>
      <w:r w:rsidR="00926D77" w:rsidRPr="00422245">
        <w:t xml:space="preserve"> </w:t>
      </w:r>
    </w:p>
    <w:p w14:paraId="4CF42968" w14:textId="627930FB" w:rsidR="003105C7" w:rsidRPr="00422245" w:rsidRDefault="00926D77" w:rsidP="00405E0C">
      <w:pPr>
        <w:pBdr>
          <w:top w:val="single" w:sz="4" w:space="1" w:color="auto"/>
          <w:left w:val="single" w:sz="4" w:space="4" w:color="auto"/>
          <w:bottom w:val="single" w:sz="4" w:space="1" w:color="auto"/>
          <w:right w:val="single" w:sz="4" w:space="4" w:color="auto"/>
        </w:pBdr>
      </w:pPr>
      <w:r w:rsidRPr="00422245">
        <w:lastRenderedPageBreak/>
        <w:t>Figur 2.15 Internasjonale gradsstudenter i Norge 2013–24, land med flest studenter</w:t>
      </w:r>
      <w:r w:rsidR="00CC314F" w:rsidRPr="00422245">
        <w:t xml:space="preserve"> </w:t>
      </w:r>
      <w:r w:rsidR="00962A1B" w:rsidRPr="00422245">
        <w:t>Lage figur fra V2.58</w:t>
      </w:r>
    </w:p>
    <w:p w14:paraId="1207D175" w14:textId="7BBF8B80" w:rsidR="00E977EA" w:rsidRPr="00422245" w:rsidRDefault="00645546" w:rsidP="00111B9F">
      <w:pPr>
        <w:pStyle w:val="Overskrift2"/>
      </w:pPr>
      <w:bookmarkStart w:id="78" w:name="_Toc163488415"/>
      <w:r w:rsidRPr="00422245">
        <w:t>Institusjonsprofiler - internasjonalisering</w:t>
      </w:r>
      <w:bookmarkEnd w:id="78"/>
    </w:p>
    <w:p w14:paraId="7F363888" w14:textId="5C9563AB" w:rsidR="00431D1C" w:rsidRPr="00422245" w:rsidRDefault="00431D1C" w:rsidP="007120B0">
      <w:r w:rsidRPr="00422245">
        <w:fldChar w:fldCharType="begin"/>
      </w:r>
      <w:r w:rsidRPr="00422245">
        <w:instrText xml:space="preserve"> REF _Ref162264579 \h </w:instrText>
      </w:r>
      <w:r w:rsidRPr="00422245">
        <w:fldChar w:fldCharType="separate"/>
      </w:r>
      <w:r w:rsidRPr="00422245">
        <w:t>Tabell 3.</w:t>
      </w:r>
      <w:r w:rsidR="005B096E">
        <w:rPr>
          <w:noProof/>
        </w:rPr>
        <w:t>2</w:t>
      </w:r>
      <w:r w:rsidRPr="00422245">
        <w:fldChar w:fldCharType="end"/>
      </w:r>
      <w:r w:rsidRPr="00422245">
        <w:t xml:space="preserve"> viser </w:t>
      </w:r>
      <w:r w:rsidR="00D22C45" w:rsidRPr="00422245">
        <w:t xml:space="preserve">institusjonenes profil </w:t>
      </w:r>
      <w:r w:rsidR="009B75FD" w:rsidRPr="00422245">
        <w:t xml:space="preserve">på området internasjonalisering uttrykt gjennom </w:t>
      </w:r>
      <w:r w:rsidR="00916614" w:rsidRPr="00422245">
        <w:t>fire indikat</w:t>
      </w:r>
      <w:r w:rsidR="009142C3" w:rsidRPr="00422245">
        <w:t>orer.</w:t>
      </w:r>
      <w:r w:rsidR="00207E62" w:rsidRPr="00422245">
        <w:t xml:space="preserve"> </w:t>
      </w:r>
      <w:r w:rsidR="00084FBA" w:rsidRPr="00422245">
        <w:t xml:space="preserve">Verdiene er normaliserte mellom 0 og 1 og uttrykker den relative forskjellen mellom </w:t>
      </w:r>
      <w:r w:rsidR="00E5604C" w:rsidRPr="00422245">
        <w:t xml:space="preserve">institusjonene og ikke </w:t>
      </w:r>
      <w:r w:rsidR="00383193" w:rsidRPr="00422245">
        <w:t>noen absolutt størrelse.</w:t>
      </w:r>
      <w:r w:rsidR="00587B1B" w:rsidRPr="00422245">
        <w:t xml:space="preserve"> </w:t>
      </w:r>
      <w:r w:rsidR="00195699" w:rsidRPr="00422245">
        <w:t xml:space="preserve">Tabellen viser hvordan NHH skiller seg helt ut </w:t>
      </w:r>
      <w:r w:rsidR="00190513" w:rsidRPr="00422245">
        <w:t xml:space="preserve">for alle indikatorer knyttet til </w:t>
      </w:r>
      <w:r w:rsidR="00A95BD7" w:rsidRPr="00422245">
        <w:t xml:space="preserve">studentutveksling. </w:t>
      </w:r>
      <w:r w:rsidR="007566B4" w:rsidRPr="00422245">
        <w:t xml:space="preserve">Når vi ser på summen av disse indikatorene </w:t>
      </w:r>
      <w:r w:rsidR="0094436C" w:rsidRPr="00422245">
        <w:t>danner NTNU og</w:t>
      </w:r>
      <w:r w:rsidR="00C46515" w:rsidRPr="00422245">
        <w:t xml:space="preserve"> UiB en liten gruppe etter </w:t>
      </w:r>
      <w:r w:rsidR="000D44DF" w:rsidRPr="00422245">
        <w:t xml:space="preserve">NHH, </w:t>
      </w:r>
      <w:r w:rsidR="00205631" w:rsidRPr="00422245">
        <w:t xml:space="preserve">etterfulgt av UiO. </w:t>
      </w:r>
      <w:r w:rsidR="00DE2DC5" w:rsidRPr="00422245">
        <w:t>Videre har UiA, UiS</w:t>
      </w:r>
      <w:r w:rsidR="00E72E82" w:rsidRPr="00422245">
        <w:t xml:space="preserve">, NMBU og NIH en skår som </w:t>
      </w:r>
      <w:r w:rsidR="00D51857" w:rsidRPr="00422245">
        <w:t xml:space="preserve">skiller dem en del fra </w:t>
      </w:r>
      <w:r w:rsidR="00D83D0D" w:rsidRPr="00422245">
        <w:t>de øvrige institusjonene</w:t>
      </w:r>
      <w:r w:rsidR="009A0D4C" w:rsidRPr="00422245">
        <w:t xml:space="preserve">, der de innbyrdes forskjellene er nokså små. </w:t>
      </w:r>
    </w:p>
    <w:p w14:paraId="3745751F" w14:textId="605A1500" w:rsidR="00FB4077" w:rsidRPr="00422245" w:rsidRDefault="00FB4077" w:rsidP="00FB4077">
      <w:pPr>
        <w:pStyle w:val="Bildetekst"/>
        <w:keepNext/>
      </w:pPr>
      <w:bookmarkStart w:id="79" w:name="_Ref162264579"/>
      <w:r w:rsidRPr="00422245">
        <w:t xml:space="preserve">Tabell </w:t>
      </w:r>
      <w:r w:rsidR="00826DA7">
        <w:fldChar w:fldCharType="begin"/>
      </w:r>
      <w:r w:rsidR="00826DA7">
        <w:instrText xml:space="preserve"> STYLEREF 1 \s </w:instrText>
      </w:r>
      <w:r w:rsidR="00826DA7">
        <w:fldChar w:fldCharType="separate"/>
      </w:r>
      <w:r w:rsidR="00826DA7">
        <w:rPr>
          <w:noProof/>
        </w:rPr>
        <w:t>4</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2</w:t>
      </w:r>
      <w:r w:rsidR="00826DA7">
        <w:fldChar w:fldCharType="end"/>
      </w:r>
      <w:bookmarkEnd w:id="79"/>
      <w:r w:rsidRPr="00422245">
        <w:t xml:space="preserve"> Institusjonenes relative skår på 4 indikatorer for internasjonalisering</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FE7E6B" w:rsidRPr="00422245" w14:paraId="73A3CC78" w14:textId="77777777" w:rsidTr="00FE7E6B">
        <w:trPr>
          <w:trHeight w:val="900"/>
        </w:trPr>
        <w:tc>
          <w:tcPr>
            <w:tcW w:w="1200" w:type="dxa"/>
            <w:tcBorders>
              <w:top w:val="nil"/>
              <w:left w:val="nil"/>
              <w:bottom w:val="nil"/>
              <w:right w:val="nil"/>
            </w:tcBorders>
            <w:shd w:val="clear" w:color="auto" w:fill="auto"/>
            <w:noWrap/>
            <w:vAlign w:val="bottom"/>
            <w:hideMark/>
          </w:tcPr>
          <w:p w14:paraId="0BFDB778" w14:textId="77777777" w:rsidR="00FE7E6B" w:rsidRPr="00422245" w:rsidRDefault="00FE7E6B" w:rsidP="00FE7E6B">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vAlign w:val="bottom"/>
            <w:hideMark/>
          </w:tcPr>
          <w:p w14:paraId="1F741FBB" w14:textId="77777777" w:rsidR="00FE7E6B" w:rsidRPr="00422245" w:rsidRDefault="00FE7E6B" w:rsidP="00FE7E6B">
            <w:pPr>
              <w:spacing w:after="0" w:line="240" w:lineRule="auto"/>
              <w:rPr>
                <w:rFonts w:ascii="Calibri" w:eastAsia="Times New Roman" w:hAnsi="Calibri" w:cs="Calibri"/>
                <w:b/>
                <w:bCs/>
                <w:color w:val="000000"/>
                <w:lang w:eastAsia="nb-NO"/>
              </w:rPr>
            </w:pPr>
            <w:r w:rsidRPr="00422245">
              <w:rPr>
                <w:rFonts w:ascii="Calibri" w:eastAsia="Times New Roman" w:hAnsi="Calibri" w:cs="Calibri"/>
                <w:b/>
                <w:bCs/>
                <w:color w:val="000000"/>
                <w:lang w:eastAsia="nb-NO"/>
              </w:rPr>
              <w:t>Erasmus ut</w:t>
            </w:r>
          </w:p>
        </w:tc>
        <w:tc>
          <w:tcPr>
            <w:tcW w:w="1200" w:type="dxa"/>
            <w:tcBorders>
              <w:top w:val="nil"/>
              <w:left w:val="nil"/>
              <w:bottom w:val="nil"/>
              <w:right w:val="nil"/>
            </w:tcBorders>
            <w:shd w:val="clear" w:color="auto" w:fill="auto"/>
            <w:vAlign w:val="bottom"/>
            <w:hideMark/>
          </w:tcPr>
          <w:p w14:paraId="44F2180F" w14:textId="77777777" w:rsidR="00FE7E6B" w:rsidRPr="00422245" w:rsidRDefault="00FE7E6B" w:rsidP="00FE7E6B">
            <w:pPr>
              <w:spacing w:after="0" w:line="240" w:lineRule="auto"/>
              <w:rPr>
                <w:rFonts w:ascii="Calibri" w:eastAsia="Times New Roman" w:hAnsi="Calibri" w:cs="Calibri"/>
                <w:b/>
                <w:bCs/>
                <w:color w:val="000000"/>
                <w:lang w:eastAsia="nb-NO"/>
              </w:rPr>
            </w:pPr>
            <w:r w:rsidRPr="00422245">
              <w:rPr>
                <w:rFonts w:ascii="Calibri" w:eastAsia="Times New Roman" w:hAnsi="Calibri" w:cs="Calibri"/>
                <w:b/>
                <w:bCs/>
                <w:color w:val="000000"/>
                <w:lang w:eastAsia="nb-NO"/>
              </w:rPr>
              <w:t>Ut per reg stud</w:t>
            </w:r>
          </w:p>
        </w:tc>
        <w:tc>
          <w:tcPr>
            <w:tcW w:w="1200" w:type="dxa"/>
            <w:tcBorders>
              <w:top w:val="nil"/>
              <w:left w:val="nil"/>
              <w:bottom w:val="nil"/>
              <w:right w:val="nil"/>
            </w:tcBorders>
            <w:shd w:val="clear" w:color="auto" w:fill="auto"/>
            <w:vAlign w:val="bottom"/>
            <w:hideMark/>
          </w:tcPr>
          <w:p w14:paraId="1691CA19" w14:textId="77777777" w:rsidR="00FE7E6B" w:rsidRPr="00422245" w:rsidRDefault="00FE7E6B" w:rsidP="00FE7E6B">
            <w:pPr>
              <w:spacing w:after="0" w:line="240" w:lineRule="auto"/>
              <w:rPr>
                <w:rFonts w:ascii="Calibri" w:eastAsia="Times New Roman" w:hAnsi="Calibri" w:cs="Calibri"/>
                <w:b/>
                <w:bCs/>
                <w:color w:val="000000"/>
                <w:lang w:eastAsia="nb-NO"/>
              </w:rPr>
            </w:pPr>
            <w:r w:rsidRPr="00422245">
              <w:rPr>
                <w:rFonts w:ascii="Calibri" w:eastAsia="Times New Roman" w:hAnsi="Calibri" w:cs="Calibri"/>
                <w:b/>
                <w:bCs/>
                <w:color w:val="000000"/>
                <w:lang w:eastAsia="nb-NO"/>
              </w:rPr>
              <w:t>Inn per reg stud</w:t>
            </w:r>
          </w:p>
        </w:tc>
        <w:tc>
          <w:tcPr>
            <w:tcW w:w="1200" w:type="dxa"/>
            <w:tcBorders>
              <w:top w:val="nil"/>
              <w:left w:val="nil"/>
              <w:bottom w:val="nil"/>
              <w:right w:val="nil"/>
            </w:tcBorders>
            <w:shd w:val="clear" w:color="auto" w:fill="auto"/>
            <w:vAlign w:val="bottom"/>
            <w:hideMark/>
          </w:tcPr>
          <w:p w14:paraId="7202E1F8" w14:textId="77777777" w:rsidR="00FE7E6B" w:rsidRPr="00422245" w:rsidRDefault="00FE7E6B" w:rsidP="00FE7E6B">
            <w:pPr>
              <w:spacing w:after="0" w:line="240" w:lineRule="auto"/>
              <w:rPr>
                <w:rFonts w:ascii="Calibri" w:eastAsia="Times New Roman" w:hAnsi="Calibri" w:cs="Calibri"/>
                <w:b/>
                <w:bCs/>
                <w:color w:val="000000"/>
                <w:lang w:eastAsia="nb-NO"/>
              </w:rPr>
            </w:pPr>
            <w:r w:rsidRPr="00422245">
              <w:rPr>
                <w:rFonts w:ascii="Calibri" w:eastAsia="Times New Roman" w:hAnsi="Calibri" w:cs="Calibri"/>
                <w:b/>
                <w:bCs/>
                <w:color w:val="000000"/>
                <w:lang w:eastAsia="nb-NO"/>
              </w:rPr>
              <w:t>EU-midler per faglig årsv.</w:t>
            </w:r>
          </w:p>
        </w:tc>
      </w:tr>
      <w:tr w:rsidR="00FE7E6B" w:rsidRPr="00422245" w14:paraId="7ED37BBD" w14:textId="77777777" w:rsidTr="00FE7E6B">
        <w:trPr>
          <w:trHeight w:val="300"/>
        </w:trPr>
        <w:tc>
          <w:tcPr>
            <w:tcW w:w="1200" w:type="dxa"/>
            <w:tcBorders>
              <w:top w:val="nil"/>
              <w:left w:val="nil"/>
              <w:bottom w:val="nil"/>
              <w:right w:val="nil"/>
            </w:tcBorders>
            <w:shd w:val="clear" w:color="auto" w:fill="auto"/>
            <w:noWrap/>
            <w:vAlign w:val="bottom"/>
            <w:hideMark/>
          </w:tcPr>
          <w:p w14:paraId="6DE80EA7"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NHH </w:t>
            </w:r>
          </w:p>
        </w:tc>
        <w:tc>
          <w:tcPr>
            <w:tcW w:w="1200" w:type="dxa"/>
            <w:tcBorders>
              <w:top w:val="nil"/>
              <w:left w:val="nil"/>
              <w:bottom w:val="nil"/>
              <w:right w:val="nil"/>
            </w:tcBorders>
            <w:shd w:val="clear" w:color="000000" w:fill="5B9BD5"/>
            <w:noWrap/>
            <w:vAlign w:val="bottom"/>
            <w:hideMark/>
          </w:tcPr>
          <w:p w14:paraId="7A870EA1"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1,00</w:t>
            </w:r>
          </w:p>
        </w:tc>
        <w:tc>
          <w:tcPr>
            <w:tcW w:w="1200" w:type="dxa"/>
            <w:tcBorders>
              <w:top w:val="nil"/>
              <w:left w:val="nil"/>
              <w:bottom w:val="nil"/>
              <w:right w:val="nil"/>
            </w:tcBorders>
            <w:shd w:val="clear" w:color="000000" w:fill="5B9BD5"/>
            <w:noWrap/>
            <w:vAlign w:val="bottom"/>
            <w:hideMark/>
          </w:tcPr>
          <w:p w14:paraId="2A49415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1,00</w:t>
            </w:r>
          </w:p>
        </w:tc>
        <w:tc>
          <w:tcPr>
            <w:tcW w:w="1200" w:type="dxa"/>
            <w:tcBorders>
              <w:top w:val="nil"/>
              <w:left w:val="nil"/>
              <w:bottom w:val="nil"/>
              <w:right w:val="nil"/>
            </w:tcBorders>
            <w:shd w:val="clear" w:color="000000" w:fill="5B9BD5"/>
            <w:noWrap/>
            <w:vAlign w:val="bottom"/>
            <w:hideMark/>
          </w:tcPr>
          <w:p w14:paraId="575C23AF"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1,00</w:t>
            </w:r>
          </w:p>
        </w:tc>
        <w:tc>
          <w:tcPr>
            <w:tcW w:w="1200" w:type="dxa"/>
            <w:tcBorders>
              <w:top w:val="nil"/>
              <w:left w:val="nil"/>
              <w:bottom w:val="nil"/>
              <w:right w:val="nil"/>
            </w:tcBorders>
            <w:shd w:val="clear" w:color="000000" w:fill="FFFFFF"/>
            <w:noWrap/>
            <w:vAlign w:val="bottom"/>
            <w:hideMark/>
          </w:tcPr>
          <w:p w14:paraId="04D1C732"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r>
      <w:tr w:rsidR="00FE7E6B" w:rsidRPr="00422245" w14:paraId="1D3C2126" w14:textId="77777777" w:rsidTr="00FE7E6B">
        <w:trPr>
          <w:trHeight w:val="300"/>
        </w:trPr>
        <w:tc>
          <w:tcPr>
            <w:tcW w:w="1200" w:type="dxa"/>
            <w:tcBorders>
              <w:top w:val="nil"/>
              <w:left w:val="nil"/>
              <w:bottom w:val="nil"/>
              <w:right w:val="nil"/>
            </w:tcBorders>
            <w:shd w:val="clear" w:color="auto" w:fill="auto"/>
            <w:noWrap/>
            <w:vAlign w:val="bottom"/>
            <w:hideMark/>
          </w:tcPr>
          <w:p w14:paraId="123EF2CE"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NTNU </w:t>
            </w:r>
          </w:p>
        </w:tc>
        <w:tc>
          <w:tcPr>
            <w:tcW w:w="1200" w:type="dxa"/>
            <w:tcBorders>
              <w:top w:val="nil"/>
              <w:left w:val="nil"/>
              <w:bottom w:val="nil"/>
              <w:right w:val="nil"/>
            </w:tcBorders>
            <w:shd w:val="clear" w:color="000000" w:fill="CFE2F3"/>
            <w:noWrap/>
            <w:vAlign w:val="bottom"/>
            <w:hideMark/>
          </w:tcPr>
          <w:p w14:paraId="13F5871B"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0,30</w:t>
            </w:r>
          </w:p>
        </w:tc>
        <w:tc>
          <w:tcPr>
            <w:tcW w:w="1200" w:type="dxa"/>
            <w:tcBorders>
              <w:top w:val="nil"/>
              <w:left w:val="nil"/>
              <w:bottom w:val="nil"/>
              <w:right w:val="nil"/>
            </w:tcBorders>
            <w:shd w:val="clear" w:color="000000" w:fill="D8E8F5"/>
            <w:noWrap/>
            <w:vAlign w:val="bottom"/>
            <w:hideMark/>
          </w:tcPr>
          <w:p w14:paraId="4D4CC81C"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0,24</w:t>
            </w:r>
          </w:p>
        </w:tc>
        <w:tc>
          <w:tcPr>
            <w:tcW w:w="1200" w:type="dxa"/>
            <w:tcBorders>
              <w:top w:val="nil"/>
              <w:left w:val="nil"/>
              <w:bottom w:val="nil"/>
              <w:right w:val="nil"/>
            </w:tcBorders>
            <w:shd w:val="clear" w:color="000000" w:fill="CADFF2"/>
            <w:noWrap/>
            <w:vAlign w:val="bottom"/>
            <w:hideMark/>
          </w:tcPr>
          <w:p w14:paraId="15A5C7F2"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0,33</w:t>
            </w:r>
          </w:p>
        </w:tc>
        <w:tc>
          <w:tcPr>
            <w:tcW w:w="1200" w:type="dxa"/>
            <w:tcBorders>
              <w:top w:val="nil"/>
              <w:left w:val="nil"/>
              <w:bottom w:val="nil"/>
              <w:right w:val="nil"/>
            </w:tcBorders>
            <w:shd w:val="clear" w:color="000000" w:fill="5B9BD5"/>
            <w:noWrap/>
            <w:vAlign w:val="bottom"/>
            <w:hideMark/>
          </w:tcPr>
          <w:p w14:paraId="13F4465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0,71</w:t>
            </w:r>
          </w:p>
        </w:tc>
      </w:tr>
      <w:tr w:rsidR="00FE7E6B" w:rsidRPr="00422245" w14:paraId="1DB82868" w14:textId="77777777" w:rsidTr="00FE7E6B">
        <w:trPr>
          <w:trHeight w:val="300"/>
        </w:trPr>
        <w:tc>
          <w:tcPr>
            <w:tcW w:w="1200" w:type="dxa"/>
            <w:tcBorders>
              <w:top w:val="nil"/>
              <w:left w:val="nil"/>
              <w:bottom w:val="nil"/>
              <w:right w:val="nil"/>
            </w:tcBorders>
            <w:shd w:val="clear" w:color="auto" w:fill="auto"/>
            <w:noWrap/>
            <w:vAlign w:val="bottom"/>
            <w:hideMark/>
          </w:tcPr>
          <w:p w14:paraId="26D06D99"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UiB </w:t>
            </w:r>
          </w:p>
        </w:tc>
        <w:tc>
          <w:tcPr>
            <w:tcW w:w="1200" w:type="dxa"/>
            <w:tcBorders>
              <w:top w:val="nil"/>
              <w:left w:val="nil"/>
              <w:bottom w:val="nil"/>
              <w:right w:val="nil"/>
            </w:tcBorders>
            <w:shd w:val="clear" w:color="000000" w:fill="CBDFF2"/>
            <w:noWrap/>
            <w:vAlign w:val="bottom"/>
            <w:hideMark/>
          </w:tcPr>
          <w:p w14:paraId="2509424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0,32</w:t>
            </w:r>
          </w:p>
        </w:tc>
        <w:tc>
          <w:tcPr>
            <w:tcW w:w="1200" w:type="dxa"/>
            <w:tcBorders>
              <w:top w:val="nil"/>
              <w:left w:val="nil"/>
              <w:bottom w:val="nil"/>
              <w:right w:val="nil"/>
            </w:tcBorders>
            <w:shd w:val="clear" w:color="000000" w:fill="D8E8F5"/>
            <w:noWrap/>
            <w:vAlign w:val="bottom"/>
            <w:hideMark/>
          </w:tcPr>
          <w:p w14:paraId="6F4154E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0,24</w:t>
            </w:r>
          </w:p>
        </w:tc>
        <w:tc>
          <w:tcPr>
            <w:tcW w:w="1200" w:type="dxa"/>
            <w:tcBorders>
              <w:top w:val="nil"/>
              <w:left w:val="nil"/>
              <w:bottom w:val="nil"/>
              <w:right w:val="nil"/>
            </w:tcBorders>
            <w:shd w:val="clear" w:color="000000" w:fill="B0CFEB"/>
            <w:noWrap/>
            <w:vAlign w:val="bottom"/>
            <w:hideMark/>
          </w:tcPr>
          <w:p w14:paraId="3862B5A0"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0,48</w:t>
            </w:r>
          </w:p>
        </w:tc>
        <w:tc>
          <w:tcPr>
            <w:tcW w:w="1200" w:type="dxa"/>
            <w:tcBorders>
              <w:top w:val="nil"/>
              <w:left w:val="nil"/>
              <w:bottom w:val="nil"/>
              <w:right w:val="nil"/>
            </w:tcBorders>
            <w:shd w:val="clear" w:color="000000" w:fill="93BDE4"/>
            <w:noWrap/>
            <w:vAlign w:val="bottom"/>
            <w:hideMark/>
          </w:tcPr>
          <w:p w14:paraId="3DDE8C46"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0,47</w:t>
            </w:r>
          </w:p>
        </w:tc>
      </w:tr>
      <w:tr w:rsidR="00FE7E6B" w:rsidRPr="00422245" w14:paraId="24960355" w14:textId="77777777" w:rsidTr="00FE7E6B">
        <w:trPr>
          <w:trHeight w:val="300"/>
        </w:trPr>
        <w:tc>
          <w:tcPr>
            <w:tcW w:w="1200" w:type="dxa"/>
            <w:tcBorders>
              <w:top w:val="nil"/>
              <w:left w:val="nil"/>
              <w:bottom w:val="nil"/>
              <w:right w:val="nil"/>
            </w:tcBorders>
            <w:shd w:val="clear" w:color="auto" w:fill="auto"/>
            <w:noWrap/>
            <w:vAlign w:val="bottom"/>
            <w:hideMark/>
          </w:tcPr>
          <w:p w14:paraId="3CF2E27E"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UiO </w:t>
            </w:r>
          </w:p>
        </w:tc>
        <w:tc>
          <w:tcPr>
            <w:tcW w:w="1200" w:type="dxa"/>
            <w:tcBorders>
              <w:top w:val="nil"/>
              <w:left w:val="nil"/>
              <w:bottom w:val="nil"/>
              <w:right w:val="nil"/>
            </w:tcBorders>
            <w:shd w:val="clear" w:color="000000" w:fill="DDEBF7"/>
            <w:noWrap/>
            <w:vAlign w:val="bottom"/>
            <w:hideMark/>
          </w:tcPr>
          <w:p w14:paraId="4CE7C4E7"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0,21</w:t>
            </w:r>
          </w:p>
        </w:tc>
        <w:tc>
          <w:tcPr>
            <w:tcW w:w="1200" w:type="dxa"/>
            <w:tcBorders>
              <w:top w:val="nil"/>
              <w:left w:val="nil"/>
              <w:bottom w:val="nil"/>
              <w:right w:val="nil"/>
            </w:tcBorders>
            <w:shd w:val="clear" w:color="000000" w:fill="E1EDF8"/>
            <w:noWrap/>
            <w:vAlign w:val="bottom"/>
            <w:hideMark/>
          </w:tcPr>
          <w:p w14:paraId="7279B68B"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0,19</w:t>
            </w:r>
          </w:p>
        </w:tc>
        <w:tc>
          <w:tcPr>
            <w:tcW w:w="1200" w:type="dxa"/>
            <w:tcBorders>
              <w:top w:val="nil"/>
              <w:left w:val="nil"/>
              <w:bottom w:val="nil"/>
              <w:right w:val="nil"/>
            </w:tcBorders>
            <w:shd w:val="clear" w:color="000000" w:fill="C4DBF0"/>
            <w:noWrap/>
            <w:vAlign w:val="bottom"/>
            <w:hideMark/>
          </w:tcPr>
          <w:p w14:paraId="425CF087"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0,36</w:t>
            </w:r>
          </w:p>
        </w:tc>
        <w:tc>
          <w:tcPr>
            <w:tcW w:w="1200" w:type="dxa"/>
            <w:tcBorders>
              <w:top w:val="nil"/>
              <w:left w:val="nil"/>
              <w:bottom w:val="nil"/>
              <w:right w:val="nil"/>
            </w:tcBorders>
            <w:shd w:val="clear" w:color="000000" w:fill="88B7E1"/>
            <w:noWrap/>
            <w:vAlign w:val="bottom"/>
            <w:hideMark/>
          </w:tcPr>
          <w:p w14:paraId="0284329B"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0,52</w:t>
            </w:r>
          </w:p>
        </w:tc>
      </w:tr>
      <w:tr w:rsidR="00FE7E6B" w:rsidRPr="00422245" w14:paraId="4789DAC5" w14:textId="77777777" w:rsidTr="00FE7E6B">
        <w:trPr>
          <w:trHeight w:val="300"/>
        </w:trPr>
        <w:tc>
          <w:tcPr>
            <w:tcW w:w="1200" w:type="dxa"/>
            <w:tcBorders>
              <w:top w:val="nil"/>
              <w:left w:val="nil"/>
              <w:bottom w:val="nil"/>
              <w:right w:val="nil"/>
            </w:tcBorders>
            <w:shd w:val="clear" w:color="auto" w:fill="auto"/>
            <w:noWrap/>
            <w:vAlign w:val="bottom"/>
            <w:hideMark/>
          </w:tcPr>
          <w:p w14:paraId="2A0A8F00"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UiA </w:t>
            </w:r>
          </w:p>
        </w:tc>
        <w:tc>
          <w:tcPr>
            <w:tcW w:w="1200" w:type="dxa"/>
            <w:tcBorders>
              <w:top w:val="nil"/>
              <w:left w:val="nil"/>
              <w:bottom w:val="nil"/>
              <w:right w:val="nil"/>
            </w:tcBorders>
            <w:shd w:val="clear" w:color="000000" w:fill="E9F2FA"/>
            <w:noWrap/>
            <w:vAlign w:val="bottom"/>
            <w:hideMark/>
          </w:tcPr>
          <w:p w14:paraId="721CC98A"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0,14</w:t>
            </w:r>
          </w:p>
        </w:tc>
        <w:tc>
          <w:tcPr>
            <w:tcW w:w="1200" w:type="dxa"/>
            <w:tcBorders>
              <w:top w:val="nil"/>
              <w:left w:val="nil"/>
              <w:bottom w:val="nil"/>
              <w:right w:val="nil"/>
            </w:tcBorders>
            <w:shd w:val="clear" w:color="000000" w:fill="DBE9F6"/>
            <w:noWrap/>
            <w:vAlign w:val="bottom"/>
            <w:hideMark/>
          </w:tcPr>
          <w:p w14:paraId="556CAB77"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0,22</w:t>
            </w:r>
          </w:p>
        </w:tc>
        <w:tc>
          <w:tcPr>
            <w:tcW w:w="1200" w:type="dxa"/>
            <w:tcBorders>
              <w:top w:val="nil"/>
              <w:left w:val="nil"/>
              <w:bottom w:val="nil"/>
              <w:right w:val="nil"/>
            </w:tcBorders>
            <w:shd w:val="clear" w:color="000000" w:fill="DCEAF6"/>
            <w:noWrap/>
            <w:vAlign w:val="bottom"/>
            <w:hideMark/>
          </w:tcPr>
          <w:p w14:paraId="44FAE9A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0,21</w:t>
            </w:r>
          </w:p>
        </w:tc>
        <w:tc>
          <w:tcPr>
            <w:tcW w:w="1200" w:type="dxa"/>
            <w:tcBorders>
              <w:top w:val="nil"/>
              <w:left w:val="nil"/>
              <w:bottom w:val="nil"/>
              <w:right w:val="nil"/>
            </w:tcBorders>
            <w:shd w:val="clear" w:color="000000" w:fill="7CAFDE"/>
            <w:noWrap/>
            <w:vAlign w:val="bottom"/>
            <w:hideMark/>
          </w:tcPr>
          <w:p w14:paraId="68E22A9E"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0,57</w:t>
            </w:r>
          </w:p>
        </w:tc>
      </w:tr>
      <w:tr w:rsidR="00FE7E6B" w:rsidRPr="00422245" w14:paraId="4571E358" w14:textId="77777777" w:rsidTr="00FE7E6B">
        <w:trPr>
          <w:trHeight w:val="300"/>
        </w:trPr>
        <w:tc>
          <w:tcPr>
            <w:tcW w:w="1200" w:type="dxa"/>
            <w:tcBorders>
              <w:top w:val="nil"/>
              <w:left w:val="nil"/>
              <w:bottom w:val="nil"/>
              <w:right w:val="nil"/>
            </w:tcBorders>
            <w:shd w:val="clear" w:color="auto" w:fill="auto"/>
            <w:noWrap/>
            <w:vAlign w:val="bottom"/>
            <w:hideMark/>
          </w:tcPr>
          <w:p w14:paraId="0E9A9C93"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UiS </w:t>
            </w:r>
          </w:p>
        </w:tc>
        <w:tc>
          <w:tcPr>
            <w:tcW w:w="1200" w:type="dxa"/>
            <w:tcBorders>
              <w:top w:val="nil"/>
              <w:left w:val="nil"/>
              <w:bottom w:val="nil"/>
              <w:right w:val="nil"/>
            </w:tcBorders>
            <w:shd w:val="clear" w:color="000000" w:fill="F1F7FC"/>
            <w:noWrap/>
            <w:vAlign w:val="bottom"/>
            <w:hideMark/>
          </w:tcPr>
          <w:p w14:paraId="5C75612F"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0,09</w:t>
            </w:r>
          </w:p>
        </w:tc>
        <w:tc>
          <w:tcPr>
            <w:tcW w:w="1200" w:type="dxa"/>
            <w:tcBorders>
              <w:top w:val="nil"/>
              <w:left w:val="nil"/>
              <w:bottom w:val="nil"/>
              <w:right w:val="nil"/>
            </w:tcBorders>
            <w:shd w:val="clear" w:color="000000" w:fill="ECF4FA"/>
            <w:noWrap/>
            <w:vAlign w:val="bottom"/>
            <w:hideMark/>
          </w:tcPr>
          <w:p w14:paraId="1E1E213E"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0,12</w:t>
            </w:r>
          </w:p>
        </w:tc>
        <w:tc>
          <w:tcPr>
            <w:tcW w:w="1200" w:type="dxa"/>
            <w:tcBorders>
              <w:top w:val="nil"/>
              <w:left w:val="nil"/>
              <w:bottom w:val="nil"/>
              <w:right w:val="nil"/>
            </w:tcBorders>
            <w:shd w:val="clear" w:color="000000" w:fill="DAE9F6"/>
            <w:noWrap/>
            <w:vAlign w:val="bottom"/>
            <w:hideMark/>
          </w:tcPr>
          <w:p w14:paraId="04EE00D9"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0,23</w:t>
            </w:r>
          </w:p>
        </w:tc>
        <w:tc>
          <w:tcPr>
            <w:tcW w:w="1200" w:type="dxa"/>
            <w:tcBorders>
              <w:top w:val="nil"/>
              <w:left w:val="nil"/>
              <w:bottom w:val="nil"/>
              <w:right w:val="nil"/>
            </w:tcBorders>
            <w:shd w:val="clear" w:color="000000" w:fill="619FD7"/>
            <w:noWrap/>
            <w:vAlign w:val="bottom"/>
            <w:hideMark/>
          </w:tcPr>
          <w:p w14:paraId="39A33696"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0,69</w:t>
            </w:r>
          </w:p>
        </w:tc>
      </w:tr>
      <w:tr w:rsidR="00FE7E6B" w:rsidRPr="00422245" w14:paraId="02CBA3A9" w14:textId="77777777" w:rsidTr="00FE7E6B">
        <w:trPr>
          <w:trHeight w:val="300"/>
        </w:trPr>
        <w:tc>
          <w:tcPr>
            <w:tcW w:w="1200" w:type="dxa"/>
            <w:tcBorders>
              <w:top w:val="nil"/>
              <w:left w:val="nil"/>
              <w:bottom w:val="nil"/>
              <w:right w:val="nil"/>
            </w:tcBorders>
            <w:shd w:val="clear" w:color="auto" w:fill="auto"/>
            <w:noWrap/>
            <w:vAlign w:val="bottom"/>
            <w:hideMark/>
          </w:tcPr>
          <w:p w14:paraId="3D2B926B"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NMBU </w:t>
            </w:r>
          </w:p>
        </w:tc>
        <w:tc>
          <w:tcPr>
            <w:tcW w:w="1200" w:type="dxa"/>
            <w:tcBorders>
              <w:top w:val="nil"/>
              <w:left w:val="nil"/>
              <w:bottom w:val="nil"/>
              <w:right w:val="nil"/>
            </w:tcBorders>
            <w:shd w:val="clear" w:color="000000" w:fill="E3EEF8"/>
            <w:noWrap/>
            <w:vAlign w:val="bottom"/>
            <w:hideMark/>
          </w:tcPr>
          <w:p w14:paraId="4B9CD87B"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0,17</w:t>
            </w:r>
          </w:p>
        </w:tc>
        <w:tc>
          <w:tcPr>
            <w:tcW w:w="1200" w:type="dxa"/>
            <w:tcBorders>
              <w:top w:val="nil"/>
              <w:left w:val="nil"/>
              <w:bottom w:val="nil"/>
              <w:right w:val="nil"/>
            </w:tcBorders>
            <w:shd w:val="clear" w:color="000000" w:fill="E7F1F9"/>
            <w:noWrap/>
            <w:vAlign w:val="bottom"/>
            <w:hideMark/>
          </w:tcPr>
          <w:p w14:paraId="5B29B6B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0,15</w:t>
            </w:r>
          </w:p>
        </w:tc>
        <w:tc>
          <w:tcPr>
            <w:tcW w:w="1200" w:type="dxa"/>
            <w:tcBorders>
              <w:top w:val="nil"/>
              <w:left w:val="nil"/>
              <w:bottom w:val="nil"/>
              <w:right w:val="nil"/>
            </w:tcBorders>
            <w:shd w:val="clear" w:color="000000" w:fill="E0ECF7"/>
            <w:noWrap/>
            <w:vAlign w:val="bottom"/>
            <w:hideMark/>
          </w:tcPr>
          <w:p w14:paraId="6A53174A"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0,19</w:t>
            </w:r>
          </w:p>
        </w:tc>
        <w:tc>
          <w:tcPr>
            <w:tcW w:w="1200" w:type="dxa"/>
            <w:tcBorders>
              <w:top w:val="nil"/>
              <w:left w:val="nil"/>
              <w:bottom w:val="nil"/>
              <w:right w:val="nil"/>
            </w:tcBorders>
            <w:shd w:val="clear" w:color="000000" w:fill="8CB9E2"/>
            <w:noWrap/>
            <w:vAlign w:val="bottom"/>
            <w:hideMark/>
          </w:tcPr>
          <w:p w14:paraId="10B17469"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0,50</w:t>
            </w:r>
          </w:p>
        </w:tc>
      </w:tr>
      <w:tr w:rsidR="00FE7E6B" w:rsidRPr="00422245" w14:paraId="171D7214" w14:textId="77777777" w:rsidTr="00FE7E6B">
        <w:trPr>
          <w:trHeight w:val="300"/>
        </w:trPr>
        <w:tc>
          <w:tcPr>
            <w:tcW w:w="1200" w:type="dxa"/>
            <w:tcBorders>
              <w:top w:val="nil"/>
              <w:left w:val="nil"/>
              <w:bottom w:val="nil"/>
              <w:right w:val="nil"/>
            </w:tcBorders>
            <w:shd w:val="clear" w:color="auto" w:fill="auto"/>
            <w:noWrap/>
            <w:vAlign w:val="bottom"/>
            <w:hideMark/>
          </w:tcPr>
          <w:p w14:paraId="595230C2"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NIH </w:t>
            </w:r>
          </w:p>
        </w:tc>
        <w:tc>
          <w:tcPr>
            <w:tcW w:w="1200" w:type="dxa"/>
            <w:tcBorders>
              <w:top w:val="nil"/>
              <w:left w:val="nil"/>
              <w:bottom w:val="nil"/>
              <w:right w:val="nil"/>
            </w:tcBorders>
            <w:shd w:val="clear" w:color="000000" w:fill="EDF4FB"/>
            <w:noWrap/>
            <w:vAlign w:val="bottom"/>
            <w:hideMark/>
          </w:tcPr>
          <w:p w14:paraId="41255C51"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0,11</w:t>
            </w:r>
          </w:p>
        </w:tc>
        <w:tc>
          <w:tcPr>
            <w:tcW w:w="1200" w:type="dxa"/>
            <w:tcBorders>
              <w:top w:val="nil"/>
              <w:left w:val="nil"/>
              <w:bottom w:val="nil"/>
              <w:right w:val="nil"/>
            </w:tcBorders>
            <w:shd w:val="clear" w:color="000000" w:fill="EAF2FA"/>
            <w:noWrap/>
            <w:vAlign w:val="bottom"/>
            <w:hideMark/>
          </w:tcPr>
          <w:p w14:paraId="5153781A"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0,13</w:t>
            </w:r>
          </w:p>
        </w:tc>
        <w:tc>
          <w:tcPr>
            <w:tcW w:w="1200" w:type="dxa"/>
            <w:tcBorders>
              <w:top w:val="nil"/>
              <w:left w:val="nil"/>
              <w:bottom w:val="nil"/>
              <w:right w:val="nil"/>
            </w:tcBorders>
            <w:shd w:val="clear" w:color="000000" w:fill="B9D5ED"/>
            <w:noWrap/>
            <w:vAlign w:val="bottom"/>
            <w:hideMark/>
          </w:tcPr>
          <w:p w14:paraId="0A334DC6"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0,43</w:t>
            </w:r>
          </w:p>
        </w:tc>
        <w:tc>
          <w:tcPr>
            <w:tcW w:w="1200" w:type="dxa"/>
            <w:tcBorders>
              <w:top w:val="nil"/>
              <w:left w:val="nil"/>
              <w:bottom w:val="nil"/>
              <w:right w:val="nil"/>
            </w:tcBorders>
            <w:shd w:val="clear" w:color="000000" w:fill="B4D1EC"/>
            <w:noWrap/>
            <w:vAlign w:val="bottom"/>
            <w:hideMark/>
          </w:tcPr>
          <w:p w14:paraId="6D3B4D9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0,33</w:t>
            </w:r>
          </w:p>
        </w:tc>
      </w:tr>
      <w:tr w:rsidR="00FE7E6B" w:rsidRPr="00422245" w14:paraId="5411C6D2" w14:textId="77777777" w:rsidTr="00FE7E6B">
        <w:trPr>
          <w:trHeight w:val="300"/>
        </w:trPr>
        <w:tc>
          <w:tcPr>
            <w:tcW w:w="1200" w:type="dxa"/>
            <w:tcBorders>
              <w:top w:val="nil"/>
              <w:left w:val="nil"/>
              <w:bottom w:val="nil"/>
              <w:right w:val="nil"/>
            </w:tcBorders>
            <w:shd w:val="clear" w:color="auto" w:fill="auto"/>
            <w:noWrap/>
            <w:vAlign w:val="bottom"/>
            <w:hideMark/>
          </w:tcPr>
          <w:p w14:paraId="5FAE2E6C"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UiT </w:t>
            </w:r>
          </w:p>
        </w:tc>
        <w:tc>
          <w:tcPr>
            <w:tcW w:w="1200" w:type="dxa"/>
            <w:tcBorders>
              <w:top w:val="nil"/>
              <w:left w:val="nil"/>
              <w:bottom w:val="nil"/>
              <w:right w:val="nil"/>
            </w:tcBorders>
            <w:shd w:val="clear" w:color="000000" w:fill="F3F8FC"/>
            <w:noWrap/>
            <w:vAlign w:val="bottom"/>
            <w:hideMark/>
          </w:tcPr>
          <w:p w14:paraId="3837D82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0,07</w:t>
            </w:r>
          </w:p>
        </w:tc>
        <w:tc>
          <w:tcPr>
            <w:tcW w:w="1200" w:type="dxa"/>
            <w:tcBorders>
              <w:top w:val="nil"/>
              <w:left w:val="nil"/>
              <w:bottom w:val="nil"/>
              <w:right w:val="nil"/>
            </w:tcBorders>
            <w:shd w:val="clear" w:color="000000" w:fill="F4F9FD"/>
            <w:noWrap/>
            <w:vAlign w:val="bottom"/>
            <w:hideMark/>
          </w:tcPr>
          <w:p w14:paraId="516D0240"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0,07</w:t>
            </w:r>
          </w:p>
        </w:tc>
        <w:tc>
          <w:tcPr>
            <w:tcW w:w="1200" w:type="dxa"/>
            <w:tcBorders>
              <w:top w:val="nil"/>
              <w:left w:val="nil"/>
              <w:bottom w:val="nil"/>
              <w:right w:val="nil"/>
            </w:tcBorders>
            <w:shd w:val="clear" w:color="000000" w:fill="D1E3F4"/>
            <w:noWrap/>
            <w:vAlign w:val="bottom"/>
            <w:hideMark/>
          </w:tcPr>
          <w:p w14:paraId="5DFC2B2A"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0,28</w:t>
            </w:r>
          </w:p>
        </w:tc>
        <w:tc>
          <w:tcPr>
            <w:tcW w:w="1200" w:type="dxa"/>
            <w:tcBorders>
              <w:top w:val="nil"/>
              <w:left w:val="nil"/>
              <w:bottom w:val="nil"/>
              <w:right w:val="nil"/>
            </w:tcBorders>
            <w:shd w:val="clear" w:color="000000" w:fill="B6D2ED"/>
            <w:noWrap/>
            <w:vAlign w:val="bottom"/>
            <w:hideMark/>
          </w:tcPr>
          <w:p w14:paraId="2E10C2E6"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0,32</w:t>
            </w:r>
          </w:p>
        </w:tc>
      </w:tr>
      <w:tr w:rsidR="00FE7E6B" w:rsidRPr="00422245" w14:paraId="18A27587" w14:textId="77777777" w:rsidTr="00FE7E6B">
        <w:trPr>
          <w:trHeight w:val="300"/>
        </w:trPr>
        <w:tc>
          <w:tcPr>
            <w:tcW w:w="1200" w:type="dxa"/>
            <w:tcBorders>
              <w:top w:val="nil"/>
              <w:left w:val="nil"/>
              <w:bottom w:val="nil"/>
              <w:right w:val="nil"/>
            </w:tcBorders>
            <w:shd w:val="clear" w:color="auto" w:fill="auto"/>
            <w:noWrap/>
            <w:vAlign w:val="bottom"/>
            <w:hideMark/>
          </w:tcPr>
          <w:p w14:paraId="49055B40"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HVO </w:t>
            </w:r>
          </w:p>
        </w:tc>
        <w:tc>
          <w:tcPr>
            <w:tcW w:w="1200" w:type="dxa"/>
            <w:tcBorders>
              <w:top w:val="nil"/>
              <w:left w:val="nil"/>
              <w:bottom w:val="nil"/>
              <w:right w:val="nil"/>
            </w:tcBorders>
            <w:shd w:val="clear" w:color="000000" w:fill="E1EDF8"/>
            <w:noWrap/>
            <w:vAlign w:val="bottom"/>
            <w:hideMark/>
          </w:tcPr>
          <w:p w14:paraId="6D8A94D7"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0,19</w:t>
            </w:r>
          </w:p>
        </w:tc>
        <w:tc>
          <w:tcPr>
            <w:tcW w:w="1200" w:type="dxa"/>
            <w:tcBorders>
              <w:top w:val="nil"/>
              <w:left w:val="nil"/>
              <w:bottom w:val="nil"/>
              <w:right w:val="nil"/>
            </w:tcBorders>
            <w:shd w:val="clear" w:color="000000" w:fill="E6F0F9"/>
            <w:noWrap/>
            <w:vAlign w:val="bottom"/>
            <w:hideMark/>
          </w:tcPr>
          <w:p w14:paraId="787D0033"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0,15</w:t>
            </w:r>
          </w:p>
        </w:tc>
        <w:tc>
          <w:tcPr>
            <w:tcW w:w="1200" w:type="dxa"/>
            <w:tcBorders>
              <w:top w:val="nil"/>
              <w:left w:val="nil"/>
              <w:bottom w:val="nil"/>
              <w:right w:val="nil"/>
            </w:tcBorders>
            <w:shd w:val="clear" w:color="000000" w:fill="DCEAF6"/>
            <w:noWrap/>
            <w:vAlign w:val="bottom"/>
            <w:hideMark/>
          </w:tcPr>
          <w:p w14:paraId="6E7DADB8"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0,21</w:t>
            </w:r>
          </w:p>
        </w:tc>
        <w:tc>
          <w:tcPr>
            <w:tcW w:w="1200" w:type="dxa"/>
            <w:tcBorders>
              <w:top w:val="nil"/>
              <w:left w:val="nil"/>
              <w:bottom w:val="nil"/>
              <w:right w:val="nil"/>
            </w:tcBorders>
            <w:shd w:val="clear" w:color="000000" w:fill="DCEAF6"/>
            <w:noWrap/>
            <w:vAlign w:val="bottom"/>
            <w:hideMark/>
          </w:tcPr>
          <w:p w14:paraId="667E5C29"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0,15</w:t>
            </w:r>
          </w:p>
        </w:tc>
      </w:tr>
      <w:tr w:rsidR="00FE7E6B" w:rsidRPr="00422245" w14:paraId="09C04ADA" w14:textId="77777777" w:rsidTr="00FE7E6B">
        <w:trPr>
          <w:trHeight w:val="300"/>
        </w:trPr>
        <w:tc>
          <w:tcPr>
            <w:tcW w:w="1200" w:type="dxa"/>
            <w:tcBorders>
              <w:top w:val="nil"/>
              <w:left w:val="nil"/>
              <w:bottom w:val="nil"/>
              <w:right w:val="nil"/>
            </w:tcBorders>
            <w:shd w:val="clear" w:color="auto" w:fill="auto"/>
            <w:noWrap/>
            <w:vAlign w:val="bottom"/>
            <w:hideMark/>
          </w:tcPr>
          <w:p w14:paraId="2B836D59"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USN </w:t>
            </w:r>
          </w:p>
        </w:tc>
        <w:tc>
          <w:tcPr>
            <w:tcW w:w="1200" w:type="dxa"/>
            <w:tcBorders>
              <w:top w:val="nil"/>
              <w:left w:val="nil"/>
              <w:bottom w:val="nil"/>
              <w:right w:val="nil"/>
            </w:tcBorders>
            <w:shd w:val="clear" w:color="000000" w:fill="F1F7FC"/>
            <w:noWrap/>
            <w:vAlign w:val="bottom"/>
            <w:hideMark/>
          </w:tcPr>
          <w:p w14:paraId="6C06B6B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0,09</w:t>
            </w:r>
          </w:p>
        </w:tc>
        <w:tc>
          <w:tcPr>
            <w:tcW w:w="1200" w:type="dxa"/>
            <w:tcBorders>
              <w:top w:val="nil"/>
              <w:left w:val="nil"/>
              <w:bottom w:val="nil"/>
              <w:right w:val="nil"/>
            </w:tcBorders>
            <w:shd w:val="clear" w:color="000000" w:fill="F1F6FC"/>
            <w:noWrap/>
            <w:vAlign w:val="bottom"/>
            <w:hideMark/>
          </w:tcPr>
          <w:p w14:paraId="589D4E78"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0,09</w:t>
            </w:r>
          </w:p>
        </w:tc>
        <w:tc>
          <w:tcPr>
            <w:tcW w:w="1200" w:type="dxa"/>
            <w:tcBorders>
              <w:top w:val="nil"/>
              <w:left w:val="nil"/>
              <w:bottom w:val="nil"/>
              <w:right w:val="nil"/>
            </w:tcBorders>
            <w:shd w:val="clear" w:color="000000" w:fill="E9F2FA"/>
            <w:noWrap/>
            <w:vAlign w:val="bottom"/>
            <w:hideMark/>
          </w:tcPr>
          <w:p w14:paraId="25D83B52"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0,13</w:t>
            </w:r>
          </w:p>
        </w:tc>
        <w:tc>
          <w:tcPr>
            <w:tcW w:w="1200" w:type="dxa"/>
            <w:tcBorders>
              <w:top w:val="nil"/>
              <w:left w:val="nil"/>
              <w:bottom w:val="nil"/>
              <w:right w:val="nil"/>
            </w:tcBorders>
            <w:shd w:val="clear" w:color="000000" w:fill="A7CAE9"/>
            <w:noWrap/>
            <w:vAlign w:val="bottom"/>
            <w:hideMark/>
          </w:tcPr>
          <w:p w14:paraId="73687793"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0,38</w:t>
            </w:r>
          </w:p>
        </w:tc>
      </w:tr>
      <w:tr w:rsidR="00FE7E6B" w:rsidRPr="00422245" w14:paraId="1F8F4D5B" w14:textId="77777777" w:rsidTr="00FE7E6B">
        <w:trPr>
          <w:trHeight w:val="300"/>
        </w:trPr>
        <w:tc>
          <w:tcPr>
            <w:tcW w:w="1200" w:type="dxa"/>
            <w:tcBorders>
              <w:top w:val="nil"/>
              <w:left w:val="nil"/>
              <w:bottom w:val="nil"/>
              <w:right w:val="nil"/>
            </w:tcBorders>
            <w:shd w:val="clear" w:color="auto" w:fill="auto"/>
            <w:noWrap/>
            <w:vAlign w:val="bottom"/>
            <w:hideMark/>
          </w:tcPr>
          <w:p w14:paraId="310437D5"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HVL </w:t>
            </w:r>
          </w:p>
        </w:tc>
        <w:tc>
          <w:tcPr>
            <w:tcW w:w="1200" w:type="dxa"/>
            <w:tcBorders>
              <w:top w:val="nil"/>
              <w:left w:val="nil"/>
              <w:bottom w:val="nil"/>
              <w:right w:val="nil"/>
            </w:tcBorders>
            <w:shd w:val="clear" w:color="000000" w:fill="F3F8FC"/>
            <w:noWrap/>
            <w:vAlign w:val="bottom"/>
            <w:hideMark/>
          </w:tcPr>
          <w:p w14:paraId="09DEA76C"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0,07</w:t>
            </w:r>
          </w:p>
        </w:tc>
        <w:tc>
          <w:tcPr>
            <w:tcW w:w="1200" w:type="dxa"/>
            <w:tcBorders>
              <w:top w:val="nil"/>
              <w:left w:val="nil"/>
              <w:bottom w:val="nil"/>
              <w:right w:val="nil"/>
            </w:tcBorders>
            <w:shd w:val="clear" w:color="000000" w:fill="E5F0F9"/>
            <w:noWrap/>
            <w:vAlign w:val="bottom"/>
            <w:hideMark/>
          </w:tcPr>
          <w:p w14:paraId="3DC980D3"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0,16</w:t>
            </w:r>
          </w:p>
        </w:tc>
        <w:tc>
          <w:tcPr>
            <w:tcW w:w="1200" w:type="dxa"/>
            <w:tcBorders>
              <w:top w:val="nil"/>
              <w:left w:val="nil"/>
              <w:bottom w:val="nil"/>
              <w:right w:val="nil"/>
            </w:tcBorders>
            <w:shd w:val="clear" w:color="000000" w:fill="EDF4FB"/>
            <w:noWrap/>
            <w:vAlign w:val="bottom"/>
            <w:hideMark/>
          </w:tcPr>
          <w:p w14:paraId="765FE708"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0,11</w:t>
            </w:r>
          </w:p>
        </w:tc>
        <w:tc>
          <w:tcPr>
            <w:tcW w:w="1200" w:type="dxa"/>
            <w:tcBorders>
              <w:top w:val="nil"/>
              <w:left w:val="nil"/>
              <w:bottom w:val="nil"/>
              <w:right w:val="nil"/>
            </w:tcBorders>
            <w:shd w:val="clear" w:color="000000" w:fill="BAD5EE"/>
            <w:noWrap/>
            <w:vAlign w:val="bottom"/>
            <w:hideMark/>
          </w:tcPr>
          <w:p w14:paraId="582F0994"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0,30</w:t>
            </w:r>
          </w:p>
        </w:tc>
      </w:tr>
      <w:tr w:rsidR="00FE7E6B" w:rsidRPr="00422245" w14:paraId="4E68D4CC" w14:textId="77777777" w:rsidTr="00FE7E6B">
        <w:trPr>
          <w:trHeight w:val="300"/>
        </w:trPr>
        <w:tc>
          <w:tcPr>
            <w:tcW w:w="1200" w:type="dxa"/>
            <w:tcBorders>
              <w:top w:val="nil"/>
              <w:left w:val="nil"/>
              <w:bottom w:val="nil"/>
              <w:right w:val="nil"/>
            </w:tcBorders>
            <w:shd w:val="clear" w:color="auto" w:fill="auto"/>
            <w:noWrap/>
            <w:vAlign w:val="bottom"/>
            <w:hideMark/>
          </w:tcPr>
          <w:p w14:paraId="579766B0"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NU </w:t>
            </w:r>
          </w:p>
        </w:tc>
        <w:tc>
          <w:tcPr>
            <w:tcW w:w="1200" w:type="dxa"/>
            <w:tcBorders>
              <w:top w:val="nil"/>
              <w:left w:val="nil"/>
              <w:bottom w:val="nil"/>
              <w:right w:val="nil"/>
            </w:tcBorders>
            <w:shd w:val="clear" w:color="000000" w:fill="F5F9FD"/>
            <w:noWrap/>
            <w:vAlign w:val="bottom"/>
            <w:hideMark/>
          </w:tcPr>
          <w:p w14:paraId="664B447A"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0,06</w:t>
            </w:r>
          </w:p>
        </w:tc>
        <w:tc>
          <w:tcPr>
            <w:tcW w:w="1200" w:type="dxa"/>
            <w:tcBorders>
              <w:top w:val="nil"/>
              <w:left w:val="nil"/>
              <w:bottom w:val="nil"/>
              <w:right w:val="nil"/>
            </w:tcBorders>
            <w:shd w:val="clear" w:color="000000" w:fill="F9FCFE"/>
            <w:noWrap/>
            <w:vAlign w:val="bottom"/>
            <w:hideMark/>
          </w:tcPr>
          <w:p w14:paraId="708EF4A7"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0,04</w:t>
            </w:r>
          </w:p>
        </w:tc>
        <w:tc>
          <w:tcPr>
            <w:tcW w:w="1200" w:type="dxa"/>
            <w:tcBorders>
              <w:top w:val="nil"/>
              <w:left w:val="nil"/>
              <w:bottom w:val="nil"/>
              <w:right w:val="nil"/>
            </w:tcBorders>
            <w:shd w:val="clear" w:color="000000" w:fill="EEF5FB"/>
            <w:noWrap/>
            <w:vAlign w:val="bottom"/>
            <w:hideMark/>
          </w:tcPr>
          <w:p w14:paraId="374C9FEE"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0,11</w:t>
            </w:r>
          </w:p>
        </w:tc>
        <w:tc>
          <w:tcPr>
            <w:tcW w:w="1200" w:type="dxa"/>
            <w:tcBorders>
              <w:top w:val="nil"/>
              <w:left w:val="nil"/>
              <w:bottom w:val="nil"/>
              <w:right w:val="nil"/>
            </w:tcBorders>
            <w:shd w:val="clear" w:color="000000" w:fill="B8D4ED"/>
            <w:noWrap/>
            <w:vAlign w:val="bottom"/>
            <w:hideMark/>
          </w:tcPr>
          <w:p w14:paraId="11A051A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0,31</w:t>
            </w:r>
          </w:p>
        </w:tc>
      </w:tr>
      <w:tr w:rsidR="00FE7E6B" w:rsidRPr="00422245" w14:paraId="340A0130" w14:textId="77777777" w:rsidTr="00FE7E6B">
        <w:trPr>
          <w:trHeight w:val="300"/>
        </w:trPr>
        <w:tc>
          <w:tcPr>
            <w:tcW w:w="1200" w:type="dxa"/>
            <w:tcBorders>
              <w:top w:val="nil"/>
              <w:left w:val="nil"/>
              <w:bottom w:val="nil"/>
              <w:right w:val="nil"/>
            </w:tcBorders>
            <w:shd w:val="clear" w:color="auto" w:fill="auto"/>
            <w:noWrap/>
            <w:vAlign w:val="bottom"/>
            <w:hideMark/>
          </w:tcPr>
          <w:p w14:paraId="26B8763F"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HiØ </w:t>
            </w:r>
          </w:p>
        </w:tc>
        <w:tc>
          <w:tcPr>
            <w:tcW w:w="1200" w:type="dxa"/>
            <w:tcBorders>
              <w:top w:val="nil"/>
              <w:left w:val="nil"/>
              <w:bottom w:val="nil"/>
              <w:right w:val="nil"/>
            </w:tcBorders>
            <w:shd w:val="clear" w:color="000000" w:fill="F9FCFE"/>
            <w:noWrap/>
            <w:vAlign w:val="bottom"/>
            <w:hideMark/>
          </w:tcPr>
          <w:p w14:paraId="0D9D0417"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0,04</w:t>
            </w:r>
          </w:p>
        </w:tc>
        <w:tc>
          <w:tcPr>
            <w:tcW w:w="1200" w:type="dxa"/>
            <w:tcBorders>
              <w:top w:val="nil"/>
              <w:left w:val="nil"/>
              <w:bottom w:val="nil"/>
              <w:right w:val="nil"/>
            </w:tcBorders>
            <w:shd w:val="clear" w:color="000000" w:fill="F8FBFE"/>
            <w:noWrap/>
            <w:vAlign w:val="bottom"/>
            <w:hideMark/>
          </w:tcPr>
          <w:p w14:paraId="5BB2987B"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0,05</w:t>
            </w:r>
          </w:p>
        </w:tc>
        <w:tc>
          <w:tcPr>
            <w:tcW w:w="1200" w:type="dxa"/>
            <w:tcBorders>
              <w:top w:val="nil"/>
              <w:left w:val="nil"/>
              <w:bottom w:val="nil"/>
              <w:right w:val="nil"/>
            </w:tcBorders>
            <w:shd w:val="clear" w:color="000000" w:fill="F0F6FC"/>
            <w:noWrap/>
            <w:vAlign w:val="bottom"/>
            <w:hideMark/>
          </w:tcPr>
          <w:p w14:paraId="6D909460"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0,09</w:t>
            </w:r>
          </w:p>
        </w:tc>
        <w:tc>
          <w:tcPr>
            <w:tcW w:w="1200" w:type="dxa"/>
            <w:tcBorders>
              <w:top w:val="nil"/>
              <w:left w:val="nil"/>
              <w:bottom w:val="nil"/>
              <w:right w:val="nil"/>
            </w:tcBorders>
            <w:shd w:val="clear" w:color="000000" w:fill="B4D2EC"/>
            <w:noWrap/>
            <w:vAlign w:val="bottom"/>
            <w:hideMark/>
          </w:tcPr>
          <w:p w14:paraId="5E992414"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0,33</w:t>
            </w:r>
          </w:p>
        </w:tc>
      </w:tr>
      <w:tr w:rsidR="00FE7E6B" w:rsidRPr="00422245" w14:paraId="617D997A" w14:textId="77777777" w:rsidTr="00FE7E6B">
        <w:trPr>
          <w:trHeight w:val="300"/>
        </w:trPr>
        <w:tc>
          <w:tcPr>
            <w:tcW w:w="1200" w:type="dxa"/>
            <w:tcBorders>
              <w:top w:val="nil"/>
              <w:left w:val="nil"/>
              <w:bottom w:val="nil"/>
              <w:right w:val="nil"/>
            </w:tcBorders>
            <w:shd w:val="clear" w:color="auto" w:fill="auto"/>
            <w:noWrap/>
            <w:vAlign w:val="bottom"/>
            <w:hideMark/>
          </w:tcPr>
          <w:p w14:paraId="7EDC53D1"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OsloMet </w:t>
            </w:r>
          </w:p>
        </w:tc>
        <w:tc>
          <w:tcPr>
            <w:tcW w:w="1200" w:type="dxa"/>
            <w:tcBorders>
              <w:top w:val="nil"/>
              <w:left w:val="nil"/>
              <w:bottom w:val="nil"/>
              <w:right w:val="nil"/>
            </w:tcBorders>
            <w:shd w:val="clear" w:color="000000" w:fill="F1F7FC"/>
            <w:noWrap/>
            <w:vAlign w:val="bottom"/>
            <w:hideMark/>
          </w:tcPr>
          <w:p w14:paraId="658880C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0,09</w:t>
            </w:r>
          </w:p>
        </w:tc>
        <w:tc>
          <w:tcPr>
            <w:tcW w:w="1200" w:type="dxa"/>
            <w:tcBorders>
              <w:top w:val="nil"/>
              <w:left w:val="nil"/>
              <w:bottom w:val="nil"/>
              <w:right w:val="nil"/>
            </w:tcBorders>
            <w:shd w:val="clear" w:color="000000" w:fill="EFF5FB"/>
            <w:noWrap/>
            <w:vAlign w:val="bottom"/>
            <w:hideMark/>
          </w:tcPr>
          <w:p w14:paraId="40C0EB8B"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0,10</w:t>
            </w:r>
          </w:p>
        </w:tc>
        <w:tc>
          <w:tcPr>
            <w:tcW w:w="1200" w:type="dxa"/>
            <w:tcBorders>
              <w:top w:val="nil"/>
              <w:left w:val="nil"/>
              <w:bottom w:val="nil"/>
              <w:right w:val="nil"/>
            </w:tcBorders>
            <w:shd w:val="clear" w:color="000000" w:fill="EBF3FA"/>
            <w:noWrap/>
            <w:vAlign w:val="bottom"/>
            <w:hideMark/>
          </w:tcPr>
          <w:p w14:paraId="44191581"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0,13</w:t>
            </w:r>
          </w:p>
        </w:tc>
        <w:tc>
          <w:tcPr>
            <w:tcW w:w="1200" w:type="dxa"/>
            <w:tcBorders>
              <w:top w:val="nil"/>
              <w:left w:val="nil"/>
              <w:bottom w:val="nil"/>
              <w:right w:val="nil"/>
            </w:tcBorders>
            <w:shd w:val="clear" w:color="000000" w:fill="E4EEF8"/>
            <w:noWrap/>
            <w:vAlign w:val="bottom"/>
            <w:hideMark/>
          </w:tcPr>
          <w:p w14:paraId="115ABFD2"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0,12</w:t>
            </w:r>
          </w:p>
        </w:tc>
      </w:tr>
      <w:tr w:rsidR="00FE7E6B" w:rsidRPr="00422245" w14:paraId="51808F79" w14:textId="77777777" w:rsidTr="00FE7E6B">
        <w:trPr>
          <w:trHeight w:val="300"/>
        </w:trPr>
        <w:tc>
          <w:tcPr>
            <w:tcW w:w="1200" w:type="dxa"/>
            <w:tcBorders>
              <w:top w:val="nil"/>
              <w:left w:val="nil"/>
              <w:bottom w:val="nil"/>
              <w:right w:val="nil"/>
            </w:tcBorders>
            <w:shd w:val="clear" w:color="auto" w:fill="auto"/>
            <w:noWrap/>
            <w:vAlign w:val="bottom"/>
            <w:hideMark/>
          </w:tcPr>
          <w:p w14:paraId="2A75D462"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BI </w:t>
            </w:r>
          </w:p>
        </w:tc>
        <w:tc>
          <w:tcPr>
            <w:tcW w:w="1200" w:type="dxa"/>
            <w:tcBorders>
              <w:top w:val="nil"/>
              <w:left w:val="nil"/>
              <w:bottom w:val="nil"/>
              <w:right w:val="nil"/>
            </w:tcBorders>
            <w:shd w:val="clear" w:color="000000" w:fill="EBF3FA"/>
            <w:noWrap/>
            <w:vAlign w:val="bottom"/>
            <w:hideMark/>
          </w:tcPr>
          <w:p w14:paraId="05617F22"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0,12</w:t>
            </w:r>
          </w:p>
        </w:tc>
        <w:tc>
          <w:tcPr>
            <w:tcW w:w="1200" w:type="dxa"/>
            <w:tcBorders>
              <w:top w:val="nil"/>
              <w:left w:val="nil"/>
              <w:bottom w:val="nil"/>
              <w:right w:val="nil"/>
            </w:tcBorders>
            <w:shd w:val="clear" w:color="000000" w:fill="ECF4FA"/>
            <w:noWrap/>
            <w:vAlign w:val="bottom"/>
            <w:hideMark/>
          </w:tcPr>
          <w:p w14:paraId="0856F26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0,12</w:t>
            </w:r>
          </w:p>
        </w:tc>
        <w:tc>
          <w:tcPr>
            <w:tcW w:w="1200" w:type="dxa"/>
            <w:tcBorders>
              <w:top w:val="nil"/>
              <w:left w:val="nil"/>
              <w:bottom w:val="nil"/>
              <w:right w:val="nil"/>
            </w:tcBorders>
            <w:shd w:val="clear" w:color="000000" w:fill="E1EDF8"/>
            <w:noWrap/>
            <w:vAlign w:val="bottom"/>
            <w:hideMark/>
          </w:tcPr>
          <w:p w14:paraId="0A9F067C"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0,19</w:t>
            </w:r>
          </w:p>
        </w:tc>
        <w:tc>
          <w:tcPr>
            <w:tcW w:w="1200" w:type="dxa"/>
            <w:tcBorders>
              <w:top w:val="nil"/>
              <w:left w:val="nil"/>
              <w:bottom w:val="nil"/>
              <w:right w:val="nil"/>
            </w:tcBorders>
            <w:shd w:val="clear" w:color="000000" w:fill="FFFFFF"/>
            <w:noWrap/>
            <w:vAlign w:val="bottom"/>
            <w:hideMark/>
          </w:tcPr>
          <w:p w14:paraId="11C8701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r>
      <w:tr w:rsidR="00FE7E6B" w:rsidRPr="00422245" w14:paraId="2DB12903" w14:textId="77777777" w:rsidTr="00FE7E6B">
        <w:trPr>
          <w:trHeight w:val="300"/>
        </w:trPr>
        <w:tc>
          <w:tcPr>
            <w:tcW w:w="1200" w:type="dxa"/>
            <w:tcBorders>
              <w:top w:val="nil"/>
              <w:left w:val="nil"/>
              <w:bottom w:val="nil"/>
              <w:right w:val="nil"/>
            </w:tcBorders>
            <w:shd w:val="clear" w:color="auto" w:fill="auto"/>
            <w:noWrap/>
            <w:vAlign w:val="bottom"/>
            <w:hideMark/>
          </w:tcPr>
          <w:p w14:paraId="4C0CF77D"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HINN </w:t>
            </w:r>
          </w:p>
        </w:tc>
        <w:tc>
          <w:tcPr>
            <w:tcW w:w="1200" w:type="dxa"/>
            <w:tcBorders>
              <w:top w:val="nil"/>
              <w:left w:val="nil"/>
              <w:bottom w:val="nil"/>
              <w:right w:val="nil"/>
            </w:tcBorders>
            <w:shd w:val="clear" w:color="000000" w:fill="F9FCFE"/>
            <w:noWrap/>
            <w:vAlign w:val="bottom"/>
            <w:hideMark/>
          </w:tcPr>
          <w:p w14:paraId="287F4AC8"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0,04</w:t>
            </w:r>
          </w:p>
        </w:tc>
        <w:tc>
          <w:tcPr>
            <w:tcW w:w="1200" w:type="dxa"/>
            <w:tcBorders>
              <w:top w:val="nil"/>
              <w:left w:val="nil"/>
              <w:bottom w:val="nil"/>
              <w:right w:val="nil"/>
            </w:tcBorders>
            <w:shd w:val="clear" w:color="000000" w:fill="F5F9FD"/>
            <w:noWrap/>
            <w:vAlign w:val="bottom"/>
            <w:hideMark/>
          </w:tcPr>
          <w:p w14:paraId="3664A25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0,06</w:t>
            </w:r>
          </w:p>
        </w:tc>
        <w:tc>
          <w:tcPr>
            <w:tcW w:w="1200" w:type="dxa"/>
            <w:tcBorders>
              <w:top w:val="nil"/>
              <w:left w:val="nil"/>
              <w:bottom w:val="nil"/>
              <w:right w:val="nil"/>
            </w:tcBorders>
            <w:shd w:val="clear" w:color="000000" w:fill="ECF3FA"/>
            <w:noWrap/>
            <w:vAlign w:val="bottom"/>
            <w:hideMark/>
          </w:tcPr>
          <w:p w14:paraId="4DB59D1B"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0,12</w:t>
            </w:r>
          </w:p>
        </w:tc>
        <w:tc>
          <w:tcPr>
            <w:tcW w:w="1200" w:type="dxa"/>
            <w:tcBorders>
              <w:top w:val="nil"/>
              <w:left w:val="nil"/>
              <w:bottom w:val="nil"/>
              <w:right w:val="nil"/>
            </w:tcBorders>
            <w:shd w:val="clear" w:color="000000" w:fill="DDEBF7"/>
            <w:noWrap/>
            <w:vAlign w:val="bottom"/>
            <w:hideMark/>
          </w:tcPr>
          <w:p w14:paraId="4B58EE0C"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0,15</w:t>
            </w:r>
          </w:p>
        </w:tc>
      </w:tr>
      <w:tr w:rsidR="00FE7E6B" w:rsidRPr="00422245" w14:paraId="299D81CB" w14:textId="77777777" w:rsidTr="00FE7E6B">
        <w:trPr>
          <w:trHeight w:val="300"/>
        </w:trPr>
        <w:tc>
          <w:tcPr>
            <w:tcW w:w="1200" w:type="dxa"/>
            <w:tcBorders>
              <w:top w:val="nil"/>
              <w:left w:val="nil"/>
              <w:bottom w:val="nil"/>
              <w:right w:val="nil"/>
            </w:tcBorders>
            <w:shd w:val="clear" w:color="auto" w:fill="auto"/>
            <w:noWrap/>
            <w:vAlign w:val="bottom"/>
            <w:hideMark/>
          </w:tcPr>
          <w:p w14:paraId="007F2C17"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DMMH </w:t>
            </w:r>
          </w:p>
        </w:tc>
        <w:tc>
          <w:tcPr>
            <w:tcW w:w="1200" w:type="dxa"/>
            <w:tcBorders>
              <w:top w:val="nil"/>
              <w:left w:val="nil"/>
              <w:bottom w:val="nil"/>
              <w:right w:val="nil"/>
            </w:tcBorders>
            <w:shd w:val="clear" w:color="000000" w:fill="F1F7FC"/>
            <w:noWrap/>
            <w:vAlign w:val="bottom"/>
            <w:hideMark/>
          </w:tcPr>
          <w:p w14:paraId="29CB1339"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0,09</w:t>
            </w:r>
          </w:p>
        </w:tc>
        <w:tc>
          <w:tcPr>
            <w:tcW w:w="1200" w:type="dxa"/>
            <w:tcBorders>
              <w:top w:val="nil"/>
              <w:left w:val="nil"/>
              <w:bottom w:val="nil"/>
              <w:right w:val="nil"/>
            </w:tcBorders>
            <w:shd w:val="clear" w:color="000000" w:fill="F7FAFD"/>
            <w:noWrap/>
            <w:vAlign w:val="bottom"/>
            <w:hideMark/>
          </w:tcPr>
          <w:p w14:paraId="6EAD334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0,05</w:t>
            </w:r>
          </w:p>
        </w:tc>
        <w:tc>
          <w:tcPr>
            <w:tcW w:w="1200" w:type="dxa"/>
            <w:tcBorders>
              <w:top w:val="nil"/>
              <w:left w:val="nil"/>
              <w:bottom w:val="nil"/>
              <w:right w:val="nil"/>
            </w:tcBorders>
            <w:shd w:val="clear" w:color="000000" w:fill="EDF4FB"/>
            <w:noWrap/>
            <w:vAlign w:val="bottom"/>
            <w:hideMark/>
          </w:tcPr>
          <w:p w14:paraId="0594C0F0"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0,11</w:t>
            </w:r>
          </w:p>
        </w:tc>
        <w:tc>
          <w:tcPr>
            <w:tcW w:w="1200" w:type="dxa"/>
            <w:tcBorders>
              <w:top w:val="nil"/>
              <w:left w:val="nil"/>
              <w:bottom w:val="nil"/>
              <w:right w:val="nil"/>
            </w:tcBorders>
            <w:shd w:val="clear" w:color="000000" w:fill="FFFFFF"/>
            <w:noWrap/>
            <w:vAlign w:val="bottom"/>
            <w:hideMark/>
          </w:tcPr>
          <w:p w14:paraId="36BA7168"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r>
      <w:tr w:rsidR="00FE7E6B" w:rsidRPr="00422245" w14:paraId="50A82E6E" w14:textId="77777777" w:rsidTr="00FE7E6B">
        <w:trPr>
          <w:trHeight w:val="300"/>
        </w:trPr>
        <w:tc>
          <w:tcPr>
            <w:tcW w:w="1200" w:type="dxa"/>
            <w:tcBorders>
              <w:top w:val="nil"/>
              <w:left w:val="nil"/>
              <w:bottom w:val="nil"/>
              <w:right w:val="nil"/>
            </w:tcBorders>
            <w:shd w:val="clear" w:color="auto" w:fill="auto"/>
            <w:noWrap/>
            <w:vAlign w:val="bottom"/>
            <w:hideMark/>
          </w:tcPr>
          <w:p w14:paraId="1A890883"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HK </w:t>
            </w:r>
          </w:p>
        </w:tc>
        <w:tc>
          <w:tcPr>
            <w:tcW w:w="1200" w:type="dxa"/>
            <w:tcBorders>
              <w:top w:val="nil"/>
              <w:left w:val="nil"/>
              <w:bottom w:val="nil"/>
              <w:right w:val="nil"/>
            </w:tcBorders>
            <w:shd w:val="clear" w:color="000000" w:fill="FBFDFE"/>
            <w:noWrap/>
            <w:vAlign w:val="bottom"/>
            <w:hideMark/>
          </w:tcPr>
          <w:p w14:paraId="1618532C"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0,02</w:t>
            </w:r>
          </w:p>
        </w:tc>
        <w:tc>
          <w:tcPr>
            <w:tcW w:w="1200" w:type="dxa"/>
            <w:tcBorders>
              <w:top w:val="nil"/>
              <w:left w:val="nil"/>
              <w:bottom w:val="nil"/>
              <w:right w:val="nil"/>
            </w:tcBorders>
            <w:shd w:val="clear" w:color="000000" w:fill="F9FCFE"/>
            <w:noWrap/>
            <w:vAlign w:val="bottom"/>
            <w:hideMark/>
          </w:tcPr>
          <w:p w14:paraId="3E3B80B2"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0,04</w:t>
            </w:r>
          </w:p>
        </w:tc>
        <w:tc>
          <w:tcPr>
            <w:tcW w:w="1200" w:type="dxa"/>
            <w:tcBorders>
              <w:top w:val="nil"/>
              <w:left w:val="nil"/>
              <w:bottom w:val="nil"/>
              <w:right w:val="nil"/>
            </w:tcBorders>
            <w:shd w:val="clear" w:color="000000" w:fill="FFFFFF"/>
            <w:noWrap/>
            <w:vAlign w:val="bottom"/>
            <w:hideMark/>
          </w:tcPr>
          <w:p w14:paraId="0BC511F8"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c>
          <w:tcPr>
            <w:tcW w:w="1200" w:type="dxa"/>
            <w:tcBorders>
              <w:top w:val="nil"/>
              <w:left w:val="nil"/>
              <w:bottom w:val="nil"/>
              <w:right w:val="nil"/>
            </w:tcBorders>
            <w:shd w:val="clear" w:color="000000" w:fill="DDEBF7"/>
            <w:noWrap/>
            <w:vAlign w:val="bottom"/>
            <w:hideMark/>
          </w:tcPr>
          <w:p w14:paraId="224F20C0"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0,15</w:t>
            </w:r>
          </w:p>
        </w:tc>
      </w:tr>
      <w:tr w:rsidR="00FE7E6B" w:rsidRPr="00422245" w14:paraId="03CF0AA0" w14:textId="77777777" w:rsidTr="00FE7E6B">
        <w:trPr>
          <w:trHeight w:val="300"/>
        </w:trPr>
        <w:tc>
          <w:tcPr>
            <w:tcW w:w="1200" w:type="dxa"/>
            <w:tcBorders>
              <w:top w:val="nil"/>
              <w:left w:val="nil"/>
              <w:bottom w:val="nil"/>
              <w:right w:val="nil"/>
            </w:tcBorders>
            <w:shd w:val="clear" w:color="auto" w:fill="auto"/>
            <w:noWrap/>
            <w:vAlign w:val="bottom"/>
            <w:hideMark/>
          </w:tcPr>
          <w:p w14:paraId="5F0A1324"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HiM </w:t>
            </w:r>
          </w:p>
        </w:tc>
        <w:tc>
          <w:tcPr>
            <w:tcW w:w="1200" w:type="dxa"/>
            <w:tcBorders>
              <w:top w:val="nil"/>
              <w:left w:val="nil"/>
              <w:bottom w:val="nil"/>
              <w:right w:val="nil"/>
            </w:tcBorders>
            <w:shd w:val="clear" w:color="000000" w:fill="FBFDFE"/>
            <w:noWrap/>
            <w:vAlign w:val="bottom"/>
            <w:hideMark/>
          </w:tcPr>
          <w:p w14:paraId="208D3C79"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0,02</w:t>
            </w:r>
          </w:p>
        </w:tc>
        <w:tc>
          <w:tcPr>
            <w:tcW w:w="1200" w:type="dxa"/>
            <w:tcBorders>
              <w:top w:val="nil"/>
              <w:left w:val="nil"/>
              <w:bottom w:val="nil"/>
              <w:right w:val="nil"/>
            </w:tcBorders>
            <w:shd w:val="clear" w:color="000000" w:fill="FFFFFF"/>
            <w:noWrap/>
            <w:vAlign w:val="bottom"/>
            <w:hideMark/>
          </w:tcPr>
          <w:p w14:paraId="6555B31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c>
          <w:tcPr>
            <w:tcW w:w="1200" w:type="dxa"/>
            <w:tcBorders>
              <w:top w:val="nil"/>
              <w:left w:val="nil"/>
              <w:bottom w:val="nil"/>
              <w:right w:val="nil"/>
            </w:tcBorders>
            <w:shd w:val="clear" w:color="000000" w:fill="E9F2FA"/>
            <w:noWrap/>
            <w:vAlign w:val="bottom"/>
            <w:hideMark/>
          </w:tcPr>
          <w:p w14:paraId="23C5527A"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0,13</w:t>
            </w:r>
          </w:p>
        </w:tc>
        <w:tc>
          <w:tcPr>
            <w:tcW w:w="1200" w:type="dxa"/>
            <w:tcBorders>
              <w:top w:val="nil"/>
              <w:left w:val="nil"/>
              <w:bottom w:val="nil"/>
              <w:right w:val="nil"/>
            </w:tcBorders>
            <w:shd w:val="clear" w:color="000000" w:fill="F6F9FD"/>
            <w:noWrap/>
            <w:vAlign w:val="bottom"/>
            <w:hideMark/>
          </w:tcPr>
          <w:p w14:paraId="63F9DE39"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0,04</w:t>
            </w:r>
          </w:p>
        </w:tc>
      </w:tr>
      <w:tr w:rsidR="00FE7E6B" w:rsidRPr="00422245" w14:paraId="496D9012" w14:textId="77777777" w:rsidTr="00FE7E6B">
        <w:trPr>
          <w:trHeight w:val="300"/>
        </w:trPr>
        <w:tc>
          <w:tcPr>
            <w:tcW w:w="1200" w:type="dxa"/>
            <w:tcBorders>
              <w:top w:val="nil"/>
              <w:left w:val="nil"/>
              <w:bottom w:val="nil"/>
              <w:right w:val="nil"/>
            </w:tcBorders>
            <w:shd w:val="clear" w:color="auto" w:fill="auto"/>
            <w:noWrap/>
            <w:vAlign w:val="bottom"/>
            <w:hideMark/>
          </w:tcPr>
          <w:p w14:paraId="38D74E67" w14:textId="77777777" w:rsidR="00FE7E6B" w:rsidRPr="00422245" w:rsidRDefault="00FE7E6B" w:rsidP="00FE7E6B">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VID </w:t>
            </w:r>
          </w:p>
        </w:tc>
        <w:tc>
          <w:tcPr>
            <w:tcW w:w="1200" w:type="dxa"/>
            <w:tcBorders>
              <w:top w:val="nil"/>
              <w:left w:val="nil"/>
              <w:bottom w:val="nil"/>
              <w:right w:val="nil"/>
            </w:tcBorders>
            <w:shd w:val="clear" w:color="000000" w:fill="FBFDFE"/>
            <w:noWrap/>
            <w:vAlign w:val="bottom"/>
            <w:hideMark/>
          </w:tcPr>
          <w:p w14:paraId="36E79AB0"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0,02</w:t>
            </w:r>
          </w:p>
        </w:tc>
        <w:tc>
          <w:tcPr>
            <w:tcW w:w="1200" w:type="dxa"/>
            <w:tcBorders>
              <w:top w:val="nil"/>
              <w:left w:val="nil"/>
              <w:bottom w:val="nil"/>
              <w:right w:val="nil"/>
            </w:tcBorders>
            <w:shd w:val="clear" w:color="000000" w:fill="EBF3FA"/>
            <w:noWrap/>
            <w:vAlign w:val="bottom"/>
            <w:hideMark/>
          </w:tcPr>
          <w:p w14:paraId="6E262089"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0,13</w:t>
            </w:r>
          </w:p>
        </w:tc>
        <w:tc>
          <w:tcPr>
            <w:tcW w:w="1200" w:type="dxa"/>
            <w:tcBorders>
              <w:top w:val="nil"/>
              <w:left w:val="nil"/>
              <w:bottom w:val="nil"/>
              <w:right w:val="nil"/>
            </w:tcBorders>
            <w:shd w:val="clear" w:color="000000" w:fill="FEFFFF"/>
            <w:noWrap/>
            <w:vAlign w:val="bottom"/>
            <w:hideMark/>
          </w:tcPr>
          <w:p w14:paraId="47BB165D"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0,01</w:t>
            </w:r>
          </w:p>
        </w:tc>
        <w:tc>
          <w:tcPr>
            <w:tcW w:w="1200" w:type="dxa"/>
            <w:tcBorders>
              <w:top w:val="nil"/>
              <w:left w:val="nil"/>
              <w:bottom w:val="nil"/>
              <w:right w:val="nil"/>
            </w:tcBorders>
            <w:shd w:val="clear" w:color="000000" w:fill="FFFFFF"/>
            <w:noWrap/>
            <w:vAlign w:val="bottom"/>
            <w:hideMark/>
          </w:tcPr>
          <w:p w14:paraId="6F55CB85" w14:textId="77777777" w:rsidR="00FE7E6B" w:rsidRPr="00422245" w:rsidRDefault="00FE7E6B" w:rsidP="00FE7E6B">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r>
    </w:tbl>
    <w:p w14:paraId="3EF59A06" w14:textId="3EDDA504" w:rsidR="00FB4077" w:rsidRPr="00422245" w:rsidRDefault="00996BA5" w:rsidP="00E40484">
      <w:pPr>
        <w:pStyle w:val="Merknad"/>
      </w:pPr>
      <w:bookmarkStart w:id="80" w:name="_Hlk163489828"/>
      <w:r w:rsidRPr="00422245">
        <w:t xml:space="preserve">Merk: </w:t>
      </w:r>
      <w:r w:rsidR="00813A13" w:rsidRPr="00422245">
        <w:t xml:space="preserve">Verdiene som vises i tabellen er normaliserte mellom 0 og 1. </w:t>
      </w:r>
      <w:r w:rsidR="00472FFA" w:rsidRPr="00422245">
        <w:t xml:space="preserve">Det betyr at </w:t>
      </w:r>
      <w:r w:rsidR="00056742" w:rsidRPr="00422245">
        <w:t xml:space="preserve">de er et uttrykk for </w:t>
      </w:r>
      <w:r w:rsidR="00CA6E4A" w:rsidRPr="00422245">
        <w:t>relative forskjeller mellom instit</w:t>
      </w:r>
      <w:r w:rsidR="00F175B7" w:rsidRPr="00422245">
        <w:t>usjonene</w:t>
      </w:r>
      <w:r w:rsidR="00431D1C" w:rsidRPr="00422245">
        <w:t xml:space="preserve"> og ikke absolutte størrelser</w:t>
      </w:r>
      <w:r w:rsidR="00813A13" w:rsidRPr="00422245">
        <w:t>.</w:t>
      </w:r>
    </w:p>
    <w:p w14:paraId="5D74D712" w14:textId="01090937" w:rsidR="00FB02BC" w:rsidRPr="00422245" w:rsidRDefault="00B93E51" w:rsidP="007120B0">
      <w:pPr>
        <w:pStyle w:val="Overskrift1"/>
        <w:spacing w:after="168"/>
      </w:pPr>
      <w:bookmarkStart w:id="81" w:name="_Ref161827766"/>
      <w:bookmarkStart w:id="82" w:name="_Toc163488416"/>
      <w:bookmarkStart w:id="83" w:name="_Toc158968337"/>
      <w:bookmarkEnd w:id="80"/>
      <w:r w:rsidRPr="00422245">
        <w:lastRenderedPageBreak/>
        <w:t>Studiekvalitet: I</w:t>
      </w:r>
      <w:r w:rsidR="007A6B51" w:rsidRPr="00422245">
        <w:t>nnsats</w:t>
      </w:r>
      <w:r w:rsidRPr="00422245">
        <w:t xml:space="preserve"> og</w:t>
      </w:r>
      <w:r w:rsidR="007A6B51" w:rsidRPr="00422245">
        <w:t xml:space="preserve"> r</w:t>
      </w:r>
      <w:r w:rsidR="00100036" w:rsidRPr="00422245">
        <w:t>esultater</w:t>
      </w:r>
      <w:bookmarkEnd w:id="81"/>
      <w:bookmarkEnd w:id="82"/>
      <w:r w:rsidR="00100036" w:rsidRPr="00422245">
        <w:t xml:space="preserve"> </w:t>
      </w:r>
      <w:bookmarkEnd w:id="83"/>
    </w:p>
    <w:p w14:paraId="2BCA8ECF" w14:textId="21BD9514" w:rsidR="002C1507" w:rsidRPr="00422245" w:rsidRDefault="002C1507">
      <w:r w:rsidRPr="00422245">
        <w:rPr>
          <w:noProof/>
        </w:rPr>
        <mc:AlternateContent>
          <mc:Choice Requires="wps">
            <w:drawing>
              <wp:anchor distT="45720" distB="45720" distL="114300" distR="114300" simplePos="0" relativeHeight="251658241" behindDoc="0" locked="0" layoutInCell="1" allowOverlap="1" wp14:anchorId="7565D655" wp14:editId="11BD86AC">
                <wp:simplePos x="0" y="0"/>
                <wp:positionH relativeFrom="column">
                  <wp:posOffset>0</wp:posOffset>
                </wp:positionH>
                <wp:positionV relativeFrom="paragraph">
                  <wp:posOffset>264160</wp:posOffset>
                </wp:positionV>
                <wp:extent cx="5753100" cy="1404620"/>
                <wp:effectExtent l="0" t="0" r="19050" b="27305"/>
                <wp:wrapSquare wrapText="bothSides"/>
                <wp:docPr id="217" name="Tekstboks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rgbClr val="FFFFFF"/>
                        </a:solidFill>
                        <a:ln w="9525">
                          <a:solidFill>
                            <a:srgbClr val="000000"/>
                          </a:solidFill>
                          <a:miter lim="800000"/>
                          <a:headEnd/>
                          <a:tailEnd/>
                        </a:ln>
                      </wps:spPr>
                      <wps:txbx>
                        <w:txbxContent>
                          <w:p w14:paraId="3BD41781" w14:textId="2BDB9B52" w:rsidR="00497B3D" w:rsidRPr="00422245" w:rsidRDefault="00EA769A" w:rsidP="002C1507">
                            <w:r>
                              <w:t>Kapittelet</w:t>
                            </w:r>
                            <w:r w:rsidR="002C1507" w:rsidRPr="00422245">
                              <w:t xml:space="preserve"> samle indikatorer som presenterer det vi kan kalle innsatsfaktorer/-kvalitet og resultater og å diskutere eventuelle sammenhenger.  Dette samler indikatorer/tema fra TR som tidligere i liten grad har blitt sett/vurdert i sammenheng</w:t>
                            </w:r>
                            <w:r w:rsidR="00497B3D" w:rsidRPr="00422245">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65D655" id="Tekstboks 217" o:spid="_x0000_s1027" type="#_x0000_t202" style="position:absolute;margin-left:0;margin-top:20.8pt;width:453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urEwIAACcEAAAOAAAAZHJzL2Uyb0RvYy54bWysk9uO2yAQhu8r9R0Q943tNNmDFWe1zTZV&#10;pe1B2vYBMOAYFTMUSOz06XfA3my0bW+qcoEYBn5mvhlWN0OnyUE6r8BUtJjllEjDQSizq+j3b9s3&#10;V5T4wIxgGoys6FF6erN+/WrV21LOoQUtpCMoYnzZ24q2IdgyyzxvZcf8DKw06GzAdSyg6XaZcKxH&#10;9U5n8zy/yHpwwjrg0nvcvRuddJ30m0by8KVpvAxEVxRjC2l2aa7jnK1XrNw5ZlvFpzDYP0TRMWXw&#10;0ZPUHQuM7J36TapT3IGHJsw4dBk0jeIy5YDZFPmLbB5aZmXKBeF4e8Lk/58s/3x4sF8dCcM7GLCA&#10;KQlv74H/8MTApmVmJ2+dg76VTODDRUSW9daX09WI2pc+itT9JxBYZLYPkISGxnWRCuZJUB0LcDxB&#10;l0MgHDeXl8u3RY4ujr5ikS8u5qksGSufrlvnwwcJHYmLijqsapJnh3sfYjisfDoSX/OgldgqrZPh&#10;dvVGO3Jg2AHbNFIGL45pQ/qKXi/ny5HAXyXyNP4k0amAraxVV9Gr0yFWRm7vjUiNFpjS4xpD1mYC&#10;GdmNFMNQD0SJiXLkWoM4IlkHY+fiT8NFC+4XJT12bUX9zz1zkhL90WB1rovFIrZ5MhbLS0RJ3Lmn&#10;Pvcww1GqooGScbkJ6WskbvYWq7hVie9zJFPI2I0J+/RzYruf2+nU8/9ePwIAAP//AwBQSwMEFAAG&#10;AAgAAAAhANHt4a/cAAAABwEAAA8AAABkcnMvZG93bnJldi54bWxMj8FOwzAQRO9I/IO1SFwq6jRQ&#10;q4Q4FVTqiVNDubvxkkTE62C7bfr3LCd63JnRzNtyPblBnDDE3pOGxTwDgdR421OrYf+xfViBiMmQ&#10;NYMn1HDBCOvq9qY0hfVn2uGpTq3gEoqF0dClNBZSxqZDZ+Lcj0jsffngTOIztNIGc+ZyN8g8y5R0&#10;pide6MyImw6b7/roNKif+nH2/mlntLts30LjlnazX2p9fze9voBIOKX/MPzhMzpUzHTwR7JRDBr4&#10;kaThaaFAsPucKRYOGnKVr0BWpbzmr34BAAD//wMAUEsBAi0AFAAGAAgAAAAhALaDOJL+AAAA4QEA&#10;ABMAAAAAAAAAAAAAAAAAAAAAAFtDb250ZW50X1R5cGVzXS54bWxQSwECLQAUAAYACAAAACEAOP0h&#10;/9YAAACUAQAACwAAAAAAAAAAAAAAAAAvAQAAX3JlbHMvLnJlbHNQSwECLQAUAAYACAAAACEA4thb&#10;qxMCAAAnBAAADgAAAAAAAAAAAAAAAAAuAgAAZHJzL2Uyb0RvYy54bWxQSwECLQAUAAYACAAAACEA&#10;0e3hr9wAAAAHAQAADwAAAAAAAAAAAAAAAABtBAAAZHJzL2Rvd25yZXYueG1sUEsFBgAAAAAEAAQA&#10;8wAAAHYFAAAAAA==&#10;">
                <v:textbox style="mso-fit-shape-to-text:t">
                  <w:txbxContent>
                    <w:p w14:paraId="3BD41781" w14:textId="2BDB9B52" w:rsidR="00497B3D" w:rsidRPr="00422245" w:rsidRDefault="00EA769A" w:rsidP="002C1507">
                      <w:r>
                        <w:t>Kapittelet</w:t>
                      </w:r>
                      <w:r w:rsidR="002C1507" w:rsidRPr="00422245">
                        <w:t xml:space="preserve"> samle indikatorer som presenterer det vi kan kalle innsatsfaktorer/-kvalitet og resultater og å diskutere eventuelle sammenhenger.  Dette samler indikatorer/tema fra TR som tidligere i liten grad har blitt sett/vurdert i sammenheng</w:t>
                      </w:r>
                      <w:r w:rsidR="00497B3D" w:rsidRPr="00422245">
                        <w:t>.</w:t>
                      </w:r>
                    </w:p>
                  </w:txbxContent>
                </v:textbox>
                <w10:wrap type="square"/>
              </v:shape>
            </w:pict>
          </mc:Fallback>
        </mc:AlternateContent>
      </w:r>
    </w:p>
    <w:p w14:paraId="2D447EF0" w14:textId="77777777" w:rsidR="00100516" w:rsidRPr="00422245" w:rsidRDefault="00100516" w:rsidP="00100516"/>
    <w:p w14:paraId="37C69514" w14:textId="2D128E7B" w:rsidR="00100516" w:rsidRPr="00422245" w:rsidRDefault="00100516" w:rsidP="00100516">
      <w:pPr>
        <w:pStyle w:val="Overskrift2"/>
      </w:pPr>
      <w:bookmarkStart w:id="84" w:name="_Toc163488417"/>
      <w:r w:rsidRPr="00422245">
        <w:t>Inntaks- og innsats</w:t>
      </w:r>
      <w:r w:rsidR="00C71C83" w:rsidRPr="00422245">
        <w:t>faktorer</w:t>
      </w:r>
      <w:bookmarkEnd w:id="84"/>
    </w:p>
    <w:p w14:paraId="5C538B36" w14:textId="3C149131" w:rsidR="00100516" w:rsidRDefault="00BB0A89" w:rsidP="00B76612">
      <w:pPr>
        <w:pStyle w:val="Overskrift3"/>
        <w:spacing w:before="288"/>
      </w:pPr>
      <w:bookmarkStart w:id="85" w:name="_Toc163488418"/>
      <w:r>
        <w:t>S</w:t>
      </w:r>
      <w:r w:rsidR="0085458A">
        <w:t>tabil</w:t>
      </w:r>
      <w:r w:rsidR="004F6218">
        <w:t>e</w:t>
      </w:r>
      <w:r w:rsidR="00F27BC7">
        <w:t xml:space="preserve"> s</w:t>
      </w:r>
      <w:r>
        <w:t>øker</w:t>
      </w:r>
      <w:r w:rsidR="004F6218">
        <w:t>tall</w:t>
      </w:r>
      <w:r w:rsidR="00D820F8">
        <w:t xml:space="preserve"> siste år</w:t>
      </w:r>
      <w:bookmarkEnd w:id="85"/>
    </w:p>
    <w:p w14:paraId="1965E236" w14:textId="713861CA" w:rsidR="00B7445F" w:rsidRPr="00B7445F" w:rsidRDefault="00DC54C3" w:rsidP="005E5209">
      <w:r w:rsidRPr="005E5209">
        <w:rPr>
          <w:rFonts w:cstheme="minorHAnsi"/>
          <w:shd w:val="clear" w:color="auto" w:fill="FFFFFF"/>
        </w:rPr>
        <w:t xml:space="preserve">Etter </w:t>
      </w:r>
      <w:r w:rsidR="00050684" w:rsidRPr="005E5209">
        <w:rPr>
          <w:rFonts w:cstheme="minorHAnsi"/>
          <w:shd w:val="clear" w:color="auto" w:fill="FFFFFF"/>
        </w:rPr>
        <w:t xml:space="preserve">rekordhøye søkertall under pandemien, har </w:t>
      </w:r>
      <w:r w:rsidR="00002953" w:rsidRPr="005E5209">
        <w:rPr>
          <w:rFonts w:cstheme="minorHAnsi"/>
          <w:shd w:val="clear" w:color="auto" w:fill="FFFFFF"/>
        </w:rPr>
        <w:t xml:space="preserve">antallet søkere til </w:t>
      </w:r>
      <w:r w:rsidR="00491F91" w:rsidRPr="005E5209">
        <w:rPr>
          <w:rFonts w:cstheme="minorHAnsi"/>
          <w:shd w:val="clear" w:color="auto" w:fill="FFFFFF"/>
        </w:rPr>
        <w:t xml:space="preserve">høyere utdanning de siste par årene stabilisert seg på nivået rett før pandemien. </w:t>
      </w:r>
      <w:r w:rsidR="00947359" w:rsidRPr="005E5209">
        <w:rPr>
          <w:rFonts w:cstheme="minorHAnsi"/>
          <w:shd w:val="clear" w:color="auto" w:fill="FFFFFF"/>
        </w:rPr>
        <w:t>I 2023 søkte</w:t>
      </w:r>
      <w:r w:rsidR="00F46878" w:rsidRPr="005E5209">
        <w:rPr>
          <w:rFonts w:cstheme="minorHAnsi"/>
          <w:shd w:val="clear" w:color="auto" w:fill="FFFFFF"/>
        </w:rPr>
        <w:t xml:space="preserve"> </w:t>
      </w:r>
      <w:r w:rsidR="00947359" w:rsidRPr="005E5209">
        <w:rPr>
          <w:rFonts w:cstheme="minorHAnsi"/>
          <w:shd w:val="clear" w:color="auto" w:fill="FFFFFF"/>
        </w:rPr>
        <w:t xml:space="preserve">114 500 </w:t>
      </w:r>
      <w:r w:rsidR="00002953" w:rsidRPr="005E5209">
        <w:rPr>
          <w:rFonts w:cstheme="minorHAnsi"/>
          <w:shd w:val="clear" w:color="auto" w:fill="FFFFFF"/>
        </w:rPr>
        <w:t xml:space="preserve">kvalifiserte </w:t>
      </w:r>
      <w:r w:rsidR="0061277F" w:rsidRPr="005E5209">
        <w:rPr>
          <w:rFonts w:cstheme="minorHAnsi"/>
          <w:shd w:val="clear" w:color="auto" w:fill="FFFFFF"/>
        </w:rPr>
        <w:t xml:space="preserve">personer </w:t>
      </w:r>
      <w:r w:rsidR="00F46878" w:rsidRPr="005E5209">
        <w:rPr>
          <w:rFonts w:cstheme="minorHAnsi"/>
          <w:shd w:val="clear" w:color="auto" w:fill="FFFFFF"/>
        </w:rPr>
        <w:t xml:space="preserve">om studieplass på en høyskole eller universitet </w:t>
      </w:r>
      <w:r w:rsidR="006F145D" w:rsidRPr="005E5209">
        <w:rPr>
          <w:rFonts w:cstheme="minorHAnsi"/>
          <w:shd w:val="clear" w:color="auto" w:fill="FFFFFF"/>
        </w:rPr>
        <w:t>gjennom</w:t>
      </w:r>
      <w:r w:rsidR="00F46878" w:rsidRPr="005E5209">
        <w:rPr>
          <w:rFonts w:cstheme="minorHAnsi"/>
          <w:shd w:val="clear" w:color="auto" w:fill="FFFFFF"/>
        </w:rPr>
        <w:t xml:space="preserve"> Samordna opptak.</w:t>
      </w:r>
      <w:r w:rsidR="001D5809" w:rsidRPr="005E5209">
        <w:rPr>
          <w:rStyle w:val="Fotnotereferanse"/>
          <w:rFonts w:cstheme="minorHAnsi"/>
          <w:shd w:val="clear" w:color="auto" w:fill="FFFFFF"/>
        </w:rPr>
        <w:footnoteReference w:id="14"/>
      </w:r>
      <w:r w:rsidR="00F46878" w:rsidRPr="005E5209">
        <w:rPr>
          <w:rFonts w:cstheme="minorHAnsi"/>
          <w:shd w:val="clear" w:color="auto" w:fill="FFFFFF"/>
        </w:rPr>
        <w:t xml:space="preserve"> Det er </w:t>
      </w:r>
      <w:r w:rsidR="00D614C4" w:rsidRPr="005E5209">
        <w:rPr>
          <w:rFonts w:cstheme="minorHAnsi"/>
          <w:shd w:val="clear" w:color="auto" w:fill="FFFFFF"/>
        </w:rPr>
        <w:t>like mange som</w:t>
      </w:r>
      <w:r w:rsidR="007E7D5B" w:rsidRPr="005E5209">
        <w:rPr>
          <w:rFonts w:cstheme="minorHAnsi"/>
          <w:shd w:val="clear" w:color="auto" w:fill="FFFFFF"/>
        </w:rPr>
        <w:t xml:space="preserve"> året før</w:t>
      </w:r>
      <w:r w:rsidR="005F2847" w:rsidRPr="005E5209">
        <w:rPr>
          <w:rFonts w:cstheme="minorHAnsi"/>
          <w:shd w:val="clear" w:color="auto" w:fill="FFFFFF"/>
        </w:rPr>
        <w:t xml:space="preserve"> og to prosent fler</w:t>
      </w:r>
      <w:r w:rsidR="00185018" w:rsidRPr="005E5209">
        <w:rPr>
          <w:rFonts w:cstheme="minorHAnsi"/>
          <w:shd w:val="clear" w:color="auto" w:fill="FFFFFF"/>
        </w:rPr>
        <w:t>e</w:t>
      </w:r>
      <w:r w:rsidR="005F2847" w:rsidRPr="005E5209">
        <w:rPr>
          <w:rFonts w:cstheme="minorHAnsi"/>
          <w:shd w:val="clear" w:color="auto" w:fill="FFFFFF"/>
        </w:rPr>
        <w:t xml:space="preserve"> enn </w:t>
      </w:r>
      <w:r w:rsidR="00402744">
        <w:rPr>
          <w:rFonts w:cstheme="minorHAnsi"/>
          <w:shd w:val="clear" w:color="auto" w:fill="FFFFFF"/>
        </w:rPr>
        <w:t xml:space="preserve">i 2019, </w:t>
      </w:r>
      <w:r w:rsidR="005F2847" w:rsidRPr="005E5209">
        <w:rPr>
          <w:rFonts w:cstheme="minorHAnsi"/>
          <w:shd w:val="clear" w:color="auto" w:fill="FFFFFF"/>
        </w:rPr>
        <w:t>før pandemien.</w:t>
      </w:r>
      <w:r w:rsidR="00EF4622" w:rsidRPr="005E5209">
        <w:rPr>
          <w:rFonts w:cstheme="minorHAnsi"/>
          <w:shd w:val="clear" w:color="auto" w:fill="FFFFFF"/>
        </w:rPr>
        <w:t xml:space="preserve"> </w:t>
      </w:r>
      <w:r w:rsidR="00E30515" w:rsidRPr="00E30515">
        <w:rPr>
          <w:rFonts w:cstheme="minorHAnsi"/>
          <w:shd w:val="clear" w:color="auto" w:fill="FFFFFF"/>
        </w:rPr>
        <w:t>Over den siste tiårsperioden er det allikevel en samlet vekst i kvalifiserte førstevalgssøkere på 2</w:t>
      </w:r>
      <w:r w:rsidR="000A16B6">
        <w:rPr>
          <w:rFonts w:cstheme="minorHAnsi"/>
          <w:shd w:val="clear" w:color="auto" w:fill="FFFFFF"/>
        </w:rPr>
        <w:t>2</w:t>
      </w:r>
      <w:r w:rsidR="00E30515" w:rsidRPr="00E30515">
        <w:rPr>
          <w:rFonts w:cstheme="minorHAnsi"/>
          <w:shd w:val="clear" w:color="auto" w:fill="FFFFFF"/>
        </w:rPr>
        <w:t xml:space="preserve"> prosent, eller en økning på 2</w:t>
      </w:r>
      <w:r w:rsidR="00C57813">
        <w:rPr>
          <w:rFonts w:cstheme="minorHAnsi"/>
          <w:shd w:val="clear" w:color="auto" w:fill="FFFFFF"/>
        </w:rPr>
        <w:t>1</w:t>
      </w:r>
      <w:r w:rsidR="00E30515" w:rsidRPr="00E30515">
        <w:rPr>
          <w:rFonts w:cstheme="minorHAnsi"/>
          <w:shd w:val="clear" w:color="auto" w:fill="FFFFFF"/>
        </w:rPr>
        <w:t xml:space="preserve"> 000 individuelle søkere.</w:t>
      </w:r>
      <w:r w:rsidR="000A16B6">
        <w:rPr>
          <w:rFonts w:cstheme="minorHAnsi"/>
          <w:shd w:val="clear" w:color="auto" w:fill="FFFFFF"/>
        </w:rPr>
        <w:t xml:space="preserve"> </w:t>
      </w:r>
      <w:r w:rsidR="00B7445F" w:rsidRPr="00323BEF">
        <w:t xml:space="preserve">Dette går fram av vedleggstabell V2.4, som viser antall førstevalgssøkere per institusjon i </w:t>
      </w:r>
      <w:r w:rsidR="00A17BF9">
        <w:t>årene</w:t>
      </w:r>
      <w:r w:rsidR="00B7445F" w:rsidRPr="00323BEF">
        <w:t xml:space="preserve"> 201</w:t>
      </w:r>
      <w:r w:rsidR="00B7445F">
        <w:t>4</w:t>
      </w:r>
      <w:r w:rsidR="00B7445F" w:rsidRPr="00323BEF">
        <w:t>–2</w:t>
      </w:r>
      <w:r w:rsidR="00B7445F">
        <w:t>3</w:t>
      </w:r>
      <w:r w:rsidR="00B7445F" w:rsidRPr="00323BEF">
        <w:t xml:space="preserve">. </w:t>
      </w:r>
    </w:p>
    <w:p w14:paraId="5E47F882" w14:textId="1DD3CA1F" w:rsidR="006E48C2" w:rsidRPr="0066366C" w:rsidRDefault="00811351" w:rsidP="00F63550">
      <w:pPr>
        <w:rPr>
          <w:lang w:eastAsia="nb-NO"/>
        </w:rPr>
      </w:pPr>
      <w:r w:rsidRPr="45F46601">
        <w:rPr>
          <w:color w:val="333333"/>
          <w:shd w:val="clear" w:color="auto" w:fill="FFFFFF"/>
        </w:rPr>
        <w:t xml:space="preserve">Totalt er det </w:t>
      </w:r>
      <w:r w:rsidR="006E48C2" w:rsidRPr="45F46601">
        <w:rPr>
          <w:color w:val="333333"/>
          <w:shd w:val="clear" w:color="auto" w:fill="FFFFFF"/>
        </w:rPr>
        <w:t>1,8 kvalifiserte førstevalgs</w:t>
      </w:r>
      <w:r w:rsidRPr="45F46601">
        <w:rPr>
          <w:color w:val="333333"/>
          <w:shd w:val="clear" w:color="auto" w:fill="FFFFFF"/>
        </w:rPr>
        <w:t>søkere per studieplass</w:t>
      </w:r>
      <w:r w:rsidR="00936813" w:rsidRPr="45F46601">
        <w:rPr>
          <w:color w:val="333333"/>
          <w:shd w:val="clear" w:color="auto" w:fill="FFFFFF"/>
        </w:rPr>
        <w:t xml:space="preserve"> i 2023</w:t>
      </w:r>
      <w:r w:rsidR="00CF7C93" w:rsidRPr="45F46601">
        <w:rPr>
          <w:color w:val="333333"/>
          <w:shd w:val="clear" w:color="auto" w:fill="FFFFFF"/>
        </w:rPr>
        <w:t>, se</w:t>
      </w:r>
      <w:r w:rsidR="00960D95" w:rsidRPr="45F46601">
        <w:rPr>
          <w:color w:val="333333"/>
          <w:shd w:val="clear" w:color="auto" w:fill="FFFFFF"/>
        </w:rPr>
        <w:t xml:space="preserve"> </w:t>
      </w:r>
      <w:r w:rsidR="009C0864" w:rsidRPr="45F46601">
        <w:rPr>
          <w:color w:val="333333"/>
          <w:shd w:val="clear" w:color="auto" w:fill="FFFFFF"/>
        </w:rPr>
        <w:fldChar w:fldCharType="begin"/>
      </w:r>
      <w:r w:rsidR="009C0864" w:rsidRPr="45F46601">
        <w:rPr>
          <w:color w:val="333333"/>
          <w:shd w:val="clear" w:color="auto" w:fill="FFFFFF"/>
        </w:rPr>
        <w:instrText xml:space="preserve"> REF _Ref163469886 \h </w:instrText>
      </w:r>
      <w:r w:rsidR="009C0864" w:rsidRPr="45F46601">
        <w:rPr>
          <w:color w:val="333333"/>
          <w:shd w:val="clear" w:color="auto" w:fill="FFFFFF"/>
        </w:rPr>
      </w:r>
      <w:r w:rsidR="009C0864" w:rsidRPr="45F46601">
        <w:rPr>
          <w:color w:val="333333"/>
          <w:shd w:val="clear" w:color="auto" w:fill="FFFFFF"/>
        </w:rPr>
        <w:fldChar w:fldCharType="separate"/>
      </w:r>
      <w:r w:rsidR="009C0864">
        <w:t xml:space="preserve">Tabell </w:t>
      </w:r>
      <w:r w:rsidR="009C0864">
        <w:rPr>
          <w:noProof/>
        </w:rPr>
        <w:t>5</w:t>
      </w:r>
      <w:r w:rsidR="009C0864">
        <w:t>.</w:t>
      </w:r>
      <w:r w:rsidR="009C0864">
        <w:rPr>
          <w:noProof/>
        </w:rPr>
        <w:t>1</w:t>
      </w:r>
      <w:r w:rsidR="009C0864" w:rsidRPr="45F46601">
        <w:rPr>
          <w:color w:val="333333"/>
          <w:shd w:val="clear" w:color="auto" w:fill="FFFFFF"/>
        </w:rPr>
        <w:fldChar w:fldCharType="end"/>
      </w:r>
      <w:r w:rsidR="009C0864" w:rsidRPr="45F46601">
        <w:rPr>
          <w:color w:val="333333"/>
          <w:shd w:val="clear" w:color="auto" w:fill="FFFFFF"/>
        </w:rPr>
        <w:t>.</w:t>
      </w:r>
      <w:r w:rsidR="00936813" w:rsidRPr="45F46601">
        <w:rPr>
          <w:color w:val="333333"/>
          <w:shd w:val="clear" w:color="auto" w:fill="FFFFFF"/>
        </w:rPr>
        <w:t xml:space="preserve"> Også dette er likt som i 2022</w:t>
      </w:r>
      <w:r w:rsidR="00095657" w:rsidRPr="45F46601">
        <w:rPr>
          <w:color w:val="333333"/>
          <w:shd w:val="clear" w:color="auto" w:fill="FFFFFF"/>
        </w:rPr>
        <w:t xml:space="preserve"> og </w:t>
      </w:r>
      <w:r w:rsidR="001F600C" w:rsidRPr="45F46601">
        <w:rPr>
          <w:color w:val="333333"/>
          <w:shd w:val="clear" w:color="auto" w:fill="FFFFFF"/>
        </w:rPr>
        <w:t xml:space="preserve">om lag på nivå med 2019. </w:t>
      </w:r>
      <w:r w:rsidR="00A840F6" w:rsidRPr="45F46601">
        <w:rPr>
          <w:color w:val="333333"/>
          <w:shd w:val="clear" w:color="auto" w:fill="FFFFFF"/>
        </w:rPr>
        <w:t xml:space="preserve">Under pandemien i 2020 og 2021 </w:t>
      </w:r>
      <w:r w:rsidR="002A1D87" w:rsidRPr="45F46601">
        <w:rPr>
          <w:color w:val="333333"/>
          <w:shd w:val="clear" w:color="auto" w:fill="FFFFFF"/>
        </w:rPr>
        <w:t xml:space="preserve">var det flere søkere og dermed hardere konkurranse om studieplassene, med </w:t>
      </w:r>
      <w:r w:rsidR="00E8786A" w:rsidRPr="45F46601">
        <w:rPr>
          <w:color w:val="333333"/>
          <w:shd w:val="clear" w:color="auto" w:fill="FFFFFF"/>
        </w:rPr>
        <w:t xml:space="preserve">2,1 kvalifisert søker per plass. </w:t>
      </w:r>
      <w:r w:rsidR="001F0235" w:rsidRPr="00323BEF">
        <w:t>Det er langt større konkurranse om studieplassene ved de statlige lærestedene enn ved de private</w:t>
      </w:r>
      <w:r w:rsidR="004C1714">
        <w:t>.</w:t>
      </w:r>
      <w:r w:rsidR="001F0235" w:rsidRPr="00323BEF">
        <w:t xml:space="preserve"> De statlige lærestedene har 1,9 førstevalgssøkere per studieplass, mens de private</w:t>
      </w:r>
      <w:r w:rsidR="00F23A20">
        <w:t xml:space="preserve"> </w:t>
      </w:r>
      <w:r w:rsidR="007E24AC">
        <w:t>samlet sett</w:t>
      </w:r>
      <w:r w:rsidR="001F0235" w:rsidRPr="00323BEF">
        <w:t xml:space="preserve"> </w:t>
      </w:r>
      <w:r w:rsidR="00DB2BDF">
        <w:t xml:space="preserve">har </w:t>
      </w:r>
      <w:r w:rsidR="00F23A20">
        <w:t>é</w:t>
      </w:r>
      <w:r w:rsidR="00275BDA">
        <w:t xml:space="preserve">n </w:t>
      </w:r>
      <w:r w:rsidR="00DB2BDF">
        <w:t xml:space="preserve">plass </w:t>
      </w:r>
      <w:r w:rsidR="00F23A20">
        <w:t>p</w:t>
      </w:r>
      <w:r w:rsidR="00275BDA">
        <w:t xml:space="preserve">er </w:t>
      </w:r>
      <w:r w:rsidR="00DB2BDF">
        <w:t>kvalifiserte søker.</w:t>
      </w:r>
      <w:r w:rsidR="004940A0">
        <w:t xml:space="preserve"> </w:t>
      </w:r>
    </w:p>
    <w:p w14:paraId="025A708E" w14:textId="74B9D647" w:rsidR="009A0A80" w:rsidRDefault="009A0A80" w:rsidP="00355D84">
      <w:pPr>
        <w:pStyle w:val="Bildetekst"/>
        <w:keepNext/>
        <w:keepLines/>
      </w:pPr>
    </w:p>
    <w:p w14:paraId="52C40897" w14:textId="2D1EAD92" w:rsidR="009C0864" w:rsidRDefault="009C0864" w:rsidP="009C0864">
      <w:pPr>
        <w:pStyle w:val="Bildetekst"/>
        <w:keepNext/>
      </w:pPr>
      <w:bookmarkStart w:id="86" w:name="_Ref163469886"/>
      <w:r>
        <w:t xml:space="preserve">Tabell </w:t>
      </w:r>
      <w:r w:rsidR="00826DA7">
        <w:fldChar w:fldCharType="begin"/>
      </w:r>
      <w:r w:rsidR="00826DA7">
        <w:instrText xml:space="preserve"> STYLEREF 1 \s </w:instrText>
      </w:r>
      <w:r w:rsidR="00826DA7">
        <w:fldChar w:fldCharType="separate"/>
      </w:r>
      <w:r w:rsidR="00826DA7">
        <w:rPr>
          <w:noProof/>
        </w:rPr>
        <w:t>5</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1</w:t>
      </w:r>
      <w:r w:rsidR="00826DA7">
        <w:fldChar w:fldCharType="end"/>
      </w:r>
      <w:bookmarkEnd w:id="86"/>
      <w:r>
        <w:t xml:space="preserve"> </w:t>
      </w:r>
      <w:r w:rsidRPr="00293D8A">
        <w:t xml:space="preserve">Kvalifiserte førstevalgssøkere </w:t>
      </w:r>
      <w:r w:rsidR="00982D06">
        <w:t xml:space="preserve">i Samordna opptak </w:t>
      </w:r>
      <w:r w:rsidRPr="00293D8A">
        <w:t>per studieplass 2019–23</w:t>
      </w:r>
    </w:p>
    <w:tbl>
      <w:tblPr>
        <w:tblW w:w="5000" w:type="pct"/>
        <w:tblCellMar>
          <w:left w:w="70" w:type="dxa"/>
          <w:right w:w="70" w:type="dxa"/>
        </w:tblCellMar>
        <w:tblLook w:val="04A0" w:firstRow="1" w:lastRow="0" w:firstColumn="1" w:lastColumn="0" w:noHBand="0" w:noVBand="1"/>
      </w:tblPr>
      <w:tblGrid>
        <w:gridCol w:w="751"/>
        <w:gridCol w:w="751"/>
        <w:gridCol w:w="751"/>
        <w:gridCol w:w="751"/>
        <w:gridCol w:w="751"/>
        <w:gridCol w:w="751"/>
        <w:gridCol w:w="751"/>
        <w:gridCol w:w="751"/>
        <w:gridCol w:w="751"/>
        <w:gridCol w:w="751"/>
        <w:gridCol w:w="751"/>
        <w:gridCol w:w="745"/>
      </w:tblGrid>
      <w:tr w:rsidR="009A0A80" w:rsidRPr="00B50095" w14:paraId="4599A0C4" w14:textId="77777777">
        <w:trPr>
          <w:trHeight w:val="300"/>
        </w:trPr>
        <w:tc>
          <w:tcPr>
            <w:tcW w:w="417" w:type="pct"/>
            <w:vMerge w:val="restart"/>
            <w:tcBorders>
              <w:top w:val="nil"/>
              <w:left w:val="single" w:sz="8" w:space="0" w:color="0079AC"/>
              <w:bottom w:val="nil"/>
              <w:right w:val="single" w:sz="8" w:space="0" w:color="2E91BB"/>
            </w:tcBorders>
            <w:shd w:val="clear" w:color="000000" w:fill="0079AC"/>
            <w:vAlign w:val="center"/>
            <w:hideMark/>
          </w:tcPr>
          <w:p w14:paraId="629CAA50" w14:textId="77777777" w:rsidR="009A0A80" w:rsidRPr="00B50095" w:rsidRDefault="009A0A80" w:rsidP="00355D84">
            <w:pPr>
              <w:keepNext/>
              <w:keepLines/>
              <w:spacing w:after="0" w:line="240" w:lineRule="auto"/>
              <w:rPr>
                <w:rFonts w:ascii="Times New Roman" w:eastAsia="Times New Roman" w:hAnsi="Times New Roman" w:cs="Times New Roman"/>
                <w:color w:val="000000"/>
                <w:sz w:val="20"/>
                <w:szCs w:val="20"/>
                <w:lang w:eastAsia="nb-NO"/>
              </w:rPr>
            </w:pPr>
            <w:r w:rsidRPr="00B50095">
              <w:rPr>
                <w:rFonts w:ascii="Times New Roman" w:eastAsia="Times New Roman" w:hAnsi="Times New Roman" w:cs="Times New Roman"/>
                <w:color w:val="000000"/>
                <w:sz w:val="20"/>
                <w:szCs w:val="20"/>
                <w:lang w:eastAsia="nb-NO"/>
              </w:rPr>
              <w:t> </w:t>
            </w:r>
          </w:p>
        </w:tc>
        <w:tc>
          <w:tcPr>
            <w:tcW w:w="834" w:type="pct"/>
            <w:gridSpan w:val="2"/>
            <w:tcBorders>
              <w:top w:val="nil"/>
              <w:left w:val="nil"/>
              <w:bottom w:val="single" w:sz="8" w:space="0" w:color="2E91BB"/>
              <w:right w:val="single" w:sz="8" w:space="0" w:color="2E91BB"/>
            </w:tcBorders>
            <w:shd w:val="clear" w:color="000000" w:fill="0079AC"/>
            <w:vAlign w:val="center"/>
            <w:hideMark/>
          </w:tcPr>
          <w:p w14:paraId="2F3E97C8"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2019</w:t>
            </w:r>
          </w:p>
        </w:tc>
        <w:tc>
          <w:tcPr>
            <w:tcW w:w="834" w:type="pct"/>
            <w:gridSpan w:val="2"/>
            <w:tcBorders>
              <w:top w:val="nil"/>
              <w:left w:val="nil"/>
              <w:bottom w:val="single" w:sz="8" w:space="0" w:color="2E91BB"/>
              <w:right w:val="single" w:sz="8" w:space="0" w:color="2E91BB"/>
            </w:tcBorders>
            <w:shd w:val="clear" w:color="000000" w:fill="0079AC"/>
            <w:vAlign w:val="center"/>
            <w:hideMark/>
          </w:tcPr>
          <w:p w14:paraId="0F51A089"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2020</w:t>
            </w:r>
          </w:p>
        </w:tc>
        <w:tc>
          <w:tcPr>
            <w:tcW w:w="834" w:type="pct"/>
            <w:gridSpan w:val="2"/>
            <w:tcBorders>
              <w:top w:val="nil"/>
              <w:left w:val="nil"/>
              <w:bottom w:val="single" w:sz="8" w:space="0" w:color="2E91BB"/>
              <w:right w:val="single" w:sz="8" w:space="0" w:color="2E91BB"/>
            </w:tcBorders>
            <w:shd w:val="clear" w:color="000000" w:fill="0079AC"/>
            <w:vAlign w:val="center"/>
            <w:hideMark/>
          </w:tcPr>
          <w:p w14:paraId="4988692F"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2021</w:t>
            </w:r>
          </w:p>
        </w:tc>
        <w:tc>
          <w:tcPr>
            <w:tcW w:w="834" w:type="pct"/>
            <w:gridSpan w:val="2"/>
            <w:tcBorders>
              <w:top w:val="nil"/>
              <w:left w:val="nil"/>
              <w:bottom w:val="single" w:sz="8" w:space="0" w:color="2E91BB"/>
              <w:right w:val="single" w:sz="8" w:space="0" w:color="2E91BB"/>
            </w:tcBorders>
            <w:shd w:val="clear" w:color="000000" w:fill="0079AC"/>
            <w:vAlign w:val="center"/>
            <w:hideMark/>
          </w:tcPr>
          <w:p w14:paraId="1137F982"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2022</w:t>
            </w:r>
          </w:p>
        </w:tc>
        <w:tc>
          <w:tcPr>
            <w:tcW w:w="834" w:type="pct"/>
            <w:gridSpan w:val="2"/>
            <w:tcBorders>
              <w:top w:val="nil"/>
              <w:left w:val="nil"/>
              <w:bottom w:val="single" w:sz="8" w:space="0" w:color="2E91BB"/>
              <w:right w:val="single" w:sz="8" w:space="0" w:color="2E91BB"/>
            </w:tcBorders>
            <w:shd w:val="clear" w:color="000000" w:fill="0079AC"/>
            <w:vAlign w:val="center"/>
            <w:hideMark/>
          </w:tcPr>
          <w:p w14:paraId="2B6BA401"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2023</w:t>
            </w:r>
          </w:p>
        </w:tc>
        <w:tc>
          <w:tcPr>
            <w:tcW w:w="414" w:type="pct"/>
            <w:vMerge w:val="restart"/>
            <w:tcBorders>
              <w:top w:val="nil"/>
              <w:left w:val="single" w:sz="8" w:space="0" w:color="2E91BB"/>
              <w:bottom w:val="nil"/>
              <w:right w:val="single" w:sz="8" w:space="0" w:color="0079AC"/>
            </w:tcBorders>
            <w:shd w:val="clear" w:color="000000" w:fill="0079AC"/>
            <w:vAlign w:val="center"/>
            <w:hideMark/>
          </w:tcPr>
          <w:p w14:paraId="5B7F818B"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Endring 2022-2023</w:t>
            </w:r>
          </w:p>
        </w:tc>
      </w:tr>
      <w:tr w:rsidR="009A0A80" w:rsidRPr="00B50095" w14:paraId="52639857" w14:textId="77777777">
        <w:trPr>
          <w:trHeight w:val="290"/>
        </w:trPr>
        <w:tc>
          <w:tcPr>
            <w:tcW w:w="417" w:type="pct"/>
            <w:vMerge/>
            <w:tcBorders>
              <w:top w:val="nil"/>
              <w:left w:val="single" w:sz="8" w:space="0" w:color="0079AC"/>
              <w:bottom w:val="nil"/>
              <w:right w:val="single" w:sz="8" w:space="0" w:color="2E91BB"/>
            </w:tcBorders>
            <w:vAlign w:val="center"/>
            <w:hideMark/>
          </w:tcPr>
          <w:p w14:paraId="31B94EEE" w14:textId="77777777" w:rsidR="009A0A80" w:rsidRPr="00B50095" w:rsidRDefault="009A0A80" w:rsidP="00355D84">
            <w:pPr>
              <w:keepNext/>
              <w:keepLines/>
              <w:spacing w:after="0" w:line="240" w:lineRule="auto"/>
              <w:rPr>
                <w:rFonts w:ascii="Times New Roman" w:eastAsia="Times New Roman" w:hAnsi="Times New Roman" w:cs="Times New Roman"/>
                <w:color w:val="000000"/>
                <w:sz w:val="20"/>
                <w:szCs w:val="20"/>
                <w:lang w:eastAsia="nb-NO"/>
              </w:rPr>
            </w:pPr>
          </w:p>
        </w:tc>
        <w:tc>
          <w:tcPr>
            <w:tcW w:w="417" w:type="pct"/>
            <w:tcBorders>
              <w:top w:val="nil"/>
              <w:left w:val="nil"/>
              <w:bottom w:val="nil"/>
              <w:right w:val="nil"/>
            </w:tcBorders>
            <w:shd w:val="clear" w:color="000000" w:fill="0079AC"/>
            <w:vAlign w:val="center"/>
            <w:hideMark/>
          </w:tcPr>
          <w:p w14:paraId="2D15BE21"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362BBE46"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472F4571"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7B87DADC"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25E42FD2"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3E0B558B"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53DD8F8F"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75D94786"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Andel </w:t>
            </w:r>
          </w:p>
        </w:tc>
        <w:tc>
          <w:tcPr>
            <w:tcW w:w="417" w:type="pct"/>
            <w:tcBorders>
              <w:top w:val="nil"/>
              <w:left w:val="single" w:sz="8" w:space="0" w:color="2E91BB"/>
              <w:bottom w:val="nil"/>
              <w:right w:val="nil"/>
            </w:tcBorders>
            <w:shd w:val="clear" w:color="000000" w:fill="0079AC"/>
            <w:vAlign w:val="center"/>
            <w:hideMark/>
          </w:tcPr>
          <w:p w14:paraId="2B99D312"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Antall </w:t>
            </w:r>
          </w:p>
        </w:tc>
        <w:tc>
          <w:tcPr>
            <w:tcW w:w="417" w:type="pct"/>
            <w:tcBorders>
              <w:top w:val="nil"/>
              <w:left w:val="single" w:sz="8" w:space="0" w:color="2E91BB"/>
              <w:bottom w:val="nil"/>
              <w:right w:val="nil"/>
            </w:tcBorders>
            <w:shd w:val="clear" w:color="000000" w:fill="0079AC"/>
            <w:vAlign w:val="center"/>
            <w:hideMark/>
          </w:tcPr>
          <w:p w14:paraId="474328E3" w14:textId="77777777" w:rsidR="009A0A80" w:rsidRPr="00B50095" w:rsidRDefault="009A0A80" w:rsidP="00355D84">
            <w:pPr>
              <w:keepNext/>
              <w:keepLines/>
              <w:spacing w:after="0" w:line="240" w:lineRule="auto"/>
              <w:jc w:val="center"/>
              <w:rPr>
                <w:rFonts w:ascii="Arial" w:eastAsia="Times New Roman" w:hAnsi="Arial" w:cs="Arial"/>
                <w:b/>
                <w:bCs/>
                <w:color w:val="FFFFFF"/>
                <w:sz w:val="16"/>
                <w:szCs w:val="16"/>
                <w:lang w:eastAsia="nb-NO"/>
              </w:rPr>
            </w:pPr>
            <w:r w:rsidRPr="00B50095">
              <w:rPr>
                <w:rFonts w:ascii="Arial" w:eastAsia="Times New Roman" w:hAnsi="Arial" w:cs="Arial"/>
                <w:b/>
                <w:bCs/>
                <w:color w:val="FFFFFF"/>
                <w:sz w:val="16"/>
                <w:szCs w:val="16"/>
                <w:lang w:eastAsia="nb-NO"/>
              </w:rPr>
              <w:t xml:space="preserve"> Andel </w:t>
            </w:r>
          </w:p>
        </w:tc>
        <w:tc>
          <w:tcPr>
            <w:tcW w:w="414" w:type="pct"/>
            <w:vMerge/>
            <w:tcBorders>
              <w:top w:val="nil"/>
              <w:left w:val="single" w:sz="8" w:space="0" w:color="2E91BB"/>
              <w:bottom w:val="nil"/>
              <w:right w:val="single" w:sz="8" w:space="0" w:color="0079AC"/>
            </w:tcBorders>
            <w:vAlign w:val="center"/>
            <w:hideMark/>
          </w:tcPr>
          <w:p w14:paraId="76847403" w14:textId="77777777" w:rsidR="009A0A80" w:rsidRPr="00B50095" w:rsidRDefault="009A0A80" w:rsidP="00355D84">
            <w:pPr>
              <w:keepNext/>
              <w:keepLines/>
              <w:spacing w:after="0" w:line="240" w:lineRule="auto"/>
              <w:rPr>
                <w:rFonts w:ascii="Arial" w:eastAsia="Times New Roman" w:hAnsi="Arial" w:cs="Arial"/>
                <w:b/>
                <w:bCs/>
                <w:color w:val="FFFFFF"/>
                <w:sz w:val="16"/>
                <w:szCs w:val="16"/>
                <w:lang w:eastAsia="nb-NO"/>
              </w:rPr>
            </w:pPr>
          </w:p>
        </w:tc>
      </w:tr>
      <w:tr w:rsidR="009A0A80" w:rsidRPr="00B50095" w14:paraId="0ED78A76" w14:textId="77777777">
        <w:trPr>
          <w:trHeight w:val="290"/>
        </w:trPr>
        <w:tc>
          <w:tcPr>
            <w:tcW w:w="417" w:type="pct"/>
            <w:tcBorders>
              <w:top w:val="nil"/>
              <w:left w:val="nil"/>
              <w:bottom w:val="nil"/>
              <w:right w:val="nil"/>
            </w:tcBorders>
            <w:shd w:val="clear" w:color="000000" w:fill="EEEEEE"/>
            <w:vAlign w:val="center"/>
            <w:hideMark/>
          </w:tcPr>
          <w:p w14:paraId="51D8282E" w14:textId="77777777" w:rsidR="009A0A80" w:rsidRPr="00B50095" w:rsidRDefault="009A0A80" w:rsidP="00355D84">
            <w:pPr>
              <w:keepNext/>
              <w:keepLines/>
              <w:spacing w:after="0" w:line="240" w:lineRule="auto"/>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 xml:space="preserve">Statlige inst. </w:t>
            </w:r>
          </w:p>
        </w:tc>
        <w:tc>
          <w:tcPr>
            <w:tcW w:w="417" w:type="pct"/>
            <w:tcBorders>
              <w:top w:val="nil"/>
              <w:left w:val="nil"/>
              <w:bottom w:val="nil"/>
              <w:right w:val="nil"/>
            </w:tcBorders>
            <w:shd w:val="clear" w:color="000000" w:fill="EEEEEE"/>
            <w:vAlign w:val="center"/>
            <w:hideMark/>
          </w:tcPr>
          <w:p w14:paraId="6C8A6019"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2,0</w:t>
            </w:r>
          </w:p>
        </w:tc>
        <w:tc>
          <w:tcPr>
            <w:tcW w:w="417" w:type="pct"/>
            <w:tcBorders>
              <w:top w:val="nil"/>
              <w:left w:val="nil"/>
              <w:bottom w:val="nil"/>
              <w:right w:val="nil"/>
            </w:tcBorders>
            <w:shd w:val="clear" w:color="000000" w:fill="EEEEEE"/>
            <w:vAlign w:val="center"/>
            <w:hideMark/>
          </w:tcPr>
          <w:p w14:paraId="139594CC"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96,3</w:t>
            </w:r>
          </w:p>
        </w:tc>
        <w:tc>
          <w:tcPr>
            <w:tcW w:w="417" w:type="pct"/>
            <w:tcBorders>
              <w:top w:val="nil"/>
              <w:left w:val="nil"/>
              <w:bottom w:val="nil"/>
              <w:right w:val="nil"/>
            </w:tcBorders>
            <w:shd w:val="clear" w:color="000000" w:fill="EEEEEE"/>
            <w:vAlign w:val="center"/>
            <w:hideMark/>
          </w:tcPr>
          <w:p w14:paraId="6C7A175F"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2,2</w:t>
            </w:r>
          </w:p>
        </w:tc>
        <w:tc>
          <w:tcPr>
            <w:tcW w:w="417" w:type="pct"/>
            <w:tcBorders>
              <w:top w:val="nil"/>
              <w:left w:val="nil"/>
              <w:bottom w:val="nil"/>
              <w:right w:val="nil"/>
            </w:tcBorders>
            <w:shd w:val="clear" w:color="000000" w:fill="EEEEEE"/>
            <w:vAlign w:val="center"/>
            <w:hideMark/>
          </w:tcPr>
          <w:p w14:paraId="22DF795F"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96,7</w:t>
            </w:r>
          </w:p>
        </w:tc>
        <w:tc>
          <w:tcPr>
            <w:tcW w:w="417" w:type="pct"/>
            <w:tcBorders>
              <w:top w:val="nil"/>
              <w:left w:val="nil"/>
              <w:bottom w:val="nil"/>
              <w:right w:val="nil"/>
            </w:tcBorders>
            <w:shd w:val="clear" w:color="000000" w:fill="EEEEEE"/>
            <w:vAlign w:val="center"/>
            <w:hideMark/>
          </w:tcPr>
          <w:p w14:paraId="723FEDAD"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2,2</w:t>
            </w:r>
          </w:p>
        </w:tc>
        <w:tc>
          <w:tcPr>
            <w:tcW w:w="417" w:type="pct"/>
            <w:tcBorders>
              <w:top w:val="nil"/>
              <w:left w:val="nil"/>
              <w:bottom w:val="nil"/>
              <w:right w:val="nil"/>
            </w:tcBorders>
            <w:shd w:val="clear" w:color="000000" w:fill="EEEEEE"/>
            <w:vAlign w:val="center"/>
            <w:hideMark/>
          </w:tcPr>
          <w:p w14:paraId="198E0095"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95,9</w:t>
            </w:r>
          </w:p>
        </w:tc>
        <w:tc>
          <w:tcPr>
            <w:tcW w:w="417" w:type="pct"/>
            <w:tcBorders>
              <w:top w:val="nil"/>
              <w:left w:val="nil"/>
              <w:bottom w:val="nil"/>
              <w:right w:val="nil"/>
            </w:tcBorders>
            <w:shd w:val="clear" w:color="000000" w:fill="EEEEEE"/>
            <w:vAlign w:val="center"/>
            <w:hideMark/>
          </w:tcPr>
          <w:p w14:paraId="77B91BFB"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1,9</w:t>
            </w:r>
          </w:p>
        </w:tc>
        <w:tc>
          <w:tcPr>
            <w:tcW w:w="417" w:type="pct"/>
            <w:tcBorders>
              <w:top w:val="nil"/>
              <w:left w:val="nil"/>
              <w:bottom w:val="nil"/>
              <w:right w:val="nil"/>
            </w:tcBorders>
            <w:shd w:val="clear" w:color="000000" w:fill="EEEEEE"/>
            <w:vAlign w:val="center"/>
            <w:hideMark/>
          </w:tcPr>
          <w:p w14:paraId="137373CF"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96,2</w:t>
            </w:r>
          </w:p>
        </w:tc>
        <w:tc>
          <w:tcPr>
            <w:tcW w:w="417" w:type="pct"/>
            <w:tcBorders>
              <w:top w:val="nil"/>
              <w:left w:val="nil"/>
              <w:bottom w:val="nil"/>
              <w:right w:val="nil"/>
            </w:tcBorders>
            <w:shd w:val="clear" w:color="000000" w:fill="EEEEEE"/>
            <w:vAlign w:val="center"/>
            <w:hideMark/>
          </w:tcPr>
          <w:p w14:paraId="4F2E76FC"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1,9</w:t>
            </w:r>
          </w:p>
        </w:tc>
        <w:tc>
          <w:tcPr>
            <w:tcW w:w="417" w:type="pct"/>
            <w:tcBorders>
              <w:top w:val="nil"/>
              <w:left w:val="nil"/>
              <w:bottom w:val="nil"/>
              <w:right w:val="nil"/>
            </w:tcBorders>
            <w:shd w:val="clear" w:color="000000" w:fill="EEEEEE"/>
            <w:vAlign w:val="center"/>
            <w:hideMark/>
          </w:tcPr>
          <w:p w14:paraId="44977085"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96,6</w:t>
            </w:r>
          </w:p>
        </w:tc>
        <w:tc>
          <w:tcPr>
            <w:tcW w:w="414" w:type="pct"/>
            <w:tcBorders>
              <w:top w:val="nil"/>
              <w:left w:val="nil"/>
              <w:bottom w:val="nil"/>
              <w:right w:val="nil"/>
            </w:tcBorders>
            <w:shd w:val="clear" w:color="000000" w:fill="EEEEEE"/>
            <w:vAlign w:val="center"/>
            <w:hideMark/>
          </w:tcPr>
          <w:p w14:paraId="00C48965"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0,0</w:t>
            </w:r>
          </w:p>
        </w:tc>
      </w:tr>
      <w:tr w:rsidR="009A0A80" w:rsidRPr="00B50095" w14:paraId="220A5EF0" w14:textId="77777777">
        <w:trPr>
          <w:trHeight w:val="290"/>
        </w:trPr>
        <w:tc>
          <w:tcPr>
            <w:tcW w:w="417" w:type="pct"/>
            <w:tcBorders>
              <w:top w:val="nil"/>
              <w:left w:val="single" w:sz="8" w:space="0" w:color="EEEEEE"/>
              <w:bottom w:val="nil"/>
              <w:right w:val="nil"/>
            </w:tcBorders>
            <w:shd w:val="clear" w:color="000000" w:fill="FFFFFF"/>
            <w:vAlign w:val="center"/>
            <w:hideMark/>
          </w:tcPr>
          <w:p w14:paraId="7DE78F21" w14:textId="77777777" w:rsidR="009A0A80" w:rsidRPr="00B50095" w:rsidRDefault="009A0A80" w:rsidP="00355D84">
            <w:pPr>
              <w:keepNext/>
              <w:keepLines/>
              <w:spacing w:after="0" w:line="240" w:lineRule="auto"/>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 xml:space="preserve">Private inst. </w:t>
            </w:r>
          </w:p>
        </w:tc>
        <w:tc>
          <w:tcPr>
            <w:tcW w:w="417" w:type="pct"/>
            <w:tcBorders>
              <w:top w:val="nil"/>
              <w:left w:val="single" w:sz="8" w:space="0" w:color="EEEEEE"/>
              <w:bottom w:val="nil"/>
              <w:right w:val="nil"/>
            </w:tcBorders>
            <w:shd w:val="clear" w:color="000000" w:fill="FFFFFF"/>
            <w:vAlign w:val="center"/>
            <w:hideMark/>
          </w:tcPr>
          <w:p w14:paraId="376AEE85"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1,3</w:t>
            </w:r>
          </w:p>
        </w:tc>
        <w:tc>
          <w:tcPr>
            <w:tcW w:w="417" w:type="pct"/>
            <w:tcBorders>
              <w:top w:val="nil"/>
              <w:left w:val="single" w:sz="8" w:space="0" w:color="EEEEEE"/>
              <w:bottom w:val="nil"/>
              <w:right w:val="nil"/>
            </w:tcBorders>
            <w:shd w:val="clear" w:color="000000" w:fill="FFFFFF"/>
            <w:vAlign w:val="center"/>
            <w:hideMark/>
          </w:tcPr>
          <w:p w14:paraId="1C4D3A69"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3,7</w:t>
            </w:r>
          </w:p>
        </w:tc>
        <w:tc>
          <w:tcPr>
            <w:tcW w:w="417" w:type="pct"/>
            <w:tcBorders>
              <w:top w:val="nil"/>
              <w:left w:val="single" w:sz="8" w:space="0" w:color="EEEEEE"/>
              <w:bottom w:val="nil"/>
              <w:right w:val="nil"/>
            </w:tcBorders>
            <w:shd w:val="clear" w:color="000000" w:fill="FFFFFF"/>
            <w:vAlign w:val="center"/>
            <w:hideMark/>
          </w:tcPr>
          <w:p w14:paraId="59C69CAB"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1,2</w:t>
            </w:r>
          </w:p>
        </w:tc>
        <w:tc>
          <w:tcPr>
            <w:tcW w:w="417" w:type="pct"/>
            <w:tcBorders>
              <w:top w:val="nil"/>
              <w:left w:val="single" w:sz="8" w:space="0" w:color="EEEEEE"/>
              <w:bottom w:val="nil"/>
              <w:right w:val="nil"/>
            </w:tcBorders>
            <w:shd w:val="clear" w:color="000000" w:fill="FFFFFF"/>
            <w:vAlign w:val="center"/>
            <w:hideMark/>
          </w:tcPr>
          <w:p w14:paraId="337533BF"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3,3</w:t>
            </w:r>
          </w:p>
        </w:tc>
        <w:tc>
          <w:tcPr>
            <w:tcW w:w="417" w:type="pct"/>
            <w:tcBorders>
              <w:top w:val="nil"/>
              <w:left w:val="single" w:sz="8" w:space="0" w:color="EEEEEE"/>
              <w:bottom w:val="nil"/>
              <w:right w:val="nil"/>
            </w:tcBorders>
            <w:shd w:val="clear" w:color="000000" w:fill="FFFFFF"/>
            <w:vAlign w:val="center"/>
            <w:hideMark/>
          </w:tcPr>
          <w:p w14:paraId="324F083F"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1,5</w:t>
            </w:r>
          </w:p>
        </w:tc>
        <w:tc>
          <w:tcPr>
            <w:tcW w:w="417" w:type="pct"/>
            <w:tcBorders>
              <w:top w:val="nil"/>
              <w:left w:val="single" w:sz="8" w:space="0" w:color="EEEEEE"/>
              <w:bottom w:val="nil"/>
              <w:right w:val="nil"/>
            </w:tcBorders>
            <w:shd w:val="clear" w:color="000000" w:fill="FFFFFF"/>
            <w:vAlign w:val="center"/>
            <w:hideMark/>
          </w:tcPr>
          <w:p w14:paraId="1CFC14E8"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4,1</w:t>
            </w:r>
          </w:p>
        </w:tc>
        <w:tc>
          <w:tcPr>
            <w:tcW w:w="417" w:type="pct"/>
            <w:tcBorders>
              <w:top w:val="nil"/>
              <w:left w:val="single" w:sz="8" w:space="0" w:color="EEEEEE"/>
              <w:bottom w:val="nil"/>
              <w:right w:val="nil"/>
            </w:tcBorders>
            <w:shd w:val="clear" w:color="000000" w:fill="FFFFFF"/>
            <w:vAlign w:val="center"/>
            <w:hideMark/>
          </w:tcPr>
          <w:p w14:paraId="0DBACEB8"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1,2</w:t>
            </w:r>
          </w:p>
        </w:tc>
        <w:tc>
          <w:tcPr>
            <w:tcW w:w="417" w:type="pct"/>
            <w:tcBorders>
              <w:top w:val="nil"/>
              <w:left w:val="single" w:sz="8" w:space="0" w:color="EEEEEE"/>
              <w:bottom w:val="nil"/>
              <w:right w:val="nil"/>
            </w:tcBorders>
            <w:shd w:val="clear" w:color="000000" w:fill="FFFFFF"/>
            <w:vAlign w:val="center"/>
            <w:hideMark/>
          </w:tcPr>
          <w:p w14:paraId="5299126E"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3,8</w:t>
            </w:r>
          </w:p>
        </w:tc>
        <w:tc>
          <w:tcPr>
            <w:tcW w:w="417" w:type="pct"/>
            <w:tcBorders>
              <w:top w:val="nil"/>
              <w:left w:val="single" w:sz="8" w:space="0" w:color="EEEEEE"/>
              <w:bottom w:val="nil"/>
              <w:right w:val="nil"/>
            </w:tcBorders>
            <w:shd w:val="clear" w:color="000000" w:fill="FFFFFF"/>
            <w:vAlign w:val="center"/>
            <w:hideMark/>
          </w:tcPr>
          <w:p w14:paraId="5564D888"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1,0</w:t>
            </w:r>
          </w:p>
        </w:tc>
        <w:tc>
          <w:tcPr>
            <w:tcW w:w="417" w:type="pct"/>
            <w:tcBorders>
              <w:top w:val="nil"/>
              <w:left w:val="single" w:sz="8" w:space="0" w:color="EEEEEE"/>
              <w:bottom w:val="nil"/>
              <w:right w:val="nil"/>
            </w:tcBorders>
            <w:shd w:val="clear" w:color="000000" w:fill="FFFFFF"/>
            <w:vAlign w:val="center"/>
            <w:hideMark/>
          </w:tcPr>
          <w:p w14:paraId="18D3B9B1"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3,4</w:t>
            </w:r>
          </w:p>
        </w:tc>
        <w:tc>
          <w:tcPr>
            <w:tcW w:w="414" w:type="pct"/>
            <w:tcBorders>
              <w:top w:val="nil"/>
              <w:left w:val="single" w:sz="8" w:space="0" w:color="EEEEEE"/>
              <w:bottom w:val="nil"/>
              <w:right w:val="nil"/>
            </w:tcBorders>
            <w:shd w:val="clear" w:color="000000" w:fill="FFFFFF"/>
            <w:vAlign w:val="center"/>
            <w:hideMark/>
          </w:tcPr>
          <w:p w14:paraId="0D877E71" w14:textId="77777777" w:rsidR="009A0A80" w:rsidRPr="00B50095" w:rsidRDefault="009A0A80" w:rsidP="00355D84">
            <w:pPr>
              <w:keepNext/>
              <w:keepLines/>
              <w:spacing w:after="0" w:line="240" w:lineRule="auto"/>
              <w:jc w:val="right"/>
              <w:rPr>
                <w:rFonts w:ascii="Arial" w:eastAsia="Times New Roman" w:hAnsi="Arial" w:cs="Arial"/>
                <w:color w:val="000000"/>
                <w:sz w:val="16"/>
                <w:szCs w:val="16"/>
                <w:lang w:eastAsia="nb-NO"/>
              </w:rPr>
            </w:pPr>
            <w:r w:rsidRPr="00B50095">
              <w:rPr>
                <w:rFonts w:ascii="Arial" w:eastAsia="Times New Roman" w:hAnsi="Arial" w:cs="Arial"/>
                <w:color w:val="000000"/>
                <w:sz w:val="16"/>
                <w:szCs w:val="16"/>
                <w:lang w:eastAsia="nb-NO"/>
              </w:rPr>
              <w:t>-0,2</w:t>
            </w:r>
          </w:p>
        </w:tc>
      </w:tr>
      <w:tr w:rsidR="009A0A80" w:rsidRPr="00B50095" w14:paraId="49C4A2EA" w14:textId="77777777">
        <w:trPr>
          <w:trHeight w:val="290"/>
        </w:trPr>
        <w:tc>
          <w:tcPr>
            <w:tcW w:w="417" w:type="pct"/>
            <w:tcBorders>
              <w:top w:val="nil"/>
              <w:left w:val="nil"/>
              <w:bottom w:val="nil"/>
              <w:right w:val="nil"/>
            </w:tcBorders>
            <w:shd w:val="clear" w:color="000000" w:fill="CCCCCC"/>
            <w:vAlign w:val="center"/>
            <w:hideMark/>
          </w:tcPr>
          <w:p w14:paraId="02E8E546" w14:textId="77777777" w:rsidR="009A0A80" w:rsidRPr="00B50095" w:rsidRDefault="009A0A80" w:rsidP="00355D84">
            <w:pPr>
              <w:keepNext/>
              <w:keepLines/>
              <w:spacing w:after="0" w:line="240" w:lineRule="auto"/>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Totalt</w:t>
            </w:r>
            <w:r w:rsidRPr="00B50095">
              <w:rPr>
                <w:rFonts w:ascii="Arial" w:eastAsia="Times New Roman" w:hAnsi="Arial" w:cs="Arial"/>
                <w:color w:val="000000"/>
                <w:sz w:val="16"/>
                <w:szCs w:val="16"/>
                <w:lang w:eastAsia="nb-NO"/>
              </w:rPr>
              <w:t xml:space="preserve"> </w:t>
            </w:r>
          </w:p>
        </w:tc>
        <w:tc>
          <w:tcPr>
            <w:tcW w:w="417" w:type="pct"/>
            <w:tcBorders>
              <w:top w:val="nil"/>
              <w:left w:val="nil"/>
              <w:bottom w:val="nil"/>
              <w:right w:val="nil"/>
            </w:tcBorders>
            <w:shd w:val="clear" w:color="000000" w:fill="CCCCCC"/>
            <w:vAlign w:val="center"/>
            <w:hideMark/>
          </w:tcPr>
          <w:p w14:paraId="3BB057DE"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1,9</w:t>
            </w:r>
          </w:p>
        </w:tc>
        <w:tc>
          <w:tcPr>
            <w:tcW w:w="417" w:type="pct"/>
            <w:tcBorders>
              <w:top w:val="nil"/>
              <w:left w:val="nil"/>
              <w:bottom w:val="nil"/>
              <w:right w:val="nil"/>
            </w:tcBorders>
            <w:shd w:val="clear" w:color="000000" w:fill="CCCCCC"/>
            <w:vAlign w:val="center"/>
            <w:hideMark/>
          </w:tcPr>
          <w:p w14:paraId="7727A448"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46D65DAF"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2,1</w:t>
            </w:r>
          </w:p>
        </w:tc>
        <w:tc>
          <w:tcPr>
            <w:tcW w:w="417" w:type="pct"/>
            <w:tcBorders>
              <w:top w:val="nil"/>
              <w:left w:val="nil"/>
              <w:bottom w:val="nil"/>
              <w:right w:val="nil"/>
            </w:tcBorders>
            <w:shd w:val="clear" w:color="000000" w:fill="CCCCCC"/>
            <w:vAlign w:val="center"/>
            <w:hideMark/>
          </w:tcPr>
          <w:p w14:paraId="28D4E269"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09FE95D6"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2,1</w:t>
            </w:r>
          </w:p>
        </w:tc>
        <w:tc>
          <w:tcPr>
            <w:tcW w:w="417" w:type="pct"/>
            <w:tcBorders>
              <w:top w:val="nil"/>
              <w:left w:val="nil"/>
              <w:bottom w:val="nil"/>
              <w:right w:val="nil"/>
            </w:tcBorders>
            <w:shd w:val="clear" w:color="000000" w:fill="CCCCCC"/>
            <w:vAlign w:val="center"/>
            <w:hideMark/>
          </w:tcPr>
          <w:p w14:paraId="06C6F55B"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19BF69E5"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1,8</w:t>
            </w:r>
          </w:p>
        </w:tc>
        <w:tc>
          <w:tcPr>
            <w:tcW w:w="417" w:type="pct"/>
            <w:tcBorders>
              <w:top w:val="nil"/>
              <w:left w:val="nil"/>
              <w:bottom w:val="nil"/>
              <w:right w:val="nil"/>
            </w:tcBorders>
            <w:shd w:val="clear" w:color="000000" w:fill="CCCCCC"/>
            <w:vAlign w:val="center"/>
            <w:hideMark/>
          </w:tcPr>
          <w:p w14:paraId="5F4E34C1"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100,0</w:t>
            </w:r>
          </w:p>
        </w:tc>
        <w:tc>
          <w:tcPr>
            <w:tcW w:w="417" w:type="pct"/>
            <w:tcBorders>
              <w:top w:val="nil"/>
              <w:left w:val="nil"/>
              <w:bottom w:val="nil"/>
              <w:right w:val="nil"/>
            </w:tcBorders>
            <w:shd w:val="clear" w:color="000000" w:fill="CCCCCC"/>
            <w:vAlign w:val="center"/>
            <w:hideMark/>
          </w:tcPr>
          <w:p w14:paraId="564AC3A7"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1,8</w:t>
            </w:r>
          </w:p>
        </w:tc>
        <w:tc>
          <w:tcPr>
            <w:tcW w:w="417" w:type="pct"/>
            <w:tcBorders>
              <w:top w:val="nil"/>
              <w:left w:val="nil"/>
              <w:bottom w:val="nil"/>
              <w:right w:val="nil"/>
            </w:tcBorders>
            <w:shd w:val="clear" w:color="000000" w:fill="CCCCCC"/>
            <w:vAlign w:val="center"/>
            <w:hideMark/>
          </w:tcPr>
          <w:p w14:paraId="0D40BAF5"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100,0</w:t>
            </w:r>
          </w:p>
        </w:tc>
        <w:tc>
          <w:tcPr>
            <w:tcW w:w="414" w:type="pct"/>
            <w:tcBorders>
              <w:top w:val="nil"/>
              <w:left w:val="nil"/>
              <w:bottom w:val="nil"/>
              <w:right w:val="nil"/>
            </w:tcBorders>
            <w:shd w:val="clear" w:color="000000" w:fill="CCCCCC"/>
            <w:vAlign w:val="center"/>
            <w:hideMark/>
          </w:tcPr>
          <w:p w14:paraId="075101F4" w14:textId="77777777" w:rsidR="009A0A80" w:rsidRPr="00B50095" w:rsidRDefault="009A0A80" w:rsidP="00355D84">
            <w:pPr>
              <w:keepNext/>
              <w:keepLines/>
              <w:spacing w:after="0" w:line="240" w:lineRule="auto"/>
              <w:jc w:val="right"/>
              <w:rPr>
                <w:rFonts w:ascii="Arial" w:eastAsia="Times New Roman" w:hAnsi="Arial" w:cs="Arial"/>
                <w:b/>
                <w:bCs/>
                <w:color w:val="000000"/>
                <w:sz w:val="16"/>
                <w:szCs w:val="16"/>
                <w:lang w:eastAsia="nb-NO"/>
              </w:rPr>
            </w:pPr>
            <w:r w:rsidRPr="00B50095">
              <w:rPr>
                <w:rFonts w:ascii="Arial" w:eastAsia="Times New Roman" w:hAnsi="Arial" w:cs="Arial"/>
                <w:b/>
                <w:bCs/>
                <w:color w:val="000000"/>
                <w:sz w:val="16"/>
                <w:szCs w:val="16"/>
                <w:lang w:eastAsia="nb-NO"/>
              </w:rPr>
              <w:t>0,0</w:t>
            </w:r>
          </w:p>
        </w:tc>
      </w:tr>
    </w:tbl>
    <w:p w14:paraId="64E65B51" w14:textId="5642619C" w:rsidR="00E62A41" w:rsidRPr="006E48C2" w:rsidRDefault="009A0A80" w:rsidP="00E40484">
      <w:pPr>
        <w:pStyle w:val="Kilde"/>
        <w:rPr>
          <w:lang w:eastAsia="nb-NO"/>
        </w:rPr>
      </w:pPr>
      <w:r w:rsidRPr="004E373E">
        <w:rPr>
          <w:b/>
          <w:lang w:eastAsia="nb-NO"/>
        </w:rPr>
        <w:t>Kilde</w:t>
      </w:r>
      <w:r w:rsidRPr="00D82B8E">
        <w:rPr>
          <w:lang w:eastAsia="nb-NO"/>
        </w:rPr>
        <w:t>: DBH</w:t>
      </w:r>
    </w:p>
    <w:p w14:paraId="5B6FD947" w14:textId="4B2D11D9" w:rsidR="00C41B90" w:rsidRDefault="00CC55A5" w:rsidP="00323BEF">
      <w:r>
        <w:t>I</w:t>
      </w:r>
      <w:r w:rsidR="003C3EFC">
        <w:t xml:space="preserve"> tabell 5.1 ser vi at mellom 96 og 97 prosent av kvalifiserte førstegangssøkere </w:t>
      </w:r>
      <w:r w:rsidR="00982D06">
        <w:t>i</w:t>
      </w:r>
      <w:r w:rsidR="00B42CE5">
        <w:t xml:space="preserve"> Samordna opptak </w:t>
      </w:r>
      <w:r w:rsidR="003C3EFC">
        <w:t xml:space="preserve">har søkt seg private institusjoner i perioden </w:t>
      </w:r>
      <w:r>
        <w:t>2019–2023</w:t>
      </w:r>
      <w:r w:rsidR="003C5D0F">
        <w:t xml:space="preserve">. </w:t>
      </w:r>
      <w:r w:rsidR="006E3A1A">
        <w:t>Disse tallene omfatter ri</w:t>
      </w:r>
      <w:r w:rsidR="003C3EFC">
        <w:t xml:space="preserve">ktignok ikke </w:t>
      </w:r>
      <w:r w:rsidR="000305C7">
        <w:t>store private utdanningsinstitusjoner som BI og HK</w:t>
      </w:r>
      <w:r w:rsidR="004F4862">
        <w:t xml:space="preserve">, fordi disse </w:t>
      </w:r>
      <w:r w:rsidR="003E3D6A">
        <w:t xml:space="preserve">håndterer </w:t>
      </w:r>
      <w:r w:rsidR="009B6A7B">
        <w:t xml:space="preserve">søknad og opptak lokalt, og ikke </w:t>
      </w:r>
      <w:r w:rsidR="003E3D6A">
        <w:t>gjennom Samordna oppt</w:t>
      </w:r>
      <w:r w:rsidR="006C6D9B">
        <w:t>ak. N</w:t>
      </w:r>
      <w:r w:rsidR="009B6A7B">
        <w:t xml:space="preserve">edgangen </w:t>
      </w:r>
      <w:r w:rsidR="00B62393">
        <w:t xml:space="preserve">blant de </w:t>
      </w:r>
      <w:r w:rsidR="00287CE0">
        <w:t xml:space="preserve">private lærestedene </w:t>
      </w:r>
      <w:r w:rsidR="006C6D9B">
        <w:t xml:space="preserve">gjelder </w:t>
      </w:r>
      <w:r w:rsidR="00EB3555">
        <w:t xml:space="preserve">dermed </w:t>
      </w:r>
      <w:r w:rsidR="006C6D9B">
        <w:t>mindre høgskoler</w:t>
      </w:r>
      <w:r w:rsidR="00EB3555">
        <w:t xml:space="preserve"> med under 1 500 kvalifiserte førstevalgssøkere</w:t>
      </w:r>
      <w:r w:rsidR="006C6D9B">
        <w:t>.</w:t>
      </w:r>
      <w:r w:rsidR="00287CE0">
        <w:t xml:space="preserve"> </w:t>
      </w:r>
      <w:r w:rsidR="00877378">
        <w:t xml:space="preserve">Den største av disse, VID, har en tilbakegang på 22 prosent </w:t>
      </w:r>
      <w:r w:rsidR="00A82E29">
        <w:t xml:space="preserve">kvalifiserte </w:t>
      </w:r>
      <w:r w:rsidR="00233792">
        <w:t>førstevalgs</w:t>
      </w:r>
      <w:r w:rsidR="00A82E29">
        <w:t xml:space="preserve">søkere </w:t>
      </w:r>
      <w:r w:rsidR="00877378">
        <w:t>fra året fø</w:t>
      </w:r>
      <w:r w:rsidR="00AE7B74">
        <w:t>r. Blant de statlige lærestedene er det størst</w:t>
      </w:r>
      <w:r w:rsidR="0093347F" w:rsidRPr="00C41B90">
        <w:t xml:space="preserve"> </w:t>
      </w:r>
      <w:r w:rsidR="00C41B90" w:rsidRPr="00C41B90">
        <w:t xml:space="preserve">absolutt </w:t>
      </w:r>
      <w:r w:rsidR="0093347F" w:rsidRPr="00C41B90">
        <w:t xml:space="preserve">økning </w:t>
      </w:r>
      <w:r w:rsidR="00AE7B74">
        <w:t>ved</w:t>
      </w:r>
      <w:r w:rsidR="0093347F" w:rsidRPr="00C41B90">
        <w:t xml:space="preserve"> UiO og NMBU med nær 1 000 </w:t>
      </w:r>
      <w:r w:rsidR="00323BEF" w:rsidRPr="00323BEF">
        <w:t xml:space="preserve">kvalifiserte førstevalgssøkere hver, sammenlignet med </w:t>
      </w:r>
      <w:r w:rsidR="00AB0A8B">
        <w:t>2022</w:t>
      </w:r>
      <w:r w:rsidR="00323BEF" w:rsidRPr="00323BEF">
        <w:t xml:space="preserve">. </w:t>
      </w:r>
      <w:r w:rsidR="00C41B90">
        <w:t xml:space="preserve">Størst tilbakegang har </w:t>
      </w:r>
      <w:r w:rsidR="001E25B4">
        <w:t xml:space="preserve">USN med 750 og </w:t>
      </w:r>
      <w:r w:rsidR="008D2C2D">
        <w:t xml:space="preserve">HINN med </w:t>
      </w:r>
      <w:r w:rsidR="00387C0C">
        <w:t>nær 600 kvalifiserte førstevalgssøkere.</w:t>
      </w:r>
    </w:p>
    <w:p w14:paraId="7767CD0F" w14:textId="1B247CFC" w:rsidR="00323BEF" w:rsidRPr="001A71E9" w:rsidRDefault="00323BEF" w:rsidP="00323BEF">
      <w:r w:rsidRPr="00323BEF">
        <w:t xml:space="preserve">Størst </w:t>
      </w:r>
      <w:r w:rsidR="00E84694">
        <w:t xml:space="preserve">absolutt </w:t>
      </w:r>
      <w:r w:rsidRPr="00323BEF">
        <w:t xml:space="preserve">vekst i antall søkere </w:t>
      </w:r>
      <w:r w:rsidR="00E30515" w:rsidRPr="00C80080">
        <w:t xml:space="preserve">de siste ti årene </w:t>
      </w:r>
      <w:r w:rsidRPr="00323BEF">
        <w:t>har</w:t>
      </w:r>
      <w:r w:rsidR="00C80080" w:rsidRPr="00C80080">
        <w:t xml:space="preserve"> ikke overraskende</w:t>
      </w:r>
      <w:r w:rsidRPr="00323BEF">
        <w:t xml:space="preserve"> de store institusjonene. NTNU alene har 4</w:t>
      </w:r>
      <w:r w:rsidR="00C80080" w:rsidRPr="00C80080">
        <w:t> 350</w:t>
      </w:r>
      <w:r w:rsidRPr="00323BEF">
        <w:t xml:space="preserve"> flere kvalifiserte førstevalgssøkere enn for ti år siden</w:t>
      </w:r>
      <w:r w:rsidR="006776AC">
        <w:t xml:space="preserve">. </w:t>
      </w:r>
      <w:r w:rsidR="00D56786">
        <w:t>D</w:t>
      </w:r>
      <w:r w:rsidR="006776AC">
        <w:t>enne</w:t>
      </w:r>
      <w:r w:rsidR="00E21CF2">
        <w:t xml:space="preserve"> </w:t>
      </w:r>
      <w:r w:rsidR="008212CB">
        <w:t>til</w:t>
      </w:r>
      <w:r w:rsidR="009836C4">
        <w:t>veksten</w:t>
      </w:r>
      <w:r w:rsidR="00E21CF2">
        <w:t xml:space="preserve"> inkluder</w:t>
      </w:r>
      <w:r w:rsidR="0032747B">
        <w:t xml:space="preserve">er søkere </w:t>
      </w:r>
      <w:r w:rsidR="009836C4">
        <w:t>fra institusjoner</w:t>
      </w:r>
      <w:r w:rsidR="00167E98">
        <w:t xml:space="preserve"> som i</w:t>
      </w:r>
      <w:r w:rsidR="00CF09BF">
        <w:t xml:space="preserve"> </w:t>
      </w:r>
      <w:r w:rsidR="00E21CF2" w:rsidRPr="00E21CF2">
        <w:t xml:space="preserve">2016 fusjonerte </w:t>
      </w:r>
      <w:r w:rsidR="00167E98">
        <w:t xml:space="preserve">med </w:t>
      </w:r>
      <w:r w:rsidR="00E21CF2" w:rsidRPr="00E21CF2">
        <w:t xml:space="preserve">NTNU </w:t>
      </w:r>
      <w:r w:rsidR="00167E98">
        <w:t>(</w:t>
      </w:r>
      <w:r w:rsidR="00E21CF2" w:rsidRPr="00E21CF2">
        <w:t>Høgskolen i Gjøvik, Høgskolen i Sør-Trøndelag og Høgskolen i Ålesund</w:t>
      </w:r>
      <w:r w:rsidR="00E27627">
        <w:t>)</w:t>
      </w:r>
      <w:r w:rsidR="00E21CF2" w:rsidRPr="00E21CF2">
        <w:t>.</w:t>
      </w:r>
      <w:r w:rsidRPr="00E21CF2">
        <w:t xml:space="preserve"> </w:t>
      </w:r>
      <w:r w:rsidRPr="00323BEF">
        <w:t xml:space="preserve">AHO </w:t>
      </w:r>
      <w:r w:rsidR="00274FE0">
        <w:t xml:space="preserve">står </w:t>
      </w:r>
      <w:r w:rsidRPr="00323BEF">
        <w:t>for den største prosentvise økningen</w:t>
      </w:r>
      <w:r w:rsidR="00274FE0" w:rsidRPr="00274FE0">
        <w:t xml:space="preserve"> </w:t>
      </w:r>
      <w:r w:rsidR="00274FE0">
        <w:t>b</w:t>
      </w:r>
      <w:r w:rsidR="00274FE0" w:rsidRPr="00323BEF">
        <w:t>lant de statlige institusjonene</w:t>
      </w:r>
      <w:r w:rsidRPr="00323BEF">
        <w:t xml:space="preserve">, med en </w:t>
      </w:r>
      <w:r w:rsidR="00451576" w:rsidRPr="00451576">
        <w:t>nær tredobling</w:t>
      </w:r>
      <w:r w:rsidR="00274FE0">
        <w:t xml:space="preserve"> </w:t>
      </w:r>
      <w:r w:rsidRPr="00323BEF">
        <w:t>i tiårsperioden sett under ett</w:t>
      </w:r>
      <w:r w:rsidR="005375BE">
        <w:t xml:space="preserve">. Dette tilsvarer en økning på </w:t>
      </w:r>
      <w:r w:rsidR="005375BE" w:rsidRPr="00323BEF">
        <w:t>500 kvalifiserte førstevalgssøkere</w:t>
      </w:r>
      <w:r w:rsidRPr="00323BEF">
        <w:t>. Også HI</w:t>
      </w:r>
      <w:r w:rsidR="00544E9A" w:rsidRPr="009F39C2">
        <w:t>M</w:t>
      </w:r>
      <w:r w:rsidRPr="00323BEF">
        <w:t xml:space="preserve"> har hatt en markant økning i søkningen </w:t>
      </w:r>
      <w:r w:rsidR="009F39C2" w:rsidRPr="009F39C2">
        <w:t>siden 2014 med over en dobling</w:t>
      </w:r>
      <w:r w:rsidRPr="00323BEF">
        <w:t xml:space="preserve">. Dette tilsvarer </w:t>
      </w:r>
      <w:r w:rsidR="009F39C2" w:rsidRPr="009F39C2">
        <w:t>800</w:t>
      </w:r>
      <w:r w:rsidRPr="00323BEF">
        <w:t xml:space="preserve"> søkere. </w:t>
      </w:r>
    </w:p>
    <w:p w14:paraId="297F8BD6" w14:textId="1FF3A1AE" w:rsidR="00655818" w:rsidRPr="00655818" w:rsidRDefault="00655818" w:rsidP="00655818">
      <w:r w:rsidRPr="00655818">
        <w:t xml:space="preserve">Tallet på kvalifiserte førstevalgssøkere per studieplass varierer vesentlig mellom utdanningsinstitusjonene, se vedleggstabell V2.5. I likhet med tidligere år, er det flest kvalifiserte førstevalgssøkere per studieplass ved enkelte av de spesialiserte institusjonene. Særlig gjelder dette AHO, som </w:t>
      </w:r>
      <w:r w:rsidR="00B95BE8">
        <w:t xml:space="preserve">har </w:t>
      </w:r>
      <w:r w:rsidR="00B70A9D">
        <w:t xml:space="preserve">nær sju </w:t>
      </w:r>
      <w:r w:rsidRPr="00655818">
        <w:t xml:space="preserve">kvalifiserte søkere per studieplass. AHO har dermed størst konkurranse om studieplassene av samtlige UH-institusjoner i tallmaterialet. Også NHH og NIH ligger høyt med henholdsvis </w:t>
      </w:r>
      <w:r w:rsidR="0096170E" w:rsidRPr="00AB0B00">
        <w:t>4,0</w:t>
      </w:r>
      <w:r w:rsidR="009123FB">
        <w:t xml:space="preserve"> </w:t>
      </w:r>
      <w:r w:rsidRPr="00655818">
        <w:t>og 3</w:t>
      </w:r>
      <w:r w:rsidR="00AB0B00" w:rsidRPr="00AB0B00">
        <w:t>,6</w:t>
      </w:r>
      <w:r w:rsidRPr="00655818">
        <w:t xml:space="preserve"> kvalifiserte søkere per studieplass. </w:t>
      </w:r>
    </w:p>
    <w:p w14:paraId="1D245647" w14:textId="334D563D" w:rsidR="00655818" w:rsidRDefault="00655818" w:rsidP="00655818">
      <w:r w:rsidRPr="00655818">
        <w:lastRenderedPageBreak/>
        <w:t>Blant de store breddeinstitusjonene er det UiO som har flest kvalifiserte førstevalgssøkere per studieplass</w:t>
      </w:r>
      <w:r w:rsidR="00CC6688">
        <w:t xml:space="preserve"> </w:t>
      </w:r>
      <w:r w:rsidR="00CC6688" w:rsidRPr="00655818">
        <w:t>(2,</w:t>
      </w:r>
      <w:r w:rsidR="00CC6688" w:rsidRPr="00AB0B00">
        <w:t>7</w:t>
      </w:r>
      <w:r w:rsidR="00CC6688" w:rsidRPr="00655818">
        <w:t>)</w:t>
      </w:r>
      <w:r w:rsidRPr="00655818">
        <w:t xml:space="preserve">. Enkelte små, spesialiserte institusjoner </w:t>
      </w:r>
      <w:r w:rsidR="00E4393B">
        <w:t xml:space="preserve">sliter med å fylle opp studieplassene sine, med </w:t>
      </w:r>
      <w:r w:rsidRPr="00655818">
        <w:rPr>
          <w:i/>
          <w:iCs/>
        </w:rPr>
        <w:t>under</w:t>
      </w:r>
      <w:r w:rsidRPr="00655818">
        <w:t xml:space="preserve"> én kvalifisert førstevalgssøker per plass</w:t>
      </w:r>
      <w:r w:rsidR="00767D8B">
        <w:t>.</w:t>
      </w:r>
      <w:r w:rsidRPr="00655818">
        <w:t xml:space="preserve"> Flertallet av disse er private institusjoner med kristent verdigrunnlag, som FHI, MF, NLA og DMMH. Lavest ligger </w:t>
      </w:r>
      <w:r w:rsidR="003A0445">
        <w:t xml:space="preserve">imidlertid </w:t>
      </w:r>
      <w:r w:rsidRPr="00655818">
        <w:t>statlige SH med kun 0,</w:t>
      </w:r>
      <w:r w:rsidR="00223C23" w:rsidRPr="00223C23">
        <w:t>4</w:t>
      </w:r>
      <w:r w:rsidRPr="00655818">
        <w:t xml:space="preserve"> kvalifiserte førstevalgssøkere per studieplass. </w:t>
      </w:r>
    </w:p>
    <w:p w14:paraId="5BE2A759" w14:textId="689AC939" w:rsidR="00D977B0" w:rsidRPr="0062316B" w:rsidRDefault="005E7B52" w:rsidP="00D977B0">
      <w:r>
        <w:t xml:space="preserve">Antallet </w:t>
      </w:r>
      <w:r w:rsidR="0055634C">
        <w:t>studenter</w:t>
      </w:r>
      <w:r w:rsidR="00B6572D">
        <w:t xml:space="preserve"> som møter til studiestart,</w:t>
      </w:r>
      <w:r w:rsidR="00AD45F4">
        <w:t xml:space="preserve"> er det samme i 2023 som året før. </w:t>
      </w:r>
      <w:r w:rsidR="000E6C7B">
        <w:t xml:space="preserve">Fram til 2020 var det </w:t>
      </w:r>
      <w:r w:rsidR="00E53839">
        <w:t>kontinuerlig vekst i antall</w:t>
      </w:r>
      <w:r w:rsidR="0055634C">
        <w:t xml:space="preserve"> </w:t>
      </w:r>
      <w:r w:rsidR="007B2265">
        <w:t>møtt</w:t>
      </w:r>
      <w:r w:rsidR="0055634C">
        <w:t xml:space="preserve">e, mens det </w:t>
      </w:r>
      <w:r w:rsidR="005B328B">
        <w:t xml:space="preserve">de to påfølgende årene var en </w:t>
      </w:r>
      <w:r w:rsidR="00D977B0" w:rsidRPr="005B328B">
        <w:t>nedgang på 9 prosent</w:t>
      </w:r>
      <w:r w:rsidR="0088475A">
        <w:t xml:space="preserve"> og </w:t>
      </w:r>
      <w:r w:rsidR="00200A89">
        <w:t xml:space="preserve">det laveste </w:t>
      </w:r>
      <w:r w:rsidR="0088475A">
        <w:t xml:space="preserve">antallet </w:t>
      </w:r>
      <w:r w:rsidR="00666170">
        <w:t>siden 201</w:t>
      </w:r>
      <w:r w:rsidR="00876A62">
        <w:t>7</w:t>
      </w:r>
      <w:r w:rsidR="00D977B0" w:rsidRPr="005B328B">
        <w:t xml:space="preserve">. </w:t>
      </w:r>
      <w:r w:rsidR="0014242B">
        <w:t>R</w:t>
      </w:r>
      <w:r w:rsidR="00D977B0" w:rsidRPr="0062316B">
        <w:t>elativ</w:t>
      </w:r>
      <w:r w:rsidR="0014242B">
        <w:t>t sett var</w:t>
      </w:r>
      <w:r w:rsidR="00D977B0" w:rsidRPr="0062316B">
        <w:t xml:space="preserve"> nedgangen størst blant de private institusjonene, med 16 prosent færre møtte studenter i 2022 enn to år tidligere. Tilsvarende nedgang hos de statlige utdanningsinstitusjonene </w:t>
      </w:r>
      <w:r w:rsidR="0062316B" w:rsidRPr="0062316B">
        <w:t>va</w:t>
      </w:r>
      <w:r w:rsidR="00D977B0" w:rsidRPr="0062316B">
        <w:t>r 8 prosent</w:t>
      </w:r>
      <w:r w:rsidR="00927C42">
        <w:t>.</w:t>
      </w:r>
      <w:r w:rsidR="00140997">
        <w:t xml:space="preserve"> </w:t>
      </w:r>
    </w:p>
    <w:p w14:paraId="1A7BE5FB" w14:textId="2BAB6C86" w:rsidR="00F61AE5" w:rsidRPr="00422245" w:rsidRDefault="005F698E" w:rsidP="00182833">
      <w:pPr>
        <w:pStyle w:val="Overskrift3"/>
        <w:spacing w:before="288"/>
      </w:pPr>
      <w:bookmarkStart w:id="87" w:name="_Toc163488419"/>
      <w:r>
        <w:t>Startkompetanse</w:t>
      </w:r>
      <w:r w:rsidR="00047528">
        <w:t>n til studentene</w:t>
      </w:r>
      <w:r w:rsidR="00EE078A">
        <w:t xml:space="preserve"> - s</w:t>
      </w:r>
      <w:r>
        <w:t>tadig bedre</w:t>
      </w:r>
      <w:r w:rsidR="00EE078A">
        <w:t>?</w:t>
      </w:r>
      <w:bookmarkEnd w:id="87"/>
    </w:p>
    <w:p w14:paraId="0AF3D4B0" w14:textId="604FE672" w:rsidR="00682028" w:rsidRDefault="00103039" w:rsidP="00BE708D">
      <w:r>
        <w:t>E</w:t>
      </w:r>
      <w:r w:rsidR="000508B0">
        <w:t>n</w:t>
      </w:r>
      <w:r>
        <w:t xml:space="preserve"> annen viktig </w:t>
      </w:r>
      <w:r w:rsidR="00C6067D">
        <w:t>innsatsfaktor</w:t>
      </w:r>
      <w:r w:rsidR="00000F24">
        <w:t xml:space="preserve"> i høyere utdanning</w:t>
      </w:r>
      <w:r w:rsidR="00350F83">
        <w:t xml:space="preserve"> </w:t>
      </w:r>
      <w:r w:rsidR="00E80A49">
        <w:t>er</w:t>
      </w:r>
      <w:r w:rsidR="00FD01F1">
        <w:t xml:space="preserve"> </w:t>
      </w:r>
      <w:r w:rsidR="00DF2FCE">
        <w:t xml:space="preserve">hvilket </w:t>
      </w:r>
      <w:r w:rsidR="00FD01F1">
        <w:t xml:space="preserve">karakternivå </w:t>
      </w:r>
      <w:r w:rsidR="003A51EF">
        <w:t>og poeng</w:t>
      </w:r>
      <w:r w:rsidR="00DF2FCE">
        <w:t>snitt</w:t>
      </w:r>
      <w:r w:rsidR="00117DBD">
        <w:t xml:space="preserve"> </w:t>
      </w:r>
      <w:r w:rsidR="00551A40">
        <w:t>søkerne har ved</w:t>
      </w:r>
      <w:r w:rsidR="00520AF4">
        <w:t xml:space="preserve"> opp</w:t>
      </w:r>
      <w:r w:rsidR="00551A40">
        <w:t>tak</w:t>
      </w:r>
      <w:r w:rsidR="00000F24">
        <w:t xml:space="preserve">. </w:t>
      </w:r>
      <w:r w:rsidR="00BC636A">
        <w:t xml:space="preserve">Karakterpoeng </w:t>
      </w:r>
      <w:r w:rsidR="00A701D6">
        <w:t xml:space="preserve">er </w:t>
      </w:r>
      <w:r w:rsidR="00897954">
        <w:t xml:space="preserve">utelukkende </w:t>
      </w:r>
      <w:r w:rsidR="00426943">
        <w:t>beregnet</w:t>
      </w:r>
      <w:r w:rsidR="00A701D6">
        <w:t xml:space="preserve"> </w:t>
      </w:r>
      <w:r w:rsidR="004C4B8E">
        <w:t xml:space="preserve">på grunnlag </w:t>
      </w:r>
      <w:r w:rsidR="00A701D6">
        <w:t>av karakterene</w:t>
      </w:r>
      <w:r w:rsidR="00224823">
        <w:t xml:space="preserve"> til søkerne </w:t>
      </w:r>
      <w:r w:rsidR="00956779">
        <w:t xml:space="preserve">fra videregående skole. </w:t>
      </w:r>
      <w:r w:rsidR="00426883" w:rsidRPr="00426883">
        <w:t xml:space="preserve">Konkurransepoeng </w:t>
      </w:r>
      <w:r w:rsidR="004042FE">
        <w:t xml:space="preserve">derimot, </w:t>
      </w:r>
      <w:r w:rsidR="00426883" w:rsidRPr="00426883">
        <w:t xml:space="preserve">er summen av karakterpoeng </w:t>
      </w:r>
      <w:r w:rsidR="00426883" w:rsidRPr="00B95C4C">
        <w:rPr>
          <w:i/>
          <w:iCs/>
        </w:rPr>
        <w:t>og</w:t>
      </w:r>
      <w:r w:rsidR="00426883" w:rsidRPr="00B95C4C">
        <w:t xml:space="preserve"> andre poeng</w:t>
      </w:r>
      <w:r w:rsidR="00426883" w:rsidRPr="00426883">
        <w:t xml:space="preserve"> </w:t>
      </w:r>
      <w:r w:rsidR="00784CF5">
        <w:t>en søker</w:t>
      </w:r>
      <w:r w:rsidR="00426883" w:rsidRPr="00426883">
        <w:t xml:space="preserve"> oppnå</w:t>
      </w:r>
      <w:r w:rsidR="00784CF5">
        <w:t>r</w:t>
      </w:r>
      <w:r w:rsidR="00426883" w:rsidRPr="00426883">
        <w:t xml:space="preserve"> i et </w:t>
      </w:r>
      <w:r w:rsidR="00B5317D">
        <w:t xml:space="preserve">bestemt </w:t>
      </w:r>
      <w:r w:rsidR="00426883" w:rsidRPr="00426883">
        <w:t>opptak.</w:t>
      </w:r>
      <w:r w:rsidR="00426883" w:rsidRPr="00426883">
        <w:rPr>
          <w:vertAlign w:val="superscript"/>
        </w:rPr>
        <w:footnoteReference w:id="15"/>
      </w:r>
      <w:r w:rsidR="003B21F8">
        <w:t xml:space="preserve"> </w:t>
      </w:r>
      <w:r w:rsidR="00065C78">
        <w:t>Mens k</w:t>
      </w:r>
      <w:r w:rsidR="00301EDB" w:rsidRPr="00301EDB">
        <w:t>arakterpoeng</w:t>
      </w:r>
      <w:r w:rsidR="00835B82">
        <w:t xml:space="preserve"> kan si noe</w:t>
      </w:r>
      <w:r w:rsidR="00301EDB" w:rsidRPr="00301EDB">
        <w:t xml:space="preserve"> om den </w:t>
      </w:r>
      <w:r w:rsidR="00301EDB" w:rsidRPr="00361A65">
        <w:rPr>
          <w:i/>
          <w:iCs/>
        </w:rPr>
        <w:t>akademiske</w:t>
      </w:r>
      <w:r w:rsidR="002801CB">
        <w:t xml:space="preserve"> </w:t>
      </w:r>
      <w:r w:rsidR="00301EDB" w:rsidRPr="00301EDB">
        <w:t>inntakskvaliteten</w:t>
      </w:r>
      <w:r w:rsidR="00FA783C">
        <w:t xml:space="preserve">, dvs. </w:t>
      </w:r>
      <w:r w:rsidR="00C83C20" w:rsidRPr="00C83C20">
        <w:t xml:space="preserve">hvordan </w:t>
      </w:r>
      <w:r w:rsidR="003147BB">
        <w:t>studentene</w:t>
      </w:r>
      <w:r w:rsidR="00C83C20">
        <w:t xml:space="preserve"> </w:t>
      </w:r>
      <w:r w:rsidR="00C83C20" w:rsidRPr="00C83C20">
        <w:t xml:space="preserve">har gjort det </w:t>
      </w:r>
      <w:r w:rsidR="00B62025">
        <w:t xml:space="preserve">faglig </w:t>
      </w:r>
      <w:r w:rsidR="00C83C20" w:rsidRPr="00C83C20">
        <w:t>på videregående skole</w:t>
      </w:r>
      <w:r w:rsidR="002801CB">
        <w:t>,</w:t>
      </w:r>
      <w:r w:rsidR="00DF025E" w:rsidRPr="00DF025E">
        <w:t xml:space="preserve"> </w:t>
      </w:r>
      <w:r w:rsidR="008901F9">
        <w:t>kan</w:t>
      </w:r>
      <w:r w:rsidR="00DF025E" w:rsidRPr="00DF025E">
        <w:t xml:space="preserve"> </w:t>
      </w:r>
      <w:r w:rsidR="00FB458E">
        <w:t xml:space="preserve">konkurransepoeng </w:t>
      </w:r>
      <w:r w:rsidR="00A3210C">
        <w:t xml:space="preserve">brukes </w:t>
      </w:r>
      <w:r w:rsidR="00875CCD">
        <w:t>som indikator for</w:t>
      </w:r>
      <w:r w:rsidR="00DF025E" w:rsidRPr="00DF025E">
        <w:t xml:space="preserve"> studentpopulasjonens </w:t>
      </w:r>
      <w:r w:rsidR="002C69DE">
        <w:t>samlede</w:t>
      </w:r>
      <w:r w:rsidR="00FB458E">
        <w:t xml:space="preserve"> </w:t>
      </w:r>
      <w:r w:rsidR="00DF025E" w:rsidRPr="00DF025E">
        <w:t>kvalifikasjoner</w:t>
      </w:r>
      <w:r w:rsidR="009A30EE">
        <w:t xml:space="preserve"> før </w:t>
      </w:r>
      <w:r w:rsidR="00C26763">
        <w:t>studie</w:t>
      </w:r>
      <w:r w:rsidR="009A30EE">
        <w:t>oppstart</w:t>
      </w:r>
      <w:r w:rsidR="00301EDB" w:rsidRPr="00301EDB">
        <w:t xml:space="preserve">. </w:t>
      </w:r>
      <w:r w:rsidR="00DB5947" w:rsidRPr="00301EDB">
        <w:t>Brukt sammen</w:t>
      </w:r>
      <w:r w:rsidR="00144856">
        <w:t>,</w:t>
      </w:r>
      <w:r w:rsidR="00DB5947" w:rsidRPr="00301EDB">
        <w:t xml:space="preserve"> </w:t>
      </w:r>
      <w:r w:rsidR="00144856">
        <w:t>kan</w:t>
      </w:r>
      <w:r w:rsidR="001E06EC">
        <w:t xml:space="preserve"> </w:t>
      </w:r>
      <w:r w:rsidR="00266837">
        <w:t>disse to indikatorene</w:t>
      </w:r>
      <w:r w:rsidR="00DB5947" w:rsidRPr="00301EDB">
        <w:t xml:space="preserve"> danne et helhetlig bilde av hvor godt forberedt </w:t>
      </w:r>
      <w:r w:rsidR="00465BD6">
        <w:t>studentene</w:t>
      </w:r>
      <w:r w:rsidR="00DB5947" w:rsidRPr="00301EDB">
        <w:t xml:space="preserve"> er </w:t>
      </w:r>
      <w:r w:rsidR="002779DB">
        <w:t>til</w:t>
      </w:r>
      <w:r w:rsidR="00DB5947" w:rsidRPr="00301EDB">
        <w:t xml:space="preserve"> høyere utdanning.</w:t>
      </w:r>
    </w:p>
    <w:p w14:paraId="5C9CC651" w14:textId="5B73B7CD" w:rsidR="00F77D72" w:rsidRDefault="007A3949" w:rsidP="00374A9B">
      <w:r w:rsidRPr="007A3949">
        <w:t xml:space="preserve">Vedleggstabell V2.6 viser </w:t>
      </w:r>
      <w:r w:rsidR="008741AF">
        <w:t>gjennomsnittlig</w:t>
      </w:r>
      <w:r w:rsidR="00FF6E05">
        <w:t>e</w:t>
      </w:r>
      <w:r w:rsidR="008741AF">
        <w:t xml:space="preserve"> karakterpoeng </w:t>
      </w:r>
      <w:r w:rsidRPr="007A3949">
        <w:t>for studenter som er tatt opp</w:t>
      </w:r>
      <w:r w:rsidR="00442E56">
        <w:t xml:space="preserve"> </w:t>
      </w:r>
      <w:r w:rsidR="00EA7CC7" w:rsidRPr="00EA7CC7">
        <w:t>via Samordna opptak (SO), det vil si opptak til grunnutdanninger</w:t>
      </w:r>
      <w:r w:rsidR="00E22D2B">
        <w:t xml:space="preserve"> som bygger direkte på videregående skole</w:t>
      </w:r>
      <w:r w:rsidR="00EA7CC7" w:rsidRPr="00EA7CC7">
        <w:t xml:space="preserve">. </w:t>
      </w:r>
      <w:r w:rsidR="008F498E">
        <w:t xml:space="preserve">Det nasjonale snittet </w:t>
      </w:r>
      <w:r w:rsidR="004A6130">
        <w:t xml:space="preserve">i 2023 </w:t>
      </w:r>
      <w:r w:rsidR="00ED69E8">
        <w:t xml:space="preserve">er </w:t>
      </w:r>
      <w:r w:rsidR="00145D28">
        <w:t>4</w:t>
      </w:r>
      <w:r w:rsidR="00DD6347">
        <w:t>4</w:t>
      </w:r>
      <w:r w:rsidR="00145D28">
        <w:t>,</w:t>
      </w:r>
      <w:r w:rsidR="00DD6347">
        <w:t>3</w:t>
      </w:r>
      <w:r w:rsidR="00145D28">
        <w:t xml:space="preserve"> karakterpoeng. </w:t>
      </w:r>
      <w:r w:rsidR="007D48AC">
        <w:t>Karakternivået</w:t>
      </w:r>
      <w:r w:rsidR="001F1F53">
        <w:t xml:space="preserve"> </w:t>
      </w:r>
      <w:r w:rsidR="00F96A30">
        <w:t xml:space="preserve">er </w:t>
      </w:r>
      <w:r w:rsidR="00B15CFE">
        <w:t xml:space="preserve">høyere hos de statlige institusjonene </w:t>
      </w:r>
      <w:r w:rsidR="00F75959">
        <w:t xml:space="preserve">med et snitt på 44,5 poeng, mot </w:t>
      </w:r>
      <w:r w:rsidR="00041421">
        <w:t xml:space="preserve">41,1 poeng </w:t>
      </w:r>
      <w:r w:rsidR="00B96E9F">
        <w:t xml:space="preserve">hos de private. </w:t>
      </w:r>
      <w:r w:rsidR="00864233">
        <w:t>Særlig</w:t>
      </w:r>
      <w:r w:rsidR="001F1F53">
        <w:t xml:space="preserve"> </w:t>
      </w:r>
      <w:r w:rsidR="00B96E9F">
        <w:t xml:space="preserve">er snittet </w:t>
      </w:r>
      <w:r w:rsidR="00864233">
        <w:t xml:space="preserve">høyt </w:t>
      </w:r>
      <w:r w:rsidR="001F1F53">
        <w:t xml:space="preserve">blant </w:t>
      </w:r>
      <w:r w:rsidR="0029644E">
        <w:t>de sta</w:t>
      </w:r>
      <w:r w:rsidR="006255F6">
        <w:t xml:space="preserve">tlige vitenskapelige høgskolene </w:t>
      </w:r>
      <w:r w:rsidR="00B96E9F">
        <w:t xml:space="preserve">med </w:t>
      </w:r>
      <w:r w:rsidR="00D07463" w:rsidRPr="00D07463">
        <w:t>45,</w:t>
      </w:r>
      <w:r w:rsidR="00662BA6">
        <w:t>1</w:t>
      </w:r>
      <w:r w:rsidR="00D07463">
        <w:t xml:space="preserve"> </w:t>
      </w:r>
      <w:r w:rsidR="00F77D72">
        <w:t>poeng</w:t>
      </w:r>
      <w:r w:rsidR="00EC0E91">
        <w:t xml:space="preserve">. </w:t>
      </w:r>
      <w:r w:rsidR="004B4FBF">
        <w:t>I toppen</w:t>
      </w:r>
      <w:r w:rsidR="00796974">
        <w:t xml:space="preserve"> </w:t>
      </w:r>
      <w:r w:rsidR="004B4FBF">
        <w:t xml:space="preserve">blant lærestedene </w:t>
      </w:r>
      <w:r w:rsidR="00237D01">
        <w:t xml:space="preserve">utpeker </w:t>
      </w:r>
      <w:r w:rsidR="00796974" w:rsidRPr="00796974">
        <w:t xml:space="preserve">NHH </w:t>
      </w:r>
      <w:r w:rsidR="00237D01">
        <w:t xml:space="preserve">seg med et </w:t>
      </w:r>
      <w:r w:rsidR="004934F4">
        <w:t>karaktersnitt på 53,</w:t>
      </w:r>
      <w:r w:rsidR="00F23072">
        <w:t xml:space="preserve">5 poeng i </w:t>
      </w:r>
      <w:r w:rsidR="00053CD0">
        <w:t xml:space="preserve">2023, etterfulgt av NTNU </w:t>
      </w:r>
      <w:r w:rsidR="002C6394">
        <w:t xml:space="preserve">med </w:t>
      </w:r>
      <w:r w:rsidR="00DF4577">
        <w:t>48,0 poeng.</w:t>
      </w:r>
      <w:r w:rsidR="000621E0" w:rsidRPr="000621E0">
        <w:t xml:space="preserve"> Lavest av de statlige ligger HiM med et snitt på 39,1 </w:t>
      </w:r>
      <w:r w:rsidR="000621E0" w:rsidRPr="000621E0">
        <w:lastRenderedPageBreak/>
        <w:t>karakterpoeng og NU med 40 poeng per opptatt student.</w:t>
      </w:r>
      <w:r w:rsidR="00646823" w:rsidRPr="00646823">
        <w:t xml:space="preserve"> </w:t>
      </w:r>
      <w:r w:rsidR="003215E2">
        <w:t xml:space="preserve">Karakternivået på institusjonsnivå henger sammen med institusjonens faglige profil og </w:t>
      </w:r>
      <w:r w:rsidR="00704166">
        <w:t xml:space="preserve">poengforskjeller mellom fagområdene. </w:t>
      </w:r>
      <w:r w:rsidR="00646823" w:rsidRPr="00646823">
        <w:t>Høyest er karakterpoengene innen samfunnsfag og juridiske fag (47,4), etterfulgt av naturvitenskapelige og tekniske fag (45,8). Helse- sosial og idrettsfag er det eneste fagområdet med nedgang i karakterpoeng blant søkerne siden 2020.</w:t>
      </w:r>
    </w:p>
    <w:p w14:paraId="0F985968" w14:textId="46EF93B7" w:rsidR="00123769" w:rsidRDefault="003A7801" w:rsidP="00374A9B">
      <w:r>
        <w:t xml:space="preserve">De siste årene har det </w:t>
      </w:r>
      <w:r w:rsidR="001E6440">
        <w:t xml:space="preserve">vært stor økning i </w:t>
      </w:r>
      <w:r w:rsidR="00B64A2C">
        <w:t xml:space="preserve">karakternivået blant søkere til høyere utdanning. </w:t>
      </w:r>
      <w:r w:rsidR="006D4932">
        <w:t xml:space="preserve">Etter </w:t>
      </w:r>
      <w:r w:rsidR="00BA64F7">
        <w:t xml:space="preserve">noe </w:t>
      </w:r>
      <w:r w:rsidR="007B1AD1">
        <w:t>fluktuasjon</w:t>
      </w:r>
      <w:r w:rsidR="006D4932">
        <w:t xml:space="preserve"> </w:t>
      </w:r>
      <w:r w:rsidR="00BF7068">
        <w:t>rundt</w:t>
      </w:r>
      <w:r w:rsidR="004F7D3E">
        <w:t xml:space="preserve"> 2007 og 2008, stabiliserte </w:t>
      </w:r>
      <w:r w:rsidR="00FE5DA0">
        <w:t xml:space="preserve">inntakskarakterene til høyere utdanning seg </w:t>
      </w:r>
      <w:r w:rsidR="00500BC5">
        <w:t>rundt 41,3 poeng</w:t>
      </w:r>
      <w:r w:rsidR="00FE5DA0">
        <w:t xml:space="preserve"> fram til 2016</w:t>
      </w:r>
      <w:r w:rsidR="00500BC5">
        <w:t>.</w:t>
      </w:r>
      <w:r w:rsidR="009A2B20">
        <w:t xml:space="preserve"> </w:t>
      </w:r>
      <w:r w:rsidR="00FE5DA0">
        <w:t xml:space="preserve">Siden dette har det derimot vært en markant vekst i </w:t>
      </w:r>
      <w:r w:rsidR="00FA3E8E">
        <w:t xml:space="preserve">karaktersummen </w:t>
      </w:r>
      <w:r w:rsidR="00B04153">
        <w:t xml:space="preserve">søkerne til høyere utdanning har med seg fra videregående skole. </w:t>
      </w:r>
      <w:r w:rsidR="00123769">
        <w:fldChar w:fldCharType="begin"/>
      </w:r>
      <w:r w:rsidR="00123769">
        <w:instrText xml:space="preserve"> REF _Ref163029227 \h </w:instrText>
      </w:r>
      <w:r w:rsidR="00123769">
        <w:fldChar w:fldCharType="separate"/>
      </w:r>
      <w:r w:rsidR="00123769">
        <w:t xml:space="preserve">Figur </w:t>
      </w:r>
      <w:r w:rsidR="003D0539">
        <w:rPr>
          <w:noProof/>
        </w:rPr>
        <w:t>5</w:t>
      </w:r>
      <w:r w:rsidR="00123769">
        <w:noBreakHyphen/>
      </w:r>
      <w:r w:rsidR="00123769">
        <w:rPr>
          <w:noProof/>
        </w:rPr>
        <w:t>2</w:t>
      </w:r>
      <w:r w:rsidR="00123769">
        <w:fldChar w:fldCharType="end"/>
      </w:r>
      <w:r w:rsidR="00123769">
        <w:t xml:space="preserve"> </w:t>
      </w:r>
      <w:r w:rsidR="00102C41">
        <w:t xml:space="preserve">illustrer denne </w:t>
      </w:r>
      <w:r w:rsidR="00123769">
        <w:t>utviklinge</w:t>
      </w:r>
      <w:r w:rsidR="00102C41">
        <w:t>n.</w:t>
      </w:r>
      <w:r w:rsidR="00C13AD3">
        <w:t xml:space="preserve"> </w:t>
      </w:r>
      <w:r w:rsidR="00930309">
        <w:t xml:space="preserve">Økningen i </w:t>
      </w:r>
      <w:r w:rsidR="00A84A97">
        <w:t xml:space="preserve">karakterpoeng har vært særlig stor i </w:t>
      </w:r>
      <w:r w:rsidR="008B5D88">
        <w:t>årene 2019</w:t>
      </w:r>
      <w:r w:rsidR="00954193">
        <w:t xml:space="preserve"> til 2022</w:t>
      </w:r>
      <w:r w:rsidR="000003D4">
        <w:t xml:space="preserve"> med </w:t>
      </w:r>
      <w:r w:rsidR="00C351EB">
        <w:t xml:space="preserve">en gjennomsnittlig årlig økning </w:t>
      </w:r>
      <w:r w:rsidR="00CE58AC">
        <w:t>på 0,6 poeng.</w:t>
      </w:r>
    </w:p>
    <w:p w14:paraId="72013D35" w14:textId="27439547" w:rsidR="0060429B" w:rsidRPr="0060429B" w:rsidRDefault="00ED4EB7" w:rsidP="00DB0615">
      <w:pPr>
        <w:pStyle w:val="Bildetekst"/>
        <w:keepNext/>
        <w:keepLines/>
      </w:pPr>
      <w:bookmarkStart w:id="88" w:name="_Ref163029227"/>
      <w:bookmarkStart w:id="89" w:name="_Ref163029204"/>
      <w:r>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88"/>
      <w:r>
        <w:t xml:space="preserve"> </w:t>
      </w:r>
      <w:r w:rsidR="00F87B1C">
        <w:t xml:space="preserve">Utviklingen i karakterpoeng </w:t>
      </w:r>
      <w:r w:rsidR="00111B6B">
        <w:t xml:space="preserve">blant søkere til </w:t>
      </w:r>
      <w:r w:rsidR="00291A26">
        <w:t xml:space="preserve">høyere utdanning </w:t>
      </w:r>
      <w:r w:rsidR="0060429B">
        <w:t>2007 – 2023</w:t>
      </w:r>
      <w:bookmarkEnd w:id="89"/>
    </w:p>
    <w:p w14:paraId="06F0D417" w14:textId="02DA45F4" w:rsidR="00B2696C" w:rsidRDefault="00B2696C" w:rsidP="00DB0615">
      <w:pPr>
        <w:keepNext/>
        <w:keepLines/>
      </w:pPr>
      <w:r>
        <w:rPr>
          <w:noProof/>
        </w:rPr>
        <w:drawing>
          <wp:inline distT="0" distB="0" distL="0" distR="0" wp14:anchorId="0ABA5F9C" wp14:editId="6657A7B9">
            <wp:extent cx="5718175" cy="2306472"/>
            <wp:effectExtent l="0" t="0" r="15875" b="17780"/>
            <wp:docPr id="1998585195" name="Diagram 1">
              <a:extLst xmlns:a="http://schemas.openxmlformats.org/drawingml/2006/main">
                <a:ext uri="{FF2B5EF4-FFF2-40B4-BE49-F238E27FC236}">
                  <a16:creationId xmlns:a16="http://schemas.microsoft.com/office/drawing/2014/main" id="{38B963BA-F912-4F07-06F8-41E92DFFF0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591415" w14:textId="20A6AE66" w:rsidR="00B2696C" w:rsidRPr="00E40484" w:rsidRDefault="00E8472B" w:rsidP="00E40484">
      <w:pPr>
        <w:pStyle w:val="Merknad"/>
      </w:pPr>
      <w:r w:rsidRPr="00E40484">
        <w:t>Figuren omfatter s</w:t>
      </w:r>
      <w:r w:rsidR="00C7078C" w:rsidRPr="00E40484">
        <w:t>økere via S</w:t>
      </w:r>
      <w:r w:rsidRPr="00E40484">
        <w:t>amordna opptak</w:t>
      </w:r>
      <w:r w:rsidR="00C7078C" w:rsidRPr="00E40484">
        <w:t xml:space="preserve"> (NOM-opptaket)</w:t>
      </w:r>
    </w:p>
    <w:p w14:paraId="1FCBD449" w14:textId="27EE3234" w:rsidR="00E8472B" w:rsidRPr="00E8472B" w:rsidRDefault="00E8472B" w:rsidP="00E40484">
      <w:pPr>
        <w:pStyle w:val="Kilde"/>
      </w:pPr>
      <w:r w:rsidRPr="004E373E">
        <w:rPr>
          <w:b/>
        </w:rPr>
        <w:t>Kilde</w:t>
      </w:r>
      <w:r w:rsidRPr="00E8472B">
        <w:t>: DBH</w:t>
      </w:r>
    </w:p>
    <w:p w14:paraId="749A382D" w14:textId="4E6C237E" w:rsidR="00DA7FDF" w:rsidRDefault="00DA7FDF" w:rsidP="00DA7FDF">
      <w:r>
        <w:t>Dels skyldes dette at s</w:t>
      </w:r>
      <w:r w:rsidRPr="004074F0">
        <w:t xml:space="preserve">tandpunktkarakterene </w:t>
      </w:r>
      <w:r>
        <w:t xml:space="preserve">for mange fag i videregående skole </w:t>
      </w:r>
      <w:r w:rsidRPr="004074F0">
        <w:t>økte under koronapandemien</w:t>
      </w:r>
      <w:r>
        <w:t xml:space="preserve"> (Udir, statistikkbanken).</w:t>
      </w:r>
      <w:r w:rsidRPr="008C0F7B">
        <w:t xml:space="preserve"> </w:t>
      </w:r>
      <w:r>
        <w:t xml:space="preserve">For søkere som kom rett fra videregående skole i 2023, er det kun avgangsåret </w:t>
      </w:r>
      <w:r w:rsidRPr="006A54EE">
        <w:t>som ikke har vært direkte pandemi</w:t>
      </w:r>
      <w:r>
        <w:t>påvirket</w:t>
      </w:r>
      <w:r w:rsidRPr="006A54EE">
        <w:t xml:space="preserve">, </w:t>
      </w:r>
      <w:r w:rsidR="007D2CCD">
        <w:t xml:space="preserve">med utstrakt bruk av </w:t>
      </w:r>
      <w:r w:rsidRPr="006A54EE">
        <w:t xml:space="preserve">digital undervisning og </w:t>
      </w:r>
      <w:r>
        <w:t xml:space="preserve">andre </w:t>
      </w:r>
      <w:r w:rsidRPr="006A54EE">
        <w:t xml:space="preserve">tiltak. </w:t>
      </w:r>
      <w:r>
        <w:t xml:space="preserve">Dette </w:t>
      </w:r>
      <w:r w:rsidR="00303347">
        <w:t xml:space="preserve">kan </w:t>
      </w:r>
      <w:r w:rsidR="00FF7157">
        <w:t xml:space="preserve">si noe om </w:t>
      </w:r>
      <w:r>
        <w:t xml:space="preserve">hvorfor karakternivået for nye søkere fortsatt stiger i 2023, men svakere enn de foregående årene. Allikevel er det verdt å merke seg at den </w:t>
      </w:r>
      <w:r>
        <w:lastRenderedPageBreak/>
        <w:t xml:space="preserve">kraftige økningen i karakterpoeng begynte allerede i 2019, året før pandemien. </w:t>
      </w:r>
      <w:r w:rsidR="001C333D">
        <w:t xml:space="preserve">Det må derfor finnes andre </w:t>
      </w:r>
      <w:r w:rsidR="007958D8">
        <w:t>faktorer</w:t>
      </w:r>
      <w:r w:rsidR="001C333D">
        <w:t xml:space="preserve"> som </w:t>
      </w:r>
      <w:r w:rsidR="007958D8">
        <w:t xml:space="preserve">drar i samme retning. </w:t>
      </w:r>
    </w:p>
    <w:p w14:paraId="7F4CE239" w14:textId="0A5159D7" w:rsidR="0048715E" w:rsidRDefault="003D0F39" w:rsidP="00DA7FDF">
      <w:r>
        <w:t xml:space="preserve">I denne sammenhengen er det interessant å se på utviklingen i </w:t>
      </w:r>
      <w:r w:rsidR="00463B1C">
        <w:t>opptakspoeng</w:t>
      </w:r>
      <w:r w:rsidR="006006A5">
        <w:t xml:space="preserve"> i samme periode, fordi </w:t>
      </w:r>
      <w:r w:rsidR="00AA0BC1">
        <w:t xml:space="preserve">disse </w:t>
      </w:r>
      <w:r w:rsidR="00306FAB">
        <w:t xml:space="preserve">omfatter </w:t>
      </w:r>
      <w:r w:rsidR="00365902">
        <w:t xml:space="preserve">mer enn kun </w:t>
      </w:r>
      <w:r w:rsidR="00306FAB">
        <w:t>karakter</w:t>
      </w:r>
      <w:r w:rsidR="00365902">
        <w:t>grunnlaget</w:t>
      </w:r>
      <w:r w:rsidR="00306FAB">
        <w:t>.</w:t>
      </w:r>
      <w:r w:rsidR="00463B1C">
        <w:t xml:space="preserve"> </w:t>
      </w:r>
      <w:r w:rsidR="007F6C67">
        <w:t xml:space="preserve">Gjennomsnittssøkeren </w:t>
      </w:r>
      <w:r w:rsidR="00A03A61">
        <w:t xml:space="preserve">til høyere utdanning </w:t>
      </w:r>
      <w:r w:rsidR="00C07B93">
        <w:t>hadde</w:t>
      </w:r>
      <w:r w:rsidR="00573EE1" w:rsidRPr="00573EE1">
        <w:t xml:space="preserve"> 5</w:t>
      </w:r>
      <w:r w:rsidR="002B728E">
        <w:t>1,1</w:t>
      </w:r>
      <w:r w:rsidR="00573EE1" w:rsidRPr="00573EE1">
        <w:t xml:space="preserve"> opptakspoeng</w:t>
      </w:r>
      <w:r w:rsidR="00A03A61">
        <w:t xml:space="preserve"> i 2023</w:t>
      </w:r>
      <w:r w:rsidR="002B728E">
        <w:t xml:space="preserve">. </w:t>
      </w:r>
      <w:r w:rsidR="007C2ACA">
        <w:t>Dette er 0,3 poeng mer enn året før</w:t>
      </w:r>
      <w:r w:rsidR="00931E5E">
        <w:t xml:space="preserve">. </w:t>
      </w:r>
      <w:r w:rsidR="00F86BD8">
        <w:t xml:space="preserve">I årene 2018 til 2022 har den årlige økningen </w:t>
      </w:r>
      <w:r w:rsidR="00ED3241">
        <w:t>i snitt vært noe</w:t>
      </w:r>
      <w:r w:rsidR="00F86BD8">
        <w:t xml:space="preserve"> høyere, </w:t>
      </w:r>
      <w:r w:rsidR="00AD75E2">
        <w:t xml:space="preserve">0,5 </w:t>
      </w:r>
      <w:r w:rsidR="005F17AB">
        <w:t>opptakspoeng</w:t>
      </w:r>
      <w:r w:rsidR="00AD75E2">
        <w:t>.</w:t>
      </w:r>
      <w:r w:rsidR="005F17AB">
        <w:t xml:space="preserve"> </w:t>
      </w:r>
      <w:r w:rsidR="00D756AA">
        <w:t xml:space="preserve">Utviklingen </w:t>
      </w:r>
      <w:r w:rsidR="00AC0B0F">
        <w:t xml:space="preserve">i opptakspoeng </w:t>
      </w:r>
      <w:r w:rsidR="00AB043C">
        <w:t xml:space="preserve">følger i </w:t>
      </w:r>
      <w:r w:rsidR="00EA35D9">
        <w:t xml:space="preserve">så </w:t>
      </w:r>
      <w:r w:rsidR="00AB043C">
        <w:t xml:space="preserve">stor grad </w:t>
      </w:r>
      <w:r w:rsidR="00E23A11">
        <w:t xml:space="preserve">utviklingen i </w:t>
      </w:r>
      <w:r w:rsidR="00654B8F">
        <w:t>karakterpoeng,</w:t>
      </w:r>
      <w:r w:rsidR="00EA35D9">
        <w:t xml:space="preserve"> at</w:t>
      </w:r>
      <w:r w:rsidR="00703E90">
        <w:t xml:space="preserve"> </w:t>
      </w:r>
      <w:r w:rsidR="00A22998">
        <w:t>karakter</w:t>
      </w:r>
      <w:r w:rsidR="00EA7BEE">
        <w:t>grunnlaget</w:t>
      </w:r>
      <w:r w:rsidR="00A22998">
        <w:t xml:space="preserve"> </w:t>
      </w:r>
      <w:r w:rsidR="00AF33CF">
        <w:t>i stor grad</w:t>
      </w:r>
      <w:r w:rsidR="00A22998">
        <w:t xml:space="preserve"> </w:t>
      </w:r>
      <w:r w:rsidR="00EA7BEE">
        <w:t xml:space="preserve">utgjør </w:t>
      </w:r>
      <w:r w:rsidR="0004551C">
        <w:t xml:space="preserve">grunnlaget for </w:t>
      </w:r>
      <w:r w:rsidR="001E6334">
        <w:t xml:space="preserve">økte poenggrenser. </w:t>
      </w:r>
      <w:r w:rsidR="00DA0AA1">
        <w:t>K</w:t>
      </w:r>
      <w:r w:rsidR="00B45BA4">
        <w:t>arakterpoengene</w:t>
      </w:r>
      <w:r w:rsidR="00DA0AA1">
        <w:t>s andel av</w:t>
      </w:r>
      <w:r w:rsidR="004805D5">
        <w:t xml:space="preserve"> </w:t>
      </w:r>
      <w:r w:rsidR="00B45BA4">
        <w:t xml:space="preserve">opptakspoengene har vært stabil </w:t>
      </w:r>
      <w:r w:rsidR="004805D5">
        <w:t>omkring</w:t>
      </w:r>
      <w:r w:rsidR="00C40440">
        <w:t xml:space="preserve"> 86-87 prosent siden 2011</w:t>
      </w:r>
      <w:r w:rsidR="004805D5">
        <w:t xml:space="preserve">. </w:t>
      </w:r>
    </w:p>
    <w:p w14:paraId="021D4567" w14:textId="7C4B9F12" w:rsidR="001E73D0" w:rsidRPr="001E73D0" w:rsidRDefault="001E73D0" w:rsidP="00374A9B">
      <w:r w:rsidRPr="0087189A">
        <w:t xml:space="preserve">Med regjeringens forslag til endringer i opptakssystemet til høyere </w:t>
      </w:r>
      <w:r>
        <w:t>vil de fleste tilleggspoeng</w:t>
      </w:r>
      <w:r w:rsidRPr="00F71ACB">
        <w:t xml:space="preserve"> </w:t>
      </w:r>
      <w:r>
        <w:t>fjernes</w:t>
      </w:r>
      <w:r w:rsidR="00F1734D">
        <w:t xml:space="preserve"> </w:t>
      </w:r>
      <w:r w:rsidR="00F1734D">
        <w:fldChar w:fldCharType="begin"/>
      </w:r>
      <w:r w:rsidR="00983DF5">
        <w:instrText xml:space="preserve"> ADDIN EN.CITE &lt;EndNote&gt;&lt;Cite&gt;&lt;Author&gt;Meld. St. 20 (2023 –2024)&lt;/Author&gt;&lt;RecNum&gt;2296&lt;/RecNum&gt;&lt;DisplayText&gt;(Meld. St. 20 (2023 –2024))&lt;/DisplayText&gt;&lt;record&gt;&lt;rec-number&gt;2296&lt;/rec-number&gt;&lt;foreign-keys&gt;&lt;key app="EN" db-id="p2et5feaxrpe5zew2eavt29z05fv09aa5s0w" timestamp="1712472832" guid="d03068e5-7c74-4848-9bca-1831552e4ae7"&gt;2296&lt;/key&gt;&lt;/foreign-keys&gt;&lt;ref-type name="Report"&gt;27&lt;/ref-type&gt;&lt;contributors&gt;&lt;authors&gt;&lt;author&gt;Meld. St. 20 (2023 –2024),&lt;/author&gt;&lt;/authors&gt;&lt;tertiary-authors&gt;&lt;author&gt;Kunnskapsdepartementet&lt;/author&gt;&lt;/tertiary-authors&gt;&lt;/contributors&gt;&lt;titles&gt;&lt;title&gt;Opptak til høgare utdanning&lt;/title&gt;&lt;/titles&gt;&lt;dates&gt;&lt;/dates&gt;&lt;publisher&gt;Kunnskapsdepartementet&lt;/publisher&gt;&lt;urls&gt;&lt;related-urls&gt;&lt;url&gt;https://www.regjeringen.no/no/dokumenter/meld.-st.-20-20232024/id3032432/&lt;/url&gt;&lt;/related-urls&gt;&lt;/urls&gt;&lt;/record&gt;&lt;/Cite&gt;&lt;/EndNote&gt;</w:instrText>
      </w:r>
      <w:r w:rsidR="00F1734D">
        <w:fldChar w:fldCharType="separate"/>
      </w:r>
      <w:r w:rsidR="00F1734D">
        <w:rPr>
          <w:noProof/>
        </w:rPr>
        <w:t>(Meld. St. 20 (2023 –2024))</w:t>
      </w:r>
      <w:r w:rsidR="00F1734D">
        <w:fldChar w:fldCharType="end"/>
      </w:r>
      <w:r w:rsidRPr="00F71ACB">
        <w:t xml:space="preserve">. </w:t>
      </w:r>
      <w:r w:rsidRPr="00D967FE">
        <w:t xml:space="preserve">Regjeringen </w:t>
      </w:r>
      <w:r>
        <w:t>ønsker dermed å stimulere til</w:t>
      </w:r>
      <w:r w:rsidRPr="00D967FE">
        <w:t xml:space="preserve"> at unge </w:t>
      </w:r>
      <w:r>
        <w:t>kommer</w:t>
      </w:r>
      <w:r w:rsidRPr="00D967FE">
        <w:t xml:space="preserve"> raskere inn i høyere utdanning</w:t>
      </w:r>
      <w:r>
        <w:t>. Når</w:t>
      </w:r>
      <w:r w:rsidRPr="004074F0">
        <w:t xml:space="preserve"> mange unge bruker flere år</w:t>
      </w:r>
      <w:r>
        <w:t xml:space="preserve"> på å samle alderspoeng og ta opp fag fra videregående</w:t>
      </w:r>
      <w:r w:rsidR="00F1734D">
        <w:t>,</w:t>
      </w:r>
      <w:r>
        <w:t xml:space="preserve"> bidrar det også til at norske studenter er blant de eldste i Europa, som vist i kapittel </w:t>
      </w:r>
      <w:r>
        <w:fldChar w:fldCharType="begin"/>
      </w:r>
      <w:r>
        <w:instrText xml:space="preserve"> REF _Ref163030824 \n \h </w:instrText>
      </w:r>
      <w:r>
        <w:fldChar w:fldCharType="separate"/>
      </w:r>
      <w:r>
        <w:t>1.2.1</w:t>
      </w:r>
      <w:r>
        <w:fldChar w:fldCharType="end"/>
      </w:r>
      <w:r w:rsidRPr="008D42F2">
        <w:t xml:space="preserve">. </w:t>
      </w:r>
    </w:p>
    <w:p w14:paraId="2A7DC734" w14:textId="71628849" w:rsidR="00F61AE5" w:rsidRPr="00422245" w:rsidRDefault="00100516" w:rsidP="00182833">
      <w:pPr>
        <w:pStyle w:val="Overskrift3"/>
        <w:spacing w:before="288"/>
      </w:pPr>
      <w:bookmarkStart w:id="90" w:name="_Ref161906943"/>
      <w:bookmarkStart w:id="91" w:name="_Toc163488420"/>
      <w:r w:rsidRPr="00422245">
        <w:t>Tidsbruk</w:t>
      </w:r>
      <w:bookmarkEnd w:id="90"/>
      <w:bookmarkEnd w:id="91"/>
      <w:r w:rsidR="00863BB6" w:rsidRPr="00422245">
        <w:t xml:space="preserve"> </w:t>
      </w:r>
    </w:p>
    <w:p w14:paraId="54B24C69" w14:textId="48839B56" w:rsidR="006416C4" w:rsidRPr="00422245" w:rsidRDefault="006416C4" w:rsidP="006416C4">
      <w:r w:rsidRPr="00422245">
        <w:t xml:space="preserve">Tilstrekkelig høy studieinnsats er én forutsetning for at studentene skal sitte igjen med et godt læringsutbytte. Data fra Studiebarometeret viser at norske heltidsstudenter i snitt bruker 33 timer på studiene og 9,3 timer på betalt arbeid per uke </w:t>
      </w:r>
      <w:r w:rsidR="00E215DA">
        <w:fldChar w:fldCharType="begin"/>
      </w:r>
      <w:r w:rsidR="00AA5AF2">
        <w:instrText xml:space="preserve"> ADDIN EN.CITE &lt;EndNote&gt;&lt;Cite&gt;&lt;Author&gt;NOKUT&lt;/Author&gt;&lt;Year&gt;2024&lt;/Year&gt;&lt;RecNum&gt;2272&lt;/RecNum&gt;&lt;DisplayText&gt;(NOKUT, 2024)&lt;/DisplayText&gt;&lt;record&gt;&lt;rec-number&gt;2272&lt;/rec-number&gt;&lt;foreign-keys&gt;&lt;key app="EN" db-id="p2et5feaxrpe5zew2eavt29z05fv09aa5s0w" timestamp="1712314946" guid="b1278189-5039-4d3c-a0a6-7a68acefcde5"&gt;2272&lt;/key&gt;&lt;/foreign-keys&gt;&lt;ref-type name="Report"&gt;27&lt;/ref-type&gt;&lt;contributors&gt;&lt;authors&gt;&lt;author&gt;NOKUT&lt;/author&gt;&lt;/authors&gt;&lt;/contributors&gt;&lt;titles&gt;&lt;title&gt;Studiebarometeret 2023 – Hovedtendenser&lt;/title&gt;&lt;/titles&gt;&lt;dates&gt;&lt;year&gt;2024&lt;/year&gt;&lt;/dates&gt;&lt;isbn&gt;4&lt;/isbn&gt;&lt;urls&gt;&lt;related-urls&gt;&lt;url&gt;https://www.nokut.no/globalassets/studiebarometeret/2024/hoyere-utdanning/studiebarometeret-2023_hovedtendenser_4-2024.pdf&lt;/url&gt;&lt;/related-urls&gt;&lt;/urls&gt;&lt;/record&gt;&lt;/Cite&gt;&lt;/EndNote&gt;</w:instrText>
      </w:r>
      <w:r w:rsidR="00E215DA">
        <w:fldChar w:fldCharType="separate"/>
      </w:r>
      <w:r w:rsidR="00E215DA">
        <w:rPr>
          <w:noProof/>
        </w:rPr>
        <w:t>(NOKUT, 2024)</w:t>
      </w:r>
      <w:r w:rsidR="00E215DA">
        <w:fldChar w:fldCharType="end"/>
      </w:r>
      <w:r w:rsidR="00E215DA">
        <w:t>.</w:t>
      </w:r>
      <w:r w:rsidRPr="00422245">
        <w:t xml:space="preserve"> Samlet sett er dette klart mer enn en normal arbeidsuke. De nasjonale tallene på total faglig tidsbruk har vært stabile, i den perioden vi har sammenlignbare data fra (2014–2023), men med en svakt nedadgående trend fra toppåret i 2016 (35,5). Denne trenden ser ikke ut til å være særlig påvirket av koronapandemien (2020-2021).</w:t>
      </w:r>
    </w:p>
    <w:p w14:paraId="572A2A1D" w14:textId="7EBDB9BC" w:rsidR="006416C4" w:rsidRPr="00422245" w:rsidRDefault="006416C4" w:rsidP="006416C4">
      <w:r w:rsidRPr="00422245">
        <w:t>Tid brukt på organiserte læringsaktiviteter er det som har gått ned mest sammenliknet med tiden før pandemien: Fra noe over 16 timer før pandemien, rundt 15 timer under pandemien og til 1</w:t>
      </w:r>
      <w:r w:rsidR="00572934">
        <w:t>5</w:t>
      </w:r>
      <w:r w:rsidRPr="00422245">
        <w:t>,2 timer i tiden etter. Tidsbruk på egenstudier var noe høyere under pandemien enn før, og gikk deretter noe ned i tiden etter pandemien, til 18,2 i 2023.</w:t>
      </w:r>
    </w:p>
    <w:p w14:paraId="079E8FCD" w14:textId="02EC06DB" w:rsidR="006416C4" w:rsidRPr="00422245" w:rsidRDefault="006416C4" w:rsidP="006416C4">
      <w:r w:rsidRPr="00422245">
        <w:t xml:space="preserve">Tiden studentene oppgir å ha brukt til betalt arbeid har holdt seg rundt 8 timer </w:t>
      </w:r>
      <w:r w:rsidR="00B95FD9">
        <w:t>per uke</w:t>
      </w:r>
      <w:r w:rsidRPr="00422245">
        <w:t xml:space="preserve"> i flere år, men både i 2021 og 2022 økte antall timer studentene arbeider. Trenden har flatet ut, og var 9,3 timer i 2023, men tid brukt på betalt arbeid er fortsatt på et historisk høyt nivå. Den økonomiske situasjonen med økte priser kan ha ført til at flere studenter fikk behov for å jobbe, eventuelt jobbe mer, og lav </w:t>
      </w:r>
      <w:r w:rsidRPr="00422245">
        <w:lastRenderedPageBreak/>
        <w:t xml:space="preserve">arbeidsledighet kan ha gitt flere mulighet til å jobbe ved siden av studiene. Andelen som arbeider ved siden av studiene er 65 prosent, det har vært en svak økning i denne andelen siden 2020. Heltidsstudentene som arbeider ved siden av studiene, oppgir i snitt at de arbeider 14,3 timer </w:t>
      </w:r>
      <w:r w:rsidR="00927F70">
        <w:t>per uke</w:t>
      </w:r>
      <w:r w:rsidRPr="00422245">
        <w:t>.</w:t>
      </w:r>
    </w:p>
    <w:p w14:paraId="6BB942D9" w14:textId="3D49B320" w:rsidR="00F0759B" w:rsidRPr="00422245" w:rsidRDefault="00927F70" w:rsidP="006416C4">
      <w:r>
        <w:fldChar w:fldCharType="begin"/>
      </w:r>
      <w:r>
        <w:instrText xml:space="preserve"> REF _Ref161848098 \h </w:instrText>
      </w:r>
      <w:r>
        <w:fldChar w:fldCharType="separate"/>
      </w:r>
      <w:r w:rsidRPr="00422245">
        <w:rPr>
          <w:lang w:eastAsia="nb-NO"/>
        </w:rPr>
        <w:t xml:space="preserve">Figur </w:t>
      </w:r>
      <w:r>
        <w:rPr>
          <w:noProof/>
          <w:lang w:eastAsia="nb-NO"/>
        </w:rPr>
        <w:t>5</w:t>
      </w:r>
      <w:r>
        <w:rPr>
          <w:lang w:eastAsia="nb-NO"/>
        </w:rPr>
        <w:noBreakHyphen/>
      </w:r>
      <w:r>
        <w:rPr>
          <w:noProof/>
          <w:lang w:eastAsia="nb-NO"/>
        </w:rPr>
        <w:t>3</w:t>
      </w:r>
      <w:r>
        <w:fldChar w:fldCharType="end"/>
      </w:r>
      <w:r>
        <w:t xml:space="preserve"> </w:t>
      </w:r>
      <w:r w:rsidR="00721764" w:rsidRPr="00422245">
        <w:t xml:space="preserve">viser </w:t>
      </w:r>
      <w:r w:rsidR="00B72ED0" w:rsidRPr="00422245">
        <w:t xml:space="preserve">forskjeller mellom institusjonene i studentens tidsbruk. Forskjellene </w:t>
      </w:r>
      <w:r w:rsidR="007D5789" w:rsidRPr="00422245">
        <w:t xml:space="preserve">reflekterer trolig </w:t>
      </w:r>
      <w:r w:rsidR="00F82D6F" w:rsidRPr="00422245">
        <w:t xml:space="preserve">i </w:t>
      </w:r>
      <w:r w:rsidR="00C32C78" w:rsidRPr="00422245">
        <w:t xml:space="preserve">minst like </w:t>
      </w:r>
      <w:r w:rsidR="00F82D6F" w:rsidRPr="00422245">
        <w:t xml:space="preserve">stor grad </w:t>
      </w:r>
      <w:r w:rsidR="006C2E92" w:rsidRPr="00422245">
        <w:t>institusjonenes faglige profil</w:t>
      </w:r>
      <w:r w:rsidR="006D4586">
        <w:t xml:space="preserve"> </w:t>
      </w:r>
      <w:r w:rsidR="00C32C78" w:rsidRPr="00422245">
        <w:t xml:space="preserve">som andre </w:t>
      </w:r>
      <w:r w:rsidR="00B734B4" w:rsidRPr="00422245">
        <w:t>forskjeller mellom institusjonene.</w:t>
      </w:r>
      <w:r w:rsidR="00F604B4" w:rsidRPr="00422245">
        <w:t xml:space="preserve"> Blant universite</w:t>
      </w:r>
      <w:r w:rsidR="002F650D" w:rsidRPr="00422245">
        <w:t>tene er det imidlertid betydelig forskjell i oppgitt tidsbruk mell</w:t>
      </w:r>
      <w:r w:rsidR="00366275" w:rsidRPr="00422245">
        <w:t xml:space="preserve">om institusjoner med </w:t>
      </w:r>
      <w:r w:rsidR="00C32C78" w:rsidRPr="00422245">
        <w:t>relativt likeartet profil. Mens studentene ved</w:t>
      </w:r>
      <w:r w:rsidR="00487DF9" w:rsidRPr="00422245">
        <w:t xml:space="preserve"> </w:t>
      </w:r>
      <w:r w:rsidR="00075F2B">
        <w:t>USN</w:t>
      </w:r>
      <w:r w:rsidR="00487DF9" w:rsidRPr="00422245">
        <w:t xml:space="preserve"> oppgir å bruke 34,4 timer på studiene, er tilsvarende tall 30,7</w:t>
      </w:r>
      <w:r w:rsidR="00AF20EB" w:rsidRPr="00422245">
        <w:t xml:space="preserve"> </w:t>
      </w:r>
      <w:r w:rsidR="00487DF9" w:rsidRPr="00422245">
        <w:t>timer for NU.</w:t>
      </w:r>
      <w:r w:rsidR="00AF20EB" w:rsidRPr="00422245">
        <w:t xml:space="preserve"> </w:t>
      </w:r>
      <w:r w:rsidR="00263E9F" w:rsidRPr="00422245">
        <w:t xml:space="preserve">Høyest tidsbruk finnes normalt ved spesialiserte institusjoner </w:t>
      </w:r>
      <w:r w:rsidR="0041798C" w:rsidRPr="00422245">
        <w:t>med en mer selektert studentpopulasjon. Blant institusjoner med mer enn 20 respondenter, brukte studentene ved BAS mest tid med 55 timer i uka, og på KHiO og AHO nesten 44 timer.</w:t>
      </w:r>
    </w:p>
    <w:p w14:paraId="52387286" w14:textId="3FC8C8BE" w:rsidR="00C845FB" w:rsidRPr="00422245" w:rsidRDefault="006416C4" w:rsidP="006416C4">
      <w:r w:rsidRPr="00422245">
        <w:t xml:space="preserve">Fordelt på utdanningstyper brukte tannlegestudentene mest tid på studiene i 2023, med 48 timer, fulgt av arkitektur med 46. På medisin og farmasi er tilsvarende tall rundt 41. I den andre enden av skalaen finner vi hotell- og reiselivsfagspråk med 22 timer per uke. Det er lite variasjon over tid, både for disse utdanningstypene og for andre utdanningstyper. Se vedleggstabell </w:t>
      </w:r>
      <w:r w:rsidR="008B5DAF">
        <w:t>XX</w:t>
      </w:r>
      <w:r w:rsidRPr="00422245">
        <w:t xml:space="preserve">  for tidsserie per utdanningstype.</w:t>
      </w:r>
    </w:p>
    <w:p w14:paraId="5001F017" w14:textId="6B3E0C52" w:rsidR="00E82CBA" w:rsidRPr="00422245" w:rsidRDefault="00F54EA0" w:rsidP="00F54EA0">
      <w:pPr>
        <w:pStyle w:val="Bildetekst"/>
        <w:keepNext/>
        <w:rPr>
          <w:lang w:eastAsia="nb-NO"/>
        </w:rPr>
      </w:pPr>
      <w:bookmarkStart w:id="92" w:name="_Ref161848098"/>
      <w:r w:rsidRPr="00422245">
        <w:rPr>
          <w:lang w:eastAsia="nb-NO"/>
        </w:rPr>
        <w:lastRenderedPageBreak/>
        <w:t xml:space="preserve">Figur </w:t>
      </w:r>
      <w:r w:rsidR="006E1D94">
        <w:rPr>
          <w:lang w:eastAsia="nb-NO"/>
        </w:rPr>
        <w:fldChar w:fldCharType="begin"/>
      </w:r>
      <w:r w:rsidR="006E1D94">
        <w:rPr>
          <w:lang w:eastAsia="nb-NO"/>
        </w:rPr>
        <w:instrText xml:space="preserve"> STYLEREF 1 \s </w:instrText>
      </w:r>
      <w:r w:rsidR="006E1D94">
        <w:rPr>
          <w:lang w:eastAsia="nb-NO"/>
        </w:rPr>
        <w:fldChar w:fldCharType="separate"/>
      </w:r>
      <w:r w:rsidR="006E1D94">
        <w:rPr>
          <w:noProof/>
          <w:lang w:eastAsia="nb-NO"/>
        </w:rPr>
        <w:t>5</w:t>
      </w:r>
      <w:r w:rsidR="006E1D94">
        <w:rPr>
          <w:lang w:eastAsia="nb-NO"/>
        </w:rPr>
        <w:fldChar w:fldCharType="end"/>
      </w:r>
      <w:r w:rsidR="006E1D94">
        <w:rPr>
          <w:lang w:eastAsia="nb-NO"/>
        </w:rPr>
        <w:noBreakHyphen/>
      </w:r>
      <w:r w:rsidR="006E1D94">
        <w:rPr>
          <w:lang w:eastAsia="nb-NO"/>
        </w:rPr>
        <w:fldChar w:fldCharType="begin"/>
      </w:r>
      <w:r w:rsidR="006E1D94">
        <w:rPr>
          <w:lang w:eastAsia="nb-NO"/>
        </w:rPr>
        <w:instrText xml:space="preserve"> SEQ Figur \* ARABIC \s 1 </w:instrText>
      </w:r>
      <w:r w:rsidR="006E1D94">
        <w:rPr>
          <w:lang w:eastAsia="nb-NO"/>
        </w:rPr>
        <w:fldChar w:fldCharType="separate"/>
      </w:r>
      <w:r w:rsidR="006E1D94">
        <w:rPr>
          <w:noProof/>
          <w:lang w:eastAsia="nb-NO"/>
        </w:rPr>
        <w:t>3</w:t>
      </w:r>
      <w:r w:rsidR="006E1D94">
        <w:rPr>
          <w:lang w:eastAsia="nb-NO"/>
        </w:rPr>
        <w:fldChar w:fldCharType="end"/>
      </w:r>
      <w:bookmarkEnd w:id="92"/>
      <w:r w:rsidR="00E82CBA" w:rsidRPr="00422245">
        <w:rPr>
          <w:lang w:eastAsia="nb-NO"/>
        </w:rPr>
        <w:t xml:space="preserve"> Faglig tidsbruk i timer per uke, heltidsprogrammer, per institusjon. Gj</w:t>
      </w:r>
      <w:r w:rsidR="00F20353" w:rsidRPr="00422245">
        <w:rPr>
          <w:lang w:eastAsia="nb-NO"/>
        </w:rPr>
        <w:t>ennom</w:t>
      </w:r>
      <w:r w:rsidR="00E82CBA" w:rsidRPr="00422245">
        <w:rPr>
          <w:lang w:eastAsia="nb-NO"/>
        </w:rPr>
        <w:t>snitt 2023</w:t>
      </w:r>
    </w:p>
    <w:p w14:paraId="4D7E8F76" w14:textId="2DB87A29" w:rsidR="00B479DD" w:rsidRPr="00422245" w:rsidRDefault="009530EF" w:rsidP="00F20353">
      <w:pPr>
        <w:keepNext/>
        <w:keepLines/>
      </w:pPr>
      <w:r w:rsidRPr="00422245">
        <w:rPr>
          <w:noProof/>
        </w:rPr>
        <w:drawing>
          <wp:inline distT="0" distB="0" distL="0" distR="0" wp14:anchorId="193334CA" wp14:editId="3DE24A32">
            <wp:extent cx="5553075" cy="7410450"/>
            <wp:effectExtent l="0" t="0" r="9525" b="0"/>
            <wp:docPr id="2079551795" name="Diagram 1">
              <a:extLst xmlns:a="http://schemas.openxmlformats.org/drawingml/2006/main">
                <a:ext uri="{FF2B5EF4-FFF2-40B4-BE49-F238E27FC236}">
                  <a16:creationId xmlns:a16="http://schemas.microsoft.com/office/drawing/2014/main" id="{407A5526-AA58-4E47-BBEF-B1AC309659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CC6A909" w14:textId="2FBA6746" w:rsidR="00E82CBA" w:rsidRPr="00422245" w:rsidRDefault="00C97C44" w:rsidP="00E40484">
      <w:pPr>
        <w:pStyle w:val="Kilde"/>
        <w:rPr>
          <w:lang w:eastAsia="nb-NO"/>
        </w:rPr>
      </w:pPr>
      <w:r w:rsidRPr="004E373E">
        <w:rPr>
          <w:b/>
          <w:lang w:eastAsia="nb-NO"/>
        </w:rPr>
        <w:t>Kilde</w:t>
      </w:r>
      <w:r w:rsidRPr="00422245">
        <w:rPr>
          <w:lang w:eastAsia="nb-NO"/>
        </w:rPr>
        <w:t>: NOKUT, Studiebarometeret</w:t>
      </w:r>
    </w:p>
    <w:p w14:paraId="75686844" w14:textId="60E2911F" w:rsidR="003F1D9B" w:rsidRPr="00422245" w:rsidRDefault="009014CD" w:rsidP="00A23BC8">
      <w:r w:rsidRPr="00422245">
        <w:lastRenderedPageBreak/>
        <w:t>Samtidig som tilstrekkelig tidsbruk er en forutsetning for</w:t>
      </w:r>
      <w:r w:rsidR="00BB2FA9" w:rsidRPr="00422245">
        <w:t xml:space="preserve"> læringsutbytte, er det </w:t>
      </w:r>
      <w:r w:rsidR="00B412EF" w:rsidRPr="00422245">
        <w:t xml:space="preserve">vanskelig å påvise en mer allmenn sammenheng mellom studentenes tidsbruk og resultatoppnåelse. </w:t>
      </w:r>
      <w:r w:rsidR="00E9177B" w:rsidRPr="00422245">
        <w:t xml:space="preserve">Da NOKUT i 2016 </w:t>
      </w:r>
      <w:r w:rsidR="00440201">
        <w:t xml:space="preserve">undersøkte </w:t>
      </w:r>
      <w:r w:rsidR="002C12B7">
        <w:t xml:space="preserve">dette, </w:t>
      </w:r>
      <w:r w:rsidR="009A0F5B" w:rsidRPr="00422245">
        <w:t>fant de ingen statistisk sammenheng mellom tidsbruk og prestasjoner</w:t>
      </w:r>
      <w:r w:rsidR="002C12B7">
        <w:t xml:space="preserve"> </w:t>
      </w:r>
      <w:r w:rsidR="002C12B7">
        <w:fldChar w:fldCharType="begin"/>
      </w:r>
      <w:r w:rsidR="00AA5AF2">
        <w:instrText xml:space="preserve"> ADDIN EN.CITE &lt;EndNote&gt;&lt;Cite&gt;&lt;Author&gt;NOKUT&lt;/Author&gt;&lt;Year&gt;2016&lt;/Year&gt;&lt;RecNum&gt;2273&lt;/RecNum&gt;&lt;DisplayText&gt;(NOKUT, 2016)&lt;/DisplayText&gt;&lt;record&gt;&lt;rec-number&gt;2273&lt;/rec-number&gt;&lt;foreign-keys&gt;&lt;key app="EN" db-id="p2et5feaxrpe5zew2eavt29z05fv09aa5s0w" timestamp="1712315146" guid="a00776fb-997a-4b3d-8a9e-6bf5debc899d"&gt;2273&lt;/key&gt;&lt;/foreign-keys&gt;&lt;ref-type name="Report"&gt;27&lt;/ref-type&gt;&lt;contributors&gt;&lt;authors&gt;&lt;author&gt;NOKUT&lt;/author&gt;&lt;/authors&gt;&lt;/contributors&gt;&lt;titles&gt;&lt;title&gt;Rom for mer læring?&lt;/title&gt;&lt;secondary-title&gt;NOKUTs notater&lt;/secondary-title&gt;&lt;/titles&gt;&lt;dates&gt;&lt;year&gt;2016&lt;/year&gt;&lt;/dates&gt;&lt;urls&gt;&lt;related-urls&gt;&lt;url&gt;https://www.nokut.no/globalassets/studiebarometeret/2016/rom_for_mer_laring_2016.pdf&lt;/url&gt;&lt;/related-urls&gt;&lt;/urls&gt;&lt;/record&gt;&lt;/Cite&gt;&lt;/EndNote&gt;</w:instrText>
      </w:r>
      <w:r w:rsidR="002C12B7">
        <w:fldChar w:fldCharType="separate"/>
      </w:r>
      <w:r w:rsidR="002C12B7">
        <w:rPr>
          <w:noProof/>
        </w:rPr>
        <w:t>(NOKUT, 2016)</w:t>
      </w:r>
      <w:r w:rsidR="002C12B7">
        <w:fldChar w:fldCharType="end"/>
      </w:r>
      <w:r w:rsidR="009A0F5B" w:rsidRPr="00422245">
        <w:t>.</w:t>
      </w:r>
    </w:p>
    <w:p w14:paraId="4D2D0BD0" w14:textId="3F278543" w:rsidR="00727AD8" w:rsidRPr="00422245" w:rsidRDefault="00B428BE" w:rsidP="00CA13C4">
      <w:pPr>
        <w:rPr>
          <w:lang w:eastAsia="nb-NO"/>
        </w:rPr>
      </w:pPr>
      <w:r w:rsidRPr="00422245">
        <w:t>H</w:t>
      </w:r>
      <w:r w:rsidR="00D349DB" w:rsidRPr="00422245">
        <w:t>K</w:t>
      </w:r>
      <w:r w:rsidRPr="00422245">
        <w:t>-dir har fått hjelp av NOKUT til å se nærmere på ti</w:t>
      </w:r>
      <w:r w:rsidR="0041670C" w:rsidRPr="00422245">
        <w:t xml:space="preserve">dsbruk og eventuelle sammenhenger </w:t>
      </w:r>
      <w:r w:rsidR="001152AF" w:rsidRPr="00422245">
        <w:t xml:space="preserve">med andre egenskaper ved studentene. </w:t>
      </w:r>
      <w:r w:rsidR="00DE72B9" w:rsidRPr="00422245">
        <w:t>En</w:t>
      </w:r>
      <w:r w:rsidR="0010361E" w:rsidRPr="00422245">
        <w:t xml:space="preserve"> regresjonsanalyse </w:t>
      </w:r>
      <w:r w:rsidR="00DF689C" w:rsidRPr="00422245">
        <w:t>som kontrollerte for programspesifikke faktorer</w:t>
      </w:r>
      <w:r w:rsidR="0050238A" w:rsidRPr="00422245">
        <w:t>,</w:t>
      </w:r>
      <w:r w:rsidR="00DE72B9" w:rsidRPr="00422245">
        <w:t xml:space="preserve"> viste at </w:t>
      </w:r>
      <w:r w:rsidR="00064995" w:rsidRPr="00422245">
        <w:t xml:space="preserve">kvinnelige og eldre studenter bruker mer tid på studiene enn yngre og mannlige studenter. </w:t>
      </w:r>
      <w:r w:rsidR="002C0184" w:rsidRPr="00422245">
        <w:t>Ifølge denne undersøkelsen utgjør forskjellen mellom kjønnene 2,5 timer per uke.</w:t>
      </w:r>
      <w:r w:rsidR="00430C63" w:rsidRPr="00422245">
        <w:t xml:space="preserve"> </w:t>
      </w:r>
      <w:r w:rsidR="00FA66DB" w:rsidRPr="00422245">
        <w:t>Blant aldersgruppene er det i hovedsak de over 29 år som skiller seg ut</w:t>
      </w:r>
      <w:r w:rsidR="005A6731" w:rsidRPr="00422245">
        <w:t xml:space="preserve">. </w:t>
      </w:r>
      <w:r w:rsidR="00563290" w:rsidRPr="00422245">
        <w:t>Ifølge denne analysen bruker disse studentene</w:t>
      </w:r>
      <w:r w:rsidR="00FA66DB" w:rsidRPr="00422245">
        <w:t xml:space="preserve"> 2,9 timer</w:t>
      </w:r>
      <w:r w:rsidR="00DB4385" w:rsidRPr="00422245">
        <w:t xml:space="preserve"> mer på studiene per uke enn de yngste studentene.</w:t>
      </w:r>
    </w:p>
    <w:p w14:paraId="725D5115" w14:textId="015C755D" w:rsidR="00100516" w:rsidRPr="00422245" w:rsidRDefault="00100516" w:rsidP="00100516">
      <w:pPr>
        <w:pStyle w:val="Overskrift2"/>
      </w:pPr>
      <w:bookmarkStart w:id="93" w:name="_Toc163488421"/>
      <w:r w:rsidRPr="00422245">
        <w:t>Resultat</w:t>
      </w:r>
      <w:r w:rsidR="00C71C83" w:rsidRPr="00422245">
        <w:t>faktorer</w:t>
      </w:r>
      <w:bookmarkEnd w:id="93"/>
    </w:p>
    <w:p w14:paraId="439D4194" w14:textId="73772F97" w:rsidR="009D3CAC" w:rsidRPr="009D3CAC" w:rsidRDefault="009D3CAC" w:rsidP="009D3CAC">
      <w:r>
        <w:t xml:space="preserve">I dette kapittelet ser vi på </w:t>
      </w:r>
      <w:r w:rsidR="00964C71">
        <w:t xml:space="preserve">hva vi kan kalle resultatfaktorer i høyere utdanning. </w:t>
      </w:r>
      <w:r w:rsidR="00A53301">
        <w:t>Statis</w:t>
      </w:r>
      <w:r w:rsidR="002A3DDE">
        <w:t>tikken</w:t>
      </w:r>
      <w:r w:rsidR="00FA61AF">
        <w:t xml:space="preserve"> for gjennomføring har vist positiv utvikling over tid, men her viser vi tall som tilsier a</w:t>
      </w:r>
      <w:r w:rsidR="002A3DDE">
        <w:t xml:space="preserve">t økningen ikke har vært så stor som </w:t>
      </w:r>
      <w:r w:rsidR="003D165F">
        <w:t xml:space="preserve">til nå antatt. </w:t>
      </w:r>
      <w:r w:rsidR="00E93665">
        <w:t xml:space="preserve">Videre har kapittelet oppdaterte tall for frafall, og vi ser </w:t>
      </w:r>
      <w:r w:rsidR="009E0DC4">
        <w:t>på studentenes tilfredshet med studiene.</w:t>
      </w:r>
    </w:p>
    <w:p w14:paraId="3C2283B1" w14:textId="24E79924" w:rsidR="00EF6899" w:rsidRPr="00422245" w:rsidRDefault="00EF6899" w:rsidP="00B30AC6">
      <w:pPr>
        <w:pStyle w:val="Overskrift3"/>
        <w:spacing w:before="288"/>
      </w:pPr>
      <w:bookmarkStart w:id="94" w:name="_Toc163488422"/>
      <w:r w:rsidRPr="00422245">
        <w:t>Nytt tallgrunnlag gir mindre økning i gjennomføring</w:t>
      </w:r>
      <w:bookmarkEnd w:id="94"/>
    </w:p>
    <w:p w14:paraId="33913923" w14:textId="6FF343C0" w:rsidR="00E06EE4" w:rsidRPr="00422245" w:rsidRDefault="00616EE3" w:rsidP="004F2CAA">
      <w:r>
        <w:t xml:space="preserve">Tidligere utgaver av Tilstandsrapport for høyere utdanning har omtalt en markant økning i gjennomføring </w:t>
      </w:r>
      <w:r w:rsidR="00F62B09">
        <w:t xml:space="preserve">for bachelor- og masterstudenter </w:t>
      </w:r>
      <w:r w:rsidR="00760AE5">
        <w:t xml:space="preserve">den siste tiårsperioden. Det samme har </w:t>
      </w:r>
      <w:r w:rsidR="00E82160">
        <w:t>blant annet</w:t>
      </w:r>
      <w:r w:rsidR="00760AE5">
        <w:t xml:space="preserve"> Riksrevisjonen</w:t>
      </w:r>
      <w:r w:rsidR="003D072A">
        <w:t xml:space="preserve"> </w:t>
      </w:r>
      <w:r w:rsidR="0082153B">
        <w:fldChar w:fldCharType="begin"/>
      </w:r>
      <w:r w:rsidR="00AA5AF2">
        <w:instrText xml:space="preserve"> ADDIN EN.CITE &lt;EndNote&gt;&lt;Cite&gt;&lt;Author&gt;Riksrevisjonen&lt;/Author&gt;&lt;Year&gt;2023&lt;/Year&gt;&lt;RecNum&gt;2274&lt;/RecNum&gt;&lt;DisplayText&gt;(Riksrevisjonen, 2023)&lt;/DisplayText&gt;&lt;record&gt;&lt;rec-number&gt;2274&lt;/rec-number&gt;&lt;foreign-keys&gt;&lt;key app="EN" db-id="p2et5feaxrpe5zew2eavt29z05fv09aa5s0w" timestamp="1712315504" guid="132c0d82-2277-4472-8476-7f333b03d2b7"&gt;2274&lt;/key&gt;&lt;/foreign-keys&gt;&lt;ref-type name="Government Document"&gt;46&lt;/ref-type&gt;&lt;contributors&gt;&lt;authors&gt;&lt;author&gt;Riksrevisjonen&lt;/author&gt;&lt;/authors&gt;&lt;secondary-authors&gt;&lt;author&gt;Riksrevisjonen&lt;/author&gt;&lt;/secondary-authors&gt;&lt;/contributors&gt;&lt;titles&gt;&lt;title&gt;Universiteta og høgskulane sitt arbeid med å vidareutvikle kvaliteten i studieprogramma.&lt;/title&gt;&lt;/titles&gt;&lt;number&gt;Dokument 3:14 (2022−2023)&lt;/number&gt;&lt;dates&gt;&lt;year&gt;2023&lt;/year&gt;&lt;/dates&gt;&lt;urls&gt;&lt;/urls&gt;&lt;/record&gt;&lt;/Cite&gt;&lt;/EndNote&gt;</w:instrText>
      </w:r>
      <w:r w:rsidR="0082153B">
        <w:fldChar w:fldCharType="separate"/>
      </w:r>
      <w:r w:rsidR="00290E84">
        <w:rPr>
          <w:noProof/>
        </w:rPr>
        <w:t>(Riksrevisjonen, 2023)</w:t>
      </w:r>
      <w:r w:rsidR="0082153B">
        <w:fldChar w:fldCharType="end"/>
      </w:r>
      <w:r w:rsidR="0051324B">
        <w:t>.</w:t>
      </w:r>
      <w:r w:rsidR="00871378" w:rsidRPr="00206552">
        <w:rPr>
          <w:rStyle w:val="Fotnotereferanse"/>
        </w:rPr>
        <w:t xml:space="preserve"> </w:t>
      </w:r>
      <w:r w:rsidR="00206552" w:rsidRPr="00422245">
        <w:rPr>
          <w:rStyle w:val="Fotnotereferanse"/>
        </w:rPr>
        <w:footnoteReference w:id="16"/>
      </w:r>
      <w:r w:rsidR="00871378">
        <w:t xml:space="preserve"> </w:t>
      </w:r>
      <w:r w:rsidR="00CE0053">
        <w:t>En gjennomgang av</w:t>
      </w:r>
      <w:r w:rsidR="004466BC">
        <w:t xml:space="preserve"> data tyder på at </w:t>
      </w:r>
      <w:r w:rsidR="000A4FD1">
        <w:t xml:space="preserve">noe av denne økningen ikke er reell, </w:t>
      </w:r>
      <w:r w:rsidR="00745CA0">
        <w:t xml:space="preserve">men at statistikken har blitt påvirket av </w:t>
      </w:r>
      <w:r w:rsidR="00724A2F">
        <w:t>lav datakvalitet i historiske tall fra BI.</w:t>
      </w:r>
      <w:r w:rsidR="00724A2F">
        <w:rPr>
          <w:rStyle w:val="Fotnotereferanse"/>
        </w:rPr>
        <w:footnoteReference w:id="17"/>
      </w:r>
      <w:r w:rsidR="0051324B">
        <w:t xml:space="preserve"> </w:t>
      </w:r>
      <w:r w:rsidR="007A4EAF">
        <w:t xml:space="preserve">Dette gjelder særlig tall fra før 2017. </w:t>
      </w:r>
      <w:r w:rsidR="00FB2F41">
        <w:t xml:space="preserve">For gjennomføringstall </w:t>
      </w:r>
      <w:r w:rsidR="0010060A">
        <w:t>vil en st</w:t>
      </w:r>
      <w:r w:rsidR="00D05AC4">
        <w:t xml:space="preserve">or del av </w:t>
      </w:r>
      <w:r w:rsidR="007D71CE">
        <w:t>ti</w:t>
      </w:r>
      <w:r w:rsidR="005C33DE">
        <w:t>årig</w:t>
      </w:r>
      <w:r w:rsidR="005E0D5B">
        <w:t>e</w:t>
      </w:r>
      <w:r w:rsidR="005C33DE">
        <w:t xml:space="preserve"> </w:t>
      </w:r>
      <w:r w:rsidR="00D05AC4">
        <w:t>tidsserie</w:t>
      </w:r>
      <w:r w:rsidR="005E0D5B">
        <w:t>r</w:t>
      </w:r>
      <w:r w:rsidR="00D05AC4">
        <w:t xml:space="preserve"> være påvirket, siden </w:t>
      </w:r>
      <w:r w:rsidR="00396782">
        <w:t xml:space="preserve">bachelorkull fra </w:t>
      </w:r>
      <w:r w:rsidR="008F3F9F">
        <w:t xml:space="preserve">2016 hadde normert </w:t>
      </w:r>
      <w:r w:rsidR="005C33DE">
        <w:t>gjennomføring</w:t>
      </w:r>
      <w:r w:rsidR="0051324B">
        <w:t xml:space="preserve"> </w:t>
      </w:r>
      <w:r w:rsidR="004D6C93">
        <w:t>så sent som i 2019.</w:t>
      </w:r>
      <w:r w:rsidR="0051324B">
        <w:t xml:space="preserve"> </w:t>
      </w:r>
      <w:r w:rsidR="007C7ACF" w:rsidRPr="00422245">
        <w:t xml:space="preserve"> </w:t>
      </w:r>
      <w:r w:rsidR="009C5002" w:rsidRPr="00422245">
        <w:t xml:space="preserve">HK-dir </w:t>
      </w:r>
      <w:r w:rsidR="00FB2F41">
        <w:t xml:space="preserve">har derfor </w:t>
      </w:r>
      <w:r w:rsidR="009C5002" w:rsidRPr="00422245">
        <w:t>besluttet</w:t>
      </w:r>
      <w:r w:rsidR="00445AB0" w:rsidRPr="00422245">
        <w:t xml:space="preserve"> </w:t>
      </w:r>
      <w:r w:rsidR="009C5002" w:rsidRPr="00422245">
        <w:t xml:space="preserve">å utelukke tall fra BI når vi presenterer tidsserier. </w:t>
      </w:r>
      <w:r w:rsidR="009505DB">
        <w:t>Økningen i gjennom</w:t>
      </w:r>
      <w:r w:rsidR="00653097">
        <w:t xml:space="preserve">føring de siste ti årene blir da betydelig mindre enn </w:t>
      </w:r>
      <w:r w:rsidR="00653097">
        <w:lastRenderedPageBreak/>
        <w:t>om tall fra BI tas med.</w:t>
      </w:r>
      <w:r w:rsidR="00211CE1" w:rsidRPr="00422245">
        <w:t xml:space="preserve"> For tall </w:t>
      </w:r>
      <w:r w:rsidR="005E0D5B">
        <w:t>som gjelder</w:t>
      </w:r>
      <w:r w:rsidR="00211CE1" w:rsidRPr="00422245">
        <w:t xml:space="preserve"> 2023</w:t>
      </w:r>
      <w:r w:rsidR="005E0D5B">
        <w:t>,</w:t>
      </w:r>
      <w:r w:rsidR="00211CE1" w:rsidRPr="00422245">
        <w:t xml:space="preserve"> vurderes datakvaliteten derimot som god nok til at BI tas med.</w:t>
      </w:r>
      <w:r w:rsidR="00F176FC">
        <w:t xml:space="preserve"> For å</w:t>
      </w:r>
      <w:r w:rsidR="00F176FC" w:rsidDel="00CF76D0">
        <w:t xml:space="preserve"> </w:t>
      </w:r>
      <w:r w:rsidR="00CF76D0">
        <w:t>tydeliggjøre</w:t>
      </w:r>
      <w:r w:rsidR="00F176FC">
        <w:t xml:space="preserve"> </w:t>
      </w:r>
      <w:r w:rsidR="00CB6A84">
        <w:t xml:space="preserve">hvor stort avvik det er snakk om, </w:t>
      </w:r>
      <w:r w:rsidR="00823EA5">
        <w:t xml:space="preserve">vil vi innledningsvis vise til </w:t>
      </w:r>
      <w:r w:rsidR="007978FC">
        <w:t>gjennomføringsstatistikk både med og uten tall fra BI.</w:t>
      </w:r>
    </w:p>
    <w:p w14:paraId="69A96F6B" w14:textId="3FD2C2C0" w:rsidR="00211CE1" w:rsidRDefault="00922285" w:rsidP="004F2CAA">
      <w:pPr>
        <w:rPr>
          <w:lang w:eastAsia="nb-NO"/>
        </w:rPr>
      </w:pPr>
      <w:r w:rsidRPr="00422245">
        <w:rPr>
          <w:lang w:eastAsia="nb-NO"/>
        </w:rPr>
        <w:t xml:space="preserve">For treårige bachelorgrader </w:t>
      </w:r>
      <w:r w:rsidR="00DE021E" w:rsidRPr="00422245">
        <w:rPr>
          <w:lang w:eastAsia="nb-NO"/>
        </w:rPr>
        <w:t>ville</w:t>
      </w:r>
      <w:r w:rsidR="00D0413D" w:rsidRPr="00422245">
        <w:rPr>
          <w:lang w:eastAsia="nb-NO"/>
        </w:rPr>
        <w:t xml:space="preserve"> tall som inkluderer BI </w:t>
      </w:r>
      <w:r w:rsidR="00110BC9" w:rsidRPr="00422245">
        <w:rPr>
          <w:lang w:eastAsia="nb-NO"/>
        </w:rPr>
        <w:t>gitt</w:t>
      </w:r>
      <w:r w:rsidR="00D91BDA" w:rsidRPr="00422245">
        <w:rPr>
          <w:lang w:eastAsia="nb-NO"/>
        </w:rPr>
        <w:t xml:space="preserve"> en økning i gjennomføring på normert tid fra 40 prosent i 2014 til 53 prosent i 2023. Uten BI ser vi en langt mer beskjeden økning, fra 47 prosent i 2014 til 54 prosent i 2023</w:t>
      </w:r>
      <w:r w:rsidR="00D0413D" w:rsidRPr="00422245">
        <w:rPr>
          <w:lang w:eastAsia="nb-NO"/>
        </w:rPr>
        <w:t xml:space="preserve"> (</w:t>
      </w:r>
      <w:r w:rsidR="00D0413D" w:rsidRPr="00422245">
        <w:rPr>
          <w:lang w:eastAsia="nb-NO"/>
        </w:rPr>
        <w:fldChar w:fldCharType="begin"/>
      </w:r>
      <w:r w:rsidR="00D0413D" w:rsidRPr="00422245">
        <w:rPr>
          <w:lang w:eastAsia="nb-NO"/>
        </w:rPr>
        <w:instrText xml:space="preserve"> REF _Ref161835581 \h </w:instrText>
      </w:r>
      <w:r w:rsidR="00D0413D" w:rsidRPr="00422245">
        <w:rPr>
          <w:lang w:eastAsia="nb-NO"/>
        </w:rPr>
      </w:r>
      <w:r w:rsidR="00D0413D" w:rsidRPr="00422245">
        <w:rPr>
          <w:lang w:eastAsia="nb-NO"/>
        </w:rPr>
        <w:fldChar w:fldCharType="separate"/>
      </w:r>
      <w:r w:rsidR="00412998" w:rsidRPr="00422245">
        <w:t xml:space="preserve">Figur </w:t>
      </w:r>
      <w:r w:rsidR="0037616C">
        <w:rPr>
          <w:noProof/>
        </w:rPr>
        <w:t>5</w:t>
      </w:r>
      <w:r w:rsidR="00412998" w:rsidRPr="00422245">
        <w:noBreakHyphen/>
      </w:r>
      <w:r w:rsidR="005B096E">
        <w:rPr>
          <w:noProof/>
        </w:rPr>
        <w:t>4</w:t>
      </w:r>
      <w:r w:rsidR="00D0413D" w:rsidRPr="00422245">
        <w:rPr>
          <w:lang w:eastAsia="nb-NO"/>
        </w:rPr>
        <w:fldChar w:fldCharType="end"/>
      </w:r>
      <w:r w:rsidR="00D0413D" w:rsidRPr="00422245">
        <w:rPr>
          <w:lang w:eastAsia="nb-NO"/>
        </w:rPr>
        <w:t xml:space="preserve"> under)</w:t>
      </w:r>
      <w:r w:rsidR="00D91BDA" w:rsidRPr="00422245">
        <w:rPr>
          <w:lang w:eastAsia="nb-NO"/>
        </w:rPr>
        <w:t xml:space="preserve">. </w:t>
      </w:r>
      <w:r w:rsidR="00B00F5E" w:rsidRPr="00422245">
        <w:rPr>
          <w:lang w:eastAsia="nb-NO"/>
        </w:rPr>
        <w:t xml:space="preserve">For toårige mastergrader </w:t>
      </w:r>
      <w:r w:rsidR="00DE021E" w:rsidRPr="00422245">
        <w:rPr>
          <w:lang w:eastAsia="nb-NO"/>
        </w:rPr>
        <w:t>ville</w:t>
      </w:r>
      <w:r w:rsidR="00B00F5E" w:rsidRPr="00422245">
        <w:rPr>
          <w:lang w:eastAsia="nb-NO"/>
        </w:rPr>
        <w:t xml:space="preserve"> tall som inkluderer BI </w:t>
      </w:r>
      <w:r w:rsidR="00AC009D" w:rsidRPr="00422245">
        <w:rPr>
          <w:lang w:eastAsia="nb-NO"/>
        </w:rPr>
        <w:t xml:space="preserve">gitt </w:t>
      </w:r>
      <w:r w:rsidR="00B00F5E" w:rsidRPr="00422245">
        <w:rPr>
          <w:lang w:eastAsia="nb-NO"/>
        </w:rPr>
        <w:t>en økning fra 4</w:t>
      </w:r>
      <w:r w:rsidR="00E438A4" w:rsidRPr="00422245">
        <w:rPr>
          <w:lang w:eastAsia="nb-NO"/>
        </w:rPr>
        <w:t>6</w:t>
      </w:r>
      <w:r w:rsidR="00B00F5E" w:rsidRPr="00422245">
        <w:rPr>
          <w:lang w:eastAsia="nb-NO"/>
        </w:rPr>
        <w:t xml:space="preserve"> prosent i 2014 til </w:t>
      </w:r>
      <w:r w:rsidR="00E438A4" w:rsidRPr="00422245">
        <w:rPr>
          <w:lang w:eastAsia="nb-NO"/>
        </w:rPr>
        <w:t xml:space="preserve">56 prosent i 2023. </w:t>
      </w:r>
      <w:r w:rsidR="00DE021E" w:rsidRPr="00422245">
        <w:rPr>
          <w:lang w:eastAsia="nb-NO"/>
        </w:rPr>
        <w:t>Ute</w:t>
      </w:r>
      <w:r w:rsidR="00D550DA" w:rsidRPr="00422245">
        <w:rPr>
          <w:lang w:eastAsia="nb-NO"/>
        </w:rPr>
        <w:t>n BI ser vi</w:t>
      </w:r>
      <w:r w:rsidR="00B23599">
        <w:rPr>
          <w:lang w:eastAsia="nb-NO"/>
        </w:rPr>
        <w:t xml:space="preserve"> derimot</w:t>
      </w:r>
      <w:r w:rsidR="00780205" w:rsidRPr="00422245">
        <w:rPr>
          <w:lang w:eastAsia="nb-NO"/>
        </w:rPr>
        <w:t xml:space="preserve"> bare en liten endring</w:t>
      </w:r>
      <w:r w:rsidR="00B23599">
        <w:rPr>
          <w:lang w:eastAsia="nb-NO"/>
        </w:rPr>
        <w:t>,</w:t>
      </w:r>
      <w:r w:rsidR="00780205" w:rsidRPr="00422245">
        <w:rPr>
          <w:lang w:eastAsia="nb-NO"/>
        </w:rPr>
        <w:t xml:space="preserve"> fra </w:t>
      </w:r>
      <w:r w:rsidR="00E438A4" w:rsidRPr="00422245">
        <w:rPr>
          <w:lang w:eastAsia="nb-NO"/>
        </w:rPr>
        <w:t>51</w:t>
      </w:r>
      <w:r w:rsidR="00780205" w:rsidRPr="00422245">
        <w:rPr>
          <w:lang w:eastAsia="nb-NO"/>
        </w:rPr>
        <w:t xml:space="preserve"> prosent</w:t>
      </w:r>
      <w:r w:rsidR="00E438A4" w:rsidRPr="00422245">
        <w:rPr>
          <w:lang w:eastAsia="nb-NO"/>
        </w:rPr>
        <w:t xml:space="preserve"> </w:t>
      </w:r>
      <w:r w:rsidR="00780205" w:rsidRPr="00422245">
        <w:rPr>
          <w:lang w:eastAsia="nb-NO"/>
        </w:rPr>
        <w:t xml:space="preserve">i begynnelsen </w:t>
      </w:r>
      <w:r w:rsidR="00E438A4" w:rsidRPr="00422245">
        <w:rPr>
          <w:lang w:eastAsia="nb-NO"/>
        </w:rPr>
        <w:t>til 54</w:t>
      </w:r>
      <w:r w:rsidR="00780205" w:rsidRPr="00422245">
        <w:rPr>
          <w:lang w:eastAsia="nb-NO"/>
        </w:rPr>
        <w:t xml:space="preserve"> </w:t>
      </w:r>
      <w:r w:rsidR="00587E49" w:rsidRPr="00422245">
        <w:rPr>
          <w:lang w:eastAsia="nb-NO"/>
        </w:rPr>
        <w:t xml:space="preserve">prosent </w:t>
      </w:r>
      <w:r w:rsidR="00780205" w:rsidRPr="00422245">
        <w:rPr>
          <w:lang w:eastAsia="nb-NO"/>
        </w:rPr>
        <w:t xml:space="preserve">i slutten av </w:t>
      </w:r>
      <w:r w:rsidR="00911D13" w:rsidRPr="00422245">
        <w:rPr>
          <w:lang w:eastAsia="nb-NO"/>
        </w:rPr>
        <w:t>tiårs</w:t>
      </w:r>
      <w:r w:rsidR="00780205" w:rsidRPr="00422245">
        <w:rPr>
          <w:lang w:eastAsia="nb-NO"/>
        </w:rPr>
        <w:t xml:space="preserve">årsperioden. </w:t>
      </w:r>
      <w:r w:rsidR="00587E49" w:rsidRPr="00422245">
        <w:rPr>
          <w:lang w:eastAsia="nb-NO"/>
        </w:rPr>
        <w:t>For de femårige integrerte mastergradene har tall fra BI vært utelukket også tidligere</w:t>
      </w:r>
      <w:r w:rsidR="00B8051B" w:rsidRPr="00422245">
        <w:rPr>
          <w:lang w:eastAsia="nb-NO"/>
        </w:rPr>
        <w:t>. Her har vi uansett sett en nokså markant økning i gjennomføring</w:t>
      </w:r>
      <w:r w:rsidR="00113906">
        <w:rPr>
          <w:lang w:eastAsia="nb-NO"/>
        </w:rPr>
        <w:t xml:space="preserve"> de siste årene</w:t>
      </w:r>
      <w:r w:rsidR="00B8051B" w:rsidRPr="00422245">
        <w:rPr>
          <w:lang w:eastAsia="nb-NO"/>
        </w:rPr>
        <w:t xml:space="preserve">, </w:t>
      </w:r>
      <w:r w:rsidR="00BB4170">
        <w:rPr>
          <w:lang w:eastAsia="nb-NO"/>
        </w:rPr>
        <w:t>fra under 40 prosent i 2020 til over 50 prosent i 2023</w:t>
      </w:r>
      <w:r w:rsidR="00B8051B" w:rsidRPr="00422245">
        <w:rPr>
          <w:lang w:eastAsia="nb-NO"/>
        </w:rPr>
        <w:t>.</w:t>
      </w:r>
    </w:p>
    <w:p w14:paraId="05E844C3" w14:textId="6A30213F" w:rsidR="003A50FB" w:rsidRPr="00422245" w:rsidRDefault="003A50FB" w:rsidP="00E40484">
      <w:pPr>
        <w:pStyle w:val="Bildetekst"/>
        <w:keepNext/>
        <w:keepLines/>
      </w:pPr>
      <w:bookmarkStart w:id="95" w:name="_Ref161835581"/>
      <w:bookmarkStart w:id="96" w:name="_Ref161835572"/>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95"/>
      <w:r w:rsidRPr="00422245">
        <w:t xml:space="preserve"> Gjennomføring på normert tid for </w:t>
      </w:r>
      <w:r w:rsidR="00403098">
        <w:t>heltidsstudenter på</w:t>
      </w:r>
      <w:r w:rsidRPr="00422245">
        <w:t xml:space="preserve"> bachelor- og masterstud</w:t>
      </w:r>
      <w:r w:rsidR="00403098">
        <w:t>ier</w:t>
      </w:r>
      <w:r w:rsidRPr="00422245">
        <w:t xml:space="preserve"> utenom grunnskol</w:t>
      </w:r>
      <w:r w:rsidR="00804E06" w:rsidRPr="00422245">
        <w:t>el</w:t>
      </w:r>
      <w:r w:rsidRPr="00422245">
        <w:t>ærerstudenter 2014–23. Prosent</w:t>
      </w:r>
      <w:bookmarkEnd w:id="96"/>
    </w:p>
    <w:p w14:paraId="65C926EC" w14:textId="658BD676" w:rsidR="009C1417" w:rsidRPr="009C1417" w:rsidRDefault="009C1417" w:rsidP="00E40484">
      <w:pPr>
        <w:keepNext/>
        <w:keepLines/>
      </w:pPr>
      <w:r>
        <w:rPr>
          <w:noProof/>
        </w:rPr>
        <w:drawing>
          <wp:inline distT="0" distB="0" distL="0" distR="0" wp14:anchorId="40AF64E7" wp14:editId="4FBD012E">
            <wp:extent cx="5670645" cy="2975212"/>
            <wp:effectExtent l="0" t="0" r="6350" b="15875"/>
            <wp:docPr id="1661251424" name="Diagram 1">
              <a:extLst xmlns:a="http://schemas.openxmlformats.org/drawingml/2006/main">
                <a:ext uri="{FF2B5EF4-FFF2-40B4-BE49-F238E27FC236}">
                  <a16:creationId xmlns:a16="http://schemas.microsoft.com/office/drawing/2014/main" id="{B320B097-7344-053A-4D38-2570367DE9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84D49B" w14:textId="69D3346C" w:rsidR="003A50FB" w:rsidRPr="00E40484" w:rsidRDefault="003A50FB" w:rsidP="001E751B">
      <w:pPr>
        <w:pStyle w:val="Merknad"/>
        <w:keepNext/>
        <w:keepLines/>
      </w:pPr>
      <w:r w:rsidRPr="00E40484">
        <w:t xml:space="preserve">Figuren viser gjennomføring på normert tid på sektornivå (dvs. uavhengig av om studenten bytter institusjon). </w:t>
      </w:r>
      <w:r w:rsidR="00232F0F" w:rsidRPr="00E40484">
        <w:t>Årstallet angir normert fullføringsår.</w:t>
      </w:r>
      <w:r w:rsidRPr="00E40484">
        <w:t xml:space="preserve"> For treårig bachelor er verdien beregnet ut fra studentene som møtte til studiestart 3 år før, for toårig master 2 år før osv. Data for BI er ikke tatt med.</w:t>
      </w:r>
      <w:r w:rsidR="00B540C0" w:rsidRPr="00E40484">
        <w:t xml:space="preserve"> Grunnskolelærerutdanningene er holdt utenfor, siden disse ble femårige integrerte masterutdanninger fra og med 2017, med første kull uteksaminert etter normert tid i 2022.</w:t>
      </w:r>
    </w:p>
    <w:p w14:paraId="2CD3B82B" w14:textId="25AB3FBF" w:rsidR="00EE169C" w:rsidRPr="00422245" w:rsidRDefault="00EE169C" w:rsidP="00E40484">
      <w:pPr>
        <w:pStyle w:val="Kilde"/>
        <w:rPr>
          <w:lang w:eastAsia="nb-NO"/>
        </w:rPr>
      </w:pPr>
      <w:r w:rsidRPr="004E373E">
        <w:rPr>
          <w:b/>
          <w:lang w:eastAsia="nb-NO"/>
        </w:rPr>
        <w:t>Kilde</w:t>
      </w:r>
      <w:r>
        <w:rPr>
          <w:lang w:eastAsia="nb-NO"/>
        </w:rPr>
        <w:t>: DBH</w:t>
      </w:r>
    </w:p>
    <w:p w14:paraId="3F072670" w14:textId="652FB06C" w:rsidR="00BC4983" w:rsidRPr="00422245" w:rsidRDefault="00BD10DC" w:rsidP="003A50FB">
      <w:pPr>
        <w:pStyle w:val="Merknad"/>
        <w:rPr>
          <w:b/>
          <w:bCs/>
          <w:lang w:eastAsia="nb-NO"/>
        </w:rPr>
      </w:pPr>
      <w:r w:rsidRPr="00BD10DC">
        <w:rPr>
          <w:b/>
          <w:bCs/>
          <w:noProof/>
          <w:lang w:eastAsia="nb-NO"/>
        </w:rPr>
        <w:lastRenderedPageBreak/>
        <mc:AlternateContent>
          <mc:Choice Requires="wps">
            <w:drawing>
              <wp:anchor distT="45720" distB="45720" distL="114300" distR="114300" simplePos="0" relativeHeight="251658242" behindDoc="0" locked="0" layoutInCell="1" allowOverlap="1" wp14:anchorId="60799E03" wp14:editId="5E0599F3">
                <wp:simplePos x="0" y="0"/>
                <wp:positionH relativeFrom="margin">
                  <wp:posOffset>0</wp:posOffset>
                </wp:positionH>
                <wp:positionV relativeFrom="paragraph">
                  <wp:posOffset>88265</wp:posOffset>
                </wp:positionV>
                <wp:extent cx="5715000" cy="4680585"/>
                <wp:effectExtent l="0" t="0" r="19050" b="24765"/>
                <wp:wrapSquare wrapText="bothSides"/>
                <wp:docPr id="142233004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680585"/>
                        </a:xfrm>
                        <a:prstGeom prst="rect">
                          <a:avLst/>
                        </a:prstGeom>
                        <a:solidFill>
                          <a:srgbClr val="FFFFFF"/>
                        </a:solidFill>
                        <a:ln w="9525">
                          <a:solidFill>
                            <a:srgbClr val="000000"/>
                          </a:solidFill>
                          <a:miter lim="800000"/>
                          <a:headEnd/>
                          <a:tailEnd/>
                        </a:ln>
                      </wps:spPr>
                      <wps:txbx>
                        <w:txbxContent>
                          <w:p w14:paraId="468454F8" w14:textId="00DB8E6B" w:rsidR="00253CAB" w:rsidRDefault="00253CAB">
                            <w:pPr>
                              <w:rPr>
                                <w:b/>
                                <w:bCs/>
                              </w:rPr>
                            </w:pPr>
                            <w:r w:rsidRPr="00253CAB">
                              <w:rPr>
                                <w:b/>
                                <w:bCs/>
                              </w:rPr>
                              <w:t>Om kalkulasjon av gjennomføringsandeler</w:t>
                            </w:r>
                          </w:p>
                          <w:p w14:paraId="7037A028" w14:textId="7A0E324D" w:rsidR="00BD10DC" w:rsidRPr="00D57995" w:rsidRDefault="00BC4902">
                            <w:r>
                              <w:t>Bare studenter</w:t>
                            </w:r>
                            <w:r w:rsidR="000918A2">
                              <w:t xml:space="preserve"> som har startet</w:t>
                            </w:r>
                            <w:r>
                              <w:t xml:space="preserve"> på heltidsprogrammer </w:t>
                            </w:r>
                            <w:r w:rsidR="0090658E">
                              <w:t xml:space="preserve">regnes med </w:t>
                            </w:r>
                            <w:r w:rsidR="00250746">
                              <w:t xml:space="preserve">når man </w:t>
                            </w:r>
                            <w:r w:rsidR="00AD042E">
                              <w:t>produserer statistikk om</w:t>
                            </w:r>
                            <w:r w:rsidR="00250746">
                              <w:t xml:space="preserve"> hvor stor andel av et kull som har gjennomført på normert tid</w:t>
                            </w:r>
                            <w:r w:rsidR="00385324">
                              <w:t>.</w:t>
                            </w:r>
                            <w:r w:rsidR="003E2E74">
                              <w:t xml:space="preserve"> </w:t>
                            </w:r>
                            <w:r w:rsidR="00E5722F">
                              <w:t xml:space="preserve">Det blir ikke tatt hensyn til </w:t>
                            </w:r>
                            <w:r w:rsidR="00AF2072">
                              <w:t xml:space="preserve">hvorvidt studenten </w:t>
                            </w:r>
                            <w:r w:rsidR="00207007">
                              <w:t>faktisk</w:t>
                            </w:r>
                            <w:r w:rsidR="00AF2072">
                              <w:t xml:space="preserve"> har en intensjon om å gjennomføre på normert</w:t>
                            </w:r>
                            <w:r w:rsidR="00ED745D">
                              <w:t xml:space="preserve"> </w:t>
                            </w:r>
                            <w:r w:rsidR="00AF2072">
                              <w:t>tid</w:t>
                            </w:r>
                            <w:r w:rsidR="00290535">
                              <w:t xml:space="preserve"> eller </w:t>
                            </w:r>
                            <w:r w:rsidR="005C2473">
                              <w:t>om</w:t>
                            </w:r>
                            <w:r w:rsidR="00290535">
                              <w:t xml:space="preserve"> å gjennomføre overhodet</w:t>
                            </w:r>
                            <w:r w:rsidR="00AF2072">
                              <w:t>.</w:t>
                            </w:r>
                            <w:r w:rsidR="00290535">
                              <w:t xml:space="preserve"> </w:t>
                            </w:r>
                            <w:r w:rsidR="00641EF6">
                              <w:t xml:space="preserve">Hvor mange som </w:t>
                            </w:r>
                            <w:r w:rsidR="00FF552C">
                              <w:t>planlegger å gjennomføre en grad på normert tid</w:t>
                            </w:r>
                            <w:r w:rsidR="005C2473">
                              <w:t>,</w:t>
                            </w:r>
                            <w:r w:rsidR="00FF552C">
                              <w:t xml:space="preserve"> kan variere mellom ulike studier</w:t>
                            </w:r>
                            <w:r w:rsidR="00D42C13">
                              <w:t xml:space="preserve">. </w:t>
                            </w:r>
                            <w:r w:rsidR="005E52C5">
                              <w:t>Vi har i</w:t>
                            </w:r>
                            <w:r w:rsidR="00D42C13">
                              <w:t xml:space="preserve"> noen grad </w:t>
                            </w:r>
                            <w:r w:rsidR="005E52C5">
                              <w:t xml:space="preserve">data som </w:t>
                            </w:r>
                            <w:r w:rsidR="00570C57">
                              <w:t xml:space="preserve">kan si noe om dette, </w:t>
                            </w:r>
                            <w:r w:rsidR="0054348F">
                              <w:t xml:space="preserve">i og med at vi kjenner </w:t>
                            </w:r>
                            <w:r w:rsidR="00E473D5">
                              <w:t>den enkelte students planlagte studieprogresjon</w:t>
                            </w:r>
                            <w:r w:rsidR="0066389C">
                              <w:t xml:space="preserve">, </w:t>
                            </w:r>
                            <w:r w:rsidR="009026E5">
                              <w:t xml:space="preserve">målt </w:t>
                            </w:r>
                            <w:r w:rsidR="0043123E">
                              <w:t>i antall studi</w:t>
                            </w:r>
                            <w:r w:rsidR="002453F0">
                              <w:t>epoeng studenten er oppmeldt i</w:t>
                            </w:r>
                            <w:r w:rsidR="00B23E15">
                              <w:t xml:space="preserve"> </w:t>
                            </w:r>
                            <w:r w:rsidR="00AC7FD9">
                              <w:t>for hvert</w:t>
                            </w:r>
                            <w:r w:rsidR="00B23E15">
                              <w:t xml:space="preserve"> enkelt semester</w:t>
                            </w:r>
                            <w:r w:rsidR="002453F0">
                              <w:t>.</w:t>
                            </w:r>
                            <w:r w:rsidR="001D0612">
                              <w:t xml:space="preserve"> </w:t>
                            </w:r>
                            <w:r w:rsidR="00526781">
                              <w:t>I denne utgaven av tilstandsrapporten</w:t>
                            </w:r>
                            <w:r w:rsidR="00862A4F">
                              <w:t xml:space="preserve"> har </w:t>
                            </w:r>
                            <w:r w:rsidR="00526781">
                              <w:t>vi</w:t>
                            </w:r>
                            <w:r w:rsidR="00862A4F">
                              <w:t xml:space="preserve"> imidlertid ikke </w:t>
                            </w:r>
                            <w:r w:rsidR="004750D2">
                              <w:t xml:space="preserve">mulighet til å sammenstille data </w:t>
                            </w:r>
                            <w:r w:rsidR="00526781">
                              <w:t>på individnivå</w:t>
                            </w:r>
                            <w:r w:rsidR="004750D2">
                              <w:t xml:space="preserve"> </w:t>
                            </w:r>
                            <w:r w:rsidR="00CC2F83">
                              <w:t>om fu</w:t>
                            </w:r>
                            <w:r w:rsidR="00D53BBC">
                              <w:t xml:space="preserve">llføring på normert tid med data om </w:t>
                            </w:r>
                            <w:r w:rsidR="00526781">
                              <w:t>planlagt studieprogresjon gjennom hele utdanningsløpet</w:t>
                            </w:r>
                            <w:r w:rsidR="004F3D33">
                              <w:t xml:space="preserve"> for hver enkelt </w:t>
                            </w:r>
                            <w:r w:rsidR="0040348F">
                              <w:t>student</w:t>
                            </w:r>
                            <w:r w:rsidR="00526781">
                              <w:t>.</w:t>
                            </w:r>
                            <w:r w:rsidR="001F1584">
                              <w:t xml:space="preserve"> </w:t>
                            </w:r>
                            <w:r w:rsidR="00DB3A8B">
                              <w:t xml:space="preserve">Vi har </w:t>
                            </w:r>
                            <w:r w:rsidR="0066389C">
                              <w:t>derimot</w:t>
                            </w:r>
                            <w:r w:rsidR="00DB3A8B">
                              <w:t xml:space="preserve"> mulighet </w:t>
                            </w:r>
                            <w:r w:rsidR="0040348F">
                              <w:t>til</w:t>
                            </w:r>
                            <w:r w:rsidR="00DB3A8B">
                              <w:t xml:space="preserve"> å si hvor stor andel </w:t>
                            </w:r>
                            <w:r w:rsidR="00F27B3E">
                              <w:t>av studentene på ulike studier</w:t>
                            </w:r>
                            <w:r w:rsidR="00107BDE">
                              <w:t xml:space="preserve"> som </w:t>
                            </w:r>
                            <w:r w:rsidR="00357EE5">
                              <w:t>ett enkelt semester</w:t>
                            </w:r>
                            <w:r w:rsidR="00107BDE">
                              <w:t xml:space="preserve"> </w:t>
                            </w:r>
                            <w:r w:rsidR="00CA1698">
                              <w:t xml:space="preserve">er oppmeldt til </w:t>
                            </w:r>
                            <w:r w:rsidR="00357EE5">
                              <w:t xml:space="preserve">et antall studiepoeng som tilsvarer mindre enn full studieprogresjon. </w:t>
                            </w:r>
                            <w:r w:rsidR="00F724E4">
                              <w:t xml:space="preserve">Dette kan gi et grovt bilde av hvilke studier som peker seg ut med en høy andel studenter som ikke </w:t>
                            </w:r>
                            <w:r w:rsidR="00C7248B">
                              <w:t>pl</w:t>
                            </w:r>
                            <w:r w:rsidR="00460CEB">
                              <w:t xml:space="preserve">anlegger å </w:t>
                            </w:r>
                            <w:r w:rsidR="0021294C">
                              <w:t xml:space="preserve">følge </w:t>
                            </w:r>
                            <w:r w:rsidR="003506FC">
                              <w:t>full progresjon</w:t>
                            </w:r>
                            <w:r w:rsidR="00923400">
                              <w:t>.</w:t>
                            </w:r>
                            <w:r w:rsidR="00087E2F">
                              <w:t xml:space="preserve"> </w:t>
                            </w:r>
                            <w:r w:rsidR="002E06AF">
                              <w:t>På bachelornivå</w:t>
                            </w:r>
                            <w:r w:rsidR="0091652B">
                              <w:t xml:space="preserve"> </w:t>
                            </w:r>
                            <w:r w:rsidR="00637A3E">
                              <w:t>er</w:t>
                            </w:r>
                            <w:r w:rsidR="0091652B">
                              <w:t xml:space="preserve"> det </w:t>
                            </w:r>
                            <w:r w:rsidR="003857E0">
                              <w:t>likevel</w:t>
                            </w:r>
                            <w:r w:rsidR="00637A3E">
                              <w:t xml:space="preserve"> ingen synlig sammenheng mellom</w:t>
                            </w:r>
                            <w:r w:rsidR="00451E38">
                              <w:t xml:space="preserve"> </w:t>
                            </w:r>
                            <w:r w:rsidR="003857E0">
                              <w:t>hvilke studier som har mange studenter med lav planlagt studieprogresjon og hvilke studier som har lav grad av gjennomføring på normert tid.</w:t>
                            </w:r>
                            <w:r w:rsidR="00F36353">
                              <w:t xml:space="preserve"> </w:t>
                            </w:r>
                            <w:r w:rsidR="00D02960">
                              <w:t>For masternivået vil vi kommentere dette der det er mest relevant.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99E03" id="_x0000_s1028" type="#_x0000_t202" style="position:absolute;margin-left:0;margin-top:6.95pt;width:450pt;height:368.5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dQGAIAACcEAAAOAAAAZHJzL2Uyb0RvYy54bWysU9tu2zAMfR+wfxD0vtgJ4jY14hRdugwD&#10;ugvQ7QNkSY6FyaImKbGzrx8lu2m6YS/D/CCIJnV4eEiub4dOk6N0XoGp6HyWUyINB6HMvqLfvu7e&#10;rCjxgRnBNBhZ0ZP09Hbz+tW6t6VcQAtaSEcQxPiytxVtQ7Bllnneyo75GVhp0NmA61hA0+0z4ViP&#10;6J3OFnl+lfXghHXApff493500k3CbxrJw+em8TIQXVHkFtLp0lnHM9usWbl3zLaKTzTYP7DomDKY&#10;9Ax1zwIjB6f+gOoUd+ChCTMOXQZNo7hMNWA18/y3ah5bZmWqBcXx9iyT/3+w/NPx0X5xJAxvYcAG&#10;piK8fQD+3RMD25aZvbxzDvpWMoGJ51GyrLe+nJ5GqX3pI0jdfwSBTWaHAAloaFwXVcE6CaJjA05n&#10;0eUQCMefxfW8yHN0cfQtr1Z5sSpSDlY+PbfOh/cSOhIvFXXY1QTPjg8+RDqsfAqJ2TxoJXZK62S4&#10;fb3VjhwZTsAufRP6izBtSF/Rm2JRjAr8FQKpRrZj1hcQnQo4ylp1FV2dg1gZdXtnRBq0wJQe70hZ&#10;m0nIqN2oYhjqgShR0UVMEHWtQZxQWQfj5OKm4aUF95OSHqe2ov7HgTlJif5gsDs38+UyjnkylsX1&#10;Ag136akvPcxwhKpooGS8bkNajaibgTvsYqOSvs9MJso4jUn2aXPiuF/aKep5vze/AAAA//8DAFBL&#10;AwQUAAYACAAAACEA+JXI8N0AAAAHAQAADwAAAGRycy9kb3ducmV2LnhtbEyPwU7DMBBE70j8g7VI&#10;XFBrl0LbhDgVQgLRG7QIrm68TSLidbDdNPw9ywmOM7OaeVusR9eJAUNsPWmYTRUIpMrblmoNb7vH&#10;yQpETIas6Tyhhm+MsC7PzwqTW3+iVxy2qRZcQjE3GpqU+lzKWDXoTJz6Homzgw/OJJahljaYE5e7&#10;Tl4rtZDOtMQLjenxocHqc3t0GlY3z8NH3Mxf3qvFocvS1XJ4+gpaX16M93cgEo7p7xh+8RkdSmba&#10;+yPZKDoN/Ehid56B4DRTio29huXtTIEsC/mfv/wBAAD//wMAUEsBAi0AFAAGAAgAAAAhALaDOJL+&#10;AAAA4QEAABMAAAAAAAAAAAAAAAAAAAAAAFtDb250ZW50X1R5cGVzXS54bWxQSwECLQAUAAYACAAA&#10;ACEAOP0h/9YAAACUAQAACwAAAAAAAAAAAAAAAAAvAQAAX3JlbHMvLnJlbHNQSwECLQAUAAYACAAA&#10;ACEA7KinUBgCAAAnBAAADgAAAAAAAAAAAAAAAAAuAgAAZHJzL2Uyb0RvYy54bWxQSwECLQAUAAYA&#10;CAAAACEA+JXI8N0AAAAHAQAADwAAAAAAAAAAAAAAAAByBAAAZHJzL2Rvd25yZXYueG1sUEsFBgAA&#10;AAAEAAQA8wAAAHwFAAAAAA==&#10;">
                <v:textbox>
                  <w:txbxContent>
                    <w:p w14:paraId="468454F8" w14:textId="00DB8E6B" w:rsidR="00253CAB" w:rsidRDefault="00253CAB">
                      <w:pPr>
                        <w:rPr>
                          <w:b/>
                          <w:bCs/>
                        </w:rPr>
                      </w:pPr>
                      <w:r w:rsidRPr="00253CAB">
                        <w:rPr>
                          <w:b/>
                          <w:bCs/>
                        </w:rPr>
                        <w:t>Om kalkulasjon av gjennomføringsandeler</w:t>
                      </w:r>
                    </w:p>
                    <w:p w14:paraId="7037A028" w14:textId="7A0E324D" w:rsidR="00BD10DC" w:rsidRPr="00D57995" w:rsidRDefault="00BC4902">
                      <w:r>
                        <w:t>Bare studenter</w:t>
                      </w:r>
                      <w:r w:rsidR="000918A2">
                        <w:t xml:space="preserve"> som har startet</w:t>
                      </w:r>
                      <w:r>
                        <w:t xml:space="preserve"> på heltidsprogrammer </w:t>
                      </w:r>
                      <w:r w:rsidR="0090658E">
                        <w:t xml:space="preserve">regnes med </w:t>
                      </w:r>
                      <w:r w:rsidR="00250746">
                        <w:t xml:space="preserve">når man </w:t>
                      </w:r>
                      <w:r w:rsidR="00AD042E">
                        <w:t>produserer statistikk om</w:t>
                      </w:r>
                      <w:r w:rsidR="00250746">
                        <w:t xml:space="preserve"> hvor stor andel av et kull som har gjennomført på normert tid</w:t>
                      </w:r>
                      <w:r w:rsidR="00385324">
                        <w:t>.</w:t>
                      </w:r>
                      <w:r w:rsidR="003E2E74">
                        <w:t xml:space="preserve"> </w:t>
                      </w:r>
                      <w:r w:rsidR="00E5722F">
                        <w:t xml:space="preserve">Det blir ikke tatt hensyn til </w:t>
                      </w:r>
                      <w:r w:rsidR="00AF2072">
                        <w:t xml:space="preserve">hvorvidt studenten </w:t>
                      </w:r>
                      <w:r w:rsidR="00207007">
                        <w:t>faktisk</w:t>
                      </w:r>
                      <w:r w:rsidR="00AF2072">
                        <w:t xml:space="preserve"> har en intensjon om å gjennomføre på normert</w:t>
                      </w:r>
                      <w:r w:rsidR="00ED745D">
                        <w:t xml:space="preserve"> </w:t>
                      </w:r>
                      <w:r w:rsidR="00AF2072">
                        <w:t>tid</w:t>
                      </w:r>
                      <w:r w:rsidR="00290535">
                        <w:t xml:space="preserve"> eller </w:t>
                      </w:r>
                      <w:r w:rsidR="005C2473">
                        <w:t>om</w:t>
                      </w:r>
                      <w:r w:rsidR="00290535">
                        <w:t xml:space="preserve"> å gjennomføre overhodet</w:t>
                      </w:r>
                      <w:r w:rsidR="00AF2072">
                        <w:t>.</w:t>
                      </w:r>
                      <w:r w:rsidR="00290535">
                        <w:t xml:space="preserve"> </w:t>
                      </w:r>
                      <w:r w:rsidR="00641EF6">
                        <w:t xml:space="preserve">Hvor mange som </w:t>
                      </w:r>
                      <w:r w:rsidR="00FF552C">
                        <w:t>planlegger å gjennomføre en grad på normert tid</w:t>
                      </w:r>
                      <w:r w:rsidR="005C2473">
                        <w:t>,</w:t>
                      </w:r>
                      <w:r w:rsidR="00FF552C">
                        <w:t xml:space="preserve"> kan variere mellom ulike studier</w:t>
                      </w:r>
                      <w:r w:rsidR="00D42C13">
                        <w:t xml:space="preserve">. </w:t>
                      </w:r>
                      <w:r w:rsidR="005E52C5">
                        <w:t>Vi har i</w:t>
                      </w:r>
                      <w:r w:rsidR="00D42C13">
                        <w:t xml:space="preserve"> noen grad </w:t>
                      </w:r>
                      <w:r w:rsidR="005E52C5">
                        <w:t xml:space="preserve">data som </w:t>
                      </w:r>
                      <w:r w:rsidR="00570C57">
                        <w:t xml:space="preserve">kan si noe om dette, </w:t>
                      </w:r>
                      <w:r w:rsidR="0054348F">
                        <w:t xml:space="preserve">i og med at vi kjenner </w:t>
                      </w:r>
                      <w:r w:rsidR="00E473D5">
                        <w:t>den enkelte students planlagte studieprogresjon</w:t>
                      </w:r>
                      <w:r w:rsidR="0066389C">
                        <w:t xml:space="preserve">, </w:t>
                      </w:r>
                      <w:r w:rsidR="009026E5">
                        <w:t xml:space="preserve">målt </w:t>
                      </w:r>
                      <w:r w:rsidR="0043123E">
                        <w:t>i antall studi</w:t>
                      </w:r>
                      <w:r w:rsidR="002453F0">
                        <w:t>epoeng studenten er oppmeldt i</w:t>
                      </w:r>
                      <w:r w:rsidR="00B23E15">
                        <w:t xml:space="preserve"> </w:t>
                      </w:r>
                      <w:r w:rsidR="00AC7FD9">
                        <w:t>for hvert</w:t>
                      </w:r>
                      <w:r w:rsidR="00B23E15">
                        <w:t xml:space="preserve"> enkelt semester</w:t>
                      </w:r>
                      <w:r w:rsidR="002453F0">
                        <w:t>.</w:t>
                      </w:r>
                      <w:r w:rsidR="001D0612">
                        <w:t xml:space="preserve"> </w:t>
                      </w:r>
                      <w:r w:rsidR="00526781">
                        <w:t>I denne utgaven av tilstandsrapporten</w:t>
                      </w:r>
                      <w:r w:rsidR="00862A4F">
                        <w:t xml:space="preserve"> har </w:t>
                      </w:r>
                      <w:r w:rsidR="00526781">
                        <w:t>vi</w:t>
                      </w:r>
                      <w:r w:rsidR="00862A4F">
                        <w:t xml:space="preserve"> imidlertid ikke </w:t>
                      </w:r>
                      <w:r w:rsidR="004750D2">
                        <w:t xml:space="preserve">mulighet til å sammenstille data </w:t>
                      </w:r>
                      <w:r w:rsidR="00526781">
                        <w:t>på individnivå</w:t>
                      </w:r>
                      <w:r w:rsidR="004750D2">
                        <w:t xml:space="preserve"> </w:t>
                      </w:r>
                      <w:r w:rsidR="00CC2F83">
                        <w:t>om fu</w:t>
                      </w:r>
                      <w:r w:rsidR="00D53BBC">
                        <w:t xml:space="preserve">llføring på normert tid med data om </w:t>
                      </w:r>
                      <w:r w:rsidR="00526781">
                        <w:t>planlagt studieprogresjon gjennom hele utdanningsløpet</w:t>
                      </w:r>
                      <w:r w:rsidR="004F3D33">
                        <w:t xml:space="preserve"> for hver enkelt </w:t>
                      </w:r>
                      <w:r w:rsidR="0040348F">
                        <w:t>student</w:t>
                      </w:r>
                      <w:r w:rsidR="00526781">
                        <w:t>.</w:t>
                      </w:r>
                      <w:r w:rsidR="001F1584">
                        <w:t xml:space="preserve"> </w:t>
                      </w:r>
                      <w:r w:rsidR="00DB3A8B">
                        <w:t xml:space="preserve">Vi har </w:t>
                      </w:r>
                      <w:r w:rsidR="0066389C">
                        <w:t>derimot</w:t>
                      </w:r>
                      <w:r w:rsidR="00DB3A8B">
                        <w:t xml:space="preserve"> mulighet </w:t>
                      </w:r>
                      <w:r w:rsidR="0040348F">
                        <w:t>til</w:t>
                      </w:r>
                      <w:r w:rsidR="00DB3A8B">
                        <w:t xml:space="preserve"> å si hvor stor andel </w:t>
                      </w:r>
                      <w:r w:rsidR="00F27B3E">
                        <w:t>av studentene på ulike studier</w:t>
                      </w:r>
                      <w:r w:rsidR="00107BDE">
                        <w:t xml:space="preserve"> som </w:t>
                      </w:r>
                      <w:r w:rsidR="00357EE5">
                        <w:t>ett enkelt semester</w:t>
                      </w:r>
                      <w:r w:rsidR="00107BDE">
                        <w:t xml:space="preserve"> </w:t>
                      </w:r>
                      <w:r w:rsidR="00CA1698">
                        <w:t xml:space="preserve">er oppmeldt til </w:t>
                      </w:r>
                      <w:r w:rsidR="00357EE5">
                        <w:t xml:space="preserve">et antall studiepoeng som tilsvarer mindre enn full studieprogresjon. </w:t>
                      </w:r>
                      <w:r w:rsidR="00F724E4">
                        <w:t xml:space="preserve">Dette kan gi et grovt bilde av hvilke studier som peker seg ut med en høy andel studenter som ikke </w:t>
                      </w:r>
                      <w:r w:rsidR="00C7248B">
                        <w:t>pl</w:t>
                      </w:r>
                      <w:r w:rsidR="00460CEB">
                        <w:t xml:space="preserve">anlegger å </w:t>
                      </w:r>
                      <w:r w:rsidR="0021294C">
                        <w:t xml:space="preserve">følge </w:t>
                      </w:r>
                      <w:r w:rsidR="003506FC">
                        <w:t>full progresjon</w:t>
                      </w:r>
                      <w:r w:rsidR="00923400">
                        <w:t>.</w:t>
                      </w:r>
                      <w:r w:rsidR="00087E2F">
                        <w:t xml:space="preserve"> </w:t>
                      </w:r>
                      <w:r w:rsidR="002E06AF">
                        <w:t>På bachelornivå</w:t>
                      </w:r>
                      <w:r w:rsidR="0091652B">
                        <w:t xml:space="preserve"> </w:t>
                      </w:r>
                      <w:r w:rsidR="00637A3E">
                        <w:t>er</w:t>
                      </w:r>
                      <w:r w:rsidR="0091652B">
                        <w:t xml:space="preserve"> det </w:t>
                      </w:r>
                      <w:r w:rsidR="003857E0">
                        <w:t>likevel</w:t>
                      </w:r>
                      <w:r w:rsidR="00637A3E">
                        <w:t xml:space="preserve"> ingen synlig sammenheng mellom</w:t>
                      </w:r>
                      <w:r w:rsidR="00451E38">
                        <w:t xml:space="preserve"> </w:t>
                      </w:r>
                      <w:r w:rsidR="003857E0">
                        <w:t>hvilke studier som har mange studenter med lav planlagt studieprogresjon og hvilke studier som har lav grad av gjennomføring på normert tid.</w:t>
                      </w:r>
                      <w:r w:rsidR="00F36353">
                        <w:t xml:space="preserve"> </w:t>
                      </w:r>
                      <w:r w:rsidR="00D02960">
                        <w:t>For masternivået vil vi kommentere dette der det er mest relevant.</w:t>
                      </w:r>
                    </w:p>
                  </w:txbxContent>
                </v:textbox>
                <w10:wrap type="square" anchorx="margin"/>
              </v:shape>
            </w:pict>
          </mc:Fallback>
        </mc:AlternateContent>
      </w:r>
    </w:p>
    <w:p w14:paraId="7568D361" w14:textId="48C01B7B" w:rsidR="00B8051B" w:rsidRPr="00422245" w:rsidRDefault="00B8051B" w:rsidP="00800189">
      <w:pPr>
        <w:rPr>
          <w:b/>
          <w:bCs/>
          <w:lang w:eastAsia="nb-NO"/>
        </w:rPr>
      </w:pPr>
      <w:r w:rsidRPr="00422245">
        <w:rPr>
          <w:b/>
          <w:bCs/>
          <w:lang w:eastAsia="nb-NO"/>
        </w:rPr>
        <w:t>Treårige bachelorgrader</w:t>
      </w:r>
      <w:r w:rsidR="005C1125">
        <w:rPr>
          <w:b/>
          <w:bCs/>
          <w:lang w:eastAsia="nb-NO"/>
        </w:rPr>
        <w:t xml:space="preserve"> (Negativ trend for ingeniørutdanningen)</w:t>
      </w:r>
    </w:p>
    <w:p w14:paraId="2C91955E" w14:textId="4C8D9E0A" w:rsidR="009C678D" w:rsidRDefault="00E34CE9" w:rsidP="00800189">
      <w:pPr>
        <w:rPr>
          <w:lang w:eastAsia="nb-NO"/>
        </w:rPr>
      </w:pPr>
      <w:r w:rsidRPr="00422245">
        <w:rPr>
          <w:lang w:eastAsia="nb-NO"/>
        </w:rPr>
        <w:t>Uansett</w:t>
      </w:r>
      <w:r w:rsidR="00BF50A2" w:rsidRPr="00422245">
        <w:rPr>
          <w:lang w:eastAsia="nb-NO"/>
        </w:rPr>
        <w:t xml:space="preserve"> tallgrunnlag</w:t>
      </w:r>
      <w:r w:rsidRPr="00422245">
        <w:rPr>
          <w:lang w:eastAsia="nb-NO"/>
        </w:rPr>
        <w:t xml:space="preserve"> ser vi for første gang </w:t>
      </w:r>
      <w:r w:rsidR="00BF50A2" w:rsidRPr="00422245">
        <w:rPr>
          <w:lang w:eastAsia="nb-NO"/>
        </w:rPr>
        <w:t>i tiårsperioden et</w:t>
      </w:r>
      <w:r w:rsidRPr="00422245">
        <w:rPr>
          <w:lang w:eastAsia="nb-NO"/>
        </w:rPr>
        <w:t xml:space="preserve"> fall det siste året</w:t>
      </w:r>
      <w:r w:rsidR="00A14FC4" w:rsidRPr="00422245">
        <w:rPr>
          <w:lang w:eastAsia="nb-NO"/>
        </w:rPr>
        <w:t xml:space="preserve">. Når vi ekskluderer BI, </w:t>
      </w:r>
      <w:r w:rsidR="005E3FF1" w:rsidRPr="00422245">
        <w:rPr>
          <w:lang w:eastAsia="nb-NO"/>
        </w:rPr>
        <w:t>er nedgangen</w:t>
      </w:r>
      <w:r w:rsidRPr="00422245">
        <w:rPr>
          <w:lang w:eastAsia="nb-NO"/>
        </w:rPr>
        <w:t xml:space="preserve"> fra 57 prosent i 2022 til 54 prosent i 2023.  </w:t>
      </w:r>
      <w:r w:rsidR="00790440">
        <w:rPr>
          <w:lang w:eastAsia="nb-NO"/>
        </w:rPr>
        <w:t xml:space="preserve">Heretter er tall for BI utelatt i all omtale av </w:t>
      </w:r>
      <w:r w:rsidR="00790440" w:rsidRPr="00790440">
        <w:rPr>
          <w:lang w:eastAsia="nb-NO"/>
        </w:rPr>
        <w:t>endringer fra år til år</w:t>
      </w:r>
      <w:r w:rsidR="00B60A83">
        <w:rPr>
          <w:lang w:eastAsia="nb-NO"/>
        </w:rPr>
        <w:t>.</w:t>
      </w:r>
      <w:r w:rsidR="00790440" w:rsidRPr="00790440">
        <w:rPr>
          <w:lang w:eastAsia="nb-NO"/>
        </w:rPr>
        <w:t xml:space="preserve"> </w:t>
      </w:r>
      <w:r w:rsidRPr="00422245">
        <w:rPr>
          <w:lang w:eastAsia="nb-NO"/>
        </w:rPr>
        <w:t xml:space="preserve">En mulig medvirkende årsak til </w:t>
      </w:r>
      <w:r w:rsidR="00B60A83">
        <w:rPr>
          <w:lang w:eastAsia="nb-NO"/>
        </w:rPr>
        <w:t>nedgangen</w:t>
      </w:r>
      <w:r w:rsidRPr="00422245">
        <w:rPr>
          <w:lang w:eastAsia="nb-NO"/>
        </w:rPr>
        <w:t xml:space="preserve"> kan være at kullet med normert gjennomføring i 2023 hadde oppstart i 2020, </w:t>
      </w:r>
      <w:r w:rsidR="00DC4D55" w:rsidRPr="00422245">
        <w:rPr>
          <w:lang w:eastAsia="nb-NO"/>
        </w:rPr>
        <w:t>som var det første året under koron</w:t>
      </w:r>
      <w:r w:rsidR="001419C4" w:rsidRPr="00422245">
        <w:rPr>
          <w:lang w:eastAsia="nb-NO"/>
        </w:rPr>
        <w:t>apandemien. Særlig</w:t>
      </w:r>
      <w:r w:rsidR="00BE6D0E" w:rsidRPr="00422245">
        <w:rPr>
          <w:lang w:eastAsia="nb-NO"/>
        </w:rPr>
        <w:t xml:space="preserve"> mange </w:t>
      </w:r>
      <w:r w:rsidR="008402A8" w:rsidRPr="00422245">
        <w:rPr>
          <w:lang w:eastAsia="nb-NO"/>
        </w:rPr>
        <w:t xml:space="preserve">søkte seg til høyere utdanning </w:t>
      </w:r>
      <w:r w:rsidR="001419C4" w:rsidRPr="00422245">
        <w:rPr>
          <w:lang w:eastAsia="nb-NO"/>
        </w:rPr>
        <w:t>disse årene</w:t>
      </w:r>
      <w:r w:rsidR="00B60A83">
        <w:rPr>
          <w:lang w:eastAsia="nb-NO"/>
        </w:rPr>
        <w:t>,</w:t>
      </w:r>
      <w:r w:rsidRPr="00422245">
        <w:rPr>
          <w:lang w:eastAsia="nb-NO"/>
        </w:rPr>
        <w:t xml:space="preserve"> </w:t>
      </w:r>
      <w:r w:rsidR="001419C4" w:rsidRPr="00422245">
        <w:rPr>
          <w:lang w:eastAsia="nb-NO"/>
        </w:rPr>
        <w:t xml:space="preserve">og det kan tenkes at </w:t>
      </w:r>
      <w:r w:rsidR="00750917" w:rsidRPr="00422245">
        <w:rPr>
          <w:lang w:eastAsia="nb-NO"/>
        </w:rPr>
        <w:t xml:space="preserve">andelen som gjennomfører derfor vil være noe lavere for disse kullene. 2020-kullet var også det </w:t>
      </w:r>
      <w:r w:rsidR="003F3210" w:rsidRPr="00422245">
        <w:rPr>
          <w:lang w:eastAsia="nb-NO"/>
        </w:rPr>
        <w:t>første som</w:t>
      </w:r>
      <w:r w:rsidRPr="00422245">
        <w:rPr>
          <w:lang w:eastAsia="nb-NO"/>
        </w:rPr>
        <w:t xml:space="preserve"> var underlagt koronarestriksjoner allerede fra </w:t>
      </w:r>
      <w:r w:rsidR="003F3210" w:rsidRPr="00422245">
        <w:rPr>
          <w:lang w:eastAsia="nb-NO"/>
        </w:rPr>
        <w:t xml:space="preserve">føreste </w:t>
      </w:r>
      <w:r w:rsidRPr="00422245">
        <w:rPr>
          <w:lang w:eastAsia="nb-NO"/>
        </w:rPr>
        <w:t xml:space="preserve">semester av studiene. De to foregående kullene, som ble rammet av pandemien underveis i studiene, har derimot den høyeste registrerte gjennomføringsraten. </w:t>
      </w:r>
    </w:p>
    <w:p w14:paraId="0A294CD5" w14:textId="06A61D93" w:rsidR="005E3FF1" w:rsidRPr="00422245" w:rsidRDefault="0076515A" w:rsidP="00800189">
      <w:pPr>
        <w:rPr>
          <w:lang w:eastAsia="nb-NO"/>
        </w:rPr>
      </w:pPr>
      <w:r>
        <w:rPr>
          <w:lang w:eastAsia="nb-NO"/>
        </w:rPr>
        <w:t>På tross av fallet i gjennomføringsandel, gjør d</w:t>
      </w:r>
      <w:r w:rsidR="00265576">
        <w:rPr>
          <w:lang w:eastAsia="nb-NO"/>
        </w:rPr>
        <w:t xml:space="preserve">et høye antallet studenter i 2020-kullet likevel at </w:t>
      </w:r>
      <w:r w:rsidR="00393214">
        <w:rPr>
          <w:lang w:eastAsia="nb-NO"/>
        </w:rPr>
        <w:t>et litt høyere antall studenter</w:t>
      </w:r>
      <w:r w:rsidR="007D5B58">
        <w:rPr>
          <w:lang w:eastAsia="nb-NO"/>
        </w:rPr>
        <w:t xml:space="preserve"> </w:t>
      </w:r>
      <w:r w:rsidR="003B3595">
        <w:rPr>
          <w:lang w:eastAsia="nb-NO"/>
        </w:rPr>
        <w:t xml:space="preserve">fra dette kullet fullførte en </w:t>
      </w:r>
      <w:r w:rsidR="003B3595">
        <w:rPr>
          <w:lang w:eastAsia="nb-NO"/>
        </w:rPr>
        <w:lastRenderedPageBreak/>
        <w:t>bache</w:t>
      </w:r>
      <w:r w:rsidR="00A929CD">
        <w:rPr>
          <w:lang w:eastAsia="nb-NO"/>
        </w:rPr>
        <w:t>lorgrad</w:t>
      </w:r>
      <w:r w:rsidR="00403098">
        <w:rPr>
          <w:lang w:eastAsia="nb-NO"/>
        </w:rPr>
        <w:t xml:space="preserve"> </w:t>
      </w:r>
      <w:r w:rsidR="00A929CD">
        <w:rPr>
          <w:lang w:eastAsia="nb-NO"/>
        </w:rPr>
        <w:t xml:space="preserve">på normert </w:t>
      </w:r>
      <w:r w:rsidR="0095360C">
        <w:rPr>
          <w:lang w:eastAsia="nb-NO"/>
        </w:rPr>
        <w:t>hel</w:t>
      </w:r>
      <w:r w:rsidR="00A929CD">
        <w:rPr>
          <w:lang w:eastAsia="nb-NO"/>
        </w:rPr>
        <w:t>tid</w:t>
      </w:r>
      <w:r w:rsidR="00403098">
        <w:rPr>
          <w:lang w:eastAsia="nb-NO"/>
        </w:rPr>
        <w:t xml:space="preserve"> </w:t>
      </w:r>
      <w:r w:rsidR="00150E4C">
        <w:rPr>
          <w:lang w:eastAsia="nb-NO"/>
        </w:rPr>
        <w:t>sammenligne</w:t>
      </w:r>
      <w:r w:rsidR="00001974">
        <w:rPr>
          <w:lang w:eastAsia="nb-NO"/>
        </w:rPr>
        <w:t>t</w:t>
      </w:r>
      <w:r w:rsidR="00150E4C">
        <w:rPr>
          <w:lang w:eastAsia="nb-NO"/>
        </w:rPr>
        <w:t xml:space="preserve"> med 2019-kullet</w:t>
      </w:r>
      <w:r w:rsidR="00001974">
        <w:rPr>
          <w:lang w:eastAsia="nb-NO"/>
        </w:rPr>
        <w:t>.</w:t>
      </w:r>
      <w:r w:rsidR="00FB73A8">
        <w:rPr>
          <w:lang w:eastAsia="nb-NO"/>
        </w:rPr>
        <w:t xml:space="preserve"> </w:t>
      </w:r>
      <w:r w:rsidR="00793A27">
        <w:rPr>
          <w:lang w:eastAsia="nb-NO"/>
        </w:rPr>
        <w:t>Av et startkull på</w:t>
      </w:r>
      <w:r w:rsidR="009B4F31">
        <w:rPr>
          <w:lang w:eastAsia="nb-NO"/>
        </w:rPr>
        <w:t xml:space="preserve"> litt over 50 500 </w:t>
      </w:r>
      <w:r w:rsidR="005F37C4">
        <w:rPr>
          <w:lang w:eastAsia="nb-NO"/>
        </w:rPr>
        <w:t>heltidss</w:t>
      </w:r>
      <w:r w:rsidR="009B4F31">
        <w:rPr>
          <w:lang w:eastAsia="nb-NO"/>
        </w:rPr>
        <w:t>tudenter</w:t>
      </w:r>
      <w:r w:rsidR="005F37C4">
        <w:rPr>
          <w:lang w:eastAsia="nb-NO"/>
        </w:rPr>
        <w:t xml:space="preserve"> på bachelorprogrammer</w:t>
      </w:r>
      <w:r w:rsidR="009B4F31">
        <w:rPr>
          <w:lang w:eastAsia="nb-NO"/>
        </w:rPr>
        <w:t xml:space="preserve"> i 2020, </w:t>
      </w:r>
      <w:r w:rsidR="005F37C4">
        <w:rPr>
          <w:lang w:eastAsia="nb-NO"/>
        </w:rPr>
        <w:t>fullf</w:t>
      </w:r>
      <w:r w:rsidR="00162C4F">
        <w:rPr>
          <w:lang w:eastAsia="nb-NO"/>
        </w:rPr>
        <w:t>ørte</w:t>
      </w:r>
      <w:r w:rsidR="00D13D82">
        <w:rPr>
          <w:lang w:eastAsia="nb-NO"/>
        </w:rPr>
        <w:t xml:space="preserve"> om lag</w:t>
      </w:r>
      <w:r w:rsidR="00162C4F">
        <w:rPr>
          <w:lang w:eastAsia="nb-NO"/>
        </w:rPr>
        <w:t xml:space="preserve"> </w:t>
      </w:r>
      <w:r w:rsidR="00D13D82">
        <w:rPr>
          <w:lang w:eastAsia="nb-NO"/>
        </w:rPr>
        <w:t>27</w:t>
      </w:r>
      <w:r w:rsidR="008270E4">
        <w:rPr>
          <w:lang w:eastAsia="nb-NO"/>
        </w:rPr>
        <w:t> </w:t>
      </w:r>
      <w:r w:rsidR="00D13D82">
        <w:rPr>
          <w:lang w:eastAsia="nb-NO"/>
        </w:rPr>
        <w:t>000</w:t>
      </w:r>
      <w:r w:rsidR="008270E4">
        <w:rPr>
          <w:lang w:eastAsia="nb-NO"/>
        </w:rPr>
        <w:t xml:space="preserve"> på normert tid.</w:t>
      </w:r>
      <w:r w:rsidR="00B474EF">
        <w:rPr>
          <w:lang w:eastAsia="nb-NO"/>
        </w:rPr>
        <w:t xml:space="preserve"> </w:t>
      </w:r>
      <w:r w:rsidR="003B7C6B">
        <w:rPr>
          <w:lang w:eastAsia="nb-NO"/>
        </w:rPr>
        <w:t xml:space="preserve">Fra </w:t>
      </w:r>
      <w:r w:rsidR="00226531">
        <w:rPr>
          <w:lang w:eastAsia="nb-NO"/>
        </w:rPr>
        <w:t xml:space="preserve">2019-kullet </w:t>
      </w:r>
      <w:r w:rsidR="003B7C6B">
        <w:rPr>
          <w:lang w:eastAsia="nb-NO"/>
        </w:rPr>
        <w:t>fullførte til sammenligning rundt 26 000</w:t>
      </w:r>
      <w:r w:rsidR="00226531">
        <w:rPr>
          <w:lang w:eastAsia="nb-NO"/>
        </w:rPr>
        <w:t xml:space="preserve"> </w:t>
      </w:r>
      <w:r w:rsidR="00C128AE">
        <w:rPr>
          <w:lang w:eastAsia="nb-NO"/>
        </w:rPr>
        <w:t>av et startkull på noe</w:t>
      </w:r>
      <w:r w:rsidR="00226531">
        <w:rPr>
          <w:lang w:eastAsia="nb-NO"/>
        </w:rPr>
        <w:t xml:space="preserve"> over 46 000 studenter</w:t>
      </w:r>
      <w:r w:rsidR="00B93A4A">
        <w:rPr>
          <w:lang w:eastAsia="nb-NO"/>
        </w:rPr>
        <w:t xml:space="preserve">. </w:t>
      </w:r>
      <w:r w:rsidR="00094A06">
        <w:rPr>
          <w:lang w:eastAsia="nb-NO"/>
        </w:rPr>
        <w:t>Se ellers</w:t>
      </w:r>
      <w:r w:rsidR="00623D13">
        <w:rPr>
          <w:lang w:eastAsia="nb-NO"/>
        </w:rPr>
        <w:t xml:space="preserve"> kapittel</w:t>
      </w:r>
      <w:r w:rsidR="00094A06">
        <w:rPr>
          <w:lang w:eastAsia="nb-NO"/>
        </w:rPr>
        <w:t xml:space="preserve"> </w:t>
      </w:r>
      <w:r w:rsidR="00623D13">
        <w:rPr>
          <w:lang w:eastAsia="nb-NO"/>
        </w:rPr>
        <w:fldChar w:fldCharType="begin"/>
      </w:r>
      <w:r w:rsidR="00623D13">
        <w:rPr>
          <w:lang w:eastAsia="nb-NO"/>
        </w:rPr>
        <w:instrText xml:space="preserve"> REF _Ref162980969 \r \h </w:instrText>
      </w:r>
      <w:r w:rsidR="00623D13">
        <w:rPr>
          <w:lang w:eastAsia="nb-NO"/>
        </w:rPr>
      </w:r>
      <w:r w:rsidR="00623D13">
        <w:rPr>
          <w:lang w:eastAsia="nb-NO"/>
        </w:rPr>
        <w:fldChar w:fldCharType="separate"/>
      </w:r>
      <w:r w:rsidR="00DC551D">
        <w:rPr>
          <w:lang w:eastAsia="nb-NO"/>
        </w:rPr>
        <w:t>5</w:t>
      </w:r>
      <w:r w:rsidR="00623D13">
        <w:rPr>
          <w:lang w:eastAsia="nb-NO"/>
        </w:rPr>
        <w:t>.2.2</w:t>
      </w:r>
      <w:r w:rsidR="00623D13">
        <w:rPr>
          <w:lang w:eastAsia="nb-NO"/>
        </w:rPr>
        <w:fldChar w:fldCharType="end"/>
      </w:r>
      <w:r w:rsidR="00623D13">
        <w:rPr>
          <w:lang w:eastAsia="nb-NO"/>
        </w:rPr>
        <w:t xml:space="preserve"> om </w:t>
      </w:r>
      <w:r w:rsidR="004917DD">
        <w:rPr>
          <w:lang w:eastAsia="nb-NO"/>
        </w:rPr>
        <w:t xml:space="preserve">tall for </w:t>
      </w:r>
      <w:r w:rsidR="00623D13">
        <w:rPr>
          <w:lang w:eastAsia="nb-NO"/>
        </w:rPr>
        <w:t>uteksaminerte</w:t>
      </w:r>
      <w:r w:rsidR="00AD0CAB">
        <w:rPr>
          <w:lang w:eastAsia="nb-NO"/>
        </w:rPr>
        <w:t>.</w:t>
      </w:r>
    </w:p>
    <w:p w14:paraId="5B097FB4" w14:textId="77777777" w:rsidR="00B37313" w:rsidRDefault="00800189" w:rsidP="00800189">
      <w:pPr>
        <w:rPr>
          <w:lang w:eastAsia="nb-NO"/>
        </w:rPr>
      </w:pPr>
      <w:r w:rsidRPr="00422245">
        <w:rPr>
          <w:lang w:eastAsia="nb-NO"/>
        </w:rPr>
        <w:fldChar w:fldCharType="begin"/>
      </w:r>
      <w:r w:rsidRPr="00422245">
        <w:rPr>
          <w:lang w:eastAsia="nb-NO"/>
        </w:rPr>
        <w:instrText xml:space="preserve"> REF _Ref162033762 \h </w:instrText>
      </w:r>
      <w:r w:rsidRPr="00422245">
        <w:rPr>
          <w:lang w:eastAsia="nb-NO"/>
        </w:rPr>
      </w:r>
      <w:r w:rsidRPr="00422245">
        <w:rPr>
          <w:lang w:eastAsia="nb-NO"/>
        </w:rPr>
        <w:fldChar w:fldCharType="separate"/>
      </w:r>
      <w:r w:rsidR="00F21DEA" w:rsidRPr="00422245">
        <w:t xml:space="preserve">Figur </w:t>
      </w:r>
      <w:r w:rsidR="004917DD">
        <w:rPr>
          <w:noProof/>
        </w:rPr>
        <w:t>5</w:t>
      </w:r>
      <w:r w:rsidR="00F21DEA" w:rsidRPr="00422245">
        <w:noBreakHyphen/>
      </w:r>
      <w:r w:rsidR="005B096E">
        <w:rPr>
          <w:noProof/>
        </w:rPr>
        <w:t>5</w:t>
      </w:r>
      <w:r w:rsidRPr="00422245">
        <w:rPr>
          <w:lang w:eastAsia="nb-NO"/>
        </w:rPr>
        <w:fldChar w:fldCharType="end"/>
      </w:r>
      <w:r w:rsidRPr="00422245">
        <w:rPr>
          <w:lang w:eastAsia="nb-NO"/>
        </w:rPr>
        <w:t xml:space="preserve"> viser utviklingen </w:t>
      </w:r>
      <w:r w:rsidR="00B943ED">
        <w:rPr>
          <w:lang w:eastAsia="nb-NO"/>
        </w:rPr>
        <w:t xml:space="preserve">i gjennomføring </w:t>
      </w:r>
      <w:r w:rsidRPr="00422245">
        <w:rPr>
          <w:lang w:eastAsia="nb-NO"/>
        </w:rPr>
        <w:t>over tid for noen av de største fagområdene</w:t>
      </w:r>
      <w:r w:rsidR="00E20C50">
        <w:rPr>
          <w:lang w:eastAsia="nb-NO"/>
        </w:rPr>
        <w:t>.</w:t>
      </w:r>
      <w:r w:rsidR="00FE0BB1" w:rsidRPr="00422245">
        <w:rPr>
          <w:lang w:eastAsia="nb-NO"/>
        </w:rPr>
        <w:t xml:space="preserve"> </w:t>
      </w:r>
      <w:r w:rsidR="00E20C50">
        <w:rPr>
          <w:lang w:eastAsia="nb-NO"/>
        </w:rPr>
        <w:t>Som</w:t>
      </w:r>
      <w:r w:rsidR="00FE0BB1" w:rsidRPr="00422245">
        <w:rPr>
          <w:lang w:eastAsia="nb-NO"/>
        </w:rPr>
        <w:t xml:space="preserve"> vi ser</w:t>
      </w:r>
      <w:r w:rsidR="00E20C50">
        <w:rPr>
          <w:lang w:eastAsia="nb-NO"/>
        </w:rPr>
        <w:t>,</w:t>
      </w:r>
      <w:r w:rsidR="00FE0BB1" w:rsidRPr="00422245">
        <w:rPr>
          <w:lang w:eastAsia="nb-NO"/>
        </w:rPr>
        <w:t xml:space="preserve"> </w:t>
      </w:r>
      <w:r w:rsidR="00E20C50">
        <w:rPr>
          <w:lang w:eastAsia="nb-NO"/>
        </w:rPr>
        <w:t>er</w:t>
      </w:r>
      <w:r w:rsidR="00FE0BB1" w:rsidRPr="00422245">
        <w:rPr>
          <w:lang w:eastAsia="nb-NO"/>
        </w:rPr>
        <w:t xml:space="preserve"> nedgangen det siste året gjennomgående</w:t>
      </w:r>
      <w:r w:rsidRPr="00422245">
        <w:rPr>
          <w:lang w:eastAsia="nb-NO"/>
        </w:rPr>
        <w:t xml:space="preserve">. Det </w:t>
      </w:r>
      <w:r w:rsidR="00761C94">
        <w:rPr>
          <w:lang w:eastAsia="nb-NO"/>
        </w:rPr>
        <w:t>er</w:t>
      </w:r>
      <w:r w:rsidRPr="00422245">
        <w:rPr>
          <w:lang w:eastAsia="nb-NO"/>
        </w:rPr>
        <w:t xml:space="preserve"> ellers iøynefallende at ingeniørutdanningen ser ut til å ha en annen utvikling enn de andre fagområdene. Foruten et fall det aller siste året, har de fleste store fagområdene stort sett </w:t>
      </w:r>
      <w:r w:rsidR="005B4D4C">
        <w:rPr>
          <w:lang w:eastAsia="nb-NO"/>
        </w:rPr>
        <w:t>hatt</w:t>
      </w:r>
      <w:r w:rsidRPr="00422245">
        <w:rPr>
          <w:lang w:eastAsia="nb-NO"/>
        </w:rPr>
        <w:t xml:space="preserve"> en sammenhengende økning i gjennomføring, i alle fall siden 2017. For ingeniørutdanningen har det gått motsatt vei i den samme perioden. Frem til 2019 var gjennomføringen på ingeniørutdanningen omtrent helt lik som den samlede gjennomføringen for alle bachelorutdanningene</w:t>
      </w:r>
      <w:r w:rsidR="0078131A">
        <w:rPr>
          <w:lang w:eastAsia="nb-NO"/>
        </w:rPr>
        <w:t>.</w:t>
      </w:r>
      <w:r w:rsidRPr="00422245">
        <w:rPr>
          <w:lang w:eastAsia="nb-NO"/>
        </w:rPr>
        <w:t xml:space="preserve"> I 2023 hadde derimot ingeniørutdanningen en gjennomføring på 46 prosent, </w:t>
      </w:r>
      <w:r w:rsidR="0052335D">
        <w:rPr>
          <w:lang w:eastAsia="nb-NO"/>
        </w:rPr>
        <w:t>altså</w:t>
      </w:r>
      <w:r w:rsidR="00072972">
        <w:rPr>
          <w:lang w:eastAsia="nb-NO"/>
        </w:rPr>
        <w:t xml:space="preserve"> </w:t>
      </w:r>
      <w:r w:rsidR="003B1EFA">
        <w:rPr>
          <w:lang w:eastAsia="nb-NO"/>
        </w:rPr>
        <w:t xml:space="preserve">vesentlig under </w:t>
      </w:r>
      <w:r w:rsidR="00236337">
        <w:rPr>
          <w:lang w:eastAsia="nb-NO"/>
        </w:rPr>
        <w:t>nivået</w:t>
      </w:r>
      <w:r w:rsidR="003B1EFA" w:rsidRPr="00422245">
        <w:rPr>
          <w:lang w:eastAsia="nb-NO"/>
        </w:rPr>
        <w:t xml:space="preserve"> for bachelorutdanningene</w:t>
      </w:r>
      <w:r w:rsidR="00236337">
        <w:rPr>
          <w:lang w:eastAsia="nb-NO"/>
        </w:rPr>
        <w:t xml:space="preserve"> samlet</w:t>
      </w:r>
      <w:r w:rsidR="003B1EFA">
        <w:rPr>
          <w:lang w:eastAsia="nb-NO"/>
        </w:rPr>
        <w:t>.</w:t>
      </w:r>
      <w:r w:rsidR="006F2369">
        <w:rPr>
          <w:lang w:eastAsia="nb-NO"/>
        </w:rPr>
        <w:t xml:space="preserve"> Som vi </w:t>
      </w:r>
      <w:r w:rsidR="00F109EC">
        <w:rPr>
          <w:lang w:eastAsia="nb-NO"/>
        </w:rPr>
        <w:t>også kan se</w:t>
      </w:r>
      <w:r w:rsidR="006F2369">
        <w:rPr>
          <w:lang w:eastAsia="nb-NO"/>
        </w:rPr>
        <w:t xml:space="preserve"> i </w:t>
      </w:r>
      <w:r w:rsidR="006F2369">
        <w:rPr>
          <w:lang w:eastAsia="nb-NO"/>
        </w:rPr>
        <w:fldChar w:fldCharType="begin"/>
      </w:r>
      <w:r w:rsidR="006F2369">
        <w:rPr>
          <w:lang w:eastAsia="nb-NO"/>
        </w:rPr>
        <w:instrText xml:space="preserve"> REF _Ref161997427 \h </w:instrText>
      </w:r>
      <w:r w:rsidR="006F2369">
        <w:rPr>
          <w:lang w:eastAsia="nb-NO"/>
        </w:rPr>
      </w:r>
      <w:r w:rsidR="006F2369">
        <w:rPr>
          <w:lang w:eastAsia="nb-NO"/>
        </w:rPr>
        <w:fldChar w:fldCharType="separate"/>
      </w:r>
      <w:r w:rsidR="006F2369" w:rsidRPr="00422245">
        <w:t xml:space="preserve">Figur </w:t>
      </w:r>
      <w:r w:rsidR="00C5558D">
        <w:rPr>
          <w:noProof/>
        </w:rPr>
        <w:t>5</w:t>
      </w:r>
      <w:r w:rsidR="006F2369">
        <w:noBreakHyphen/>
      </w:r>
      <w:r w:rsidR="005B096E">
        <w:rPr>
          <w:noProof/>
        </w:rPr>
        <w:t>6</w:t>
      </w:r>
      <w:r w:rsidR="006F2369">
        <w:rPr>
          <w:lang w:eastAsia="nb-NO"/>
        </w:rPr>
        <w:fldChar w:fldCharType="end"/>
      </w:r>
      <w:r w:rsidR="006F2369">
        <w:rPr>
          <w:lang w:eastAsia="nb-NO"/>
        </w:rPr>
        <w:t xml:space="preserve">, </w:t>
      </w:r>
      <w:r w:rsidR="00236337">
        <w:rPr>
          <w:lang w:eastAsia="nb-NO"/>
        </w:rPr>
        <w:t>var det svæ</w:t>
      </w:r>
      <w:r w:rsidR="009230AE">
        <w:rPr>
          <w:lang w:eastAsia="nb-NO"/>
        </w:rPr>
        <w:t>rt få</w:t>
      </w:r>
      <w:r w:rsidR="00D449AD">
        <w:rPr>
          <w:lang w:eastAsia="nb-NO"/>
        </w:rPr>
        <w:t xml:space="preserve"> </w:t>
      </w:r>
      <w:r w:rsidR="009230AE">
        <w:rPr>
          <w:lang w:eastAsia="nb-NO"/>
        </w:rPr>
        <w:t>andre store</w:t>
      </w:r>
      <w:r w:rsidR="00D449AD">
        <w:rPr>
          <w:lang w:eastAsia="nb-NO"/>
        </w:rPr>
        <w:t xml:space="preserve"> fagområder</w:t>
      </w:r>
      <w:r w:rsidR="009230AE">
        <w:rPr>
          <w:lang w:eastAsia="nb-NO"/>
        </w:rPr>
        <w:t xml:space="preserve"> som hadde like lav gjennomføring som </w:t>
      </w:r>
      <w:r w:rsidR="00C5558D">
        <w:rPr>
          <w:lang w:eastAsia="nb-NO"/>
        </w:rPr>
        <w:t>ingeniørutdanningen i 2023</w:t>
      </w:r>
      <w:r w:rsidR="009230AE">
        <w:rPr>
          <w:lang w:eastAsia="nb-NO"/>
        </w:rPr>
        <w:t>.</w:t>
      </w:r>
      <w:r w:rsidR="00FD69E0">
        <w:rPr>
          <w:lang w:eastAsia="nb-NO"/>
        </w:rPr>
        <w:t xml:space="preserve"> </w:t>
      </w:r>
    </w:p>
    <w:p w14:paraId="7666EBE9" w14:textId="60C5BD25" w:rsidR="003B1EFA" w:rsidRDefault="0079329B" w:rsidP="00800189">
      <w:pPr>
        <w:rPr>
          <w:lang w:eastAsia="nb-NO"/>
        </w:rPr>
      </w:pPr>
      <w:r>
        <w:rPr>
          <w:lang w:eastAsia="nb-NO"/>
        </w:rPr>
        <w:t xml:space="preserve">I </w:t>
      </w:r>
      <w:r>
        <w:rPr>
          <w:lang w:eastAsia="nb-NO"/>
        </w:rPr>
        <w:fldChar w:fldCharType="begin"/>
      </w:r>
      <w:r>
        <w:rPr>
          <w:lang w:eastAsia="nb-NO"/>
        </w:rPr>
        <w:instrText xml:space="preserve"> REF _Ref162033762 \h </w:instrText>
      </w:r>
      <w:r>
        <w:rPr>
          <w:lang w:eastAsia="nb-NO"/>
        </w:rPr>
      </w:r>
      <w:r>
        <w:rPr>
          <w:lang w:eastAsia="nb-NO"/>
        </w:rPr>
        <w:fldChar w:fldCharType="separate"/>
      </w:r>
      <w:r w:rsidRPr="00422245">
        <w:t xml:space="preserve">Figur </w:t>
      </w:r>
      <w:r>
        <w:rPr>
          <w:noProof/>
        </w:rPr>
        <w:t>5</w:t>
      </w:r>
      <w:r>
        <w:noBreakHyphen/>
      </w:r>
      <w:r>
        <w:rPr>
          <w:noProof/>
        </w:rPr>
        <w:t>5</w:t>
      </w:r>
      <w:r>
        <w:rPr>
          <w:lang w:eastAsia="nb-NO"/>
        </w:rPr>
        <w:fldChar w:fldCharType="end"/>
      </w:r>
      <w:r>
        <w:rPr>
          <w:lang w:eastAsia="nb-NO"/>
        </w:rPr>
        <w:t xml:space="preserve"> kan vi eller merke oss at</w:t>
      </w:r>
      <w:r w:rsidR="00EC29DE">
        <w:rPr>
          <w:lang w:eastAsia="nb-NO"/>
        </w:rPr>
        <w:t xml:space="preserve"> sykepleiestudiet hadde en særlig stor økning i gjennomføring fra 2021 til 2022, og det fra et nivå som allerede var høyt.</w:t>
      </w:r>
      <w:r w:rsidR="00A220C1">
        <w:rPr>
          <w:lang w:eastAsia="nb-NO"/>
        </w:rPr>
        <w:t xml:space="preserve"> </w:t>
      </w:r>
      <w:r w:rsidR="002269FD">
        <w:rPr>
          <w:lang w:eastAsia="nb-NO"/>
        </w:rPr>
        <w:t xml:space="preserve">Nettopp 2022 var uteksamineringsåret for det første kullet av sykepleiestudenter som </w:t>
      </w:r>
      <w:r w:rsidR="00892B6B">
        <w:rPr>
          <w:lang w:eastAsia="nb-NO"/>
        </w:rPr>
        <w:t>begynte å studere etter</w:t>
      </w:r>
      <w:r w:rsidR="0068436E">
        <w:rPr>
          <w:lang w:eastAsia="nb-NO"/>
        </w:rPr>
        <w:t xml:space="preserve"> at </w:t>
      </w:r>
      <w:r w:rsidR="0090077A">
        <w:rPr>
          <w:lang w:eastAsia="nb-NO"/>
        </w:rPr>
        <w:t>det ble innført karakterkrav i matematikk og norsk til dette studiet.</w:t>
      </w:r>
      <w:r w:rsidR="00E117D6">
        <w:rPr>
          <w:rStyle w:val="Fotnotereferanse"/>
          <w:lang w:eastAsia="nb-NO"/>
        </w:rPr>
        <w:footnoteReference w:id="18"/>
      </w:r>
      <w:r w:rsidR="00204B23">
        <w:rPr>
          <w:lang w:eastAsia="nb-NO"/>
        </w:rPr>
        <w:t xml:space="preserve"> </w:t>
      </w:r>
      <w:r w:rsidR="00A93F73">
        <w:rPr>
          <w:lang w:eastAsia="nb-NO"/>
        </w:rPr>
        <w:t xml:space="preserve">Til </w:t>
      </w:r>
      <w:r w:rsidR="001E7DD8">
        <w:rPr>
          <w:lang w:eastAsia="nb-NO"/>
        </w:rPr>
        <w:t>tross for noe nedgang fra 2022</w:t>
      </w:r>
      <w:r w:rsidR="00A93F73">
        <w:rPr>
          <w:lang w:eastAsia="nb-NO"/>
        </w:rPr>
        <w:t xml:space="preserve"> er gjennomføringen i 2023 fremdeles høyere enn det den var i 2021, da de uteksaminerte ikke hadde vært underlagt et karakterkrav</w:t>
      </w:r>
      <w:r w:rsidR="005E688A">
        <w:rPr>
          <w:lang w:eastAsia="nb-NO"/>
        </w:rPr>
        <w:t xml:space="preserve"> ved opptak</w:t>
      </w:r>
      <w:r w:rsidR="00A93F73">
        <w:rPr>
          <w:lang w:eastAsia="nb-NO"/>
        </w:rPr>
        <w:t xml:space="preserve">. </w:t>
      </w:r>
      <w:r w:rsidR="001149BE">
        <w:rPr>
          <w:lang w:eastAsia="nb-NO"/>
        </w:rPr>
        <w:t xml:space="preserve">Til sammenligning har de fleste andre studier lavere gjennomføring i 2023 enn i 2021. </w:t>
      </w:r>
      <w:r w:rsidR="00A70088">
        <w:rPr>
          <w:lang w:eastAsia="nb-NO"/>
        </w:rPr>
        <w:t xml:space="preserve">Et </w:t>
      </w:r>
      <w:r w:rsidR="003008A5">
        <w:rPr>
          <w:lang w:eastAsia="nb-NO"/>
        </w:rPr>
        <w:t>kraftig</w:t>
      </w:r>
      <w:r w:rsidR="00DA0AD8">
        <w:rPr>
          <w:lang w:eastAsia="nb-NO"/>
        </w:rPr>
        <w:t xml:space="preserve"> fall</w:t>
      </w:r>
      <w:r w:rsidR="003008A5">
        <w:rPr>
          <w:lang w:eastAsia="nb-NO"/>
        </w:rPr>
        <w:t xml:space="preserve"> </w:t>
      </w:r>
      <w:r w:rsidR="00A70088">
        <w:rPr>
          <w:lang w:eastAsia="nb-NO"/>
        </w:rPr>
        <w:t>i søkertall har ellers medført at gjennomsnittskarakteren blant de opptatte på sykepleiestudiet h</w:t>
      </w:r>
      <w:r w:rsidR="00E5703C">
        <w:rPr>
          <w:lang w:eastAsia="nb-NO"/>
        </w:rPr>
        <w:t xml:space="preserve">ar falt </w:t>
      </w:r>
      <w:r w:rsidR="003008A5">
        <w:rPr>
          <w:lang w:eastAsia="nb-NO"/>
        </w:rPr>
        <w:t>markant</w:t>
      </w:r>
      <w:r w:rsidR="005A08BE">
        <w:rPr>
          <w:lang w:eastAsia="nb-NO"/>
        </w:rPr>
        <w:t xml:space="preserve">, </w:t>
      </w:r>
      <w:r w:rsidR="008F0EFB">
        <w:rPr>
          <w:lang w:eastAsia="nb-NO"/>
        </w:rPr>
        <w:t>selv om alle fremdeles oppfyller minimumskravet i norsk og matematikk</w:t>
      </w:r>
      <w:r w:rsidR="003008A5">
        <w:rPr>
          <w:lang w:eastAsia="nb-NO"/>
        </w:rPr>
        <w:t>. Dette gjelder</w:t>
      </w:r>
      <w:r w:rsidR="00E61844">
        <w:rPr>
          <w:lang w:eastAsia="nb-NO"/>
        </w:rPr>
        <w:t xml:space="preserve"> fra og med 2022</w:t>
      </w:r>
      <w:r w:rsidR="00793C9D">
        <w:rPr>
          <w:lang w:eastAsia="nb-NO"/>
        </w:rPr>
        <w:t xml:space="preserve">-kullet, som har normert gjennomføringsår i 2025. </w:t>
      </w:r>
      <w:r w:rsidR="00E50B90">
        <w:rPr>
          <w:lang w:eastAsia="nb-NO"/>
        </w:rPr>
        <w:t xml:space="preserve">I </w:t>
      </w:r>
      <w:r w:rsidR="00E50B90">
        <w:rPr>
          <w:lang w:eastAsia="nb-NO"/>
        </w:rPr>
        <w:lastRenderedPageBreak/>
        <w:t xml:space="preserve">Stortingsmeldingen </w:t>
      </w:r>
      <w:r w:rsidR="008323F6">
        <w:rPr>
          <w:i/>
          <w:iCs/>
          <w:lang w:eastAsia="nb-NO"/>
        </w:rPr>
        <w:t>Opptak til høgare utdanning</w:t>
      </w:r>
      <w:r w:rsidR="008323F6">
        <w:rPr>
          <w:lang w:eastAsia="nb-NO"/>
        </w:rPr>
        <w:t xml:space="preserve"> har regjeringen</w:t>
      </w:r>
      <w:r w:rsidR="00252394">
        <w:rPr>
          <w:lang w:eastAsia="nb-NO"/>
        </w:rPr>
        <w:t xml:space="preserve"> foreslått å fjerne karakterkravet fra sykepleiestudiet</w:t>
      </w:r>
      <w:r w:rsidR="00C1771B">
        <w:rPr>
          <w:lang w:eastAsia="nb-NO"/>
        </w:rPr>
        <w:t xml:space="preserve"> </w:t>
      </w:r>
      <w:r w:rsidR="00566745">
        <w:rPr>
          <w:lang w:eastAsia="nb-NO"/>
        </w:rPr>
        <w:fldChar w:fldCharType="begin"/>
      </w:r>
      <w:r w:rsidR="00566745">
        <w:rPr>
          <w:lang w:eastAsia="nb-NO"/>
        </w:rPr>
        <w:instrText xml:space="preserve"> ADDIN EN.CITE &lt;EndNote&gt;&lt;Cite ExcludeYear="1"&gt;&lt;Author&gt;Meld. St. 20 (2023 –2024)&lt;/Author&gt;&lt;RecNum&gt;2296&lt;/RecNum&gt;&lt;DisplayText&gt;(Meld. St. 20 (2023 –2024))&lt;/DisplayText&gt;&lt;record&gt;&lt;rec-number&gt;2296&lt;/rec-number&gt;&lt;foreign-keys&gt;&lt;key app="EN" db-id="p2et5feaxrpe5zew2eavt29z05fv09aa5s0w" timestamp="1712472832" guid="d03068e5-7c74-4848-9bca-1831552e4ae7"&gt;2296&lt;/key&gt;&lt;/foreign-keys&gt;&lt;ref-type name="Report"&gt;27&lt;/ref-type&gt;&lt;contributors&gt;&lt;authors&gt;&lt;author&gt;Meld. St. 20 (2023 –2024),&lt;/author&gt;&lt;/authors&gt;&lt;tertiary-authors&gt;&lt;author&gt;Kunnskapsdepartementet&lt;/author&gt;&lt;/tertiary-authors&gt;&lt;/contributors&gt;&lt;titles&gt;&lt;title&gt;Opptak til høgare utdanning&lt;/title&gt;&lt;/titles&gt;&lt;dates&gt;&lt;/dates&gt;&lt;publisher&gt;Kunnskapsdepartementet&lt;/publisher&gt;&lt;urls&gt;&lt;related-urls&gt;&lt;url&gt;https://www.regjeringen.no/no/dokumenter/meld.-st.-20-20232024/id3032432/&lt;/url&gt;&lt;/related-urls&gt;&lt;/urls&gt;&lt;/record&gt;&lt;/Cite&gt;&lt;/EndNote&gt;</w:instrText>
      </w:r>
      <w:r w:rsidR="00566745">
        <w:rPr>
          <w:lang w:eastAsia="nb-NO"/>
        </w:rPr>
        <w:fldChar w:fldCharType="separate"/>
      </w:r>
      <w:r w:rsidR="00566745">
        <w:rPr>
          <w:noProof/>
          <w:lang w:eastAsia="nb-NO"/>
        </w:rPr>
        <w:t>(Meld. St. 20 (2023 –2024))</w:t>
      </w:r>
      <w:r w:rsidR="00566745">
        <w:rPr>
          <w:lang w:eastAsia="nb-NO"/>
        </w:rPr>
        <w:fldChar w:fldCharType="end"/>
      </w:r>
      <w:r w:rsidR="00E50B90">
        <w:rPr>
          <w:lang w:eastAsia="nb-NO"/>
        </w:rPr>
        <w:t>.</w:t>
      </w:r>
    </w:p>
    <w:p w14:paraId="0EB19651" w14:textId="43C65A9D" w:rsidR="00800189" w:rsidRPr="00422245" w:rsidRDefault="00800189" w:rsidP="00800189">
      <w:pPr>
        <w:pStyle w:val="Bildetekst"/>
        <w:keepNext/>
      </w:pPr>
      <w:bookmarkStart w:id="97" w:name="_Ref162033762"/>
      <w:r w:rsidRPr="00422245">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5</w:t>
      </w:r>
      <w:r w:rsidR="006E1D94">
        <w:fldChar w:fldCharType="end"/>
      </w:r>
      <w:bookmarkEnd w:id="97"/>
      <w:r w:rsidRPr="00422245">
        <w:t xml:space="preserve"> Gjennomføring på normert tid for noen av de største bachelorutdanningene. 2014-2023.</w:t>
      </w:r>
    </w:p>
    <w:p w14:paraId="4DE061A4" w14:textId="77777777" w:rsidR="00800189" w:rsidRDefault="00800189" w:rsidP="00800189">
      <w:pPr>
        <w:rPr>
          <w:lang w:eastAsia="nb-NO"/>
        </w:rPr>
      </w:pPr>
      <w:r w:rsidRPr="00422245">
        <w:rPr>
          <w:noProof/>
        </w:rPr>
        <w:drawing>
          <wp:inline distT="0" distB="0" distL="0" distR="0" wp14:anchorId="2D0B5169" wp14:editId="263EEE28">
            <wp:extent cx="5731510" cy="3449955"/>
            <wp:effectExtent l="0" t="0" r="2540" b="17145"/>
            <wp:docPr id="1099527739" name="Diagram 1">
              <a:extLst xmlns:a="http://schemas.openxmlformats.org/drawingml/2006/main">
                <a:ext uri="{FF2B5EF4-FFF2-40B4-BE49-F238E27FC236}">
                  <a16:creationId xmlns:a16="http://schemas.microsoft.com/office/drawing/2014/main" id="{985C48C5-3E51-DC84-9D08-3827A75F0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8BFFF3D" w14:textId="67B36CB7" w:rsidR="00E40484" w:rsidRPr="00422245" w:rsidRDefault="00E40484" w:rsidP="00E40484">
      <w:pPr>
        <w:pStyle w:val="Kilde"/>
        <w:rPr>
          <w:lang w:eastAsia="nb-NO"/>
        </w:rPr>
      </w:pPr>
      <w:r w:rsidRPr="004E373E">
        <w:rPr>
          <w:b/>
          <w:lang w:eastAsia="nb-NO"/>
        </w:rPr>
        <w:t>Kilde</w:t>
      </w:r>
      <w:r>
        <w:rPr>
          <w:lang w:eastAsia="nb-NO"/>
        </w:rPr>
        <w:t>: DBH</w:t>
      </w:r>
    </w:p>
    <w:p w14:paraId="340E9D9B" w14:textId="60B57319" w:rsidR="00800189" w:rsidRPr="00422245" w:rsidRDefault="00C80317" w:rsidP="00800189">
      <w:pPr>
        <w:rPr>
          <w:lang w:eastAsia="nb-NO"/>
        </w:rPr>
      </w:pPr>
      <w:r w:rsidRPr="00422245">
        <w:rPr>
          <w:lang w:eastAsia="nb-NO"/>
        </w:rPr>
        <w:t>Tabell</w:t>
      </w:r>
      <w:r w:rsidR="00800189" w:rsidRPr="00422245">
        <w:rPr>
          <w:lang w:eastAsia="nb-NO"/>
        </w:rPr>
        <w:t xml:space="preserve"> V2.21</w:t>
      </w:r>
      <w:r w:rsidRPr="00422245">
        <w:rPr>
          <w:lang w:eastAsia="nb-NO"/>
        </w:rPr>
        <w:t xml:space="preserve"> viser at </w:t>
      </w:r>
      <w:r w:rsidR="00800189" w:rsidRPr="00422245">
        <w:rPr>
          <w:lang w:eastAsia="nb-NO"/>
        </w:rPr>
        <w:t xml:space="preserve">de store breddeuniversitetene UiO (41 prosent) og UiB (44 prosent) </w:t>
      </w:r>
      <w:r w:rsidR="009230AE">
        <w:rPr>
          <w:lang w:eastAsia="nb-NO"/>
        </w:rPr>
        <w:t>hadde</w:t>
      </w:r>
      <w:r w:rsidR="00800189" w:rsidRPr="00422245">
        <w:rPr>
          <w:lang w:eastAsia="nb-NO"/>
        </w:rPr>
        <w:t xml:space="preserve"> lavest gjennomføring på normert tid av de statlige institusjonene. Hvis vi ser bort ifra de aller minste, ligger HINN høyest med 59 prosent, tett fulgt av andre nåværende eller tidligere høyskoler. Dette har blant annet sammenheng med hvilke studier som dominerer ved institusjonene. </w:t>
      </w:r>
      <w:r w:rsidR="00800189" w:rsidRPr="00422245">
        <w:rPr>
          <w:lang w:eastAsia="nb-NO"/>
        </w:rPr>
        <w:fldChar w:fldCharType="begin"/>
      </w:r>
      <w:r w:rsidR="00800189" w:rsidRPr="00422245">
        <w:rPr>
          <w:lang w:eastAsia="nb-NO"/>
        </w:rPr>
        <w:instrText xml:space="preserve"> REF _Ref161997427 \h </w:instrText>
      </w:r>
      <w:r w:rsidR="00800189" w:rsidRPr="00422245">
        <w:rPr>
          <w:lang w:eastAsia="nb-NO"/>
        </w:rPr>
      </w:r>
      <w:r w:rsidR="00800189" w:rsidRPr="00422245">
        <w:rPr>
          <w:lang w:eastAsia="nb-NO"/>
        </w:rPr>
        <w:fldChar w:fldCharType="separate"/>
      </w:r>
      <w:r w:rsidR="00A14D3E" w:rsidRPr="00422245">
        <w:t xml:space="preserve">Figur </w:t>
      </w:r>
      <w:r w:rsidR="00A77016">
        <w:rPr>
          <w:noProof/>
        </w:rPr>
        <w:t>5</w:t>
      </w:r>
      <w:r w:rsidR="00A14D3E" w:rsidRPr="00422245">
        <w:noBreakHyphen/>
      </w:r>
      <w:r w:rsidR="005B096E">
        <w:rPr>
          <w:noProof/>
        </w:rPr>
        <w:t>6</w:t>
      </w:r>
      <w:r w:rsidR="00800189" w:rsidRPr="00422245">
        <w:rPr>
          <w:lang w:eastAsia="nb-NO"/>
        </w:rPr>
        <w:fldChar w:fldCharType="end"/>
      </w:r>
      <w:r w:rsidR="00800189" w:rsidRPr="00422245">
        <w:rPr>
          <w:lang w:eastAsia="nb-NO"/>
        </w:rPr>
        <w:t xml:space="preserve"> viser hvor stor andel av studentene som startet på ulike bachelorutdanninger i 2020 som gjennomførte på normert tid i 2023.</w:t>
      </w:r>
      <w:r w:rsidR="00800189" w:rsidRPr="00422245">
        <w:rPr>
          <w:rStyle w:val="Fotnotereferanse"/>
          <w:lang w:eastAsia="nb-NO"/>
        </w:rPr>
        <w:footnoteReference w:id="19"/>
      </w:r>
      <w:r w:rsidR="00800189" w:rsidRPr="00422245">
        <w:rPr>
          <w:lang w:eastAsia="nb-NO"/>
        </w:rPr>
        <w:t xml:space="preserve"> Enkelte av dem kjenner vi igjen fra </w:t>
      </w:r>
      <w:r w:rsidR="00800189" w:rsidRPr="00422245">
        <w:rPr>
          <w:lang w:eastAsia="nb-NO"/>
        </w:rPr>
        <w:fldChar w:fldCharType="begin"/>
      </w:r>
      <w:r w:rsidR="00800189" w:rsidRPr="00422245">
        <w:rPr>
          <w:lang w:eastAsia="nb-NO"/>
        </w:rPr>
        <w:instrText xml:space="preserve"> REF _Ref162033762 \h </w:instrText>
      </w:r>
      <w:r w:rsidR="00800189" w:rsidRPr="00422245">
        <w:rPr>
          <w:lang w:eastAsia="nb-NO"/>
        </w:rPr>
      </w:r>
      <w:r w:rsidR="00800189" w:rsidRPr="00422245">
        <w:rPr>
          <w:lang w:eastAsia="nb-NO"/>
        </w:rPr>
        <w:fldChar w:fldCharType="separate"/>
      </w:r>
      <w:r w:rsidR="002E114F" w:rsidRPr="00422245">
        <w:t xml:space="preserve">Figur </w:t>
      </w:r>
      <w:r w:rsidR="00A77016">
        <w:rPr>
          <w:noProof/>
        </w:rPr>
        <w:t>5</w:t>
      </w:r>
      <w:r w:rsidR="002E114F" w:rsidRPr="00422245">
        <w:noBreakHyphen/>
      </w:r>
      <w:r w:rsidR="005B096E">
        <w:rPr>
          <w:noProof/>
        </w:rPr>
        <w:t>5</w:t>
      </w:r>
      <w:r w:rsidR="00800189" w:rsidRPr="00422245">
        <w:rPr>
          <w:lang w:eastAsia="nb-NO"/>
        </w:rPr>
        <w:fldChar w:fldCharType="end"/>
      </w:r>
      <w:r w:rsidR="00800189" w:rsidRPr="00422245">
        <w:rPr>
          <w:lang w:eastAsia="nb-NO"/>
        </w:rPr>
        <w:t xml:space="preserve">. Vi ser at alle de store profesjonsutdanningene innen helse-/sosialfag ligger helt i toppen, sammen med to lærerutdanninger. </w:t>
      </w:r>
      <w:r w:rsidR="00C35C56">
        <w:rPr>
          <w:lang w:eastAsia="nb-NO"/>
        </w:rPr>
        <w:t>Slik</w:t>
      </w:r>
      <w:r w:rsidR="00800189" w:rsidRPr="00422245">
        <w:rPr>
          <w:lang w:eastAsia="nb-NO"/>
        </w:rPr>
        <w:t xml:space="preserve"> har </w:t>
      </w:r>
      <w:r w:rsidR="00C35C56">
        <w:rPr>
          <w:lang w:eastAsia="nb-NO"/>
        </w:rPr>
        <w:t xml:space="preserve">det stort sett </w:t>
      </w:r>
      <w:r w:rsidR="00800189" w:rsidRPr="00422245">
        <w:rPr>
          <w:lang w:eastAsia="nb-NO"/>
        </w:rPr>
        <w:t xml:space="preserve">vært i hele perioden fra 2014. Alle utdanninger med mer enn 60 prosent gjennomføring i 2023 er profesjonsutdanninger </w:t>
      </w:r>
      <w:r w:rsidR="00C35C56">
        <w:rPr>
          <w:lang w:eastAsia="nb-NO"/>
        </w:rPr>
        <w:t xml:space="preserve">innenfor </w:t>
      </w:r>
      <w:r w:rsidR="00800189" w:rsidRPr="00422245">
        <w:rPr>
          <w:lang w:eastAsia="nb-NO"/>
        </w:rPr>
        <w:t xml:space="preserve">disse </w:t>
      </w:r>
      <w:r w:rsidR="00C35C56">
        <w:rPr>
          <w:lang w:eastAsia="nb-NO"/>
        </w:rPr>
        <w:t>fagområdene</w:t>
      </w:r>
      <w:r w:rsidR="00800189" w:rsidRPr="00422245">
        <w:rPr>
          <w:lang w:eastAsia="nb-NO"/>
        </w:rPr>
        <w:t xml:space="preserve">, og flere av dem har en gjennomføring over eller like under 70 prosent. </w:t>
      </w:r>
      <w:r w:rsidR="00271658">
        <w:rPr>
          <w:lang w:eastAsia="nb-NO"/>
        </w:rPr>
        <w:t>Nederst i figuren</w:t>
      </w:r>
      <w:r w:rsidR="00266880" w:rsidRPr="00422245">
        <w:rPr>
          <w:lang w:eastAsia="nb-NO"/>
        </w:rPr>
        <w:t xml:space="preserve"> ser vi </w:t>
      </w:r>
      <w:r w:rsidR="00271658">
        <w:rPr>
          <w:lang w:eastAsia="nb-NO"/>
        </w:rPr>
        <w:t xml:space="preserve">tre </w:t>
      </w:r>
      <w:r w:rsidR="00271658">
        <w:rPr>
          <w:lang w:eastAsia="nb-NO"/>
        </w:rPr>
        <w:lastRenderedPageBreak/>
        <w:t>disiplinfag</w:t>
      </w:r>
      <w:r w:rsidR="00266880" w:rsidRPr="00422245">
        <w:rPr>
          <w:lang w:eastAsia="nb-NO"/>
        </w:rPr>
        <w:t xml:space="preserve">. </w:t>
      </w:r>
      <w:r w:rsidR="00AA2392" w:rsidRPr="00422245">
        <w:rPr>
          <w:lang w:eastAsia="nb-NO"/>
        </w:rPr>
        <w:t>M</w:t>
      </w:r>
      <w:r w:rsidR="00800189" w:rsidRPr="00422245">
        <w:rPr>
          <w:lang w:eastAsia="nb-NO"/>
        </w:rPr>
        <w:t>atematisk-naturvitenskapelige fag</w:t>
      </w:r>
      <w:r w:rsidR="00AA2392" w:rsidRPr="00422245">
        <w:rPr>
          <w:lang w:eastAsia="nb-NO"/>
        </w:rPr>
        <w:t xml:space="preserve"> </w:t>
      </w:r>
      <w:r w:rsidR="008C60D3" w:rsidRPr="00422245">
        <w:rPr>
          <w:lang w:eastAsia="nb-NO"/>
        </w:rPr>
        <w:t>har en gjennomføringsande</w:t>
      </w:r>
      <w:r w:rsidR="00F1331D" w:rsidRPr="00422245">
        <w:rPr>
          <w:lang w:eastAsia="nb-NO"/>
        </w:rPr>
        <w:t>l på 43 prosent, mens andel</w:t>
      </w:r>
      <w:r w:rsidR="00366827" w:rsidRPr="00422245">
        <w:rPr>
          <w:lang w:eastAsia="nb-NO"/>
        </w:rPr>
        <w:t>en</w:t>
      </w:r>
      <w:r w:rsidR="00F1331D" w:rsidRPr="00422245">
        <w:rPr>
          <w:lang w:eastAsia="nb-NO"/>
        </w:rPr>
        <w:t xml:space="preserve"> for </w:t>
      </w:r>
      <w:r w:rsidR="00800189" w:rsidRPr="00422245">
        <w:rPr>
          <w:lang w:eastAsia="nb-NO"/>
        </w:rPr>
        <w:t xml:space="preserve">historisk-filosofiske fag og teologi </w:t>
      </w:r>
      <w:r w:rsidR="00366827" w:rsidRPr="00422245">
        <w:rPr>
          <w:lang w:eastAsia="nb-NO"/>
        </w:rPr>
        <w:t xml:space="preserve">er lavest, bare om lag 30 prosent. </w:t>
      </w:r>
      <w:r w:rsidR="00800189" w:rsidRPr="00422245">
        <w:rPr>
          <w:lang w:eastAsia="nb-NO"/>
        </w:rPr>
        <w:t>Disse tre fag</w:t>
      </w:r>
      <w:r w:rsidR="00366827" w:rsidRPr="00422245">
        <w:rPr>
          <w:lang w:eastAsia="nb-NO"/>
        </w:rPr>
        <w:t>områ</w:t>
      </w:r>
      <w:r w:rsidR="002602CA">
        <w:rPr>
          <w:lang w:eastAsia="nb-NO"/>
        </w:rPr>
        <w:t>d</w:t>
      </w:r>
      <w:r w:rsidR="00800189" w:rsidRPr="00422245">
        <w:rPr>
          <w:lang w:eastAsia="nb-NO"/>
        </w:rPr>
        <w:t>ene har hatt lavest gjennomføring så å si alle år i siden 2014</w:t>
      </w:r>
      <w:r w:rsidR="00EE3C97" w:rsidRPr="00422245">
        <w:rPr>
          <w:lang w:eastAsia="nb-NO"/>
        </w:rPr>
        <w:t xml:space="preserve">. </w:t>
      </w:r>
      <w:r w:rsidR="00DC773F">
        <w:rPr>
          <w:lang w:eastAsia="nb-NO"/>
        </w:rPr>
        <w:t xml:space="preserve">Det kan være flere årsaker til dette. </w:t>
      </w:r>
      <w:r w:rsidR="007A47D4">
        <w:rPr>
          <w:lang w:eastAsia="nb-NO"/>
        </w:rPr>
        <w:t>S</w:t>
      </w:r>
      <w:r w:rsidR="00667488">
        <w:rPr>
          <w:lang w:eastAsia="nb-NO"/>
        </w:rPr>
        <w:t xml:space="preserve">tortingsmeldingen </w:t>
      </w:r>
      <w:r w:rsidR="006B70AF" w:rsidRPr="006B70AF">
        <w:rPr>
          <w:i/>
          <w:iCs/>
          <w:lang w:eastAsia="nb-NO"/>
        </w:rPr>
        <w:t>Humaniora i Norge</w:t>
      </w:r>
      <w:r w:rsidR="00E478B5">
        <w:rPr>
          <w:i/>
          <w:iCs/>
          <w:lang w:eastAsia="nb-NO"/>
        </w:rPr>
        <w:t xml:space="preserve"> </w:t>
      </w:r>
      <w:r w:rsidR="001F1B35" w:rsidRPr="005D31B8">
        <w:rPr>
          <w:lang w:eastAsia="nb-NO"/>
        </w:rPr>
        <w:fldChar w:fldCharType="begin"/>
      </w:r>
      <w:r w:rsidR="00D47DA9">
        <w:rPr>
          <w:lang w:eastAsia="nb-NO"/>
        </w:rPr>
        <w:instrText xml:space="preserve"> ADDIN EN.CITE &lt;EndNote&gt;&lt;Cite&gt;&lt;Author&gt;Meld. St. 25 (2016–2017)&lt;/Author&gt;&lt;RecNum&gt;1487&lt;/RecNum&gt;&lt;Pages&gt;29-30&lt;/Pages&gt;&lt;DisplayText&gt;(Meld. St. 25 (2016–2017), pp. 29-30)&lt;/DisplayText&gt;&lt;record&gt;&lt;rec-number&gt;1487&lt;/rec-number&gt;&lt;foreign-keys&gt;&lt;key app="EN" db-id="p2et5feaxrpe5zew2eavt29z05fv09aa5s0w" timestamp="1712306671" guid="6ab7b057-f2ff-481c-a5c0-c6c5c1694287"&gt;1487&lt;/key&gt;&lt;/foreign-keys&gt;&lt;ref-type name="Report"&gt;27&lt;/ref-type&gt;&lt;contributors&gt;&lt;authors&gt;&lt;author&gt;Meld. St. 25 (2016–2017),&lt;/author&gt;&lt;/authors&gt;&lt;secondary-authors&gt;&lt;author&gt;Kunnskapsdepartementet&lt;/author&gt;&lt;/secondary-authors&gt;&lt;/contributors&gt;&lt;titles&gt;&lt;title&gt;Humaniora i Norge&lt;/title&gt;&lt;/titles&gt;&lt;dates&gt;&lt;/dates&gt;&lt;urls&gt;&lt;related-urls&gt;&lt;url&gt;https://www.regjeringen.no/no/dokumenter/meld.-st.-25-20162017/id2545646/&lt;/url&gt;&lt;/related-urls&gt;&lt;/urls&gt;&lt;/record&gt;&lt;/Cite&gt;&lt;/EndNote&gt;</w:instrText>
      </w:r>
      <w:r w:rsidR="001F1B35" w:rsidRPr="005D31B8">
        <w:rPr>
          <w:lang w:eastAsia="nb-NO"/>
        </w:rPr>
        <w:fldChar w:fldCharType="separate"/>
      </w:r>
      <w:r w:rsidR="00C770AD" w:rsidRPr="005D31B8">
        <w:rPr>
          <w:noProof/>
          <w:lang w:eastAsia="nb-NO"/>
        </w:rPr>
        <w:t>(Meld. St. 25 (2016–2017), pp. 29-30)</w:t>
      </w:r>
      <w:r w:rsidR="001F1B35" w:rsidRPr="005D31B8">
        <w:rPr>
          <w:lang w:eastAsia="nb-NO"/>
        </w:rPr>
        <w:fldChar w:fldCharType="end"/>
      </w:r>
      <w:r w:rsidR="005D31B8">
        <w:rPr>
          <w:i/>
          <w:iCs/>
          <w:lang w:eastAsia="nb-NO"/>
        </w:rPr>
        <w:t xml:space="preserve"> </w:t>
      </w:r>
      <w:r w:rsidR="000060AA">
        <w:rPr>
          <w:lang w:eastAsia="nb-NO"/>
        </w:rPr>
        <w:t>kommentere</w:t>
      </w:r>
      <w:r w:rsidR="007A47D4">
        <w:rPr>
          <w:lang w:eastAsia="nb-NO"/>
        </w:rPr>
        <w:t>r</w:t>
      </w:r>
      <w:r w:rsidR="000060AA">
        <w:rPr>
          <w:lang w:eastAsia="nb-NO"/>
        </w:rPr>
        <w:t xml:space="preserve"> det at </w:t>
      </w:r>
      <w:r w:rsidR="001E43D4">
        <w:rPr>
          <w:lang w:eastAsia="nb-NO"/>
        </w:rPr>
        <w:t xml:space="preserve">det finnes en stor gruppe </w:t>
      </w:r>
      <w:r w:rsidR="002B5DC3">
        <w:rPr>
          <w:lang w:eastAsia="nb-NO"/>
        </w:rPr>
        <w:t>bachelor</w:t>
      </w:r>
      <w:r w:rsidR="001E43D4">
        <w:rPr>
          <w:lang w:eastAsia="nb-NO"/>
        </w:rPr>
        <w:t>studenter på humanistiske fag som har andre motiver og ambisjoner enn de fleste studenter på andre fag.</w:t>
      </w:r>
      <w:r w:rsidR="005658DD">
        <w:rPr>
          <w:lang w:eastAsia="nb-NO"/>
        </w:rPr>
        <w:t xml:space="preserve"> </w:t>
      </w:r>
      <w:r w:rsidR="00EF4190">
        <w:rPr>
          <w:lang w:eastAsia="nb-NO"/>
        </w:rPr>
        <w:t xml:space="preserve">Det </w:t>
      </w:r>
      <w:r w:rsidR="000A2406">
        <w:rPr>
          <w:lang w:eastAsia="nb-NO"/>
        </w:rPr>
        <w:t>gjelder</w:t>
      </w:r>
      <w:r w:rsidR="00EF4190">
        <w:rPr>
          <w:lang w:eastAsia="nb-NO"/>
        </w:rPr>
        <w:t xml:space="preserve"> studenter som </w:t>
      </w:r>
      <w:r w:rsidR="001A6B2D">
        <w:rPr>
          <w:lang w:eastAsia="nb-NO"/>
        </w:rPr>
        <w:t>ikke har til hensikt å ta en hel grad</w:t>
      </w:r>
      <w:r w:rsidR="00A25A02">
        <w:rPr>
          <w:lang w:eastAsia="nb-NO"/>
        </w:rPr>
        <w:t xml:space="preserve">, men som </w:t>
      </w:r>
      <w:r w:rsidR="00E85349">
        <w:rPr>
          <w:lang w:eastAsia="nb-NO"/>
        </w:rPr>
        <w:t>ifølge stortingsmeldingen muligens</w:t>
      </w:r>
      <w:r w:rsidR="00A25A02">
        <w:rPr>
          <w:lang w:eastAsia="nb-NO"/>
        </w:rPr>
        <w:t xml:space="preserve"> </w:t>
      </w:r>
      <w:r w:rsidR="00602109">
        <w:rPr>
          <w:lang w:eastAsia="nb-NO"/>
        </w:rPr>
        <w:t xml:space="preserve">tiltrekkes av </w:t>
      </w:r>
      <w:r w:rsidR="00205081">
        <w:rPr>
          <w:lang w:eastAsia="nb-NO"/>
        </w:rPr>
        <w:t>de humanistiske fagenes allmenne karakter</w:t>
      </w:r>
      <w:r w:rsidR="00B641F0">
        <w:rPr>
          <w:lang w:eastAsia="nb-NO"/>
        </w:rPr>
        <w:t xml:space="preserve">, eller </w:t>
      </w:r>
      <w:r w:rsidR="00B253B0">
        <w:rPr>
          <w:lang w:eastAsia="nb-NO"/>
        </w:rPr>
        <w:t xml:space="preserve">som </w:t>
      </w:r>
      <w:r w:rsidR="00501480">
        <w:rPr>
          <w:lang w:eastAsia="nb-NO"/>
        </w:rPr>
        <w:t>er lærere og ikke har til hensikt å ta flere studiepoeng enn de trenger for å oppnå undervisningskompetanse.</w:t>
      </w:r>
      <w:r w:rsidR="009B4781">
        <w:rPr>
          <w:rStyle w:val="Fotnotereferanse"/>
          <w:lang w:eastAsia="nb-NO"/>
        </w:rPr>
        <w:footnoteReference w:id="20"/>
      </w:r>
      <w:r w:rsidR="0034101B">
        <w:rPr>
          <w:lang w:eastAsia="nb-NO"/>
        </w:rPr>
        <w:t xml:space="preserve"> </w:t>
      </w:r>
      <w:r w:rsidR="004B6D7D">
        <w:rPr>
          <w:lang w:eastAsia="nb-NO"/>
        </w:rPr>
        <w:t xml:space="preserve">Også Det matematisk-naturvitenskapelige fakultet ved UiO </w:t>
      </w:r>
      <w:r w:rsidR="00BD2336">
        <w:rPr>
          <w:lang w:eastAsia="nb-NO"/>
        </w:rPr>
        <w:t xml:space="preserve">fant i en undersøkelse </w:t>
      </w:r>
      <w:r w:rsidR="003927BC">
        <w:rPr>
          <w:lang w:eastAsia="nb-NO"/>
        </w:rPr>
        <w:t xml:space="preserve">blant nye bachelorstudenter </w:t>
      </w:r>
      <w:r w:rsidR="00BD2336">
        <w:rPr>
          <w:lang w:eastAsia="nb-NO"/>
        </w:rPr>
        <w:t xml:space="preserve">i 2019 at en betydelig andel av </w:t>
      </w:r>
      <w:r w:rsidR="003927BC">
        <w:rPr>
          <w:lang w:eastAsia="nb-NO"/>
        </w:rPr>
        <w:t>studentene</w:t>
      </w:r>
      <w:r w:rsidR="00E26CAE">
        <w:rPr>
          <w:lang w:eastAsia="nb-NO"/>
        </w:rPr>
        <w:t xml:space="preserve"> </w:t>
      </w:r>
      <w:r w:rsidR="008D4F53">
        <w:rPr>
          <w:lang w:eastAsia="nb-NO"/>
        </w:rPr>
        <w:t>ikke</w:t>
      </w:r>
      <w:r w:rsidR="00E26CAE">
        <w:rPr>
          <w:lang w:eastAsia="nb-NO"/>
        </w:rPr>
        <w:t xml:space="preserve"> hadde planlagt å fullføre </w:t>
      </w:r>
      <w:r w:rsidR="008D4F53">
        <w:rPr>
          <w:lang w:eastAsia="nb-NO"/>
        </w:rPr>
        <w:t>graden</w:t>
      </w:r>
      <w:r w:rsidR="00E26CAE">
        <w:rPr>
          <w:lang w:eastAsia="nb-NO"/>
        </w:rPr>
        <w:t xml:space="preserve"> de startet på</w:t>
      </w:r>
      <w:r w:rsidR="009944E1">
        <w:rPr>
          <w:lang w:eastAsia="nb-NO"/>
        </w:rPr>
        <w:t xml:space="preserve"> </w:t>
      </w:r>
      <w:r w:rsidR="00AA5AF2">
        <w:rPr>
          <w:lang w:eastAsia="nb-NO"/>
        </w:rPr>
        <w:fldChar w:fldCharType="begin"/>
      </w:r>
      <w:r w:rsidR="00F63FB4">
        <w:rPr>
          <w:lang w:eastAsia="nb-NO"/>
        </w:rPr>
        <w:instrText xml:space="preserve"> ADDIN EN.CITE &lt;EndNote&gt;&lt;Cite&gt;&lt;Author&gt;Mørken&lt;/Author&gt;&lt;Year&gt;2019&lt;/Year&gt;&lt;RecNum&gt;2275&lt;/RecNum&gt;&lt;DisplayText&gt;(Mørken &amp;amp; Dæhlen, 2019)&lt;/DisplayText&gt;&lt;record&gt;&lt;rec-number&gt;2275&lt;/rec-number&gt;&lt;foreign-keys&gt;&lt;key app="EN" db-id="p2et5feaxrpe5zew2eavt29z05fv09aa5s0w" timestamp="1712316131" guid="385e19a8-2742-4271-b0ac-f57452035d53"&gt;2275&lt;/key&gt;&lt;/foreign-keys&gt;&lt;ref-type name="Magazine Article"&gt;19&lt;/ref-type&gt;&lt;contributors&gt;&lt;authors&gt;&lt;author&gt;Knut Mørken&lt;/author&gt;&lt;author&gt;Morten Dæhlen&lt;/author&gt;&lt;/authors&gt;&lt;/contributors&gt;&lt;titles&gt;&lt;title&gt;Er frafallet i høyere utdanning et så stort problem som noen vil ha det til?&lt;/title&gt;&lt;secondary-title&gt;Khrono&lt;/secondary-title&gt;&lt;/titles&gt;&lt;periodical&gt;&lt;full-title&gt;Khrono&lt;/full-title&gt;&lt;/periodical&gt;&lt;dates&gt;&lt;year&gt;2019&lt;/year&gt;&lt;/dates&gt;&lt;publisher&gt;Khrono&lt;/publisher&gt;&lt;urls&gt;&lt;related-urls&gt;&lt;url&gt;https://www.khrono.no/daehlen-frafall-meninger/er-frafallet-i-hoyere-utdanning-et-sa-stort-problem-som-noen-vil-ha-det-til/406268&lt;/url&gt;&lt;/related-urls&gt;&lt;/urls&gt;&lt;/record&gt;&lt;/Cite&gt;&lt;/EndNote&gt;</w:instrText>
      </w:r>
      <w:r w:rsidR="00AA5AF2">
        <w:rPr>
          <w:lang w:eastAsia="nb-NO"/>
        </w:rPr>
        <w:fldChar w:fldCharType="separate"/>
      </w:r>
      <w:r w:rsidR="00AA5AF2">
        <w:rPr>
          <w:noProof/>
          <w:lang w:eastAsia="nb-NO"/>
        </w:rPr>
        <w:t>(Mørken &amp; Dæhlen, 2019)</w:t>
      </w:r>
      <w:r w:rsidR="00AA5AF2">
        <w:rPr>
          <w:lang w:eastAsia="nb-NO"/>
        </w:rPr>
        <w:fldChar w:fldCharType="end"/>
      </w:r>
      <w:r w:rsidR="00E26CAE">
        <w:rPr>
          <w:lang w:eastAsia="nb-NO"/>
        </w:rPr>
        <w:t>.</w:t>
      </w:r>
      <w:r w:rsidR="009944E1">
        <w:rPr>
          <w:lang w:eastAsia="nb-NO"/>
        </w:rPr>
        <w:t xml:space="preserve"> </w:t>
      </w:r>
    </w:p>
    <w:p w14:paraId="2FC112A9" w14:textId="43CA4FD6" w:rsidR="00800189" w:rsidRPr="00422245" w:rsidRDefault="00800189" w:rsidP="00800189">
      <w:pPr>
        <w:pStyle w:val="Bildetekst"/>
        <w:keepNext/>
      </w:pPr>
      <w:bookmarkStart w:id="98" w:name="_Ref161997427"/>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6</w:t>
      </w:r>
      <w:r w:rsidR="006E1D94">
        <w:fldChar w:fldCharType="end"/>
      </w:r>
      <w:bookmarkEnd w:id="98"/>
      <w:r w:rsidRPr="00422245">
        <w:t xml:space="preserve"> Gjennomføring etter normert tid for treårige bachelorutdanninger med normert fullføringsår 2023. Prosent.</w:t>
      </w:r>
    </w:p>
    <w:p w14:paraId="1CF59E96" w14:textId="77777777" w:rsidR="00800189" w:rsidRPr="00422245" w:rsidRDefault="00800189" w:rsidP="00800189">
      <w:pPr>
        <w:pStyle w:val="Merknad"/>
      </w:pPr>
      <w:r w:rsidRPr="00422245">
        <w:rPr>
          <w:noProof/>
        </w:rPr>
        <w:drawing>
          <wp:inline distT="0" distB="0" distL="0" distR="0" wp14:anchorId="5743332C" wp14:editId="480EF321">
            <wp:extent cx="5731510" cy="5847080"/>
            <wp:effectExtent l="0" t="0" r="2540" b="1270"/>
            <wp:docPr id="158296823" name="Diagram 1">
              <a:extLst xmlns:a="http://schemas.openxmlformats.org/drawingml/2006/main">
                <a:ext uri="{FF2B5EF4-FFF2-40B4-BE49-F238E27FC236}">
                  <a16:creationId xmlns:a16="http://schemas.microsoft.com/office/drawing/2014/main" id="{303F1A06-5CC8-982B-152D-BA4EF0B46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5D19505" w14:textId="3B465865" w:rsidR="00800189" w:rsidRPr="00E40484" w:rsidRDefault="00800189" w:rsidP="00E40484">
      <w:pPr>
        <w:pStyle w:val="Merknad"/>
      </w:pPr>
      <w:r w:rsidRPr="00E40484">
        <w:t>Bare studier med startkull på over 250 studenter er tatt med i figuren.</w:t>
      </w:r>
    </w:p>
    <w:p w14:paraId="027C2E3B" w14:textId="62824963" w:rsidR="00E40484" w:rsidRPr="00422245" w:rsidRDefault="00E40484" w:rsidP="00E40484">
      <w:pPr>
        <w:pStyle w:val="Kilde"/>
      </w:pPr>
      <w:r w:rsidRPr="004E373E">
        <w:rPr>
          <w:b/>
        </w:rPr>
        <w:t>Kilde</w:t>
      </w:r>
      <w:r>
        <w:t>: DBH</w:t>
      </w:r>
    </w:p>
    <w:p w14:paraId="244EA0F5" w14:textId="4A0B4BC6" w:rsidR="00800189" w:rsidRPr="00422245" w:rsidRDefault="00800189" w:rsidP="00800189">
      <w:pPr>
        <w:rPr>
          <w:lang w:eastAsia="nb-NO"/>
        </w:rPr>
      </w:pPr>
      <w:r w:rsidRPr="00422245">
        <w:rPr>
          <w:lang w:eastAsia="nb-NO"/>
        </w:rPr>
        <w:t xml:space="preserve">For bachelorstudiene ser vi ingen tendens til at studier med lav gjennomføring etter normert tid har særlig høy gjennomføring på mer enn normert tid. På de aller fleste utdanningene </w:t>
      </w:r>
      <w:r w:rsidR="007E3DE4">
        <w:rPr>
          <w:lang w:eastAsia="nb-NO"/>
        </w:rPr>
        <w:t>har</w:t>
      </w:r>
      <w:r w:rsidR="00223368">
        <w:rPr>
          <w:lang w:eastAsia="nb-NO"/>
        </w:rPr>
        <w:t xml:space="preserve"> </w:t>
      </w:r>
      <w:r w:rsidRPr="00422245">
        <w:rPr>
          <w:lang w:eastAsia="nb-NO"/>
        </w:rPr>
        <w:t xml:space="preserve">mellom 6 og 10 prosentpoeng </w:t>
      </w:r>
      <w:r w:rsidR="00223368">
        <w:rPr>
          <w:lang w:eastAsia="nb-NO"/>
        </w:rPr>
        <w:t>flere</w:t>
      </w:r>
      <w:r w:rsidRPr="00422245">
        <w:rPr>
          <w:lang w:eastAsia="nb-NO"/>
        </w:rPr>
        <w:t xml:space="preserve"> </w:t>
      </w:r>
      <w:r w:rsidR="00546A32">
        <w:rPr>
          <w:lang w:eastAsia="nb-NO"/>
        </w:rPr>
        <w:t xml:space="preserve">fullført </w:t>
      </w:r>
      <w:r w:rsidRPr="00422245">
        <w:rPr>
          <w:lang w:eastAsia="nb-NO"/>
        </w:rPr>
        <w:t xml:space="preserve">når det har gått to år mer enn normert tid. </w:t>
      </w:r>
      <w:r w:rsidR="00583EDE">
        <w:rPr>
          <w:lang w:eastAsia="nb-NO"/>
        </w:rPr>
        <w:t>S</w:t>
      </w:r>
      <w:r w:rsidRPr="00422245">
        <w:rPr>
          <w:lang w:eastAsia="nb-NO"/>
        </w:rPr>
        <w:t xml:space="preserve">ykepleieutdanningen, som allerede har en høy gjennomføringsgrad på normert tid, </w:t>
      </w:r>
      <w:r w:rsidR="00583EDE">
        <w:rPr>
          <w:lang w:eastAsia="nb-NO"/>
        </w:rPr>
        <w:t>ligger høyest</w:t>
      </w:r>
      <w:r w:rsidR="00575005">
        <w:rPr>
          <w:lang w:eastAsia="nb-NO"/>
        </w:rPr>
        <w:t xml:space="preserve">. Her </w:t>
      </w:r>
      <w:r w:rsidR="00D65A4D">
        <w:rPr>
          <w:lang w:eastAsia="nb-NO"/>
        </w:rPr>
        <w:t>er</w:t>
      </w:r>
      <w:r w:rsidR="00357CDE">
        <w:rPr>
          <w:lang w:eastAsia="nb-NO"/>
        </w:rPr>
        <w:t xml:space="preserve"> gjennomføringen </w:t>
      </w:r>
      <w:r w:rsidR="00D65A4D">
        <w:rPr>
          <w:lang w:eastAsia="nb-NO"/>
        </w:rPr>
        <w:t xml:space="preserve">to år </w:t>
      </w:r>
      <w:r w:rsidR="00D65A4D">
        <w:rPr>
          <w:lang w:eastAsia="nb-NO"/>
        </w:rPr>
        <w:lastRenderedPageBreak/>
        <w:t>etter normert tid</w:t>
      </w:r>
      <w:r w:rsidR="00357CDE">
        <w:rPr>
          <w:lang w:eastAsia="nb-NO"/>
        </w:rPr>
        <w:t xml:space="preserve"> 16 prosentpoeng </w:t>
      </w:r>
      <w:r w:rsidR="00D65A4D">
        <w:rPr>
          <w:lang w:eastAsia="nb-NO"/>
        </w:rPr>
        <w:t>høyere enn etter</w:t>
      </w:r>
      <w:r w:rsidR="00357CDE">
        <w:rPr>
          <w:lang w:eastAsia="nb-NO"/>
        </w:rPr>
        <w:t xml:space="preserve"> normert tid.</w:t>
      </w:r>
      <w:r w:rsidR="00357CDE">
        <w:rPr>
          <w:rStyle w:val="Fotnotereferanse"/>
          <w:lang w:eastAsia="nb-NO"/>
        </w:rPr>
        <w:footnoteReference w:id="21"/>
      </w:r>
      <w:r w:rsidRPr="00422245">
        <w:rPr>
          <w:lang w:eastAsia="nb-NO"/>
        </w:rPr>
        <w:t xml:space="preserve"> Nest høyest ligger matematisk-naturvitenskapelige fag</w:t>
      </w:r>
      <w:r w:rsidR="00195D8B">
        <w:rPr>
          <w:lang w:eastAsia="nb-NO"/>
        </w:rPr>
        <w:t xml:space="preserve"> (15 prosentpoeng)</w:t>
      </w:r>
      <w:r w:rsidRPr="00422245">
        <w:rPr>
          <w:lang w:eastAsia="nb-NO"/>
        </w:rPr>
        <w:t>, som har lav gjennomføring på normert tid.</w:t>
      </w:r>
    </w:p>
    <w:p w14:paraId="77819D0F" w14:textId="1D17F3B3" w:rsidR="00800189" w:rsidRPr="00422245" w:rsidRDefault="00800189" w:rsidP="00800189">
      <w:pPr>
        <w:rPr>
          <w:lang w:eastAsia="nb-NO"/>
        </w:rPr>
      </w:pPr>
      <w:r w:rsidRPr="00422245">
        <w:rPr>
          <w:lang w:eastAsia="nb-NO"/>
        </w:rPr>
        <w:t xml:space="preserve">En del studenter bytter til et annet studium. For å ta hensyn til dette, kan man se på tall på sektornivå, det vil si at alle som har fullført en bachelorgrad, uansett hvilken, regnes som å ha fullført. På samme måte vil frafall på sektornivå si at man hverken er registrert med en fullført bachelorgrad eller </w:t>
      </w:r>
      <w:r w:rsidR="00A200A7" w:rsidRPr="00422245">
        <w:rPr>
          <w:lang w:eastAsia="nb-NO"/>
        </w:rPr>
        <w:t>registret</w:t>
      </w:r>
      <w:r w:rsidRPr="00422245">
        <w:rPr>
          <w:lang w:eastAsia="nb-NO"/>
        </w:rPr>
        <w:t xml:space="preserve"> som student på </w:t>
      </w:r>
      <w:r w:rsidR="0010638F">
        <w:rPr>
          <w:lang w:eastAsia="nb-NO"/>
        </w:rPr>
        <w:t>dette nivået</w:t>
      </w:r>
      <w:r w:rsidRPr="00422245">
        <w:rPr>
          <w:lang w:eastAsia="nb-NO"/>
        </w:rPr>
        <w:t xml:space="preserve">. </w:t>
      </w:r>
      <w:r w:rsidRPr="00422245">
        <w:rPr>
          <w:lang w:eastAsia="nb-NO"/>
        </w:rPr>
        <w:fldChar w:fldCharType="begin"/>
      </w:r>
      <w:r w:rsidRPr="00422245">
        <w:rPr>
          <w:lang w:eastAsia="nb-NO"/>
        </w:rPr>
        <w:instrText xml:space="preserve"> REF _Ref162091793 \h </w:instrText>
      </w:r>
      <w:r w:rsidRPr="00422245">
        <w:rPr>
          <w:lang w:eastAsia="nb-NO"/>
        </w:rPr>
      </w:r>
      <w:r w:rsidRPr="00422245">
        <w:rPr>
          <w:lang w:eastAsia="nb-NO"/>
        </w:rPr>
        <w:fldChar w:fldCharType="separate"/>
      </w:r>
      <w:r w:rsidR="00CC7BFA" w:rsidRPr="00422245">
        <w:t xml:space="preserve">Figur </w:t>
      </w:r>
      <w:r w:rsidR="00CC7BFA">
        <w:rPr>
          <w:noProof/>
        </w:rPr>
        <w:t>5</w:t>
      </w:r>
      <w:r w:rsidR="00CC7BFA">
        <w:noBreakHyphen/>
      </w:r>
      <w:r w:rsidR="00CC7BFA">
        <w:rPr>
          <w:noProof/>
        </w:rPr>
        <w:t>7</w:t>
      </w:r>
      <w:r w:rsidRPr="00422245">
        <w:rPr>
          <w:lang w:eastAsia="nb-NO"/>
        </w:rPr>
        <w:fldChar w:fldCharType="end"/>
      </w:r>
      <w:r w:rsidRPr="00422245">
        <w:rPr>
          <w:lang w:eastAsia="nb-NO"/>
        </w:rPr>
        <w:t xml:space="preserve"> viser utviklingen </w:t>
      </w:r>
      <w:r w:rsidR="00C421CA" w:rsidRPr="00422245">
        <w:rPr>
          <w:lang w:eastAsia="nb-NO"/>
        </w:rPr>
        <w:t>siden 2014</w:t>
      </w:r>
      <w:r w:rsidRPr="00422245">
        <w:rPr>
          <w:lang w:eastAsia="nb-NO"/>
        </w:rPr>
        <w:t xml:space="preserve"> </w:t>
      </w:r>
      <w:r w:rsidR="00BB6346" w:rsidRPr="00422245">
        <w:rPr>
          <w:lang w:eastAsia="nb-NO"/>
        </w:rPr>
        <w:t>for</w:t>
      </w:r>
      <w:r w:rsidRPr="00422245">
        <w:rPr>
          <w:lang w:eastAsia="nb-NO"/>
        </w:rPr>
        <w:t xml:space="preserve"> fullføring og frafall på sektornivå to år etter normert tid. Tendensen gjennom hele perioden er en svak økning i gjennomføring og </w:t>
      </w:r>
      <w:r w:rsidR="003E041E" w:rsidRPr="00422245">
        <w:rPr>
          <w:lang w:eastAsia="nb-NO"/>
        </w:rPr>
        <w:t>en</w:t>
      </w:r>
      <w:r w:rsidRPr="00422245">
        <w:rPr>
          <w:lang w:eastAsia="nb-NO"/>
        </w:rPr>
        <w:t xml:space="preserve"> svak</w:t>
      </w:r>
      <w:r w:rsidR="006D0415" w:rsidRPr="00422245">
        <w:rPr>
          <w:lang w:eastAsia="nb-NO"/>
        </w:rPr>
        <w:t xml:space="preserve"> </w:t>
      </w:r>
      <w:r w:rsidR="003E041E" w:rsidRPr="00422245">
        <w:rPr>
          <w:lang w:eastAsia="nb-NO"/>
        </w:rPr>
        <w:t>nedgang</w:t>
      </w:r>
      <w:r w:rsidRPr="00422245">
        <w:rPr>
          <w:lang w:eastAsia="nb-NO"/>
        </w:rPr>
        <w:t xml:space="preserve"> i frafall. Av alle bachelorstudenter som hadde normert gjennomføringsår i 2014, var 65 prosent registrert med en bac</w:t>
      </w:r>
      <w:r w:rsidR="008960F8">
        <w:rPr>
          <w:lang w:eastAsia="nb-NO"/>
        </w:rPr>
        <w:t>h</w:t>
      </w:r>
      <w:r w:rsidRPr="00422245">
        <w:rPr>
          <w:lang w:eastAsia="nb-NO"/>
        </w:rPr>
        <w:t>elorgrad innen to år etter dette. For kullet som hadde normert gjennomføringsår i 2021</w:t>
      </w:r>
      <w:r w:rsidR="00AC4820">
        <w:rPr>
          <w:lang w:eastAsia="nb-NO"/>
        </w:rPr>
        <w:t>,</w:t>
      </w:r>
      <w:r w:rsidRPr="00422245">
        <w:rPr>
          <w:lang w:eastAsia="nb-NO"/>
        </w:rPr>
        <w:t xml:space="preserve"> var andelen 71 prosent. De fleste av disse</w:t>
      </w:r>
      <w:r w:rsidR="00E53D4F">
        <w:rPr>
          <w:lang w:eastAsia="nb-NO"/>
        </w:rPr>
        <w:t>, 64 prosent,</w:t>
      </w:r>
      <w:r w:rsidRPr="00422245">
        <w:rPr>
          <w:lang w:eastAsia="nb-NO"/>
        </w:rPr>
        <w:t xml:space="preserve"> hadde da fullført på det studiet de faktisk begynte på</w:t>
      </w:r>
      <w:r w:rsidR="00E53D4F">
        <w:rPr>
          <w:lang w:eastAsia="nb-NO"/>
        </w:rPr>
        <w:t>,</w:t>
      </w:r>
      <w:r w:rsidRPr="00422245">
        <w:rPr>
          <w:lang w:eastAsia="nb-NO"/>
        </w:rPr>
        <w:t xml:space="preserve"> mens 7 prosent av kullet fullførte et annet studium. 18 prosent hadde falt fra, og var altså hverken registrert med en fullført bachelorgrad eller som student. Dette tallet har gått noe ned, fra 21 prosent syv år tidligere. Andelen som fortsatt studerer på bachelornivå to år etter normert </w:t>
      </w:r>
      <w:r w:rsidR="000C5250" w:rsidRPr="00422245">
        <w:rPr>
          <w:lang w:eastAsia="nb-NO"/>
        </w:rPr>
        <w:t>tid,</w:t>
      </w:r>
      <w:r w:rsidRPr="00422245">
        <w:rPr>
          <w:lang w:eastAsia="nb-NO"/>
        </w:rPr>
        <w:t xml:space="preserve"> har i samme periode krympet fra 13 prosent til 10 prosent.</w:t>
      </w:r>
    </w:p>
    <w:p w14:paraId="42734248" w14:textId="436C77AD" w:rsidR="00800189" w:rsidRPr="00422245" w:rsidRDefault="00800189" w:rsidP="00800189">
      <w:pPr>
        <w:pStyle w:val="Bildetekst"/>
        <w:keepNext/>
      </w:pPr>
      <w:bookmarkStart w:id="99" w:name="_Ref162091793"/>
      <w:r w:rsidRPr="00422245">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7</w:t>
      </w:r>
      <w:r w:rsidR="006E1D94">
        <w:fldChar w:fldCharType="end"/>
      </w:r>
      <w:bookmarkEnd w:id="99"/>
      <w:r w:rsidRPr="00422245">
        <w:t xml:space="preserve"> Status to år etter normert tid for studenter på bachelorstudier, etter normert </w:t>
      </w:r>
      <w:r w:rsidR="000A67B3" w:rsidRPr="00422245">
        <w:t xml:space="preserve">år for uteksaminering. </w:t>
      </w:r>
      <w:r w:rsidRPr="00422245">
        <w:t>Status per 2023.</w:t>
      </w:r>
    </w:p>
    <w:p w14:paraId="5AC2AB7B" w14:textId="77777777" w:rsidR="00800189" w:rsidRPr="00422245" w:rsidRDefault="00800189" w:rsidP="00800189">
      <w:pPr>
        <w:pStyle w:val="Merknad"/>
      </w:pPr>
      <w:r w:rsidRPr="00422245">
        <w:rPr>
          <w:noProof/>
        </w:rPr>
        <w:drawing>
          <wp:inline distT="0" distB="0" distL="0" distR="0" wp14:anchorId="00921228" wp14:editId="6F3574EB">
            <wp:extent cx="4572000" cy="2743200"/>
            <wp:effectExtent l="0" t="0" r="0" b="0"/>
            <wp:docPr id="374106871" name="Diagram 1">
              <a:extLst xmlns:a="http://schemas.openxmlformats.org/drawingml/2006/main">
                <a:ext uri="{FF2B5EF4-FFF2-40B4-BE49-F238E27FC236}">
                  <a16:creationId xmlns:a16="http://schemas.microsoft.com/office/drawing/2014/main" id="{F9312223-8565-3FAF-B8D8-91252CAD15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40B42F" w14:textId="058E56B2" w:rsidR="00FE0BB1" w:rsidRDefault="00800189" w:rsidP="00A01699">
      <w:pPr>
        <w:pStyle w:val="Merknad"/>
      </w:pPr>
      <w:r w:rsidRPr="00A01699">
        <w:lastRenderedPageBreak/>
        <w:t xml:space="preserve">Merknad: </w:t>
      </w:r>
      <w:r w:rsidR="00BC68A4">
        <w:t xml:space="preserve">Som </w:t>
      </w:r>
      <w:r w:rsidR="00A1134B">
        <w:t>«</w:t>
      </w:r>
      <w:r w:rsidRPr="00A01699">
        <w:t>fullført</w:t>
      </w:r>
      <w:r w:rsidR="00A1134B">
        <w:t>»</w:t>
      </w:r>
      <w:r w:rsidR="00BC68A4">
        <w:t xml:space="preserve"> telles </w:t>
      </w:r>
      <w:r w:rsidR="002F64B6">
        <w:t xml:space="preserve">alle som </w:t>
      </w:r>
      <w:r w:rsidRPr="00A01699">
        <w:t xml:space="preserve">har fullført en </w:t>
      </w:r>
      <w:r w:rsidR="002F64B6">
        <w:t>bachelorgrad</w:t>
      </w:r>
      <w:r w:rsidRPr="00A01699">
        <w:t xml:space="preserve">, uavhengig av </w:t>
      </w:r>
      <w:r w:rsidR="00143256">
        <w:t>om det er samme</w:t>
      </w:r>
      <w:r w:rsidRPr="00A01699">
        <w:t xml:space="preserve"> studium </w:t>
      </w:r>
      <w:r w:rsidR="00143256">
        <w:t xml:space="preserve">som studenten begynte på. </w:t>
      </w:r>
      <w:r w:rsidR="007937CD">
        <w:t>«</w:t>
      </w:r>
      <w:r w:rsidRPr="00A01699">
        <w:t>Frafall</w:t>
      </w:r>
      <w:r w:rsidR="007937CD">
        <w:t>»</w:t>
      </w:r>
      <w:r w:rsidRPr="00A01699">
        <w:t xml:space="preserve"> betyr </w:t>
      </w:r>
      <w:r w:rsidR="007937CD">
        <w:t>her</w:t>
      </w:r>
      <w:r w:rsidRPr="00A01699">
        <w:t xml:space="preserve"> at studenten er registrert </w:t>
      </w:r>
      <w:r w:rsidR="00BC32E3">
        <w:t>hverken</w:t>
      </w:r>
      <w:r w:rsidRPr="00A01699">
        <w:t xml:space="preserve"> med fullført utdanning eller som student på bachelornivå. Tallene for kullet med normert gjennomføringsår i 2021 avviker marginalt fra V2.20, siden BI er ekskludert fra tidsserien.</w:t>
      </w:r>
    </w:p>
    <w:p w14:paraId="58D77B54" w14:textId="700CEE3D" w:rsidR="00A01699" w:rsidRPr="00A01699" w:rsidRDefault="00A01699" w:rsidP="00A01699">
      <w:pPr>
        <w:pStyle w:val="Kilde"/>
      </w:pPr>
      <w:r w:rsidRPr="004E373E">
        <w:rPr>
          <w:b/>
        </w:rPr>
        <w:t>Kilde</w:t>
      </w:r>
      <w:r>
        <w:t>: DBH</w:t>
      </w:r>
    </w:p>
    <w:p w14:paraId="6EB72376" w14:textId="77777777" w:rsidR="00A01699" w:rsidRPr="00A01699" w:rsidRDefault="00A01699" w:rsidP="00A01699">
      <w:pPr>
        <w:pStyle w:val="Merknad"/>
      </w:pPr>
    </w:p>
    <w:p w14:paraId="7853131D" w14:textId="6F2E8B1D" w:rsidR="00FE0BB1" w:rsidRPr="00422245" w:rsidRDefault="00FE0BB1" w:rsidP="00D63DD4">
      <w:pPr>
        <w:rPr>
          <w:b/>
          <w:bCs/>
          <w:lang w:eastAsia="nb-NO"/>
        </w:rPr>
      </w:pPr>
      <w:r w:rsidRPr="00422245">
        <w:rPr>
          <w:b/>
          <w:bCs/>
          <w:lang w:eastAsia="nb-NO"/>
        </w:rPr>
        <w:t>Toårige mastergrader</w:t>
      </w:r>
    </w:p>
    <w:p w14:paraId="36A64201" w14:textId="5EA059D9" w:rsidR="00D63DD4" w:rsidRPr="00422245" w:rsidRDefault="001928A1" w:rsidP="00D63DD4">
      <w:pPr>
        <w:rPr>
          <w:lang w:eastAsia="nb-NO"/>
        </w:rPr>
      </w:pPr>
      <w:r>
        <w:rPr>
          <w:lang w:eastAsia="nb-NO"/>
        </w:rPr>
        <w:t>For de</w:t>
      </w:r>
      <w:r w:rsidR="00D63DD4" w:rsidRPr="00422245">
        <w:rPr>
          <w:lang w:eastAsia="nb-NO"/>
        </w:rPr>
        <w:t xml:space="preserve"> toårige masterprogrammene</w:t>
      </w:r>
      <w:r>
        <w:rPr>
          <w:lang w:eastAsia="nb-NO"/>
        </w:rPr>
        <w:t xml:space="preserve"> er hovedbildet at gjennomføringen</w:t>
      </w:r>
      <w:r w:rsidR="00D63DD4" w:rsidRPr="00422245">
        <w:rPr>
          <w:lang w:eastAsia="nb-NO"/>
        </w:rPr>
        <w:t xml:space="preserve"> har</w:t>
      </w:r>
      <w:r w:rsidR="00411873">
        <w:rPr>
          <w:lang w:eastAsia="nb-NO"/>
        </w:rPr>
        <w:t xml:space="preserve"> ligget nokså stabilt de siste ti årene</w:t>
      </w:r>
      <w:r w:rsidR="00C85BA2">
        <w:rPr>
          <w:lang w:eastAsia="nb-NO"/>
        </w:rPr>
        <w:t>, med en svak økning fra 51</w:t>
      </w:r>
      <w:r w:rsidR="00A96AA9">
        <w:rPr>
          <w:lang w:eastAsia="nb-NO"/>
        </w:rPr>
        <w:t xml:space="preserve"> prosent i 2014</w:t>
      </w:r>
      <w:r w:rsidR="00C85BA2">
        <w:rPr>
          <w:lang w:eastAsia="nb-NO"/>
        </w:rPr>
        <w:t xml:space="preserve"> til 54 prosent</w:t>
      </w:r>
      <w:r w:rsidR="00A96AA9">
        <w:rPr>
          <w:lang w:eastAsia="nb-NO"/>
        </w:rPr>
        <w:t xml:space="preserve"> i 2023</w:t>
      </w:r>
      <w:r w:rsidR="00411873">
        <w:rPr>
          <w:lang w:eastAsia="nb-NO"/>
        </w:rPr>
        <w:t>.</w:t>
      </w:r>
      <w:r>
        <w:rPr>
          <w:lang w:eastAsia="nb-NO"/>
        </w:rPr>
        <w:t xml:space="preserve"> </w:t>
      </w:r>
      <w:r w:rsidR="00E454A6">
        <w:rPr>
          <w:lang w:eastAsia="nb-NO"/>
        </w:rPr>
        <w:t xml:space="preserve">Gjennomføringen øker </w:t>
      </w:r>
      <w:r w:rsidR="00AA60EE">
        <w:rPr>
          <w:lang w:eastAsia="nb-NO"/>
        </w:rPr>
        <w:t xml:space="preserve">betydelig ett år utover normert tid. </w:t>
      </w:r>
      <w:r w:rsidR="00006E04">
        <w:rPr>
          <w:lang w:eastAsia="nb-NO"/>
        </w:rPr>
        <w:t>A</w:t>
      </w:r>
      <w:r w:rsidR="00D63DD4" w:rsidRPr="00422245">
        <w:rPr>
          <w:lang w:eastAsia="nb-NO"/>
        </w:rPr>
        <w:t>ndelen som har gjennomført ett år etter normert tid</w:t>
      </w:r>
      <w:r w:rsidR="00AA60EE">
        <w:rPr>
          <w:lang w:eastAsia="nb-NO"/>
        </w:rPr>
        <w:t>,</w:t>
      </w:r>
      <w:r w:rsidR="00D63DD4" w:rsidRPr="00422245">
        <w:rPr>
          <w:lang w:eastAsia="nb-NO"/>
        </w:rPr>
        <w:t xml:space="preserve"> </w:t>
      </w:r>
      <w:r w:rsidR="00006E04">
        <w:rPr>
          <w:lang w:eastAsia="nb-NO"/>
        </w:rPr>
        <w:t>ligger</w:t>
      </w:r>
      <w:r w:rsidR="00D63DD4" w:rsidRPr="00422245">
        <w:rPr>
          <w:lang w:eastAsia="nb-NO"/>
        </w:rPr>
        <w:t xml:space="preserve"> på eller like over 70 prosent gjennom hele perioden.</w:t>
      </w:r>
      <w:r w:rsidR="00BA2C99">
        <w:rPr>
          <w:rStyle w:val="Fotnotereferanse"/>
          <w:lang w:eastAsia="nb-NO"/>
        </w:rPr>
        <w:footnoteReference w:id="22"/>
      </w:r>
      <w:r w:rsidR="00D63DD4" w:rsidRPr="00422245">
        <w:rPr>
          <w:lang w:eastAsia="nb-NO"/>
        </w:rPr>
        <w:t xml:space="preserve"> Frafallet to år etter normert tid</w:t>
      </w:r>
      <w:r w:rsidR="00FF16FE">
        <w:rPr>
          <w:lang w:eastAsia="nb-NO"/>
        </w:rPr>
        <w:t>,</w:t>
      </w:r>
      <w:r w:rsidR="003A6A21">
        <w:rPr>
          <w:lang w:eastAsia="nb-NO"/>
        </w:rPr>
        <w:t xml:space="preserve"> dvs. andelen som da ikke har fullført og heller ikke er </w:t>
      </w:r>
      <w:r w:rsidR="00FF16FE">
        <w:rPr>
          <w:lang w:eastAsia="nb-NO"/>
        </w:rPr>
        <w:t xml:space="preserve">registrert som student på </w:t>
      </w:r>
      <w:r w:rsidR="004F2E0A">
        <w:rPr>
          <w:lang w:eastAsia="nb-NO"/>
        </w:rPr>
        <w:t>masternivå,</w:t>
      </w:r>
      <w:r w:rsidR="00D63DD4" w:rsidRPr="00422245">
        <w:rPr>
          <w:lang w:eastAsia="nb-NO"/>
        </w:rPr>
        <w:t xml:space="preserve"> ligger også svært stabilt på 15 til 16 prosent </w:t>
      </w:r>
      <w:r w:rsidR="008E5F8C">
        <w:rPr>
          <w:lang w:eastAsia="nb-NO"/>
        </w:rPr>
        <w:t>de siste 10 årene</w:t>
      </w:r>
      <w:r w:rsidR="00D63DD4" w:rsidRPr="00422245">
        <w:rPr>
          <w:lang w:eastAsia="nb-NO"/>
        </w:rPr>
        <w:t>.</w:t>
      </w:r>
      <w:r w:rsidR="00A305F8">
        <w:rPr>
          <w:rStyle w:val="Fotnotereferanse"/>
          <w:lang w:eastAsia="nb-NO"/>
        </w:rPr>
        <w:footnoteReference w:id="23"/>
      </w:r>
      <w:r w:rsidR="00D63DD4" w:rsidRPr="00422245">
        <w:rPr>
          <w:lang w:eastAsia="nb-NO"/>
        </w:rPr>
        <w:t xml:space="preserve"> V2.20 viser tall for 2019-kullet. To år etter normert tid hadde 78 prosent fullført og 16 prosent falt fra, mens 6 prosent fortsatt studerte.</w:t>
      </w:r>
    </w:p>
    <w:p w14:paraId="233EFB54" w14:textId="75555313" w:rsidR="00D63DD4" w:rsidRPr="00422245" w:rsidRDefault="00D63DD4" w:rsidP="00D63DD4">
      <w:pPr>
        <w:rPr>
          <w:lang w:eastAsia="nb-NO"/>
        </w:rPr>
      </w:pPr>
      <w:r w:rsidRPr="00422245">
        <w:rPr>
          <w:lang w:eastAsia="nb-NO"/>
        </w:rPr>
        <w:t>Blant større fag</w:t>
      </w:r>
      <w:r w:rsidR="00C33283">
        <w:rPr>
          <w:lang w:eastAsia="nb-NO"/>
        </w:rPr>
        <w:t>,</w:t>
      </w:r>
      <w:r w:rsidR="00B75DD5">
        <w:rPr>
          <w:lang w:eastAsia="nb-NO"/>
        </w:rPr>
        <w:t xml:space="preserve"> der </w:t>
      </w:r>
      <w:r w:rsidRPr="00422245">
        <w:rPr>
          <w:lang w:eastAsia="nb-NO"/>
        </w:rPr>
        <w:t>startkull</w:t>
      </w:r>
      <w:r w:rsidR="00B75DD5">
        <w:rPr>
          <w:lang w:eastAsia="nb-NO"/>
        </w:rPr>
        <w:t>et tel</w:t>
      </w:r>
      <w:r w:rsidR="00C33283">
        <w:rPr>
          <w:lang w:eastAsia="nb-NO"/>
        </w:rPr>
        <w:t>ler</w:t>
      </w:r>
      <w:r w:rsidRPr="00422245">
        <w:rPr>
          <w:lang w:eastAsia="nb-NO"/>
        </w:rPr>
        <w:t xml:space="preserve"> over 100 </w:t>
      </w:r>
      <w:r w:rsidR="00C33283">
        <w:rPr>
          <w:lang w:eastAsia="nb-NO"/>
        </w:rPr>
        <w:t>studenter</w:t>
      </w:r>
      <w:r w:rsidRPr="00422245">
        <w:rPr>
          <w:lang w:eastAsia="nb-NO"/>
        </w:rPr>
        <w:t xml:space="preserve"> gjennom hele perioden, er det økonomisk-administrative fag som har den høyeste gjennomføringsraten i 2023 </w:t>
      </w:r>
      <w:r w:rsidR="00B75DD5">
        <w:rPr>
          <w:lang w:eastAsia="nb-NO"/>
        </w:rPr>
        <w:t xml:space="preserve">med </w:t>
      </w:r>
      <w:r w:rsidRPr="00422245">
        <w:rPr>
          <w:lang w:eastAsia="nb-NO"/>
        </w:rPr>
        <w:t>71 prosent</w:t>
      </w:r>
      <w:r w:rsidR="00C33283">
        <w:rPr>
          <w:lang w:eastAsia="nb-NO"/>
        </w:rPr>
        <w:t xml:space="preserve"> (</w:t>
      </w:r>
      <w:r w:rsidRPr="00422245">
        <w:rPr>
          <w:lang w:eastAsia="nb-NO"/>
        </w:rPr>
        <w:fldChar w:fldCharType="begin"/>
      </w:r>
      <w:r w:rsidRPr="00422245">
        <w:rPr>
          <w:lang w:eastAsia="nb-NO"/>
        </w:rPr>
        <w:instrText xml:space="preserve"> REF _Ref161857237 \h </w:instrText>
      </w:r>
      <w:r w:rsidRPr="00422245">
        <w:rPr>
          <w:lang w:eastAsia="nb-NO"/>
        </w:rPr>
      </w:r>
      <w:r w:rsidRPr="00422245">
        <w:rPr>
          <w:lang w:eastAsia="nb-NO"/>
        </w:rPr>
        <w:fldChar w:fldCharType="separate"/>
      </w:r>
      <w:r w:rsidRPr="00422245">
        <w:t xml:space="preserve">Figur </w:t>
      </w:r>
      <w:r w:rsidR="003420A0">
        <w:rPr>
          <w:noProof/>
        </w:rPr>
        <w:t>5</w:t>
      </w:r>
      <w:r w:rsidRPr="00422245">
        <w:noBreakHyphen/>
      </w:r>
      <w:r w:rsidR="005B096E">
        <w:rPr>
          <w:noProof/>
        </w:rPr>
        <w:t>8</w:t>
      </w:r>
      <w:r w:rsidRPr="00422245">
        <w:rPr>
          <w:lang w:eastAsia="nb-NO"/>
        </w:rPr>
        <w:fldChar w:fldCharType="end"/>
      </w:r>
      <w:r w:rsidRPr="00422245">
        <w:rPr>
          <w:lang w:eastAsia="nb-NO"/>
        </w:rPr>
        <w:t xml:space="preserve">). NHH og BI skiller seg ut med svært høye gjennomføringstall etter normert tid for denne faggruppen (83 og 82 prosent). Siden disse institusjonene er spesialisert på nettopp dette fagområdet, ser vi gjennomføringstallene igjen i V2.22, som viser samlet gjennomføring på </w:t>
      </w:r>
      <w:r w:rsidR="00C33283">
        <w:rPr>
          <w:lang w:eastAsia="nb-NO"/>
        </w:rPr>
        <w:t>to</w:t>
      </w:r>
      <w:r w:rsidRPr="00422245">
        <w:rPr>
          <w:lang w:eastAsia="nb-NO"/>
        </w:rPr>
        <w:t>årige mastergrader ved de ulike institusjonene. NHH og BI ligger der høyest for henholdsvis statlige og private institusjoner.  De økonomisk-administrative fagene har ellers de største startkullene på toårige masterprogrammer (over 3000 studenter med normert fullføringstid i 2023, hvorav 800 på NHH).</w:t>
      </w:r>
    </w:p>
    <w:p w14:paraId="423C8C9F" w14:textId="262E8C80" w:rsidR="00D63DD4" w:rsidRPr="00422245" w:rsidRDefault="00D63DD4" w:rsidP="00D63DD4">
      <w:pPr>
        <w:rPr>
          <w:lang w:eastAsia="nb-NO"/>
        </w:rPr>
      </w:pPr>
      <w:r w:rsidRPr="00422245">
        <w:rPr>
          <w:lang w:eastAsia="nb-NO"/>
        </w:rPr>
        <w:t xml:space="preserve">I særklasse nederst blant de større fagene ligger historisk-filosofiske fag, der 37 prosent av masterstudentene fullførte på normert tid i 2023. Gjennomføringsraten på historisk-filosofiske fag har vært nokså stabil i hele perioden, og denne faggruppen har hatt den laveste gjennomføringsraten hvert år siden 2016. Det er de fire gamle universitetene som har flest masterstudenter fra denne faggruppen. Klart flest har UiO med 540 med normert gjennomføring i 2023, hvorav 34 prosent </w:t>
      </w:r>
      <w:r w:rsidRPr="00422245">
        <w:rPr>
          <w:lang w:eastAsia="nb-NO"/>
        </w:rPr>
        <w:lastRenderedPageBreak/>
        <w:t xml:space="preserve">gjennomførte til normert tid. Dette var lavest blant de gamle universitetene og medvirkende til at UiO samlet sett har lav gjennomføringsrate for </w:t>
      </w:r>
      <w:r w:rsidR="00C72696">
        <w:rPr>
          <w:lang w:eastAsia="nb-NO"/>
        </w:rPr>
        <w:t>to</w:t>
      </w:r>
      <w:r w:rsidRPr="00422245">
        <w:rPr>
          <w:lang w:eastAsia="nb-NO"/>
        </w:rPr>
        <w:t>årige mastergrader</w:t>
      </w:r>
      <w:r w:rsidR="007511D4">
        <w:rPr>
          <w:lang w:eastAsia="nb-NO"/>
        </w:rPr>
        <w:t xml:space="preserve">, </w:t>
      </w:r>
      <w:r w:rsidRPr="00422245">
        <w:rPr>
          <w:lang w:eastAsia="nb-NO"/>
        </w:rPr>
        <w:t>se V2.22. Høyest gjennomføring på normert tid for historisk-filosofiske fag i 2023 hadde NTNU og UiB, med 43 og 42 prosent. Det er ellers nokså store variasjoner fra år til år på de ulike institusjonene, og dersom vi ser de siste fem årene under ett, har NTNU klart høyest gjennomføring med 49 prosent. Alle de tre andre ligger i intervallet 33 til 36 prosent. Også enkelte andre fagområder har en gjennomføringsrate på under 50 prosent. Dette gjelder helsefag, samfunnsfag og pedagogiske fag, som alle ligger like under 50 prosent i 2023.</w:t>
      </w:r>
      <w:r w:rsidR="00D02960">
        <w:rPr>
          <w:lang w:eastAsia="nb-NO"/>
        </w:rPr>
        <w:t xml:space="preserve"> </w:t>
      </w:r>
      <w:r w:rsidR="00321264">
        <w:rPr>
          <w:lang w:eastAsia="nb-NO"/>
        </w:rPr>
        <w:t xml:space="preserve">Helsefag peker seg imidlertid ut med den høyeste andelen </w:t>
      </w:r>
      <w:r w:rsidR="007A4BC0">
        <w:rPr>
          <w:lang w:eastAsia="nb-NO"/>
        </w:rPr>
        <w:t xml:space="preserve">studenter </w:t>
      </w:r>
      <w:r w:rsidR="006A7DDD">
        <w:rPr>
          <w:lang w:eastAsia="nb-NO"/>
        </w:rPr>
        <w:t>(over 40 prosent)</w:t>
      </w:r>
      <w:r w:rsidR="007A4BC0">
        <w:rPr>
          <w:lang w:eastAsia="nb-NO"/>
        </w:rPr>
        <w:t xml:space="preserve"> som </w:t>
      </w:r>
      <w:r w:rsidR="00A2017F">
        <w:rPr>
          <w:lang w:eastAsia="nb-NO"/>
        </w:rPr>
        <w:t>høsten</w:t>
      </w:r>
      <w:r w:rsidR="007A4BC0">
        <w:rPr>
          <w:lang w:eastAsia="nb-NO"/>
        </w:rPr>
        <w:t xml:space="preserve"> 2023 </w:t>
      </w:r>
      <w:r w:rsidR="00A2017F">
        <w:rPr>
          <w:lang w:eastAsia="nb-NO"/>
        </w:rPr>
        <w:t xml:space="preserve">ikke er oppmeldt til </w:t>
      </w:r>
      <w:r w:rsidR="00533F25">
        <w:rPr>
          <w:lang w:eastAsia="nb-NO"/>
        </w:rPr>
        <w:t>full studieprogresjon.</w:t>
      </w:r>
      <w:r w:rsidR="00CD116B">
        <w:rPr>
          <w:lang w:eastAsia="nb-NO"/>
        </w:rPr>
        <w:t xml:space="preserve"> Lav gjennomføring på normert tid for dette studiet kan med andre ord henge sammen med at mange studenter ikke planlegger å gjennomføre på normert tid. </w:t>
      </w:r>
      <w:r w:rsidR="00694075">
        <w:rPr>
          <w:lang w:eastAsia="nb-NO"/>
        </w:rPr>
        <w:t>Historisk-filosofiske fag</w:t>
      </w:r>
      <w:r w:rsidR="00203D22">
        <w:rPr>
          <w:lang w:eastAsia="nb-NO"/>
        </w:rPr>
        <w:t xml:space="preserve"> har ikke en tilsvarende </w:t>
      </w:r>
      <w:r w:rsidR="00901D91">
        <w:rPr>
          <w:lang w:eastAsia="nb-NO"/>
        </w:rPr>
        <w:t>høy</w:t>
      </w:r>
      <w:r w:rsidR="00694075">
        <w:rPr>
          <w:lang w:eastAsia="nb-NO"/>
        </w:rPr>
        <w:t xml:space="preserve"> </w:t>
      </w:r>
      <w:r w:rsidR="00C10542">
        <w:rPr>
          <w:lang w:eastAsia="nb-NO"/>
        </w:rPr>
        <w:t xml:space="preserve">andel studenter </w:t>
      </w:r>
      <w:r w:rsidR="00DE31F3">
        <w:rPr>
          <w:lang w:eastAsia="nb-NO"/>
        </w:rPr>
        <w:t xml:space="preserve">som </w:t>
      </w:r>
      <w:r w:rsidR="004E6242">
        <w:rPr>
          <w:lang w:eastAsia="nb-NO"/>
        </w:rPr>
        <w:t xml:space="preserve">er oppmeldt til </w:t>
      </w:r>
      <w:r w:rsidR="00901D91">
        <w:rPr>
          <w:lang w:eastAsia="nb-NO"/>
        </w:rPr>
        <w:t>mindre enn</w:t>
      </w:r>
      <w:r w:rsidR="004E6242">
        <w:rPr>
          <w:lang w:eastAsia="nb-NO"/>
        </w:rPr>
        <w:t xml:space="preserve"> full studieprogresjon </w:t>
      </w:r>
      <w:r w:rsidR="00CE2193">
        <w:rPr>
          <w:lang w:eastAsia="nb-NO"/>
        </w:rPr>
        <w:t>(rundt 25 prosent)</w:t>
      </w:r>
      <w:r w:rsidR="008C49BC">
        <w:rPr>
          <w:lang w:eastAsia="nb-NO"/>
        </w:rPr>
        <w:t xml:space="preserve">, men likevel flere enn </w:t>
      </w:r>
      <w:r w:rsidR="00EA1211">
        <w:rPr>
          <w:lang w:eastAsia="nb-NO"/>
        </w:rPr>
        <w:t>de studiene som har den høyeste gjennomføringen på normert tid (økonomisk-administrative fag og psykologi)</w:t>
      </w:r>
      <w:r w:rsidR="00BD6B7A">
        <w:rPr>
          <w:lang w:eastAsia="nb-NO"/>
        </w:rPr>
        <w:t xml:space="preserve">, der </w:t>
      </w:r>
      <w:r w:rsidR="00BC3808">
        <w:rPr>
          <w:lang w:eastAsia="nb-NO"/>
        </w:rPr>
        <w:t xml:space="preserve">andelen ligger på </w:t>
      </w:r>
      <w:r w:rsidR="00BD6B7A">
        <w:rPr>
          <w:lang w:eastAsia="nb-NO"/>
        </w:rPr>
        <w:t>rundt 15 prosent</w:t>
      </w:r>
      <w:r w:rsidR="00BC3808">
        <w:rPr>
          <w:lang w:eastAsia="nb-NO"/>
        </w:rPr>
        <w:t>.</w:t>
      </w:r>
    </w:p>
    <w:p w14:paraId="27EB9810" w14:textId="5B9949FA" w:rsidR="00D63DD4" w:rsidRDefault="00D63DD4" w:rsidP="00D63DD4">
      <w:pPr>
        <w:rPr>
          <w:lang w:eastAsia="nb-NO"/>
        </w:rPr>
      </w:pPr>
      <w:r w:rsidRPr="00422245">
        <w:rPr>
          <w:lang w:eastAsia="nb-NO"/>
        </w:rPr>
        <w:t xml:space="preserve">De fagområdene som har lav gjennomføring etter normert tid, har gjerne flere som gjennomfører ett eller to år etter normert tid. Som vi ser av </w:t>
      </w:r>
      <w:r w:rsidRPr="00422245">
        <w:rPr>
          <w:lang w:eastAsia="nb-NO"/>
        </w:rPr>
        <w:fldChar w:fldCharType="begin"/>
      </w:r>
      <w:r w:rsidRPr="00422245">
        <w:rPr>
          <w:lang w:eastAsia="nb-NO"/>
        </w:rPr>
        <w:instrText xml:space="preserve"> REF _Ref161857237 \h </w:instrText>
      </w:r>
      <w:r w:rsidRPr="00422245">
        <w:rPr>
          <w:lang w:eastAsia="nb-NO"/>
        </w:rPr>
      </w:r>
      <w:r w:rsidRPr="00422245">
        <w:rPr>
          <w:lang w:eastAsia="nb-NO"/>
        </w:rPr>
        <w:fldChar w:fldCharType="separate"/>
      </w:r>
      <w:r w:rsidRPr="00422245">
        <w:t xml:space="preserve">Figur </w:t>
      </w:r>
      <w:r w:rsidR="00EB4474">
        <w:rPr>
          <w:noProof/>
        </w:rPr>
        <w:t>5</w:t>
      </w:r>
      <w:r w:rsidRPr="00422245">
        <w:noBreakHyphen/>
      </w:r>
      <w:r w:rsidR="005B096E">
        <w:rPr>
          <w:noProof/>
        </w:rPr>
        <w:t>8</w:t>
      </w:r>
      <w:r w:rsidRPr="00422245">
        <w:rPr>
          <w:lang w:eastAsia="nb-NO"/>
        </w:rPr>
        <w:fldChar w:fldCharType="end"/>
      </w:r>
      <w:r w:rsidRPr="00422245">
        <w:rPr>
          <w:lang w:eastAsia="nb-NO"/>
        </w:rPr>
        <w:t>, hadde økonomisk-administrative fag en gjennomføring på normert tid på 77 prosent i 2021. To år senere har andelen økt med 11 prosentpoeng, slik at til sammen 88 prosent av kullet da har gjennomført. Også når det gjelder andre fagområder med høy gjennomføring etter normert tid, som idrettsutdanning og psykologi, er det relativt få som gjennomfører på mer enn normert tid. I motsatt ende ser vi at 40 prosent av masterstudentene på historisk-filosofiske fag gjennomførte på normert tid i 2021, mens andelen var oppe i 66 prosent to år senere. Det vil si at 40 prosent av dem som da hadde gjennomført, hadde gjort det på mer enn normert tid. Også for helsefag, samfun</w:t>
      </w:r>
      <w:r w:rsidR="009A2C94" w:rsidRPr="00422245">
        <w:rPr>
          <w:lang w:eastAsia="nb-NO"/>
        </w:rPr>
        <w:t>n</w:t>
      </w:r>
      <w:r w:rsidRPr="00422245">
        <w:rPr>
          <w:lang w:eastAsia="nb-NO"/>
        </w:rPr>
        <w:t>sfag og mat</w:t>
      </w:r>
      <w:r w:rsidR="00A17676">
        <w:rPr>
          <w:lang w:eastAsia="nb-NO"/>
        </w:rPr>
        <w:t xml:space="preserve">ematisk-naturvitenskapelige </w:t>
      </w:r>
      <w:r w:rsidRPr="00422245">
        <w:rPr>
          <w:lang w:eastAsia="nb-NO"/>
        </w:rPr>
        <w:t>fag er det en stor andel som gjennomfører på mer enn normert tid.</w:t>
      </w:r>
    </w:p>
    <w:p w14:paraId="29831971" w14:textId="77777777" w:rsidR="00DE06A5" w:rsidRDefault="00DE06A5" w:rsidP="00D63DD4">
      <w:pPr>
        <w:rPr>
          <w:lang w:eastAsia="nb-NO"/>
        </w:rPr>
      </w:pPr>
    </w:p>
    <w:p w14:paraId="66B2E0EA" w14:textId="6935F34D" w:rsidR="00DE06A5" w:rsidRPr="00422245" w:rsidRDefault="00DE06A5" w:rsidP="00D63DD4">
      <w:pPr>
        <w:rPr>
          <w:lang w:eastAsia="nb-NO"/>
        </w:rPr>
      </w:pPr>
      <w:r w:rsidRPr="00DE06A5">
        <w:rPr>
          <w:lang w:eastAsia="nb-NO"/>
        </w:rPr>
        <w:t>https://vedlegg.hkdir.no/MichaelRev/2024/figur/V5.8</w:t>
      </w:r>
    </w:p>
    <w:p w14:paraId="143571A9" w14:textId="48D0F074" w:rsidR="00D63DD4" w:rsidRPr="00422245" w:rsidRDefault="00D63DD4" w:rsidP="00D63DD4">
      <w:pPr>
        <w:pStyle w:val="Bildetekst"/>
        <w:keepNext/>
      </w:pPr>
      <w:bookmarkStart w:id="100" w:name="_Ref161857237"/>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8</w:t>
      </w:r>
      <w:r w:rsidR="006E1D94">
        <w:fldChar w:fldCharType="end"/>
      </w:r>
      <w:bookmarkEnd w:id="100"/>
      <w:r w:rsidRPr="00422245">
        <w:t xml:space="preserve"> Gjennomføring for toårige masterutdanninger. Prosent. Status i 2023 for kull med normert gjennomføringsår 2021.</w:t>
      </w:r>
    </w:p>
    <w:p w14:paraId="61561DAF" w14:textId="77777777" w:rsidR="00D63DD4" w:rsidRDefault="00D63DD4" w:rsidP="00D63DD4">
      <w:pPr>
        <w:rPr>
          <w:lang w:eastAsia="nb-NO"/>
        </w:rPr>
      </w:pPr>
      <w:r w:rsidRPr="00422245">
        <w:rPr>
          <w:noProof/>
        </w:rPr>
        <w:drawing>
          <wp:inline distT="0" distB="0" distL="0" distR="0" wp14:anchorId="013BE186" wp14:editId="613C6B8E">
            <wp:extent cx="5731510" cy="3418840"/>
            <wp:effectExtent l="0" t="0" r="2540" b="10160"/>
            <wp:docPr id="1518256212" name="Diagram 1">
              <a:extLst xmlns:a="http://schemas.openxmlformats.org/drawingml/2006/main">
                <a:ext uri="{FF2B5EF4-FFF2-40B4-BE49-F238E27FC236}">
                  <a16:creationId xmlns:a16="http://schemas.microsoft.com/office/drawing/2014/main" id="{2741F564-5E85-72A4-35E4-43F6E3DE76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579BB06" w14:textId="25E0BE94" w:rsidR="00C937B2" w:rsidRPr="00422245" w:rsidRDefault="00C937B2" w:rsidP="00C937B2">
      <w:pPr>
        <w:pStyle w:val="Kilde"/>
        <w:rPr>
          <w:lang w:eastAsia="nb-NO"/>
        </w:rPr>
      </w:pPr>
      <w:r w:rsidRPr="004E373E">
        <w:rPr>
          <w:b/>
          <w:lang w:eastAsia="nb-NO"/>
        </w:rPr>
        <w:t>Kilde</w:t>
      </w:r>
      <w:r>
        <w:rPr>
          <w:lang w:eastAsia="nb-NO"/>
        </w:rPr>
        <w:t>: DBH</w:t>
      </w:r>
    </w:p>
    <w:p w14:paraId="2CD7838A" w14:textId="6BA2F90B" w:rsidR="00800189" w:rsidRPr="00422245" w:rsidRDefault="00FE0BB1" w:rsidP="005F731F">
      <w:pPr>
        <w:rPr>
          <w:b/>
          <w:bCs/>
          <w:lang w:eastAsia="nb-NO"/>
        </w:rPr>
      </w:pPr>
      <w:r w:rsidRPr="00422245">
        <w:rPr>
          <w:b/>
          <w:bCs/>
          <w:lang w:eastAsia="nb-NO"/>
        </w:rPr>
        <w:t xml:space="preserve">Femårige integrerte </w:t>
      </w:r>
      <w:r w:rsidR="00BC3D8B" w:rsidRPr="00422245">
        <w:rPr>
          <w:b/>
          <w:bCs/>
          <w:lang w:eastAsia="nb-NO"/>
        </w:rPr>
        <w:t>mastergrader</w:t>
      </w:r>
      <w:r w:rsidR="00D638A7">
        <w:rPr>
          <w:rStyle w:val="Fotnotereferanse"/>
          <w:b/>
          <w:bCs/>
          <w:lang w:eastAsia="nb-NO"/>
        </w:rPr>
        <w:footnoteReference w:id="24"/>
      </w:r>
    </w:p>
    <w:p w14:paraId="7E0BB91C" w14:textId="3476407D" w:rsidR="000630D4" w:rsidRPr="00422245" w:rsidRDefault="002A5949" w:rsidP="004C02CB">
      <w:pPr>
        <w:rPr>
          <w:lang w:eastAsia="nb-NO"/>
        </w:rPr>
      </w:pPr>
      <w:r w:rsidRPr="00422245">
        <w:rPr>
          <w:lang w:eastAsia="nb-NO"/>
        </w:rPr>
        <w:t>For de femårige integrerte masterutdanningene</w:t>
      </w:r>
      <w:r w:rsidR="00205751" w:rsidRPr="00422245">
        <w:rPr>
          <w:lang w:eastAsia="nb-NO"/>
        </w:rPr>
        <w:t xml:space="preserve"> </w:t>
      </w:r>
      <w:r w:rsidRPr="00422245">
        <w:rPr>
          <w:lang w:eastAsia="nb-NO"/>
        </w:rPr>
        <w:t xml:space="preserve">kommer den store økningen mellom 2020 og 2023 av at </w:t>
      </w:r>
      <w:r w:rsidR="00323B37" w:rsidRPr="00422245">
        <w:rPr>
          <w:lang w:eastAsia="nb-NO"/>
        </w:rPr>
        <w:t>gjennomføring</w:t>
      </w:r>
      <w:r w:rsidR="00DB0B97" w:rsidRPr="00422245">
        <w:rPr>
          <w:lang w:eastAsia="nb-NO"/>
        </w:rPr>
        <w:t>en</w:t>
      </w:r>
      <w:r w:rsidR="00323B37" w:rsidRPr="00422245">
        <w:rPr>
          <w:lang w:eastAsia="nb-NO"/>
        </w:rPr>
        <w:t xml:space="preserve"> et</w:t>
      </w:r>
      <w:r w:rsidR="00DB0B97" w:rsidRPr="00422245">
        <w:rPr>
          <w:lang w:eastAsia="nb-NO"/>
        </w:rPr>
        <w:t>t</w:t>
      </w:r>
      <w:r w:rsidR="00323B37" w:rsidRPr="00422245">
        <w:rPr>
          <w:lang w:eastAsia="nb-NO"/>
        </w:rPr>
        <w:t xml:space="preserve">er normert tid har økt kraftig for </w:t>
      </w:r>
      <w:r w:rsidRPr="00422245">
        <w:rPr>
          <w:lang w:eastAsia="nb-NO"/>
        </w:rPr>
        <w:t xml:space="preserve">de </w:t>
      </w:r>
      <w:r w:rsidR="00E4701A" w:rsidRPr="00422245">
        <w:rPr>
          <w:lang w:eastAsia="nb-NO"/>
        </w:rPr>
        <w:t>tre store utdanningene av denne typen</w:t>
      </w:r>
      <w:r w:rsidR="00323B37" w:rsidRPr="00422245">
        <w:rPr>
          <w:lang w:eastAsia="nb-NO"/>
        </w:rPr>
        <w:t>, det vil si</w:t>
      </w:r>
      <w:r w:rsidR="00E4701A" w:rsidRPr="00422245">
        <w:rPr>
          <w:lang w:eastAsia="nb-NO"/>
        </w:rPr>
        <w:t xml:space="preserve"> teknologiutdanning, lektorutdanning og retts</w:t>
      </w:r>
      <w:r w:rsidR="00205751" w:rsidRPr="00422245">
        <w:rPr>
          <w:lang w:eastAsia="nb-NO"/>
        </w:rPr>
        <w:t>vitenskap</w:t>
      </w:r>
      <w:r w:rsidR="00323B37" w:rsidRPr="00422245">
        <w:rPr>
          <w:lang w:eastAsia="nb-NO"/>
        </w:rPr>
        <w:t>.</w:t>
      </w:r>
      <w:r w:rsidR="00DB0B97" w:rsidRPr="00422245">
        <w:rPr>
          <w:lang w:eastAsia="nb-NO"/>
        </w:rPr>
        <w:t xml:space="preserve"> </w:t>
      </w:r>
      <w:r w:rsidR="00834BC1" w:rsidRPr="00422245">
        <w:rPr>
          <w:lang w:eastAsia="nb-NO"/>
        </w:rPr>
        <w:t xml:space="preserve">De to førstnevnte utdanningene </w:t>
      </w:r>
      <w:r w:rsidR="009554D4" w:rsidRPr="00422245">
        <w:rPr>
          <w:lang w:eastAsia="nb-NO"/>
        </w:rPr>
        <w:t xml:space="preserve">har </w:t>
      </w:r>
      <w:r w:rsidR="00050382" w:rsidRPr="00422245">
        <w:rPr>
          <w:lang w:eastAsia="nb-NO"/>
        </w:rPr>
        <w:t>økt mest</w:t>
      </w:r>
      <w:r w:rsidR="009554D4" w:rsidRPr="00422245">
        <w:rPr>
          <w:lang w:eastAsia="nb-NO"/>
        </w:rPr>
        <w:t xml:space="preserve"> </w:t>
      </w:r>
      <w:r w:rsidR="00050382" w:rsidRPr="00422245">
        <w:rPr>
          <w:lang w:eastAsia="nb-NO"/>
        </w:rPr>
        <w:t>(</w:t>
      </w:r>
      <w:r w:rsidR="009554D4" w:rsidRPr="00422245">
        <w:rPr>
          <w:lang w:eastAsia="nb-NO"/>
        </w:rPr>
        <w:t>14 prosentpoeng</w:t>
      </w:r>
      <w:r w:rsidR="00050382" w:rsidRPr="00422245">
        <w:rPr>
          <w:lang w:eastAsia="nb-NO"/>
        </w:rPr>
        <w:t>)</w:t>
      </w:r>
      <w:r w:rsidR="00504B4F" w:rsidRPr="00422245">
        <w:rPr>
          <w:lang w:eastAsia="nb-NO"/>
        </w:rPr>
        <w:t>, og alle disse tre utdanningene har nå en gjennomføringsgrad etter normert tid på rundt 50 prosent.</w:t>
      </w:r>
      <w:r w:rsidR="00AC0F8F" w:rsidRPr="00422245">
        <w:rPr>
          <w:lang w:eastAsia="nb-NO"/>
        </w:rPr>
        <w:t xml:space="preserve"> </w:t>
      </w:r>
      <w:r w:rsidR="006F3D88" w:rsidRPr="00422245">
        <w:rPr>
          <w:lang w:eastAsia="nb-NO"/>
        </w:rPr>
        <w:t>For teknologistudentenes vedkommende var 8 av 10 uteksaminert</w:t>
      </w:r>
      <w:r w:rsidR="00915AFA" w:rsidRPr="00422245">
        <w:rPr>
          <w:lang w:eastAsia="nb-NO"/>
        </w:rPr>
        <w:t>e i 2023</w:t>
      </w:r>
      <w:r w:rsidR="006F3D88" w:rsidRPr="00422245">
        <w:rPr>
          <w:lang w:eastAsia="nb-NO"/>
        </w:rPr>
        <w:t xml:space="preserve"> fra NTNU, og </w:t>
      </w:r>
      <w:r w:rsidR="006E5FD9" w:rsidRPr="00422245">
        <w:rPr>
          <w:lang w:eastAsia="nb-NO"/>
        </w:rPr>
        <w:t xml:space="preserve">det er </w:t>
      </w:r>
      <w:r w:rsidR="00915AFA" w:rsidRPr="00422245">
        <w:rPr>
          <w:lang w:eastAsia="nb-NO"/>
        </w:rPr>
        <w:t>en økt gjennomføring på teknologifag ved NTNU som driver hele økningene for denne utdanningen.</w:t>
      </w:r>
      <w:r w:rsidR="001A612F" w:rsidRPr="00422245">
        <w:rPr>
          <w:lang w:eastAsia="nb-NO"/>
        </w:rPr>
        <w:t xml:space="preserve"> </w:t>
      </w:r>
      <w:r w:rsidR="002B11FB" w:rsidRPr="00422245">
        <w:rPr>
          <w:lang w:eastAsia="nb-NO"/>
        </w:rPr>
        <w:t xml:space="preserve">De uteksaminerte fra den integrerte lektorutdanningen er </w:t>
      </w:r>
      <w:r w:rsidR="00CE4B01" w:rsidRPr="00422245">
        <w:rPr>
          <w:lang w:eastAsia="nb-NO"/>
        </w:rPr>
        <w:t>mer spredt over flere institusjoner</w:t>
      </w:r>
      <w:r w:rsidR="00FE1632" w:rsidRPr="00422245">
        <w:rPr>
          <w:lang w:eastAsia="nb-NO"/>
        </w:rPr>
        <w:t xml:space="preserve">. De </w:t>
      </w:r>
      <w:r w:rsidR="00935E58" w:rsidRPr="00422245">
        <w:rPr>
          <w:lang w:eastAsia="nb-NO"/>
        </w:rPr>
        <w:t>største kullene er uteksaminert fra de fire gamle universitetene, og alle disse har hatt en økt gjennomføring de seneste årene.</w:t>
      </w:r>
      <w:r w:rsidR="00C04451" w:rsidRPr="00422245">
        <w:rPr>
          <w:lang w:eastAsia="nb-NO"/>
        </w:rPr>
        <w:t xml:space="preserve"> </w:t>
      </w:r>
      <w:r w:rsidR="001E536C" w:rsidRPr="00422245">
        <w:rPr>
          <w:lang w:eastAsia="nb-NO"/>
        </w:rPr>
        <w:t xml:space="preserve">Når vi ser bort fra </w:t>
      </w:r>
      <w:r w:rsidR="005A008C" w:rsidRPr="00422245">
        <w:rPr>
          <w:lang w:eastAsia="nb-NO"/>
        </w:rPr>
        <w:t xml:space="preserve">institusjoner </w:t>
      </w:r>
      <w:r w:rsidR="009932F5" w:rsidRPr="00422245">
        <w:rPr>
          <w:lang w:eastAsia="nb-NO"/>
        </w:rPr>
        <w:t>med få uteksaminerte,</w:t>
      </w:r>
      <w:r w:rsidR="008D6E9C" w:rsidRPr="00422245">
        <w:rPr>
          <w:lang w:eastAsia="nb-NO"/>
        </w:rPr>
        <w:t xml:space="preserve"> </w:t>
      </w:r>
      <w:r w:rsidR="001E536C" w:rsidRPr="00422245">
        <w:rPr>
          <w:lang w:eastAsia="nb-NO"/>
        </w:rPr>
        <w:t xml:space="preserve">utpeker </w:t>
      </w:r>
      <w:r w:rsidR="009932F5" w:rsidRPr="00422245">
        <w:rPr>
          <w:lang w:eastAsia="nb-NO"/>
        </w:rPr>
        <w:t>NTNU</w:t>
      </w:r>
      <w:r w:rsidR="001E536C" w:rsidRPr="00422245">
        <w:rPr>
          <w:lang w:eastAsia="nb-NO"/>
        </w:rPr>
        <w:t xml:space="preserve"> seg med den høyeste </w:t>
      </w:r>
      <w:r w:rsidR="006A4A8D" w:rsidRPr="00422245">
        <w:rPr>
          <w:lang w:eastAsia="nb-NO"/>
        </w:rPr>
        <w:lastRenderedPageBreak/>
        <w:t xml:space="preserve">gjennomføringsgraden </w:t>
      </w:r>
      <w:r w:rsidR="00ED6CBE">
        <w:rPr>
          <w:lang w:eastAsia="nb-NO"/>
        </w:rPr>
        <w:t xml:space="preserve">med </w:t>
      </w:r>
      <w:r w:rsidR="006A4A8D" w:rsidRPr="00422245">
        <w:rPr>
          <w:lang w:eastAsia="nb-NO"/>
        </w:rPr>
        <w:t>55 prosent. UiB ligger lavest av de store med 44 prosent.</w:t>
      </w:r>
    </w:p>
    <w:p w14:paraId="6897AC16" w14:textId="2C0D737B" w:rsidR="004C02CB" w:rsidRPr="00422245" w:rsidRDefault="004C02CB" w:rsidP="004C02CB">
      <w:pPr>
        <w:rPr>
          <w:lang w:eastAsia="nb-NO"/>
        </w:rPr>
      </w:pPr>
      <w:r w:rsidRPr="00422245">
        <w:rPr>
          <w:lang w:eastAsia="nb-NO"/>
        </w:rPr>
        <w:t xml:space="preserve">Nokså mange fullfører femårige mastergrader på mer enn normert tid. For det siste kullet som har rukket å gå ett år </w:t>
      </w:r>
      <w:r w:rsidR="00876F48">
        <w:rPr>
          <w:lang w:eastAsia="nb-NO"/>
        </w:rPr>
        <w:t xml:space="preserve">over </w:t>
      </w:r>
      <w:r w:rsidRPr="00422245">
        <w:rPr>
          <w:lang w:eastAsia="nb-NO"/>
        </w:rPr>
        <w:t xml:space="preserve">normert tid, steg gjennomføringen fra 48 prosent etter normert tid til 64 prosent ett år etter normert tid. De foregående årene har ytterligere 5 til 6 prosentpoeng gjennomført to år etter normert tid (se </w:t>
      </w:r>
      <w:r w:rsidRPr="00422245">
        <w:rPr>
          <w:lang w:eastAsia="nb-NO"/>
        </w:rPr>
        <w:fldChar w:fldCharType="begin"/>
      </w:r>
      <w:r w:rsidRPr="00422245">
        <w:rPr>
          <w:lang w:eastAsia="nb-NO"/>
        </w:rPr>
        <w:instrText xml:space="preserve"> REF _Ref161901757 \h </w:instrText>
      </w:r>
      <w:r w:rsidRPr="00422245">
        <w:rPr>
          <w:lang w:eastAsia="nb-NO"/>
        </w:rPr>
      </w:r>
      <w:r w:rsidRPr="00422245">
        <w:rPr>
          <w:lang w:eastAsia="nb-NO"/>
        </w:rPr>
        <w:fldChar w:fldCharType="separate"/>
      </w:r>
      <w:r w:rsidR="008A37C1" w:rsidRPr="00422245">
        <w:t xml:space="preserve">Figur </w:t>
      </w:r>
      <w:r w:rsidR="00ED6CBE">
        <w:rPr>
          <w:noProof/>
        </w:rPr>
        <w:t>5</w:t>
      </w:r>
      <w:r w:rsidR="008A37C1" w:rsidRPr="00422245">
        <w:noBreakHyphen/>
      </w:r>
      <w:r w:rsidR="005B096E">
        <w:rPr>
          <w:noProof/>
        </w:rPr>
        <w:t>9</w:t>
      </w:r>
      <w:r w:rsidRPr="00422245">
        <w:rPr>
          <w:lang w:eastAsia="nb-NO"/>
        </w:rPr>
        <w:fldChar w:fldCharType="end"/>
      </w:r>
      <w:r w:rsidRPr="00422245">
        <w:rPr>
          <w:lang w:eastAsia="nb-NO"/>
        </w:rPr>
        <w:t xml:space="preserve">). Tabell V2.20 viser statistikk for det siste kullet som har rukket å gå mer enn to år </w:t>
      </w:r>
      <w:r w:rsidR="006839C6">
        <w:rPr>
          <w:lang w:eastAsia="nb-NO"/>
        </w:rPr>
        <w:t>utover</w:t>
      </w:r>
      <w:r w:rsidRPr="00422245">
        <w:rPr>
          <w:lang w:eastAsia="nb-NO"/>
        </w:rPr>
        <w:t xml:space="preserve"> normert tid, det vil si de som skulle ha vært uteksaminert etter normert tid i 2021. </w:t>
      </w:r>
      <w:r w:rsidRPr="00422245">
        <w:rPr>
          <w:lang w:eastAsia="nb-NO"/>
        </w:rPr>
        <w:fldChar w:fldCharType="begin"/>
      </w:r>
      <w:r w:rsidRPr="00422245">
        <w:rPr>
          <w:lang w:eastAsia="nb-NO"/>
        </w:rPr>
        <w:instrText xml:space="preserve"> REF _Ref161901757 \h </w:instrText>
      </w:r>
      <w:r w:rsidRPr="00422245">
        <w:rPr>
          <w:lang w:eastAsia="nb-NO"/>
        </w:rPr>
      </w:r>
      <w:r w:rsidRPr="00422245">
        <w:rPr>
          <w:lang w:eastAsia="nb-NO"/>
        </w:rPr>
        <w:fldChar w:fldCharType="separate"/>
      </w:r>
      <w:r w:rsidR="008A37C1" w:rsidRPr="00422245">
        <w:t xml:space="preserve">Figur </w:t>
      </w:r>
      <w:r w:rsidR="006839C6">
        <w:rPr>
          <w:noProof/>
        </w:rPr>
        <w:t>5</w:t>
      </w:r>
      <w:r w:rsidR="008A37C1" w:rsidRPr="00422245">
        <w:noBreakHyphen/>
      </w:r>
      <w:r w:rsidR="005B096E">
        <w:rPr>
          <w:noProof/>
        </w:rPr>
        <w:t>9</w:t>
      </w:r>
      <w:r w:rsidRPr="00422245">
        <w:rPr>
          <w:lang w:eastAsia="nb-NO"/>
        </w:rPr>
        <w:fldChar w:fldCharType="end"/>
      </w:r>
      <w:r w:rsidRPr="00422245">
        <w:rPr>
          <w:lang w:eastAsia="nb-NO"/>
        </w:rPr>
        <w:t>,</w:t>
      </w:r>
      <w:r w:rsidR="008A37C1" w:rsidRPr="00422245">
        <w:rPr>
          <w:lang w:eastAsia="nb-NO"/>
        </w:rPr>
        <w:t xml:space="preserve"> viser at </w:t>
      </w:r>
      <w:r w:rsidRPr="00422245">
        <w:rPr>
          <w:lang w:eastAsia="nb-NO"/>
        </w:rPr>
        <w:t>totalt 69 prosent av dette kullet fullført studiene når det har gått to år etter normert tid. 14 prosent studerer fortsatt, mens 17 prosent har falt fra, og er ikke lenger registrert på et femårig masterprogram. Dette er noe lavere enn de foregående årene, da frafallet to år etter normert tid har ligget på mellom 19 og 22 prosent.</w:t>
      </w:r>
    </w:p>
    <w:p w14:paraId="1DB1BA2F" w14:textId="42EE8B08" w:rsidR="004C02CB" w:rsidRPr="00422245" w:rsidRDefault="004C02CB" w:rsidP="004C02CB">
      <w:pPr>
        <w:pStyle w:val="Bildetekst"/>
        <w:keepNext/>
      </w:pPr>
      <w:bookmarkStart w:id="101" w:name="_Ref161901757"/>
      <w:r w:rsidRPr="00422245">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9</w:t>
      </w:r>
      <w:r w:rsidR="006E1D94">
        <w:fldChar w:fldCharType="end"/>
      </w:r>
      <w:bookmarkEnd w:id="101"/>
      <w:r w:rsidRPr="00422245">
        <w:t xml:space="preserve"> Gjennomføring av femårige mastergrader etter normert gjennomføringsår. 2014-2023. Prosent.</w:t>
      </w:r>
    </w:p>
    <w:p w14:paraId="46407005" w14:textId="77777777" w:rsidR="004C02CB" w:rsidRDefault="004C02CB" w:rsidP="004C02CB">
      <w:pPr>
        <w:rPr>
          <w:lang w:eastAsia="nb-NO"/>
        </w:rPr>
      </w:pPr>
      <w:r w:rsidRPr="00422245">
        <w:rPr>
          <w:noProof/>
        </w:rPr>
        <w:drawing>
          <wp:inline distT="0" distB="0" distL="0" distR="0" wp14:anchorId="31164C94" wp14:editId="3F849EA9">
            <wp:extent cx="4572000" cy="2743200"/>
            <wp:effectExtent l="0" t="0" r="0" b="0"/>
            <wp:docPr id="1950399551" name="Diagram 1">
              <a:extLst xmlns:a="http://schemas.openxmlformats.org/drawingml/2006/main">
                <a:ext uri="{FF2B5EF4-FFF2-40B4-BE49-F238E27FC236}">
                  <a16:creationId xmlns:a16="http://schemas.microsoft.com/office/drawing/2014/main" id="{654FD263-910A-AC13-3988-BE61B98411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8C6AAA4" w14:textId="50B199A4" w:rsidR="00C937B2" w:rsidRPr="00422245" w:rsidRDefault="00C937B2" w:rsidP="00C937B2">
      <w:pPr>
        <w:pStyle w:val="Kilde"/>
        <w:rPr>
          <w:lang w:eastAsia="nb-NO"/>
        </w:rPr>
      </w:pPr>
      <w:r w:rsidRPr="004E373E">
        <w:rPr>
          <w:b/>
          <w:lang w:eastAsia="nb-NO"/>
        </w:rPr>
        <w:t>Kilde</w:t>
      </w:r>
      <w:r>
        <w:rPr>
          <w:lang w:eastAsia="nb-NO"/>
        </w:rPr>
        <w:t>: DBH</w:t>
      </w:r>
    </w:p>
    <w:p w14:paraId="68FF1635" w14:textId="77777777" w:rsidR="00F05590" w:rsidRPr="00422245" w:rsidRDefault="00F05590" w:rsidP="004C02CB">
      <w:pPr>
        <w:rPr>
          <w:lang w:eastAsia="nb-NO"/>
        </w:rPr>
      </w:pPr>
    </w:p>
    <w:p w14:paraId="7BFAD547" w14:textId="377FAC9E" w:rsidR="004C02CB" w:rsidRPr="00422245" w:rsidRDefault="00F05590" w:rsidP="00F05590">
      <w:pPr>
        <w:pStyle w:val="Overskrift3"/>
        <w:spacing w:before="288"/>
        <w:rPr>
          <w:lang w:eastAsia="nb-NO"/>
        </w:rPr>
      </w:pPr>
      <w:bookmarkStart w:id="102" w:name="_Ref162980969"/>
      <w:bookmarkStart w:id="103" w:name="_Toc163488423"/>
      <w:r w:rsidRPr="00422245">
        <w:rPr>
          <w:lang w:eastAsia="nb-NO"/>
        </w:rPr>
        <w:t>Uteksaminerte</w:t>
      </w:r>
      <w:bookmarkEnd w:id="102"/>
      <w:bookmarkEnd w:id="103"/>
    </w:p>
    <w:p w14:paraId="0E3A1A57" w14:textId="174105F4" w:rsidR="00F05590" w:rsidRPr="00422245" w:rsidRDefault="008A37C1" w:rsidP="00F05590">
      <w:pPr>
        <w:rPr>
          <w:lang w:eastAsia="nb-NO"/>
        </w:rPr>
      </w:pPr>
      <w:r w:rsidRPr="00422245">
        <w:rPr>
          <w:lang w:eastAsia="nb-NO"/>
        </w:rPr>
        <w:fldChar w:fldCharType="begin"/>
      </w:r>
      <w:r w:rsidRPr="00422245">
        <w:rPr>
          <w:lang w:eastAsia="nb-NO"/>
        </w:rPr>
        <w:instrText xml:space="preserve"> REF _Ref162275772 \h </w:instrText>
      </w:r>
      <w:r w:rsidRPr="00422245">
        <w:rPr>
          <w:lang w:eastAsia="nb-NO"/>
        </w:rPr>
      </w:r>
      <w:r w:rsidRPr="00422245">
        <w:rPr>
          <w:lang w:eastAsia="nb-NO"/>
        </w:rPr>
        <w:fldChar w:fldCharType="separate"/>
      </w:r>
      <w:r w:rsidRPr="00422245">
        <w:t xml:space="preserve">Figur </w:t>
      </w:r>
      <w:r w:rsidR="00DA1A6C">
        <w:rPr>
          <w:noProof/>
        </w:rPr>
        <w:t>5</w:t>
      </w:r>
      <w:r w:rsidRPr="00422245">
        <w:noBreakHyphen/>
      </w:r>
      <w:r w:rsidR="005B096E">
        <w:rPr>
          <w:noProof/>
        </w:rPr>
        <w:t>10</w:t>
      </w:r>
      <w:r w:rsidRPr="00422245">
        <w:rPr>
          <w:lang w:eastAsia="nb-NO"/>
        </w:rPr>
        <w:fldChar w:fldCharType="end"/>
      </w:r>
      <w:r w:rsidR="007D31B4" w:rsidRPr="00422245">
        <w:rPr>
          <w:lang w:eastAsia="nb-NO"/>
        </w:rPr>
        <w:fldChar w:fldCharType="begin"/>
      </w:r>
      <w:r w:rsidR="007D31B4" w:rsidRPr="00422245">
        <w:rPr>
          <w:lang w:eastAsia="nb-NO"/>
        </w:rPr>
        <w:instrText xml:space="preserve"> REF _Ref159416699 \h </w:instrText>
      </w:r>
      <w:r w:rsidR="007D31B4" w:rsidRPr="00422245">
        <w:rPr>
          <w:lang w:eastAsia="nb-NO"/>
        </w:rPr>
      </w:r>
      <w:r w:rsidR="00000000">
        <w:rPr>
          <w:lang w:eastAsia="nb-NO"/>
        </w:rPr>
        <w:fldChar w:fldCharType="separate"/>
      </w:r>
      <w:r w:rsidR="007D31B4" w:rsidRPr="00422245">
        <w:rPr>
          <w:lang w:eastAsia="nb-NO"/>
        </w:rPr>
        <w:fldChar w:fldCharType="end"/>
      </w:r>
      <w:r w:rsidR="007D31B4" w:rsidRPr="00422245">
        <w:rPr>
          <w:lang w:eastAsia="nb-NO"/>
        </w:rPr>
        <w:t xml:space="preserve"> </w:t>
      </w:r>
      <w:r w:rsidR="00362B8F" w:rsidRPr="00422245">
        <w:rPr>
          <w:lang w:eastAsia="nb-NO"/>
        </w:rPr>
        <w:t>viser utviklingen i antall uteksaminerte på ulike nivåer.</w:t>
      </w:r>
      <w:r w:rsidR="00AC3155" w:rsidRPr="00422245">
        <w:rPr>
          <w:lang w:eastAsia="nb-NO"/>
        </w:rPr>
        <w:t xml:space="preserve"> Antallet uteksaminerte med </w:t>
      </w:r>
      <w:r w:rsidR="00123C68" w:rsidRPr="00422245">
        <w:rPr>
          <w:lang w:eastAsia="nb-NO"/>
        </w:rPr>
        <w:t>bachelorgrad</w:t>
      </w:r>
      <w:r w:rsidR="00AC3155" w:rsidRPr="00422245">
        <w:rPr>
          <w:lang w:eastAsia="nb-NO"/>
        </w:rPr>
        <w:t xml:space="preserve"> var i 2023 på rundt 33 000, mens antallet med </w:t>
      </w:r>
      <w:r w:rsidR="00123C68" w:rsidRPr="00422245">
        <w:rPr>
          <w:lang w:eastAsia="nb-NO"/>
        </w:rPr>
        <w:t>mastergrad</w:t>
      </w:r>
      <w:r w:rsidR="00AC3155" w:rsidRPr="00422245">
        <w:rPr>
          <w:lang w:eastAsia="nb-NO"/>
        </w:rPr>
        <w:t xml:space="preserve"> var </w:t>
      </w:r>
      <w:r w:rsidR="00123C68" w:rsidRPr="00422245">
        <w:rPr>
          <w:lang w:eastAsia="nb-NO"/>
        </w:rPr>
        <w:t>om lag 21 000.</w:t>
      </w:r>
      <w:r w:rsidR="00361C84" w:rsidRPr="00422245">
        <w:rPr>
          <w:lang w:eastAsia="nb-NO"/>
        </w:rPr>
        <w:t xml:space="preserve"> </w:t>
      </w:r>
      <w:r w:rsidR="00092A9E" w:rsidRPr="00422245">
        <w:rPr>
          <w:lang w:eastAsia="nb-NO"/>
        </w:rPr>
        <w:t xml:space="preserve">Spranget i antallet uteksaminerte med mastergrad </w:t>
      </w:r>
      <w:r w:rsidR="00092A9E" w:rsidRPr="00422245">
        <w:rPr>
          <w:lang w:eastAsia="nb-NO"/>
        </w:rPr>
        <w:lastRenderedPageBreak/>
        <w:t xml:space="preserve">fra 2021 til 2022 skyldes at det første kullet </w:t>
      </w:r>
      <w:r w:rsidR="00314FF9" w:rsidRPr="00422245">
        <w:rPr>
          <w:lang w:eastAsia="nb-NO"/>
        </w:rPr>
        <w:t>fra den femårige grunnskolelærerutdanningen var ferdig utdannet dette året.</w:t>
      </w:r>
      <w:r w:rsidR="000619B3" w:rsidRPr="00422245">
        <w:rPr>
          <w:rStyle w:val="Fotnotereferanse"/>
          <w:lang w:eastAsia="nb-NO"/>
        </w:rPr>
        <w:footnoteReference w:id="25"/>
      </w:r>
      <w:r w:rsidR="000619B3" w:rsidRPr="00422245">
        <w:rPr>
          <w:lang w:eastAsia="nb-NO"/>
        </w:rPr>
        <w:t xml:space="preserve"> </w:t>
      </w:r>
      <w:r w:rsidR="00134D59" w:rsidRPr="00422245">
        <w:rPr>
          <w:lang w:eastAsia="nb-NO"/>
        </w:rPr>
        <w:t xml:space="preserve">28 prosent av de uteksaminerte med mastergrad i 2023 </w:t>
      </w:r>
      <w:r w:rsidR="001F59E9" w:rsidRPr="00422245">
        <w:rPr>
          <w:lang w:eastAsia="nb-NO"/>
        </w:rPr>
        <w:t xml:space="preserve">hadde fullført en femårig </w:t>
      </w:r>
      <w:r w:rsidR="00337BC2" w:rsidRPr="00422245">
        <w:rPr>
          <w:lang w:eastAsia="nb-NO"/>
        </w:rPr>
        <w:t xml:space="preserve">integrert masterutdanning, mens </w:t>
      </w:r>
      <w:r w:rsidR="0089073F" w:rsidRPr="00422245">
        <w:rPr>
          <w:lang w:eastAsia="nb-NO"/>
        </w:rPr>
        <w:t xml:space="preserve">63 prosent hadde fulført en </w:t>
      </w:r>
      <w:r w:rsidR="00771007" w:rsidRPr="00422245">
        <w:rPr>
          <w:lang w:eastAsia="nb-NO"/>
        </w:rPr>
        <w:t>ordinær</w:t>
      </w:r>
      <w:r w:rsidR="0089073F" w:rsidRPr="00422245">
        <w:rPr>
          <w:lang w:eastAsia="nb-NO"/>
        </w:rPr>
        <w:t xml:space="preserve"> toårig mastergrad.</w:t>
      </w:r>
      <w:r w:rsidR="00821A48" w:rsidRPr="00422245">
        <w:rPr>
          <w:lang w:eastAsia="nb-NO"/>
        </w:rPr>
        <w:t xml:space="preserve"> </w:t>
      </w:r>
      <w:r w:rsidR="009C1058" w:rsidRPr="00422245">
        <w:rPr>
          <w:lang w:eastAsia="nb-NO"/>
        </w:rPr>
        <w:t>8 prosent fullførte en erfaringsbasert mastergrad med normert tid på 1,5-2 år.</w:t>
      </w:r>
      <w:r w:rsidR="00821A48" w:rsidRPr="00422245">
        <w:rPr>
          <w:lang w:eastAsia="nb-NO"/>
        </w:rPr>
        <w:t xml:space="preserve"> </w:t>
      </w:r>
      <w:r w:rsidR="00FD6F8E" w:rsidRPr="00422245">
        <w:rPr>
          <w:lang w:eastAsia="nb-NO"/>
        </w:rPr>
        <w:t xml:space="preserve">Fallet i </w:t>
      </w:r>
      <w:r w:rsidR="00DB0664" w:rsidRPr="00422245">
        <w:rPr>
          <w:lang w:eastAsia="nb-NO"/>
        </w:rPr>
        <w:t xml:space="preserve">uteksaminerte med årsstudium skyldes </w:t>
      </w:r>
      <w:r w:rsidR="00656B9E" w:rsidRPr="00422245">
        <w:rPr>
          <w:lang w:eastAsia="nb-NO"/>
        </w:rPr>
        <w:t>i hovedsak at færre utdannes med videreutdanninger i sykepleie på 60-studiepoeng</w:t>
      </w:r>
      <w:r w:rsidR="00314896" w:rsidRPr="00422245">
        <w:rPr>
          <w:lang w:eastAsia="nb-NO"/>
        </w:rPr>
        <w:t xml:space="preserve"> (de fleste tar nå master). I tillegg har det blitt færre som tar Praktisk-pedagogisk utdanning (PPU).</w:t>
      </w:r>
    </w:p>
    <w:p w14:paraId="5C4944BC" w14:textId="059AFE9C" w:rsidR="007D31B4" w:rsidRPr="00422245" w:rsidRDefault="007D31B4" w:rsidP="007D31B4">
      <w:pPr>
        <w:pStyle w:val="Bildetekst"/>
        <w:keepNext/>
      </w:pPr>
      <w:bookmarkStart w:id="104" w:name="_Ref162275772"/>
      <w:r w:rsidRPr="00422245">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10</w:t>
      </w:r>
      <w:r w:rsidR="006E1D94">
        <w:fldChar w:fldCharType="end"/>
      </w:r>
      <w:bookmarkEnd w:id="104"/>
      <w:r w:rsidRPr="00422245">
        <w:t xml:space="preserve"> Antall utek</w:t>
      </w:r>
      <w:r w:rsidR="003A44E8" w:rsidRPr="00422245">
        <w:t>s</w:t>
      </w:r>
      <w:r w:rsidRPr="00422245">
        <w:t>aminerte på ulike nivåer. 2014-2023</w:t>
      </w:r>
    </w:p>
    <w:p w14:paraId="394AF659" w14:textId="1E232CF6" w:rsidR="005A40A7" w:rsidRPr="00422245" w:rsidRDefault="001653EB" w:rsidP="005F731F">
      <w:pPr>
        <w:rPr>
          <w:lang w:eastAsia="nb-NO"/>
        </w:rPr>
      </w:pPr>
      <w:r w:rsidRPr="00422245">
        <w:rPr>
          <w:noProof/>
        </w:rPr>
        <w:drawing>
          <wp:inline distT="0" distB="0" distL="0" distR="0" wp14:anchorId="4680AE09" wp14:editId="7CE286E0">
            <wp:extent cx="5572125" cy="3257550"/>
            <wp:effectExtent l="0" t="0" r="9525" b="0"/>
            <wp:docPr id="2004082486" name="Diagram 1">
              <a:extLst xmlns:a="http://schemas.openxmlformats.org/drawingml/2006/main">
                <a:ext uri="{FF2B5EF4-FFF2-40B4-BE49-F238E27FC236}">
                  <a16:creationId xmlns:a16="http://schemas.microsoft.com/office/drawing/2014/main" id="{FFF73958-9128-94BF-ADD6-C5AA84A35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EB5EFCF" w14:textId="4D36EF77" w:rsidR="00361C84" w:rsidRPr="00465C62" w:rsidRDefault="001653EB" w:rsidP="00465C62">
      <w:pPr>
        <w:pStyle w:val="Merknad"/>
      </w:pPr>
      <w:r w:rsidRPr="00465C62">
        <w:t>Merknad: Bachelorgrad inkluderer her både 3-årig og 4-årig bachelorgrad.</w:t>
      </w:r>
      <w:r w:rsidR="000A797C" w:rsidRPr="00465C62">
        <w:t xml:space="preserve"> Svært få uteksamineres med 4-årig bachelorgrad. Mastergrad inkluderer 2-årig</w:t>
      </w:r>
      <w:r w:rsidR="006563EF" w:rsidRPr="00465C62">
        <w:t xml:space="preserve"> (</w:t>
      </w:r>
      <w:r w:rsidR="00523B11" w:rsidRPr="00465C62">
        <w:t xml:space="preserve">iht. § 3 i forskrift om krav til mastergrad), </w:t>
      </w:r>
      <w:r w:rsidR="007118D9" w:rsidRPr="00465C62">
        <w:t>1,5-2-årig (</w:t>
      </w:r>
      <w:r w:rsidR="00000D8F" w:rsidRPr="00465C62">
        <w:t xml:space="preserve">erfaringsbasert, </w:t>
      </w:r>
      <w:r w:rsidR="007118D9" w:rsidRPr="00465C62">
        <w:t>§ 5</w:t>
      </w:r>
      <w:r w:rsidR="002B57C2" w:rsidRPr="00465C62">
        <w:t xml:space="preserve"> i samme forskrift</w:t>
      </w:r>
      <w:r w:rsidR="007118D9" w:rsidRPr="00465C62">
        <w:t>)</w:t>
      </w:r>
      <w:r w:rsidR="002F170A" w:rsidRPr="00465C62">
        <w:t>, 1-1,5-årig (§ 7</w:t>
      </w:r>
      <w:r w:rsidR="002B57C2" w:rsidRPr="00465C62">
        <w:t xml:space="preserve"> i samme forskrift</w:t>
      </w:r>
      <w:r w:rsidR="002F170A" w:rsidRPr="00465C62">
        <w:t xml:space="preserve">) og </w:t>
      </w:r>
      <w:r w:rsidR="00F44F8C" w:rsidRPr="00465C62">
        <w:t>femårig integrert</w:t>
      </w:r>
      <w:r w:rsidR="00EC1CA5" w:rsidRPr="00465C62">
        <w:t xml:space="preserve"> mastergrad (</w:t>
      </w:r>
      <w:r w:rsidR="002B57C2" w:rsidRPr="00465C62">
        <w:t>§ 4 i samme forskrift).</w:t>
      </w:r>
    </w:p>
    <w:p w14:paraId="2E481E17" w14:textId="5321A85E" w:rsidR="00465C62" w:rsidRPr="00422245" w:rsidRDefault="00465C62" w:rsidP="00465C62">
      <w:pPr>
        <w:pStyle w:val="Kilde"/>
        <w:rPr>
          <w:shd w:val="clear" w:color="auto" w:fill="FFFFFF"/>
        </w:rPr>
      </w:pPr>
      <w:r w:rsidRPr="004E373E">
        <w:rPr>
          <w:b/>
          <w:shd w:val="clear" w:color="auto" w:fill="FFFFFF"/>
        </w:rPr>
        <w:t>Kilde</w:t>
      </w:r>
      <w:r>
        <w:rPr>
          <w:shd w:val="clear" w:color="auto" w:fill="FFFFFF"/>
        </w:rPr>
        <w:t>: DBH</w:t>
      </w:r>
    </w:p>
    <w:p w14:paraId="6DBE6169" w14:textId="77777777" w:rsidR="009903D1" w:rsidRDefault="00344AC3" w:rsidP="00344AC3">
      <w:r w:rsidRPr="00422245">
        <w:t xml:space="preserve">Fagområdetilknytningen til alle uteksaminerte </w:t>
      </w:r>
      <w:r w:rsidR="00BE2315" w:rsidRPr="00422245">
        <w:t>i 2023</w:t>
      </w:r>
      <w:r w:rsidRPr="00422245">
        <w:t xml:space="preserve"> på de ulike nivåene </w:t>
      </w:r>
      <w:r w:rsidR="00BE2315" w:rsidRPr="00422245">
        <w:t xml:space="preserve">vises i </w:t>
      </w:r>
      <w:r w:rsidR="00BE2315" w:rsidRPr="00422245">
        <w:fldChar w:fldCharType="begin"/>
      </w:r>
      <w:r w:rsidR="00BE2315" w:rsidRPr="00422245">
        <w:instrText xml:space="preserve"> REF _Ref162253356 \h </w:instrText>
      </w:r>
      <w:r w:rsidR="00BE2315" w:rsidRPr="00422245">
        <w:fldChar w:fldCharType="separate"/>
      </w:r>
      <w:r w:rsidR="00505715" w:rsidRPr="00422245">
        <w:t xml:space="preserve">Figur </w:t>
      </w:r>
      <w:r w:rsidR="00BB2AEE">
        <w:rPr>
          <w:noProof/>
        </w:rPr>
        <w:t>5</w:t>
      </w:r>
      <w:r w:rsidR="00505715" w:rsidRPr="00422245">
        <w:noBreakHyphen/>
      </w:r>
      <w:r w:rsidR="005B096E">
        <w:rPr>
          <w:noProof/>
        </w:rPr>
        <w:t>11</w:t>
      </w:r>
      <w:r w:rsidR="00BE2315" w:rsidRPr="00422245">
        <w:fldChar w:fldCharType="end"/>
      </w:r>
      <w:r w:rsidR="00642AAB" w:rsidRPr="00422245">
        <w:t xml:space="preserve"> under</w:t>
      </w:r>
      <w:r w:rsidR="00BE2315" w:rsidRPr="00422245">
        <w:t>.</w:t>
      </w:r>
      <w:r w:rsidRPr="00422245">
        <w:t xml:space="preserve"> </w:t>
      </w:r>
      <w:r w:rsidR="00232582" w:rsidRPr="00422245">
        <w:t>Helsefag er det største fagområdet blant uteksaminerte med bachelorgrad</w:t>
      </w:r>
      <w:r w:rsidR="00EA406E" w:rsidRPr="00422245">
        <w:t xml:space="preserve">, men ikke blant dem med mastergrad. Dette </w:t>
      </w:r>
      <w:r w:rsidR="00704F8E" w:rsidRPr="00422245">
        <w:t>sky</w:t>
      </w:r>
      <w:r w:rsidR="001154C2" w:rsidRPr="00422245">
        <w:t>l</w:t>
      </w:r>
      <w:r w:rsidR="00704F8E" w:rsidRPr="00422245">
        <w:t>des</w:t>
      </w:r>
      <w:r w:rsidR="00F06285" w:rsidRPr="00422245">
        <w:t xml:space="preserve"> at</w:t>
      </w:r>
      <w:r w:rsidR="00E40043" w:rsidRPr="00422245">
        <w:t xml:space="preserve"> relativt få av </w:t>
      </w:r>
      <w:r w:rsidR="00616EDB" w:rsidRPr="00422245">
        <w:lastRenderedPageBreak/>
        <w:t xml:space="preserve">dem med </w:t>
      </w:r>
      <w:r w:rsidR="001154C2" w:rsidRPr="00422245">
        <w:t xml:space="preserve">helsefaglig profesjonsutdanning på bachelornivå </w:t>
      </w:r>
      <w:r w:rsidR="001F68FE" w:rsidRPr="00422245">
        <w:t>går videre til å studere på masternivå</w:t>
      </w:r>
      <w:r w:rsidR="00923A22" w:rsidRPr="00422245">
        <w:t>.</w:t>
      </w:r>
      <w:r w:rsidR="00FF59FB" w:rsidRPr="00422245">
        <w:t xml:space="preserve"> </w:t>
      </w:r>
      <w:r w:rsidR="005B374D" w:rsidRPr="00422245">
        <w:t xml:space="preserve">Blant </w:t>
      </w:r>
      <w:r w:rsidR="00812E02" w:rsidRPr="00422245">
        <w:t xml:space="preserve">uteksaminerte med </w:t>
      </w:r>
      <w:r w:rsidR="00271127">
        <w:t>fem</w:t>
      </w:r>
      <w:r w:rsidR="00D06B49" w:rsidRPr="00422245">
        <w:t>-</w:t>
      </w:r>
      <w:r w:rsidR="00812E02" w:rsidRPr="00422245">
        <w:t xml:space="preserve"> til </w:t>
      </w:r>
      <w:r w:rsidR="00271127">
        <w:t>sju</w:t>
      </w:r>
      <w:r w:rsidR="00812E02" w:rsidRPr="00422245">
        <w:t>årig</w:t>
      </w:r>
      <w:r w:rsidR="005B374D" w:rsidRPr="00422245">
        <w:t xml:space="preserve"> profesjons</w:t>
      </w:r>
      <w:r w:rsidR="00D06B49" w:rsidRPr="00422245">
        <w:softHyphen/>
      </w:r>
      <w:r w:rsidR="005B374D" w:rsidRPr="00422245">
        <w:t xml:space="preserve">utdanning </w:t>
      </w:r>
      <w:r w:rsidR="00C45F17" w:rsidRPr="00422245">
        <w:t>tilsvarer helsefag først og fremst medisinutdanning</w:t>
      </w:r>
      <w:r w:rsidR="00E45729" w:rsidRPr="00422245">
        <w:t>, som er den klart største utdanningen på dette nivået.</w:t>
      </w:r>
      <w:r w:rsidR="0091200D" w:rsidRPr="00422245">
        <w:rPr>
          <w:rStyle w:val="Fotnotereferanse"/>
        </w:rPr>
        <w:footnoteReference w:id="26"/>
      </w:r>
      <w:r w:rsidR="0091200D" w:rsidRPr="00422245">
        <w:t xml:space="preserve"> </w:t>
      </w:r>
      <w:r w:rsidR="00E36C4D" w:rsidRPr="00422245">
        <w:t xml:space="preserve">Økonomisk-administrative fag står for 20 prosent av de uteksaminerte med bachelorgrad og en noe mindre andel av dem med mastergrad. </w:t>
      </w:r>
      <w:r w:rsidR="005658F3" w:rsidRPr="00422245">
        <w:t>Dette er ellers det fagområdet der en størst andel</w:t>
      </w:r>
      <w:r w:rsidR="00E34415" w:rsidRPr="00422245">
        <w:t xml:space="preserve"> (over 20 prosent)</w:t>
      </w:r>
      <w:r w:rsidR="005658F3" w:rsidRPr="00422245">
        <w:t xml:space="preserve"> av de uteksaminerte med mastergrad </w:t>
      </w:r>
      <w:r w:rsidR="00092DBF" w:rsidRPr="00422245">
        <w:t xml:space="preserve">har </w:t>
      </w:r>
      <w:r w:rsidR="0054514D" w:rsidRPr="00422245">
        <w:t>fullført en erfaringsbasert</w:t>
      </w:r>
      <w:r w:rsidR="00092DBF" w:rsidRPr="00422245">
        <w:t xml:space="preserve"> </w:t>
      </w:r>
      <w:r w:rsidR="0023763B" w:rsidRPr="00422245">
        <w:t>eller annen kort mastergrad.</w:t>
      </w:r>
      <w:r w:rsidR="00E36C4D" w:rsidRPr="00422245">
        <w:t xml:space="preserve"> </w:t>
      </w:r>
      <w:r w:rsidR="00617040" w:rsidRPr="00422245">
        <w:t>Naturvitenskap og teknologi utgjør det tredje største fagområdet på bachelornivå</w:t>
      </w:r>
      <w:r w:rsidR="004729E2" w:rsidRPr="00422245">
        <w:t>, med rundt 18 prosent av de uteksaminerte.</w:t>
      </w:r>
    </w:p>
    <w:p w14:paraId="0CE07AAA" w14:textId="71A08A14" w:rsidR="009F1736" w:rsidRPr="00422245" w:rsidRDefault="006660AD" w:rsidP="00344AC3">
      <w:r w:rsidRPr="00422245">
        <w:t xml:space="preserve">På masternivå er </w:t>
      </w:r>
      <w:r w:rsidR="009903D1">
        <w:t>naturvitenskap og teknologi</w:t>
      </w:r>
      <w:r w:rsidRPr="00422245">
        <w:t xml:space="preserve"> det klart største fagområdet, med over en fjerdedel av d</w:t>
      </w:r>
      <w:r w:rsidR="00BC42AD" w:rsidRPr="00422245">
        <w:t xml:space="preserve">e uteksaminerte. </w:t>
      </w:r>
      <w:r w:rsidR="00BD6C79" w:rsidRPr="00422245">
        <w:t xml:space="preserve">Over 30 prosent av disse </w:t>
      </w:r>
      <w:r w:rsidR="005F1B60" w:rsidRPr="00422245">
        <w:t>har tatt en femårig integrert masterutdanning.</w:t>
      </w:r>
      <w:r w:rsidR="0023763B" w:rsidRPr="00422245">
        <w:t xml:space="preserve"> </w:t>
      </w:r>
      <w:r w:rsidR="00AB7D45" w:rsidRPr="00422245">
        <w:t xml:space="preserve">Likevel er det mange </w:t>
      </w:r>
      <w:r w:rsidR="007C2CCA" w:rsidRPr="00422245">
        <w:t xml:space="preserve">som </w:t>
      </w:r>
      <w:r w:rsidR="00C46F58" w:rsidRPr="00422245">
        <w:t xml:space="preserve">tar toårig mastergrad i naturvitenskap og teknologi, særlig sammenlignet med hvor mange som tar bachelorgrad. </w:t>
      </w:r>
      <w:r w:rsidR="00A67AC6" w:rsidRPr="00422245">
        <w:t xml:space="preserve">Datamaterialet vi har til rådighet i arbeidet med denne rapporten tillater ikke en presis analyse av </w:t>
      </w:r>
      <w:r w:rsidR="000C42DB" w:rsidRPr="00422245">
        <w:t xml:space="preserve">hvor stor </w:t>
      </w:r>
      <w:r w:rsidR="00DF0A71" w:rsidRPr="00422245">
        <w:t xml:space="preserve">andel av </w:t>
      </w:r>
      <w:r w:rsidR="00E466FC" w:rsidRPr="00422245">
        <w:t>de uteksaminerte fra et årskull med bachelorstudenter som senere blir uteksaminert med mastergrad.</w:t>
      </w:r>
      <w:r w:rsidR="007F7F93" w:rsidRPr="00422245">
        <w:t xml:space="preserve"> Et </w:t>
      </w:r>
      <w:r w:rsidR="00B732CD" w:rsidRPr="00422245">
        <w:t>grovt</w:t>
      </w:r>
      <w:r w:rsidR="007F7F93" w:rsidRPr="00422245">
        <w:t xml:space="preserve"> anslag </w:t>
      </w:r>
      <w:r w:rsidR="009C1D16" w:rsidRPr="00422245">
        <w:t>av forskjellen mellom fagområder kan vi likevel få dersom vi s</w:t>
      </w:r>
      <w:r w:rsidR="00B732CD" w:rsidRPr="00422245">
        <w:t>ammenligner hvor mange</w:t>
      </w:r>
      <w:r w:rsidR="009C1D16" w:rsidRPr="00422245">
        <w:t xml:space="preserve"> </w:t>
      </w:r>
      <w:r w:rsidR="00F07823" w:rsidRPr="00422245">
        <w:t xml:space="preserve">som fullførte en bachelorgrad </w:t>
      </w:r>
      <w:r w:rsidR="005A3994" w:rsidRPr="00422245">
        <w:t>i 202</w:t>
      </w:r>
      <w:r w:rsidR="007D59F1" w:rsidRPr="00422245">
        <w:t>1 eller 2020</w:t>
      </w:r>
      <w:r w:rsidR="00F07823" w:rsidRPr="00422245">
        <w:t xml:space="preserve"> </w:t>
      </w:r>
      <w:r w:rsidR="005A3994" w:rsidRPr="00422245">
        <w:t>med hvor mange</w:t>
      </w:r>
      <w:r w:rsidR="007D59F1" w:rsidRPr="00422245">
        <w:t xml:space="preserve"> </w:t>
      </w:r>
      <w:r w:rsidR="002C38B7" w:rsidRPr="00422245">
        <w:t xml:space="preserve">som fullførte en toårig mastergrad </w:t>
      </w:r>
      <w:r w:rsidR="00D740C9" w:rsidRPr="00422245">
        <w:t xml:space="preserve">i 2023. Uansett hvilket </w:t>
      </w:r>
      <w:r w:rsidR="00CC20F1" w:rsidRPr="00422245">
        <w:t xml:space="preserve">av disse </w:t>
      </w:r>
      <w:r w:rsidR="00D7216A" w:rsidRPr="00422245">
        <w:t>uteksamineringsår</w:t>
      </w:r>
      <w:r w:rsidR="00CC20F1" w:rsidRPr="00422245">
        <w:t>ene</w:t>
      </w:r>
      <w:r w:rsidR="00D7216A" w:rsidRPr="00422245">
        <w:t xml:space="preserve"> vi </w:t>
      </w:r>
      <w:r w:rsidR="00CC20F1" w:rsidRPr="00422245">
        <w:t>velger for bachelorutdannede</w:t>
      </w:r>
      <w:r w:rsidR="0048399B">
        <w:t>,</w:t>
      </w:r>
      <w:r w:rsidR="00CC20F1" w:rsidRPr="00422245">
        <w:t xml:space="preserve"> ser vi det samme mønsteret</w:t>
      </w:r>
      <w:r w:rsidR="00ED14E5" w:rsidRPr="00422245">
        <w:t xml:space="preserve">: </w:t>
      </w:r>
      <w:r w:rsidR="00694BD4" w:rsidRPr="00422245">
        <w:t>Antallet</w:t>
      </w:r>
      <w:r w:rsidR="00ED14E5" w:rsidRPr="00422245">
        <w:t xml:space="preserve"> </w:t>
      </w:r>
      <w:r w:rsidR="002A3C33" w:rsidRPr="00422245">
        <w:t xml:space="preserve">uteksaminerte med toårig mastergrad i </w:t>
      </w:r>
      <w:r w:rsidR="007260A5" w:rsidRPr="00422245">
        <w:t xml:space="preserve">naturvitenskap og teknologi </w:t>
      </w:r>
      <w:r w:rsidR="003D24FD" w:rsidRPr="00422245">
        <w:t>tilsvarer</w:t>
      </w:r>
      <w:r w:rsidR="007260A5" w:rsidRPr="00422245">
        <w:t xml:space="preserve"> </w:t>
      </w:r>
      <w:r w:rsidR="00694BD4" w:rsidRPr="00422245">
        <w:t>godt over 60</w:t>
      </w:r>
      <w:r w:rsidR="003D24FD" w:rsidRPr="00422245">
        <w:t xml:space="preserve"> prosent av </w:t>
      </w:r>
      <w:r w:rsidR="009A60D0" w:rsidRPr="00422245">
        <w:t xml:space="preserve">antallet </w:t>
      </w:r>
      <w:r w:rsidR="00E0495D" w:rsidRPr="00422245">
        <w:t>uteksaminert</w:t>
      </w:r>
      <w:r w:rsidR="009A60D0" w:rsidRPr="00422245">
        <w:t xml:space="preserve"> med bachelorgrad. </w:t>
      </w:r>
      <w:r w:rsidR="0048399B">
        <w:t xml:space="preserve">Det samme gjelder </w:t>
      </w:r>
      <w:r w:rsidR="0048399B" w:rsidRPr="00422245">
        <w:t>dersom vi går lenger tilbake i tid eller ser på gjennomsnitt over flere år</w:t>
      </w:r>
      <w:r w:rsidR="0048399B">
        <w:t>.</w:t>
      </w:r>
      <w:r w:rsidR="002D7FAE">
        <w:t xml:space="preserve"> </w:t>
      </w:r>
      <w:r w:rsidR="00D86088" w:rsidRPr="00422245">
        <w:t xml:space="preserve">For humanistiske </w:t>
      </w:r>
      <w:r w:rsidR="00242CFE" w:rsidRPr="00422245">
        <w:t>fag</w:t>
      </w:r>
      <w:r w:rsidR="007D0D03" w:rsidRPr="00422245">
        <w:t>,</w:t>
      </w:r>
      <w:r w:rsidR="00242CFE" w:rsidRPr="00422245">
        <w:t xml:space="preserve"> samfunnsvitenskapelige og juridiske fag </w:t>
      </w:r>
      <w:r w:rsidR="0020562F" w:rsidRPr="00422245">
        <w:t xml:space="preserve">og </w:t>
      </w:r>
      <w:r w:rsidR="005634C7" w:rsidRPr="00422245">
        <w:t>øk</w:t>
      </w:r>
      <w:r w:rsidR="00D46BF6" w:rsidRPr="00422245">
        <w:t>.-adm.</w:t>
      </w:r>
      <w:r w:rsidR="0020562F" w:rsidRPr="00422245">
        <w:t xml:space="preserve"> </w:t>
      </w:r>
      <w:r w:rsidR="00EB0901" w:rsidRPr="00422245">
        <w:t>f</w:t>
      </w:r>
      <w:r w:rsidR="0020562F" w:rsidRPr="00422245">
        <w:t>ag</w:t>
      </w:r>
      <w:r w:rsidR="00EB0901" w:rsidRPr="00422245">
        <w:t xml:space="preserve"> </w:t>
      </w:r>
      <w:r w:rsidR="00242CFE" w:rsidRPr="00422245">
        <w:t>e</w:t>
      </w:r>
      <w:r w:rsidR="00FC62A9" w:rsidRPr="00422245">
        <w:t xml:space="preserve">r </w:t>
      </w:r>
      <w:r w:rsidR="00C7798A" w:rsidRPr="00422245">
        <w:t xml:space="preserve">det snakk om </w:t>
      </w:r>
      <w:r w:rsidR="00FC202A" w:rsidRPr="00422245">
        <w:t>rundt 50 prosent eller noe over dette</w:t>
      </w:r>
      <w:r w:rsidR="00AD48A3" w:rsidRPr="00422245">
        <w:t xml:space="preserve"> (særlig f</w:t>
      </w:r>
      <w:r w:rsidR="00C46E97" w:rsidRPr="00422245">
        <w:t>or humanistiske fag).</w:t>
      </w:r>
      <w:r w:rsidR="00492414" w:rsidRPr="00422245">
        <w:t xml:space="preserve"> </w:t>
      </w:r>
      <w:r w:rsidR="00586CC7" w:rsidRPr="00422245">
        <w:t xml:space="preserve">Innen helsefag er det som nevnt </w:t>
      </w:r>
      <w:r w:rsidR="00C56C25" w:rsidRPr="00422245">
        <w:t>færre</w:t>
      </w:r>
      <w:r w:rsidR="00586CC7" w:rsidRPr="00422245">
        <w:t xml:space="preserve"> som går videre fra </w:t>
      </w:r>
      <w:r w:rsidR="00C56C25" w:rsidRPr="00422245">
        <w:t>bachelor- til mastergrad. Andelen her ligger på om lag 25 prosent.</w:t>
      </w:r>
    </w:p>
    <w:p w14:paraId="1ABE3958" w14:textId="3891DE54" w:rsidR="00DB5FB9" w:rsidRPr="00422245" w:rsidRDefault="00E36C4D" w:rsidP="00344AC3">
      <w:r w:rsidRPr="00422245">
        <w:t>Ellers</w:t>
      </w:r>
      <w:r w:rsidR="008403D3" w:rsidRPr="00422245">
        <w:t xml:space="preserve"> ser vi at uteksaminerte fr</w:t>
      </w:r>
      <w:r w:rsidRPr="00422245">
        <w:t>a</w:t>
      </w:r>
      <w:r w:rsidR="008403D3" w:rsidRPr="00422245">
        <w:t xml:space="preserve"> lærer</w:t>
      </w:r>
      <w:r w:rsidR="00EB413F" w:rsidRPr="00422245">
        <w:t>- og pedagogikk</w:t>
      </w:r>
      <w:r w:rsidR="008403D3" w:rsidRPr="00422245">
        <w:t xml:space="preserve">utdanningene utgjør omtrent 10 prosent av dem med bachelorgrad, </w:t>
      </w:r>
      <w:r w:rsidR="00E22DB1" w:rsidRPr="00422245">
        <w:t>19</w:t>
      </w:r>
      <w:r w:rsidR="000E76D0" w:rsidRPr="00422245">
        <w:t xml:space="preserve"> prosent av dem med mastergrad og </w:t>
      </w:r>
      <w:r w:rsidR="00E22DB1" w:rsidRPr="00422245">
        <w:t xml:space="preserve">27 prosent av dem med årsstudium. </w:t>
      </w:r>
      <w:r w:rsidR="00EB413F" w:rsidRPr="00422245">
        <w:t>For lærerutdanningene</w:t>
      </w:r>
      <w:r w:rsidR="00E22DB1" w:rsidRPr="00422245">
        <w:t xml:space="preserve"> </w:t>
      </w:r>
      <w:r w:rsidR="0073597F">
        <w:t xml:space="preserve">handler </w:t>
      </w:r>
      <w:r w:rsidR="00E22DB1" w:rsidRPr="00422245">
        <w:t xml:space="preserve">det </w:t>
      </w:r>
      <w:r w:rsidR="0073597F">
        <w:t xml:space="preserve">mer </w:t>
      </w:r>
      <w:r w:rsidR="00E22DB1" w:rsidRPr="00422245">
        <w:t>om ulike typer utdanninger</w:t>
      </w:r>
      <w:r w:rsidR="0073597F">
        <w:t xml:space="preserve"> </w:t>
      </w:r>
      <w:r w:rsidR="00E22DB1" w:rsidRPr="00422245">
        <w:t xml:space="preserve">enn </w:t>
      </w:r>
      <w:r w:rsidR="0073597F">
        <w:t xml:space="preserve">om </w:t>
      </w:r>
      <w:r w:rsidR="00E22DB1" w:rsidRPr="00422245">
        <w:t xml:space="preserve">ulike nivåer av samme </w:t>
      </w:r>
      <w:r w:rsidR="00E22DB1" w:rsidRPr="00422245">
        <w:lastRenderedPageBreak/>
        <w:t xml:space="preserve">utdanning. Barnehagelærer- og yrkesfaglærerutdanning er på bachelornivå, grunnskolelærer og femårig lektorutdanning </w:t>
      </w:r>
      <w:r w:rsidRPr="00422245">
        <w:t xml:space="preserve">er </w:t>
      </w:r>
      <w:r w:rsidR="00E22DB1" w:rsidRPr="00422245">
        <w:t xml:space="preserve">på masternivå, </w:t>
      </w:r>
      <w:r w:rsidRPr="00422245">
        <w:t>mens PPU utgjør et årsstudium.</w:t>
      </w:r>
    </w:p>
    <w:p w14:paraId="5C306595" w14:textId="3BC8B961" w:rsidR="00BE2315" w:rsidRPr="00422245" w:rsidRDefault="00BE2315" w:rsidP="00BE2315">
      <w:pPr>
        <w:pStyle w:val="Bildetekst"/>
        <w:keepNext/>
      </w:pPr>
      <w:bookmarkStart w:id="105" w:name="_Ref162253356"/>
      <w:r w:rsidRPr="00422245">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11</w:t>
      </w:r>
      <w:r w:rsidR="006E1D94">
        <w:fldChar w:fldCharType="end"/>
      </w:r>
      <w:bookmarkEnd w:id="105"/>
      <w:r w:rsidRPr="00422245">
        <w:t xml:space="preserve"> Fagområdetilknytning for uteksaminerte på ulike nivåer. Prosent. 2023.</w:t>
      </w:r>
    </w:p>
    <w:p w14:paraId="20EA6757" w14:textId="786DDD45" w:rsidR="00361C84" w:rsidRPr="00422245" w:rsidRDefault="00704F8E" w:rsidP="004F2CAA">
      <w:pPr>
        <w:rPr>
          <w:lang w:eastAsia="nb-NO"/>
        </w:rPr>
      </w:pPr>
      <w:r w:rsidRPr="00422245">
        <w:rPr>
          <w:noProof/>
        </w:rPr>
        <w:drawing>
          <wp:inline distT="0" distB="0" distL="0" distR="0" wp14:anchorId="29CE9302" wp14:editId="4408519B">
            <wp:extent cx="5704764" cy="3333750"/>
            <wp:effectExtent l="0" t="0" r="10795" b="0"/>
            <wp:docPr id="1012348871" name="Diagram 1">
              <a:extLst xmlns:a="http://schemas.openxmlformats.org/drawingml/2006/main">
                <a:ext uri="{FF2B5EF4-FFF2-40B4-BE49-F238E27FC236}">
                  <a16:creationId xmlns:a16="http://schemas.microsoft.com/office/drawing/2014/main" id="{9AA2A943-0654-A9D0-1E46-744668173E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2B2CF6" w14:textId="34A64C74" w:rsidR="003F4D95" w:rsidRPr="00844FED" w:rsidRDefault="00940C7D" w:rsidP="00844FED">
      <w:pPr>
        <w:pStyle w:val="Merknad"/>
      </w:pPr>
      <w:r w:rsidRPr="00844FED">
        <w:t>Merknad: Bachelorgrad inkluderer her både 3-årig og 4-årig bachelorgrad. Svært få uteksamineres med 4-årig bachelorgrad. Mastergrad inkluderer 2-årig (iht. § 3 i forskrift om krav til mastergrad), 1,5-2-årig (erfaringsbasert, § 5 i samme forskrift), 1-1,5-årig (§ 7 i samme forskrift) og femårig integrert mastergrad (§ 4 i samme forskrift).</w:t>
      </w:r>
    </w:p>
    <w:p w14:paraId="1994B309" w14:textId="5A0D836B" w:rsidR="00465C62" w:rsidRPr="00422245" w:rsidRDefault="00465C62" w:rsidP="00844FED">
      <w:pPr>
        <w:pStyle w:val="Kilde"/>
        <w:rPr>
          <w:shd w:val="clear" w:color="auto" w:fill="FFFFFF"/>
        </w:rPr>
      </w:pPr>
      <w:r w:rsidRPr="004E373E">
        <w:rPr>
          <w:b/>
          <w:shd w:val="clear" w:color="auto" w:fill="FFFFFF"/>
        </w:rPr>
        <w:t>Kilde</w:t>
      </w:r>
      <w:r>
        <w:rPr>
          <w:shd w:val="clear" w:color="auto" w:fill="FFFFFF"/>
        </w:rPr>
        <w:t>: DBH</w:t>
      </w:r>
    </w:p>
    <w:p w14:paraId="75B6A44E" w14:textId="09AD40EC" w:rsidR="008F1F9F" w:rsidRPr="00422245" w:rsidRDefault="004C5DC9" w:rsidP="004F2CAA">
      <w:pPr>
        <w:rPr>
          <w:lang w:eastAsia="nb-NO"/>
        </w:rPr>
      </w:pPr>
      <w:r>
        <w:rPr>
          <w:lang w:eastAsia="nb-NO"/>
        </w:rPr>
        <w:t>Utvikling over tid vises tydeligst ved å se på noen enkeltstudier framfor de</w:t>
      </w:r>
      <w:r w:rsidR="004206BC" w:rsidRPr="00422245">
        <w:rPr>
          <w:lang w:eastAsia="nb-NO"/>
        </w:rPr>
        <w:t xml:space="preserve"> store fagområde</w:t>
      </w:r>
      <w:r w:rsidR="00DC567E">
        <w:rPr>
          <w:lang w:eastAsia="nb-NO"/>
        </w:rPr>
        <w:t>ne</w:t>
      </w:r>
      <w:r w:rsidR="00430A53" w:rsidRPr="00422245">
        <w:rPr>
          <w:lang w:eastAsia="nb-NO"/>
        </w:rPr>
        <w:t>.</w:t>
      </w:r>
      <w:r w:rsidR="004206BC" w:rsidRPr="00422245">
        <w:rPr>
          <w:lang w:eastAsia="nb-NO"/>
        </w:rPr>
        <w:t xml:space="preserve"> </w:t>
      </w:r>
      <w:r w:rsidR="004206BC" w:rsidRPr="00422245">
        <w:rPr>
          <w:lang w:eastAsia="nb-NO"/>
        </w:rPr>
        <w:fldChar w:fldCharType="begin"/>
      </w:r>
      <w:r w:rsidR="004206BC" w:rsidRPr="00422245">
        <w:rPr>
          <w:lang w:eastAsia="nb-NO"/>
        </w:rPr>
        <w:instrText xml:space="preserve"> REF _Ref162264401 \h </w:instrText>
      </w:r>
      <w:r w:rsidR="004206BC" w:rsidRPr="00422245">
        <w:rPr>
          <w:lang w:eastAsia="nb-NO"/>
        </w:rPr>
      </w:r>
      <w:r w:rsidR="004206BC" w:rsidRPr="00422245">
        <w:rPr>
          <w:lang w:eastAsia="nb-NO"/>
        </w:rPr>
        <w:fldChar w:fldCharType="separate"/>
      </w:r>
      <w:r w:rsidR="004206BC" w:rsidRPr="00422245">
        <w:t xml:space="preserve">Figur </w:t>
      </w:r>
      <w:r w:rsidR="0063324F">
        <w:rPr>
          <w:noProof/>
        </w:rPr>
        <w:t>5</w:t>
      </w:r>
      <w:r w:rsidR="004206BC" w:rsidRPr="00422245">
        <w:noBreakHyphen/>
      </w:r>
      <w:r w:rsidR="005B096E">
        <w:rPr>
          <w:noProof/>
        </w:rPr>
        <w:t>12</w:t>
      </w:r>
      <w:r w:rsidR="004206BC" w:rsidRPr="00422245">
        <w:rPr>
          <w:lang w:eastAsia="nb-NO"/>
        </w:rPr>
        <w:fldChar w:fldCharType="end"/>
      </w:r>
      <w:r w:rsidR="004206BC" w:rsidRPr="00422245">
        <w:rPr>
          <w:lang w:eastAsia="nb-NO"/>
        </w:rPr>
        <w:t xml:space="preserve"> viser antall uteksaminerte på de fem største studiene på bachelornivå i </w:t>
      </w:r>
      <w:r w:rsidR="00750609" w:rsidRPr="00422245">
        <w:rPr>
          <w:lang w:eastAsia="nb-NO"/>
        </w:rPr>
        <w:t xml:space="preserve">perioden 2014 til 2023. </w:t>
      </w:r>
      <w:r w:rsidR="00EF7E93" w:rsidRPr="00422245">
        <w:rPr>
          <w:lang w:eastAsia="nb-NO"/>
        </w:rPr>
        <w:t>Flest studenter uteksamineres fra økonomisk-administrative</w:t>
      </w:r>
      <w:r w:rsidR="00004AF8" w:rsidRPr="00422245">
        <w:rPr>
          <w:lang w:eastAsia="nb-NO"/>
        </w:rPr>
        <w:t xml:space="preserve"> fag, og her ser vi også en klar vekst de siste åre</w:t>
      </w:r>
      <w:r w:rsidR="00F12E23" w:rsidRPr="00422245">
        <w:rPr>
          <w:lang w:eastAsia="nb-NO"/>
        </w:rPr>
        <w:t>ne.</w:t>
      </w:r>
      <w:r w:rsidR="00F12E23" w:rsidRPr="00422245">
        <w:rPr>
          <w:rStyle w:val="Fotnotereferanse"/>
          <w:lang w:eastAsia="nb-NO"/>
        </w:rPr>
        <w:footnoteReference w:id="27"/>
      </w:r>
      <w:r w:rsidR="003C1FF0" w:rsidRPr="00422245">
        <w:rPr>
          <w:lang w:eastAsia="nb-NO"/>
        </w:rPr>
        <w:t xml:space="preserve"> </w:t>
      </w:r>
      <w:r w:rsidR="00BF0E66" w:rsidRPr="00422245">
        <w:rPr>
          <w:lang w:eastAsia="nb-NO"/>
        </w:rPr>
        <w:t>Sykepleiestudiet er nest størst</w:t>
      </w:r>
      <w:r w:rsidR="0063324F">
        <w:rPr>
          <w:lang w:eastAsia="nb-NO"/>
        </w:rPr>
        <w:t xml:space="preserve"> med</w:t>
      </w:r>
      <w:r w:rsidR="00BF0E66" w:rsidRPr="00422245">
        <w:rPr>
          <w:lang w:eastAsia="nb-NO"/>
        </w:rPr>
        <w:t xml:space="preserve"> en jevn økning i antall uteksaminerte gjennom </w:t>
      </w:r>
      <w:r w:rsidR="00BF0E66" w:rsidRPr="00422245">
        <w:rPr>
          <w:lang w:eastAsia="nb-NO"/>
        </w:rPr>
        <w:lastRenderedPageBreak/>
        <w:t xml:space="preserve">hele perioden. </w:t>
      </w:r>
      <w:r w:rsidR="00000BCA" w:rsidRPr="00422245">
        <w:rPr>
          <w:lang w:eastAsia="nb-NO"/>
        </w:rPr>
        <w:t>Både</w:t>
      </w:r>
      <w:r w:rsidR="00E257E2" w:rsidRPr="00422245">
        <w:rPr>
          <w:lang w:eastAsia="nb-NO"/>
        </w:rPr>
        <w:t xml:space="preserve"> </w:t>
      </w:r>
      <w:r w:rsidR="00000BCA" w:rsidRPr="00422245">
        <w:rPr>
          <w:lang w:eastAsia="nb-NO"/>
        </w:rPr>
        <w:t>gjennomførings</w:t>
      </w:r>
      <w:r w:rsidR="00E257E2" w:rsidRPr="00422245">
        <w:rPr>
          <w:lang w:eastAsia="nb-NO"/>
        </w:rPr>
        <w:t xml:space="preserve">graden </w:t>
      </w:r>
      <w:r w:rsidR="00250D51" w:rsidRPr="00422245">
        <w:rPr>
          <w:lang w:eastAsia="nb-NO"/>
        </w:rPr>
        <w:t>og størrelsen på startkullene</w:t>
      </w:r>
      <w:r w:rsidR="00E257E2" w:rsidRPr="00422245">
        <w:rPr>
          <w:lang w:eastAsia="nb-NO"/>
        </w:rPr>
        <w:t xml:space="preserve"> har økt </w:t>
      </w:r>
      <w:r w:rsidR="005A293F" w:rsidRPr="00422245">
        <w:rPr>
          <w:lang w:eastAsia="nb-NO"/>
        </w:rPr>
        <w:t>på sykepleiestudiet i denne perioden</w:t>
      </w:r>
      <w:r w:rsidR="009230E0" w:rsidRPr="00422245">
        <w:rPr>
          <w:lang w:eastAsia="nb-NO"/>
        </w:rPr>
        <w:t>.</w:t>
      </w:r>
      <w:r w:rsidR="00B777E6" w:rsidRPr="00422245">
        <w:rPr>
          <w:lang w:eastAsia="nb-NO"/>
        </w:rPr>
        <w:t xml:space="preserve"> </w:t>
      </w:r>
      <w:r w:rsidR="002E7E44" w:rsidRPr="00422245">
        <w:rPr>
          <w:lang w:eastAsia="nb-NO"/>
        </w:rPr>
        <w:t xml:space="preserve">Ingeniørstudiet </w:t>
      </w:r>
      <w:r w:rsidR="00747D24" w:rsidRPr="00422245">
        <w:rPr>
          <w:lang w:eastAsia="nb-NO"/>
        </w:rPr>
        <w:t xml:space="preserve">lå </w:t>
      </w:r>
      <w:r w:rsidR="003C3E7F" w:rsidRPr="00422245">
        <w:rPr>
          <w:lang w:eastAsia="nb-NO"/>
        </w:rPr>
        <w:t>frem til 2021</w:t>
      </w:r>
      <w:r w:rsidR="00B45D1F" w:rsidRPr="00422245">
        <w:rPr>
          <w:lang w:eastAsia="nb-NO"/>
        </w:rPr>
        <w:t xml:space="preserve"> </w:t>
      </w:r>
      <w:r w:rsidR="00747D24" w:rsidRPr="00422245">
        <w:rPr>
          <w:lang w:eastAsia="nb-NO"/>
        </w:rPr>
        <w:t>på tredjeplas</w:t>
      </w:r>
      <w:r w:rsidR="00216A9F" w:rsidRPr="00422245">
        <w:rPr>
          <w:lang w:eastAsia="nb-NO"/>
        </w:rPr>
        <w:t xml:space="preserve">s </w:t>
      </w:r>
      <w:r w:rsidR="00B45D1F" w:rsidRPr="00422245">
        <w:rPr>
          <w:lang w:eastAsia="nb-NO"/>
        </w:rPr>
        <w:t>i antall uteksaminerte</w:t>
      </w:r>
      <w:r w:rsidR="003C3E7F" w:rsidRPr="00422245">
        <w:rPr>
          <w:lang w:eastAsia="nb-NO"/>
        </w:rPr>
        <w:t>. Tendensen siden 2017 har imidlertid vært</w:t>
      </w:r>
      <w:r w:rsidR="00B45D1F" w:rsidRPr="00422245">
        <w:rPr>
          <w:lang w:eastAsia="nb-NO"/>
        </w:rPr>
        <w:t xml:space="preserve"> </w:t>
      </w:r>
      <w:r w:rsidR="0019777E" w:rsidRPr="00422245">
        <w:rPr>
          <w:lang w:eastAsia="nb-NO"/>
        </w:rPr>
        <w:t>klart fallende</w:t>
      </w:r>
      <w:r w:rsidR="00EA5F76" w:rsidRPr="00422245">
        <w:rPr>
          <w:lang w:eastAsia="nb-NO"/>
        </w:rPr>
        <w:t>, og i 2023 er det f</w:t>
      </w:r>
      <w:r w:rsidR="00C81AA5" w:rsidRPr="00422245">
        <w:rPr>
          <w:lang w:eastAsia="nb-NO"/>
        </w:rPr>
        <w:t xml:space="preserve">or første gang flere uteksaminerte fra matematisk-naturvitenskapelige fag enn fra ingeniørfag. </w:t>
      </w:r>
      <w:r w:rsidR="00FA4583" w:rsidRPr="00422245">
        <w:rPr>
          <w:lang w:eastAsia="nb-NO"/>
        </w:rPr>
        <w:t xml:space="preserve">Siden 2017 </w:t>
      </w:r>
      <w:r w:rsidR="00A74260" w:rsidRPr="00422245">
        <w:rPr>
          <w:lang w:eastAsia="nb-NO"/>
        </w:rPr>
        <w:t xml:space="preserve">har antall uteksaminerte fra ingeniørfag gått ned med </w:t>
      </w:r>
      <w:r w:rsidR="00F77021" w:rsidRPr="00422245">
        <w:rPr>
          <w:lang w:eastAsia="nb-NO"/>
        </w:rPr>
        <w:t xml:space="preserve">om lag </w:t>
      </w:r>
      <w:r w:rsidR="00A74260" w:rsidRPr="00422245">
        <w:rPr>
          <w:lang w:eastAsia="nb-NO"/>
        </w:rPr>
        <w:t>500</w:t>
      </w:r>
      <w:r w:rsidR="00F77021" w:rsidRPr="00422245">
        <w:rPr>
          <w:lang w:eastAsia="nb-NO"/>
        </w:rPr>
        <w:t>, mens det har steget med godt over 600 for matematisk-naturvitenskapelige fag.</w:t>
      </w:r>
      <w:r w:rsidR="00021D60" w:rsidRPr="00422245">
        <w:rPr>
          <w:lang w:eastAsia="nb-NO"/>
        </w:rPr>
        <w:t xml:space="preserve"> </w:t>
      </w:r>
      <w:r w:rsidR="00D27244" w:rsidRPr="00422245">
        <w:rPr>
          <w:lang w:eastAsia="nb-NO"/>
        </w:rPr>
        <w:t xml:space="preserve">Sterkt medvirkende til dette er utviklingen i gjennomføring i denne perioden (se </w:t>
      </w:r>
      <w:r w:rsidR="00D27244" w:rsidRPr="00422245">
        <w:rPr>
          <w:lang w:eastAsia="nb-NO"/>
        </w:rPr>
        <w:fldChar w:fldCharType="begin"/>
      </w:r>
      <w:r w:rsidR="00D27244" w:rsidRPr="00422245">
        <w:rPr>
          <w:lang w:eastAsia="nb-NO"/>
        </w:rPr>
        <w:instrText xml:space="preserve"> REF _Ref162033762 \h </w:instrText>
      </w:r>
      <w:r w:rsidR="00D27244" w:rsidRPr="00422245">
        <w:rPr>
          <w:lang w:eastAsia="nb-NO"/>
        </w:rPr>
      </w:r>
      <w:r w:rsidR="00D27244" w:rsidRPr="00422245">
        <w:rPr>
          <w:lang w:eastAsia="nb-NO"/>
        </w:rPr>
        <w:fldChar w:fldCharType="separate"/>
      </w:r>
      <w:r w:rsidR="00D27244" w:rsidRPr="00422245">
        <w:t xml:space="preserve">Figur </w:t>
      </w:r>
      <w:r w:rsidR="00F72FF6">
        <w:rPr>
          <w:noProof/>
        </w:rPr>
        <w:t>5</w:t>
      </w:r>
      <w:r w:rsidR="00D27244" w:rsidRPr="00422245">
        <w:noBreakHyphen/>
      </w:r>
      <w:r w:rsidR="005B096E">
        <w:rPr>
          <w:noProof/>
        </w:rPr>
        <w:t>5</w:t>
      </w:r>
      <w:r w:rsidR="00D27244" w:rsidRPr="00422245">
        <w:rPr>
          <w:lang w:eastAsia="nb-NO"/>
        </w:rPr>
        <w:fldChar w:fldCharType="end"/>
      </w:r>
      <w:r w:rsidR="00D27244" w:rsidRPr="00422245">
        <w:rPr>
          <w:lang w:eastAsia="nb-NO"/>
        </w:rPr>
        <w:t xml:space="preserve">), som har steget for matematisk-naturvitenskapelige fag, og gått ned for ingeniørfag. </w:t>
      </w:r>
      <w:r w:rsidR="003136BA" w:rsidRPr="00422245">
        <w:rPr>
          <w:lang w:eastAsia="nb-NO"/>
        </w:rPr>
        <w:t>Når det gjelder matematisk-naturvitenskapelige fag,</w:t>
      </w:r>
      <w:r w:rsidR="004A5671" w:rsidRPr="00422245">
        <w:rPr>
          <w:lang w:eastAsia="nb-NO"/>
        </w:rPr>
        <w:t xml:space="preserve"> består </w:t>
      </w:r>
      <w:r w:rsidR="008F5184" w:rsidRPr="00422245">
        <w:rPr>
          <w:lang w:eastAsia="nb-NO"/>
        </w:rPr>
        <w:t xml:space="preserve">ellers </w:t>
      </w:r>
      <w:r w:rsidR="004A5671" w:rsidRPr="00422245">
        <w:rPr>
          <w:lang w:eastAsia="nb-NO"/>
        </w:rPr>
        <w:t xml:space="preserve">hele økningen </w:t>
      </w:r>
      <w:r w:rsidR="008F5184" w:rsidRPr="00422245">
        <w:rPr>
          <w:lang w:eastAsia="nb-NO"/>
        </w:rPr>
        <w:t xml:space="preserve">fra 2017 </w:t>
      </w:r>
      <w:r w:rsidR="004A5671" w:rsidRPr="00422245">
        <w:rPr>
          <w:lang w:eastAsia="nb-NO"/>
        </w:rPr>
        <w:t xml:space="preserve">i </w:t>
      </w:r>
      <w:r w:rsidR="009E2808" w:rsidRPr="00422245">
        <w:rPr>
          <w:lang w:eastAsia="nb-NO"/>
        </w:rPr>
        <w:t xml:space="preserve">uteksaminerte fra </w:t>
      </w:r>
      <w:r w:rsidR="00BC69FB" w:rsidRPr="00422245">
        <w:rPr>
          <w:lang w:eastAsia="nb-NO"/>
        </w:rPr>
        <w:t xml:space="preserve">studieprogrammer innen </w:t>
      </w:r>
      <w:r w:rsidR="009E2808" w:rsidRPr="00422245">
        <w:rPr>
          <w:lang w:eastAsia="nb-NO"/>
        </w:rPr>
        <w:t>IT.</w:t>
      </w:r>
      <w:r w:rsidR="00BC69FB" w:rsidRPr="00422245">
        <w:rPr>
          <w:lang w:eastAsia="nb-NO"/>
        </w:rPr>
        <w:t xml:space="preserve"> </w:t>
      </w:r>
      <w:r w:rsidR="000840DE" w:rsidRPr="00422245">
        <w:rPr>
          <w:lang w:eastAsia="nb-NO"/>
        </w:rPr>
        <w:t xml:space="preserve">Også antallet uteksaminerte dataingeniører har steget i </w:t>
      </w:r>
      <w:r w:rsidR="00341553" w:rsidRPr="00422245">
        <w:rPr>
          <w:lang w:eastAsia="nb-NO"/>
        </w:rPr>
        <w:t xml:space="preserve">denne </w:t>
      </w:r>
      <w:r w:rsidR="000840DE" w:rsidRPr="00422245">
        <w:rPr>
          <w:lang w:eastAsia="nb-NO"/>
        </w:rPr>
        <w:t xml:space="preserve">perioden, mens </w:t>
      </w:r>
      <w:r w:rsidR="00EC1FCE" w:rsidRPr="00422245">
        <w:rPr>
          <w:lang w:eastAsia="nb-NO"/>
        </w:rPr>
        <w:t xml:space="preserve">antallet </w:t>
      </w:r>
      <w:r w:rsidR="002A2D5C" w:rsidRPr="00422245">
        <w:rPr>
          <w:lang w:eastAsia="nb-NO"/>
        </w:rPr>
        <w:t xml:space="preserve">andre ingeniører har gått kraftig ned. </w:t>
      </w:r>
      <w:r w:rsidR="00950A0F" w:rsidRPr="00422245">
        <w:rPr>
          <w:lang w:eastAsia="nb-NO"/>
        </w:rPr>
        <w:t>Store opptakskull i 2020, særlig for disse to utdanningen</w:t>
      </w:r>
      <w:r w:rsidR="009C057C" w:rsidRPr="00422245">
        <w:rPr>
          <w:lang w:eastAsia="nb-NO"/>
        </w:rPr>
        <w:t>e</w:t>
      </w:r>
      <w:r w:rsidR="00950A0F" w:rsidRPr="00422245">
        <w:rPr>
          <w:lang w:eastAsia="nb-NO"/>
        </w:rPr>
        <w:t xml:space="preserve">, </w:t>
      </w:r>
      <w:r w:rsidR="00EC04AC" w:rsidRPr="00422245">
        <w:rPr>
          <w:lang w:eastAsia="nb-NO"/>
        </w:rPr>
        <w:t>medvirker</w:t>
      </w:r>
      <w:r w:rsidR="00950A0F" w:rsidRPr="00422245">
        <w:rPr>
          <w:lang w:eastAsia="nb-NO"/>
        </w:rPr>
        <w:t xml:space="preserve"> ellers </w:t>
      </w:r>
      <w:r w:rsidR="00EC04AC" w:rsidRPr="00422245">
        <w:rPr>
          <w:lang w:eastAsia="nb-NO"/>
        </w:rPr>
        <w:t>til en økning i antall uteksaminerte i 2023, selv om gjennomføringsgraden har gått ned.</w:t>
      </w:r>
      <w:r w:rsidR="00CF4359" w:rsidRPr="00422245">
        <w:rPr>
          <w:lang w:eastAsia="nb-NO"/>
        </w:rPr>
        <w:t xml:space="preserve"> </w:t>
      </w:r>
    </w:p>
    <w:p w14:paraId="02696FFE" w14:textId="64E5C3C4" w:rsidR="0009096E" w:rsidRPr="00422245" w:rsidRDefault="0009096E" w:rsidP="0009096E">
      <w:pPr>
        <w:pStyle w:val="Bildetekst"/>
        <w:keepNext/>
      </w:pPr>
      <w:bookmarkStart w:id="106" w:name="_Ref162264401"/>
      <w:r w:rsidRPr="00422245">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12</w:t>
      </w:r>
      <w:r w:rsidR="006E1D94">
        <w:fldChar w:fldCharType="end"/>
      </w:r>
      <w:bookmarkEnd w:id="106"/>
      <w:r w:rsidRPr="00422245">
        <w:t xml:space="preserve"> Antall uteksaminerte fra de fem største studiene på bachelornivå. 2014-2023.</w:t>
      </w:r>
    </w:p>
    <w:p w14:paraId="3DE7C61E" w14:textId="3206B99E" w:rsidR="008F1F9F" w:rsidRDefault="00EF7E93" w:rsidP="004F2CAA">
      <w:pPr>
        <w:rPr>
          <w:lang w:eastAsia="nb-NO"/>
        </w:rPr>
      </w:pPr>
      <w:r w:rsidRPr="00422245">
        <w:rPr>
          <w:noProof/>
        </w:rPr>
        <w:drawing>
          <wp:inline distT="0" distB="0" distL="0" distR="0" wp14:anchorId="4354A512" wp14:editId="373C3915">
            <wp:extent cx="5731510" cy="3472180"/>
            <wp:effectExtent l="0" t="0" r="2540" b="13970"/>
            <wp:docPr id="579543284" name="Diagram 1">
              <a:extLst xmlns:a="http://schemas.openxmlformats.org/drawingml/2006/main">
                <a:ext uri="{FF2B5EF4-FFF2-40B4-BE49-F238E27FC236}">
                  <a16:creationId xmlns:a16="http://schemas.microsoft.com/office/drawing/2014/main" id="{4069A24B-3AF4-31AF-2E0A-9FF4EFA7A7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3948530" w14:textId="05E5D375" w:rsidR="004F2CAA" w:rsidRPr="00422245" w:rsidRDefault="00997A6D" w:rsidP="003F7532">
      <w:pPr>
        <w:pStyle w:val="Kilde"/>
      </w:pPr>
      <w:r w:rsidRPr="004E373E">
        <w:rPr>
          <w:b/>
          <w:lang w:eastAsia="nb-NO"/>
        </w:rPr>
        <w:t>Kilde</w:t>
      </w:r>
      <w:r>
        <w:rPr>
          <w:lang w:eastAsia="nb-NO"/>
        </w:rPr>
        <w:t>: DBH</w:t>
      </w:r>
      <w:r w:rsidR="003F7532" w:rsidRPr="00422245">
        <w:t xml:space="preserve"> </w:t>
      </w:r>
    </w:p>
    <w:p w14:paraId="56645C45" w14:textId="77777777" w:rsidR="002B1040" w:rsidRPr="00422245" w:rsidRDefault="002B1040" w:rsidP="004F2CAA"/>
    <w:p w14:paraId="62705D0E" w14:textId="3976BDBB" w:rsidR="00DE14CC" w:rsidRPr="00422245" w:rsidRDefault="00100516" w:rsidP="00DE14CC">
      <w:pPr>
        <w:pStyle w:val="Overskrift3"/>
        <w:spacing w:before="288"/>
        <w:rPr>
          <w:lang w:eastAsia="nb-NO"/>
        </w:rPr>
      </w:pPr>
      <w:bookmarkStart w:id="107" w:name="_Toc163488424"/>
      <w:r w:rsidRPr="00422245">
        <w:lastRenderedPageBreak/>
        <w:t>Tilfredshet</w:t>
      </w:r>
      <w:bookmarkEnd w:id="107"/>
      <w:r w:rsidR="00846924" w:rsidRPr="00422245">
        <w:t xml:space="preserve"> </w:t>
      </w:r>
    </w:p>
    <w:p w14:paraId="6B5B7CF1" w14:textId="4C966CDA" w:rsidR="0042000C" w:rsidRPr="00422245" w:rsidRDefault="00482DE4" w:rsidP="0042000C">
      <w:pPr>
        <w:rPr>
          <w:lang w:eastAsia="nb-NO"/>
        </w:rPr>
      </w:pPr>
      <w:r w:rsidRPr="00422245">
        <w:rPr>
          <w:lang w:eastAsia="nb-NO"/>
        </w:rPr>
        <w:t>Studentenes tilfredshet med studiene</w:t>
      </w:r>
      <w:r w:rsidR="00730504" w:rsidRPr="00422245">
        <w:rPr>
          <w:lang w:eastAsia="nb-NO"/>
        </w:rPr>
        <w:t xml:space="preserve"> uttrykt gjennom NOKUTs Studiebarometeret </w:t>
      </w:r>
      <w:r w:rsidR="00E921D0" w:rsidRPr="00422245">
        <w:rPr>
          <w:lang w:eastAsia="nb-NO"/>
        </w:rPr>
        <w:t>har vært en av de opprinnelige styringsindikatorene.</w:t>
      </w:r>
      <w:r w:rsidR="007D2275" w:rsidRPr="00422245">
        <w:rPr>
          <w:lang w:eastAsia="nb-NO"/>
        </w:rPr>
        <w:t xml:space="preserve"> </w:t>
      </w:r>
      <w:r w:rsidR="0042000C" w:rsidRPr="00422245">
        <w:rPr>
          <w:lang w:eastAsia="nb-NO"/>
        </w:rPr>
        <w:t xml:space="preserve">Overordnet sett </w:t>
      </w:r>
      <w:r w:rsidR="00625813" w:rsidRPr="00422245">
        <w:rPr>
          <w:lang w:eastAsia="nb-NO"/>
        </w:rPr>
        <w:t>uttrykker</w:t>
      </w:r>
      <w:r w:rsidR="0042000C" w:rsidRPr="00422245">
        <w:rPr>
          <w:lang w:eastAsia="nb-NO"/>
        </w:rPr>
        <w:t xml:space="preserve"> studentene </w:t>
      </w:r>
      <w:r w:rsidR="00625813" w:rsidRPr="00422245">
        <w:rPr>
          <w:lang w:eastAsia="nb-NO"/>
        </w:rPr>
        <w:t>tilfredshet</w:t>
      </w:r>
      <w:r w:rsidR="0042000C" w:rsidRPr="00422245">
        <w:rPr>
          <w:lang w:eastAsia="nb-NO"/>
        </w:rPr>
        <w:t xml:space="preserve"> med studieprogrammet de går på</w:t>
      </w:r>
      <w:r w:rsidR="00CC308B" w:rsidRPr="00422245">
        <w:rPr>
          <w:lang w:eastAsia="nb-NO"/>
        </w:rPr>
        <w:t>, og svarene har vært stabile over tid</w:t>
      </w:r>
      <w:r w:rsidR="0042000C" w:rsidRPr="00422245">
        <w:rPr>
          <w:lang w:eastAsia="nb-NO"/>
        </w:rPr>
        <w:t xml:space="preserve">. I 2022 </w:t>
      </w:r>
      <w:r w:rsidR="00625813" w:rsidRPr="00422245">
        <w:rPr>
          <w:lang w:eastAsia="nb-NO"/>
        </w:rPr>
        <w:t xml:space="preserve">var </w:t>
      </w:r>
      <w:r w:rsidR="0042000C" w:rsidRPr="00422245">
        <w:rPr>
          <w:lang w:eastAsia="nb-NO"/>
        </w:rPr>
        <w:t>studentene noe mindre fornøyde enn i tidligere år</w:t>
      </w:r>
      <w:r w:rsidR="00625813" w:rsidRPr="00422245">
        <w:rPr>
          <w:lang w:eastAsia="nb-NO"/>
        </w:rPr>
        <w:t>, men i</w:t>
      </w:r>
      <w:r w:rsidR="0042000C" w:rsidRPr="00422245">
        <w:rPr>
          <w:lang w:eastAsia="nb-NO"/>
        </w:rPr>
        <w:t xml:space="preserve"> 2023 var resultatene tilbake til nivået vi så i årene før 2022</w:t>
      </w:r>
      <w:r w:rsidR="00CF3C9E">
        <w:rPr>
          <w:lang w:eastAsia="nb-NO"/>
        </w:rPr>
        <w:t xml:space="preserve"> </w:t>
      </w:r>
      <w:r w:rsidR="00F63FB4">
        <w:rPr>
          <w:lang w:eastAsia="nb-NO"/>
        </w:rPr>
        <w:fldChar w:fldCharType="begin"/>
      </w:r>
      <w:r w:rsidR="00F63FB4">
        <w:rPr>
          <w:lang w:eastAsia="nb-NO"/>
        </w:rPr>
        <w:instrText xml:space="preserve"> ADDIN EN.CITE &lt;EndNote&gt;&lt;Cite&gt;&lt;Author&gt;NOKUT&lt;/Author&gt;&lt;Year&gt;2024&lt;/Year&gt;&lt;RecNum&gt;2272&lt;/RecNum&gt;&lt;DisplayText&gt;(NOKUT, 2024)&lt;/DisplayText&gt;&lt;record&gt;&lt;rec-number&gt;2272&lt;/rec-number&gt;&lt;foreign-keys&gt;&lt;key app="EN" db-id="p2et5feaxrpe5zew2eavt29z05fv09aa5s0w" timestamp="1712314946" guid="b1278189-5039-4d3c-a0a6-7a68acefcde5"&gt;2272&lt;/key&gt;&lt;/foreign-keys&gt;&lt;ref-type name="Report"&gt;27&lt;/ref-type&gt;&lt;contributors&gt;&lt;authors&gt;&lt;author&gt;NOKUT&lt;/author&gt;&lt;/authors&gt;&lt;/contributors&gt;&lt;titles&gt;&lt;title&gt;Studiebarometeret 2023 – Hovedtendenser&lt;/title&gt;&lt;/titles&gt;&lt;dates&gt;&lt;year&gt;2024&lt;/year&gt;&lt;/dates&gt;&lt;isbn&gt;4&lt;/isbn&gt;&lt;urls&gt;&lt;related-urls&gt;&lt;url&gt;https://www.nokut.no/globalassets/studiebarometeret/2024/hoyere-utdanning/studiebarometeret-2023_hovedtendenser_4-2024.pdf&lt;/url&gt;&lt;/related-urls&gt;&lt;/urls&gt;&lt;/record&gt;&lt;/Cite&gt;&lt;/EndNote&gt;</w:instrText>
      </w:r>
      <w:r w:rsidR="00F63FB4">
        <w:rPr>
          <w:lang w:eastAsia="nb-NO"/>
        </w:rPr>
        <w:fldChar w:fldCharType="separate"/>
      </w:r>
      <w:r w:rsidR="00F63FB4">
        <w:rPr>
          <w:noProof/>
          <w:lang w:eastAsia="nb-NO"/>
        </w:rPr>
        <w:t>(NOKUT, 2024)</w:t>
      </w:r>
      <w:r w:rsidR="00F63FB4">
        <w:rPr>
          <w:lang w:eastAsia="nb-NO"/>
        </w:rPr>
        <w:fldChar w:fldCharType="end"/>
      </w:r>
      <w:r w:rsidR="00F63FB4">
        <w:rPr>
          <w:lang w:eastAsia="nb-NO"/>
        </w:rPr>
        <w:t>.</w:t>
      </w:r>
      <w:r w:rsidR="0042000C" w:rsidRPr="00422245">
        <w:rPr>
          <w:lang w:eastAsia="nb-NO"/>
        </w:rPr>
        <w:t xml:space="preserve"> </w:t>
      </w:r>
      <w:r w:rsidR="00C67292" w:rsidRPr="00422245">
        <w:rPr>
          <w:lang w:eastAsia="nb-NO"/>
        </w:rPr>
        <w:t>Av utdanningstypene</w:t>
      </w:r>
      <w:r w:rsidR="0042000C" w:rsidRPr="00422245">
        <w:rPr>
          <w:lang w:eastAsia="nb-NO"/>
        </w:rPr>
        <w:t xml:space="preserve"> skiller lektor- og grunnskolelærerutdanningene seg negativt ut</w:t>
      </w:r>
      <w:r w:rsidR="00650794" w:rsidRPr="00422245">
        <w:rPr>
          <w:lang w:eastAsia="nb-NO"/>
        </w:rPr>
        <w:t xml:space="preserve"> med</w:t>
      </w:r>
      <w:r w:rsidR="0042000C" w:rsidRPr="00422245">
        <w:rPr>
          <w:lang w:eastAsia="nb-NO"/>
        </w:rPr>
        <w:t xml:space="preserve"> klart mindre tilfredse </w:t>
      </w:r>
      <w:r w:rsidR="002427CB" w:rsidRPr="00422245">
        <w:rPr>
          <w:lang w:eastAsia="nb-NO"/>
        </w:rPr>
        <w:t>stude</w:t>
      </w:r>
      <w:r w:rsidR="00211571" w:rsidRPr="00422245">
        <w:rPr>
          <w:lang w:eastAsia="nb-NO"/>
        </w:rPr>
        <w:t>nter</w:t>
      </w:r>
      <w:r w:rsidR="0042000C" w:rsidRPr="00422245">
        <w:rPr>
          <w:lang w:eastAsia="nb-NO"/>
        </w:rPr>
        <w:t xml:space="preserve"> enn andre utdanningstyper. </w:t>
      </w:r>
      <w:r w:rsidR="003E47C5" w:rsidRPr="00422245">
        <w:rPr>
          <w:lang w:eastAsia="nb-NO"/>
        </w:rPr>
        <w:t xml:space="preserve">Også dette har vært stabilt </w:t>
      </w:r>
      <w:r w:rsidR="003876AF" w:rsidRPr="00422245">
        <w:rPr>
          <w:lang w:eastAsia="nb-NO"/>
        </w:rPr>
        <w:t xml:space="preserve">over tid, </w:t>
      </w:r>
      <w:r w:rsidR="00294913" w:rsidRPr="00422245">
        <w:rPr>
          <w:lang w:eastAsia="nb-NO"/>
        </w:rPr>
        <w:t>noe som er uheldig med tanke på</w:t>
      </w:r>
      <w:r w:rsidR="003E47C5" w:rsidRPr="00422245">
        <w:rPr>
          <w:lang w:eastAsia="nb-NO"/>
        </w:rPr>
        <w:t xml:space="preserve"> </w:t>
      </w:r>
      <w:r w:rsidR="007D3AEA" w:rsidRPr="00422245">
        <w:rPr>
          <w:lang w:eastAsia="nb-NO"/>
        </w:rPr>
        <w:t>utfordringene med rekruttering til lærerutdanningene. Det må samtidig understrekes at også i disse utdanningene er</w:t>
      </w:r>
      <w:r w:rsidR="0042000C" w:rsidRPr="00422245">
        <w:rPr>
          <w:lang w:eastAsia="nb-NO"/>
        </w:rPr>
        <w:t xml:space="preserve"> flesteparten av studentene tilfredse med studieprogrammet</w:t>
      </w:r>
      <w:r w:rsidR="00D06733" w:rsidRPr="00422245">
        <w:rPr>
          <w:lang w:eastAsia="nb-NO"/>
        </w:rPr>
        <w:t>.</w:t>
      </w:r>
      <w:r w:rsidR="0042000C" w:rsidRPr="00422245">
        <w:rPr>
          <w:lang w:eastAsia="nb-NO"/>
        </w:rPr>
        <w:t xml:space="preserve"> </w:t>
      </w:r>
      <w:r w:rsidR="00EB7419" w:rsidRPr="00422245">
        <w:rPr>
          <w:lang w:eastAsia="nb-NO"/>
        </w:rPr>
        <w:t>Tabell V</w:t>
      </w:r>
      <w:r w:rsidR="00D05EBF" w:rsidRPr="00422245">
        <w:rPr>
          <w:lang w:eastAsia="nb-NO"/>
        </w:rPr>
        <w:t xml:space="preserve">X.XX viser </w:t>
      </w:r>
      <w:r w:rsidR="009F2D94" w:rsidRPr="00422245">
        <w:rPr>
          <w:lang w:eastAsia="nb-NO"/>
        </w:rPr>
        <w:t xml:space="preserve">studentens tilfredshet innenfor ulike utdanninger. </w:t>
      </w:r>
      <w:r w:rsidR="0066655F" w:rsidRPr="00422245">
        <w:rPr>
          <w:lang w:eastAsia="nb-NO"/>
        </w:rPr>
        <w:t>Mest</w:t>
      </w:r>
      <w:r w:rsidR="0042000C" w:rsidRPr="00422245">
        <w:rPr>
          <w:lang w:eastAsia="nb-NO"/>
        </w:rPr>
        <w:t xml:space="preserve"> tilfredse </w:t>
      </w:r>
      <w:r w:rsidR="0066655F" w:rsidRPr="00422245">
        <w:rPr>
          <w:lang w:eastAsia="nb-NO"/>
        </w:rPr>
        <w:t>i 2023 var s</w:t>
      </w:r>
      <w:r w:rsidR="0042000C" w:rsidRPr="00422245">
        <w:rPr>
          <w:lang w:eastAsia="nb-NO"/>
        </w:rPr>
        <w:t>tudentene i</w:t>
      </w:r>
      <w:r w:rsidR="001063A0" w:rsidRPr="00422245">
        <w:rPr>
          <w:lang w:eastAsia="nb-NO"/>
        </w:rPr>
        <w:t>nnenfor fagområdene</w:t>
      </w:r>
      <w:r w:rsidR="0042000C" w:rsidRPr="00422245">
        <w:rPr>
          <w:lang w:eastAsia="nb-NO"/>
        </w:rPr>
        <w:t xml:space="preserve"> filosofi, geologi og arkeologi.</w:t>
      </w:r>
    </w:p>
    <w:p w14:paraId="769ACE55" w14:textId="6ED2C051" w:rsidR="00016A89" w:rsidRPr="00422245" w:rsidRDefault="00016A89" w:rsidP="0042000C">
      <w:pPr>
        <w:rPr>
          <w:lang w:eastAsia="nb-NO"/>
        </w:rPr>
      </w:pPr>
      <w:r w:rsidRPr="00422245">
        <w:rPr>
          <w:lang w:eastAsia="nb-NO"/>
        </w:rPr>
        <w:t xml:space="preserve">Nedgangen </w:t>
      </w:r>
      <w:r w:rsidR="00CD369B" w:rsidRPr="00422245">
        <w:rPr>
          <w:lang w:eastAsia="nb-NO"/>
        </w:rPr>
        <w:t xml:space="preserve">i tilfredshet i </w:t>
      </w:r>
      <w:r w:rsidR="00C24863" w:rsidRPr="00422245">
        <w:rPr>
          <w:lang w:eastAsia="nb-NO"/>
        </w:rPr>
        <w:t>2022</w:t>
      </w:r>
      <w:r w:rsidR="00CD369B" w:rsidRPr="00422245">
        <w:rPr>
          <w:lang w:eastAsia="nb-NO"/>
        </w:rPr>
        <w:t xml:space="preserve"> skyldtes at </w:t>
      </w:r>
      <w:r w:rsidR="00CF7BA1" w:rsidRPr="00422245">
        <w:rPr>
          <w:lang w:eastAsia="nb-NO"/>
        </w:rPr>
        <w:t xml:space="preserve">færre valgte de to mest positive svarkategoriene. </w:t>
      </w:r>
      <w:r w:rsidR="00402045" w:rsidRPr="00422245">
        <w:rPr>
          <w:lang w:eastAsia="nb-NO"/>
        </w:rPr>
        <w:t xml:space="preserve">Svarene </w:t>
      </w:r>
      <w:r w:rsidR="00354CAA" w:rsidRPr="00422245">
        <w:rPr>
          <w:lang w:eastAsia="nb-NO"/>
        </w:rPr>
        <w:t>i 2023 var langt på vei tilbake</w:t>
      </w:r>
      <w:r w:rsidR="00D62F1F" w:rsidRPr="00422245">
        <w:rPr>
          <w:lang w:eastAsia="nb-NO"/>
        </w:rPr>
        <w:t xml:space="preserve"> i mønsteret fra før pandemien.</w:t>
      </w:r>
    </w:p>
    <w:p w14:paraId="32781405" w14:textId="7B730252" w:rsidR="009B024F" w:rsidRPr="00422245" w:rsidRDefault="005E62C9" w:rsidP="0042000C">
      <w:pPr>
        <w:rPr>
          <w:lang w:eastAsia="nb-NO"/>
        </w:rPr>
      </w:pPr>
      <w:r w:rsidRPr="00422245">
        <w:rPr>
          <w:lang w:eastAsia="nb-NO"/>
        </w:rPr>
        <w:fldChar w:fldCharType="begin"/>
      </w:r>
      <w:r w:rsidRPr="00422245">
        <w:rPr>
          <w:lang w:eastAsia="nb-NO"/>
        </w:rPr>
        <w:instrText xml:space="preserve"> REF _Ref161904987 \h </w:instrText>
      </w:r>
      <w:r w:rsidRPr="00422245">
        <w:rPr>
          <w:lang w:eastAsia="nb-NO"/>
        </w:rPr>
      </w:r>
      <w:r w:rsidRPr="00422245">
        <w:rPr>
          <w:lang w:eastAsia="nb-NO"/>
        </w:rPr>
        <w:fldChar w:fldCharType="separate"/>
      </w:r>
      <w:r w:rsidR="009F12EA" w:rsidRPr="00422245">
        <w:rPr>
          <w:lang w:eastAsia="nb-NO"/>
        </w:rPr>
        <w:t xml:space="preserve">Figur </w:t>
      </w:r>
      <w:r w:rsidR="009F12EA">
        <w:rPr>
          <w:noProof/>
          <w:lang w:eastAsia="nb-NO"/>
        </w:rPr>
        <w:t>5</w:t>
      </w:r>
      <w:r w:rsidR="009F12EA">
        <w:rPr>
          <w:lang w:eastAsia="nb-NO"/>
        </w:rPr>
        <w:noBreakHyphen/>
      </w:r>
      <w:r w:rsidR="009F12EA">
        <w:rPr>
          <w:noProof/>
          <w:lang w:eastAsia="nb-NO"/>
        </w:rPr>
        <w:t>14</w:t>
      </w:r>
      <w:r w:rsidRPr="00422245">
        <w:rPr>
          <w:lang w:eastAsia="nb-NO"/>
        </w:rPr>
        <w:fldChar w:fldCharType="end"/>
      </w:r>
      <w:r w:rsidRPr="00422245">
        <w:rPr>
          <w:lang w:eastAsia="nb-NO"/>
        </w:rPr>
        <w:t xml:space="preserve"> viser studentenes </w:t>
      </w:r>
      <w:r w:rsidR="003D5AAA" w:rsidRPr="00422245">
        <w:rPr>
          <w:lang w:eastAsia="nb-NO"/>
        </w:rPr>
        <w:t>uttrykte tilfredshet</w:t>
      </w:r>
      <w:r w:rsidR="00741B82" w:rsidRPr="00422245">
        <w:rPr>
          <w:lang w:eastAsia="nb-NO"/>
        </w:rPr>
        <w:t xml:space="preserve"> med studieprogrammet </w:t>
      </w:r>
      <w:r w:rsidR="00AF0462" w:rsidRPr="00422245">
        <w:rPr>
          <w:lang w:eastAsia="nb-NO"/>
        </w:rPr>
        <w:t xml:space="preserve">på institusjonsnivå. </w:t>
      </w:r>
      <w:r w:rsidR="00EA6318" w:rsidRPr="00422245">
        <w:rPr>
          <w:lang w:eastAsia="nb-NO"/>
        </w:rPr>
        <w:t xml:space="preserve">For alle </w:t>
      </w:r>
      <w:r w:rsidR="00D60A6C" w:rsidRPr="00422245">
        <w:rPr>
          <w:lang w:eastAsia="nb-NO"/>
        </w:rPr>
        <w:t xml:space="preserve">de tre institusjonstypene </w:t>
      </w:r>
      <w:r w:rsidR="00F84994" w:rsidRPr="00422245">
        <w:rPr>
          <w:lang w:eastAsia="nb-NO"/>
        </w:rPr>
        <w:t xml:space="preserve">i figuren er det </w:t>
      </w:r>
      <w:r w:rsidR="00F031CF" w:rsidRPr="00422245">
        <w:rPr>
          <w:lang w:eastAsia="nb-NO"/>
        </w:rPr>
        <w:t xml:space="preserve">mer spesialiserte </w:t>
      </w:r>
      <w:r w:rsidR="001A56DD" w:rsidRPr="00422245">
        <w:rPr>
          <w:lang w:eastAsia="nb-NO"/>
        </w:rPr>
        <w:t xml:space="preserve">institusjoner som </w:t>
      </w:r>
      <w:r w:rsidR="006220B9" w:rsidRPr="00422245">
        <w:rPr>
          <w:lang w:eastAsia="nb-NO"/>
        </w:rPr>
        <w:t xml:space="preserve">har høyest skår for tilfredshet med studieprogrammene. </w:t>
      </w:r>
      <w:r w:rsidR="001C181C" w:rsidRPr="00422245">
        <w:rPr>
          <w:lang w:eastAsia="nb-NO"/>
        </w:rPr>
        <w:t xml:space="preserve">. </w:t>
      </w:r>
      <w:r w:rsidR="00186F35">
        <w:rPr>
          <w:lang w:eastAsia="nb-NO"/>
        </w:rPr>
        <w:t xml:space="preserve">Ingen av de største institusjonene </w:t>
      </w:r>
      <w:r w:rsidR="00F155DE">
        <w:rPr>
          <w:lang w:eastAsia="nb-NO"/>
        </w:rPr>
        <w:t xml:space="preserve">ligger veldig langt unna </w:t>
      </w:r>
      <w:r w:rsidR="007F58C5">
        <w:rPr>
          <w:lang w:eastAsia="nb-NO"/>
        </w:rPr>
        <w:t>det nasjonale gjennomsnittet.</w:t>
      </w:r>
      <w:r w:rsidR="001C181C" w:rsidRPr="00422245">
        <w:rPr>
          <w:lang w:eastAsia="nb-NO"/>
        </w:rPr>
        <w:t xml:space="preserve"> </w:t>
      </w:r>
    </w:p>
    <w:p w14:paraId="61726E83" w14:textId="77777777" w:rsidR="001C181C" w:rsidRPr="00422245" w:rsidRDefault="001C181C" w:rsidP="0042000C">
      <w:pPr>
        <w:rPr>
          <w:lang w:eastAsia="nb-NO"/>
        </w:rPr>
      </w:pPr>
    </w:p>
    <w:p w14:paraId="066FCEBE" w14:textId="77777777" w:rsidR="004477A6" w:rsidRPr="00422245" w:rsidRDefault="004477A6" w:rsidP="0042000C">
      <w:pPr>
        <w:rPr>
          <w:lang w:eastAsia="nb-NO"/>
        </w:rPr>
      </w:pPr>
    </w:p>
    <w:p w14:paraId="234A03A4" w14:textId="4C740B69" w:rsidR="00DE14CC" w:rsidRPr="00422245" w:rsidRDefault="00F54EA0" w:rsidP="00F54EA0">
      <w:pPr>
        <w:pStyle w:val="Bildetekst"/>
        <w:keepNext/>
        <w:rPr>
          <w:lang w:eastAsia="nb-NO"/>
        </w:rPr>
      </w:pPr>
      <w:bookmarkStart w:id="108" w:name="_Ref161904987"/>
      <w:r w:rsidRPr="00422245">
        <w:rPr>
          <w:lang w:eastAsia="nb-NO"/>
        </w:rPr>
        <w:lastRenderedPageBreak/>
        <w:t xml:space="preserve">Figur </w:t>
      </w:r>
      <w:r w:rsidR="006E1D94">
        <w:rPr>
          <w:lang w:eastAsia="nb-NO"/>
        </w:rPr>
        <w:fldChar w:fldCharType="begin"/>
      </w:r>
      <w:r w:rsidR="006E1D94">
        <w:rPr>
          <w:lang w:eastAsia="nb-NO"/>
        </w:rPr>
        <w:instrText xml:space="preserve"> STYLEREF 1 \s </w:instrText>
      </w:r>
      <w:r w:rsidR="006E1D94">
        <w:rPr>
          <w:lang w:eastAsia="nb-NO"/>
        </w:rPr>
        <w:fldChar w:fldCharType="separate"/>
      </w:r>
      <w:r w:rsidR="006E1D94">
        <w:rPr>
          <w:noProof/>
          <w:lang w:eastAsia="nb-NO"/>
        </w:rPr>
        <w:t>5</w:t>
      </w:r>
      <w:r w:rsidR="006E1D94">
        <w:rPr>
          <w:lang w:eastAsia="nb-NO"/>
        </w:rPr>
        <w:fldChar w:fldCharType="end"/>
      </w:r>
      <w:r w:rsidR="006E1D94">
        <w:rPr>
          <w:lang w:eastAsia="nb-NO"/>
        </w:rPr>
        <w:noBreakHyphen/>
      </w:r>
      <w:r w:rsidR="006E1D94">
        <w:rPr>
          <w:lang w:eastAsia="nb-NO"/>
        </w:rPr>
        <w:fldChar w:fldCharType="begin"/>
      </w:r>
      <w:r w:rsidR="006E1D94">
        <w:rPr>
          <w:lang w:eastAsia="nb-NO"/>
        </w:rPr>
        <w:instrText xml:space="preserve"> SEQ Figur \* ARABIC \s 1 </w:instrText>
      </w:r>
      <w:r w:rsidR="006E1D94">
        <w:rPr>
          <w:lang w:eastAsia="nb-NO"/>
        </w:rPr>
        <w:fldChar w:fldCharType="separate"/>
      </w:r>
      <w:r w:rsidR="006E1D94">
        <w:rPr>
          <w:noProof/>
          <w:lang w:eastAsia="nb-NO"/>
        </w:rPr>
        <w:t>14</w:t>
      </w:r>
      <w:r w:rsidR="006E1D94">
        <w:rPr>
          <w:lang w:eastAsia="nb-NO"/>
        </w:rPr>
        <w:fldChar w:fldCharType="end"/>
      </w:r>
      <w:bookmarkEnd w:id="108"/>
      <w:r w:rsidR="00DE14CC" w:rsidRPr="00422245">
        <w:rPr>
          <w:lang w:eastAsia="nb-NO"/>
        </w:rPr>
        <w:t xml:space="preserve"> Studentenes tilfredshet med studiekvaliteten, per institusjon. Gj</w:t>
      </w:r>
      <w:r w:rsidR="000E308F" w:rsidRPr="00422245">
        <w:rPr>
          <w:lang w:eastAsia="nb-NO"/>
        </w:rPr>
        <w:t>ennom</w:t>
      </w:r>
      <w:r w:rsidR="00DE14CC" w:rsidRPr="00422245">
        <w:rPr>
          <w:lang w:eastAsia="nb-NO"/>
        </w:rPr>
        <w:t>snitt 2023</w:t>
      </w:r>
    </w:p>
    <w:p w14:paraId="7EBC926B" w14:textId="0C7C399B" w:rsidR="00DE14CC" w:rsidRPr="00422245" w:rsidRDefault="00640D86" w:rsidP="000E308F">
      <w:pPr>
        <w:keepNext/>
        <w:keepLines/>
      </w:pPr>
      <w:r w:rsidRPr="00422245">
        <w:rPr>
          <w:noProof/>
        </w:rPr>
        <w:drawing>
          <wp:inline distT="0" distB="0" distL="0" distR="0" wp14:anchorId="14BAA63C" wp14:editId="0DAEBE93">
            <wp:extent cx="5686425" cy="7419975"/>
            <wp:effectExtent l="0" t="0" r="9525" b="9525"/>
            <wp:docPr id="681742924" name="Diagram 1">
              <a:extLst xmlns:a="http://schemas.openxmlformats.org/drawingml/2006/main">
                <a:ext uri="{FF2B5EF4-FFF2-40B4-BE49-F238E27FC236}">
                  <a16:creationId xmlns:a16="http://schemas.microsoft.com/office/drawing/2014/main" id="{7A0E1EE7-B6CC-47E6-A17B-0EED47EDC2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D5A6596" w14:textId="77777777" w:rsidR="00640D86" w:rsidRPr="00422245" w:rsidRDefault="00640D86" w:rsidP="00576627">
      <w:pPr>
        <w:pStyle w:val="Kilde"/>
        <w:rPr>
          <w:lang w:eastAsia="nb-NO"/>
        </w:rPr>
      </w:pPr>
      <w:r w:rsidRPr="004E373E">
        <w:rPr>
          <w:b/>
          <w:lang w:eastAsia="nb-NO"/>
        </w:rPr>
        <w:t>Kilde</w:t>
      </w:r>
      <w:r w:rsidRPr="00422245">
        <w:rPr>
          <w:lang w:eastAsia="nb-NO"/>
        </w:rPr>
        <w:t>: NOKUT, Studiebarometeret</w:t>
      </w:r>
    </w:p>
    <w:p w14:paraId="56B24CAB" w14:textId="24884F6A" w:rsidR="00A54D33" w:rsidRPr="00422245" w:rsidRDefault="00852EA5" w:rsidP="00A54D33">
      <w:pPr>
        <w:pStyle w:val="Overskrift2"/>
      </w:pPr>
      <w:bookmarkStart w:id="109" w:name="_Toc163488425"/>
      <w:r w:rsidRPr="00422245">
        <w:lastRenderedPageBreak/>
        <w:t>S</w:t>
      </w:r>
      <w:r w:rsidR="00186B20" w:rsidRPr="00422245">
        <w:t xml:space="preserve">ammenhenger mellom innsats og </w:t>
      </w:r>
      <w:r w:rsidR="002A4B8E" w:rsidRPr="00422245">
        <w:t>resultat</w:t>
      </w:r>
      <w:bookmarkEnd w:id="109"/>
    </w:p>
    <w:p w14:paraId="62F6F94F" w14:textId="77777777" w:rsidR="00064620" w:rsidRPr="00064620" w:rsidRDefault="00064620" w:rsidP="00064620"/>
    <w:p w14:paraId="74AEBF72" w14:textId="3049582E" w:rsidR="00A54D33" w:rsidRPr="00422245" w:rsidRDefault="00A54D33" w:rsidP="00A54D33">
      <w:pPr>
        <w:pStyle w:val="Overskrift3"/>
        <w:spacing w:before="288"/>
      </w:pPr>
      <w:bookmarkStart w:id="110" w:name="_Toc163488426"/>
      <w:r w:rsidRPr="00422245">
        <w:t>Nasjonale deleksamener</w:t>
      </w:r>
      <w:bookmarkEnd w:id="110"/>
    </w:p>
    <w:p w14:paraId="4CC504B3" w14:textId="77777777" w:rsidR="00C069DE" w:rsidRDefault="00C74239" w:rsidP="00B66A85">
      <w:r>
        <w:t xml:space="preserve">Nasjonal deleksamen i anatomi, fysiologi og biokjemi har vært en obligatorisk del av sykepleiestudiet siden 2016. </w:t>
      </w:r>
      <w:r w:rsidR="00033333">
        <w:t xml:space="preserve">Vedleggstabell </w:t>
      </w:r>
      <w:r w:rsidR="003355A5">
        <w:t xml:space="preserve">X viser karakterfordelingen </w:t>
      </w:r>
      <w:r w:rsidR="00445461">
        <w:t xml:space="preserve">på denne eksamenen for de ulike studiestedene </w:t>
      </w:r>
      <w:r w:rsidR="001A2096">
        <w:t>for årene 2018 til 2023</w:t>
      </w:r>
      <w:r w:rsidR="00445461">
        <w:t xml:space="preserve">. </w:t>
      </w:r>
      <w:r w:rsidR="00D376C6">
        <w:t>Overordnet ser vi at andelen</w:t>
      </w:r>
      <w:r w:rsidR="00445461">
        <w:t xml:space="preserve"> </w:t>
      </w:r>
      <w:r w:rsidR="001350E9">
        <w:t xml:space="preserve">som stryker har variert forholdsvis </w:t>
      </w:r>
      <w:r w:rsidR="008C1EEB">
        <w:t>lite</w:t>
      </w:r>
      <w:r w:rsidR="00833367">
        <w:t xml:space="preserve"> </w:t>
      </w:r>
      <w:r w:rsidR="001350E9">
        <w:t>i den aktuelle perioden</w:t>
      </w:r>
      <w:r w:rsidR="00833367">
        <w:t>.</w:t>
      </w:r>
      <w:r w:rsidR="001350E9">
        <w:t xml:space="preserve"> </w:t>
      </w:r>
      <w:r w:rsidR="00680CBC">
        <w:t>Alle årene</w:t>
      </w:r>
      <w:r w:rsidR="006879C2">
        <w:t xml:space="preserve"> </w:t>
      </w:r>
      <w:r w:rsidR="007B722E">
        <w:t xml:space="preserve">fra </w:t>
      </w:r>
      <w:r w:rsidR="003D0E14">
        <w:t>oppstarten i</w:t>
      </w:r>
      <w:r w:rsidR="006C4B54">
        <w:t xml:space="preserve"> 2016 har strykprosenten ligget på mellom 20 og 25 prosent. I 2023 var den </w:t>
      </w:r>
      <w:r w:rsidR="005F4362">
        <w:t>22 prosent.</w:t>
      </w:r>
      <w:r w:rsidR="006C4B54">
        <w:t xml:space="preserve"> </w:t>
      </w:r>
      <w:r w:rsidR="00105DF3">
        <w:t xml:space="preserve">Andelen som fikk karakteren A </w:t>
      </w:r>
      <w:r w:rsidR="00863075">
        <w:t xml:space="preserve">er </w:t>
      </w:r>
      <w:r w:rsidR="0067238C">
        <w:t>på sitt høyeste i 2023, med 11 prosent.</w:t>
      </w:r>
      <w:r w:rsidR="006879C2">
        <w:t xml:space="preserve"> </w:t>
      </w:r>
      <w:r w:rsidR="0067238C">
        <w:t>De høyeste gjennomsnittskarakterene og laveste strykprosentene i</w:t>
      </w:r>
      <w:r w:rsidR="00D376C6">
        <w:t xml:space="preserve"> </w:t>
      </w:r>
      <w:r w:rsidR="00A83225">
        <w:t xml:space="preserve">2023 </w:t>
      </w:r>
      <w:r w:rsidR="00CE7817">
        <w:t xml:space="preserve">finner vi ved HVL i Bergen, </w:t>
      </w:r>
      <w:r w:rsidR="006322CB">
        <w:t>Lovisenberg diakonale hø</w:t>
      </w:r>
      <w:r w:rsidR="00104E27">
        <w:t>g</w:t>
      </w:r>
      <w:r w:rsidR="006322CB">
        <w:t>skole</w:t>
      </w:r>
      <w:r w:rsidR="00104E27">
        <w:t>, NTNU i Trondheim og UiA i Kristiansand.</w:t>
      </w:r>
      <w:r w:rsidR="000B7FAB">
        <w:t xml:space="preserve"> </w:t>
      </w:r>
      <w:r w:rsidR="004B7F43">
        <w:t xml:space="preserve">Også </w:t>
      </w:r>
      <w:r w:rsidR="008E00A4">
        <w:t>de foregående årene har disse studiestedene utmerket seg på denne måten.</w:t>
      </w:r>
      <w:r w:rsidR="00B458FD">
        <w:t xml:space="preserve"> </w:t>
      </w:r>
    </w:p>
    <w:p w14:paraId="73ACB8F2" w14:textId="4C2B1DD5" w:rsidR="00445461" w:rsidRDefault="00FA162A" w:rsidP="00B66A85">
      <w:r>
        <w:t xml:space="preserve">Selv om vi ikke har mulighet til å gjøre analyser på individnivå, er det mye som tyder på at </w:t>
      </w:r>
      <w:r w:rsidR="008C4B4D">
        <w:t xml:space="preserve">strykprosent og </w:t>
      </w:r>
      <w:r w:rsidR="009420F0">
        <w:t>karakternivå</w:t>
      </w:r>
      <w:r w:rsidR="008C4B4D">
        <w:t xml:space="preserve"> </w:t>
      </w:r>
      <w:r w:rsidR="00B458FD">
        <w:t xml:space="preserve">henger sammen med studentenes opptakskarakterer fra videregående. </w:t>
      </w:r>
      <w:r w:rsidR="00153BCA">
        <w:t>S</w:t>
      </w:r>
      <w:r w:rsidR="00D95D03">
        <w:t xml:space="preserve">tatistikk </w:t>
      </w:r>
      <w:r w:rsidR="00153BCA">
        <w:t>for</w:t>
      </w:r>
      <w:r w:rsidR="00D95D03">
        <w:t xml:space="preserve"> gjennomsnittlige opptakspoeng </w:t>
      </w:r>
      <w:r w:rsidR="007C63DE">
        <w:t xml:space="preserve">til sykepleiestudiet </w:t>
      </w:r>
      <w:r w:rsidR="00F407AF">
        <w:t xml:space="preserve">ved ulike institusjoner tegner et bilde som er gjenkjennelig </w:t>
      </w:r>
      <w:r w:rsidR="00E345E2">
        <w:t xml:space="preserve">fra det vi </w:t>
      </w:r>
      <w:r w:rsidR="00ED2F04">
        <w:t>har omtalt over.</w:t>
      </w:r>
      <w:r w:rsidR="00105DBC">
        <w:t xml:space="preserve"> </w:t>
      </w:r>
      <w:r w:rsidR="008731D3">
        <w:t>Selv om vi</w:t>
      </w:r>
      <w:r w:rsidR="004C02AC">
        <w:t xml:space="preserve"> i </w:t>
      </w:r>
      <w:r w:rsidR="00FF35AE">
        <w:t>karakterstatistikken</w:t>
      </w:r>
      <w:r w:rsidR="008731D3">
        <w:t xml:space="preserve"> ikke får skilt NTNU i Trondheim fra NTNU samlet</w:t>
      </w:r>
      <w:r w:rsidR="004D740C">
        <w:t xml:space="preserve"> eller HVL i Bergen fra HVL samlet</w:t>
      </w:r>
      <w:r w:rsidR="00FF35AE">
        <w:t xml:space="preserve">, </w:t>
      </w:r>
      <w:r w:rsidR="004E2408">
        <w:t>hadde</w:t>
      </w:r>
      <w:r w:rsidR="00FF35AE">
        <w:t xml:space="preserve"> disse to institusjonene </w:t>
      </w:r>
      <w:r w:rsidR="006C039E">
        <w:t>de tredje og fjerde</w:t>
      </w:r>
      <w:r w:rsidR="0018490E">
        <w:t xml:space="preserve"> høyeste opptakskarakterene i 2023</w:t>
      </w:r>
      <w:r w:rsidR="006C039E">
        <w:t>. Klart høyest opptakskarakterer hadde</w:t>
      </w:r>
      <w:r w:rsidR="0018490E">
        <w:t xml:space="preserve"> studentene </w:t>
      </w:r>
      <w:r w:rsidR="00080A45">
        <w:t xml:space="preserve">ved </w:t>
      </w:r>
      <w:r w:rsidR="00326FB2">
        <w:t>UiA i Kristiansand og Lovisenberg diakonale høgskole</w:t>
      </w:r>
      <w:r w:rsidR="006C039E">
        <w:t>.</w:t>
      </w:r>
    </w:p>
    <w:p w14:paraId="123B7282" w14:textId="44EC0171" w:rsidR="00E9545C" w:rsidRDefault="00004255" w:rsidP="00B66A85">
      <w:r w:rsidRPr="00E047FC">
        <w:t>For g</w:t>
      </w:r>
      <w:r w:rsidR="001E492A" w:rsidRPr="00E047FC">
        <w:t xml:space="preserve">runnskolelærerstudentene </w:t>
      </w:r>
      <w:r w:rsidR="005E0BD4" w:rsidRPr="00E047FC">
        <w:t>(både GLU1-7 og GLU5-10)</w:t>
      </w:r>
      <w:r w:rsidR="001E492A" w:rsidRPr="00E047FC">
        <w:t xml:space="preserve"> </w:t>
      </w:r>
      <w:r w:rsidRPr="00E047FC">
        <w:t>er det obligatorisk å avlegge eksamen i m</w:t>
      </w:r>
      <w:r w:rsidR="00703E30" w:rsidRPr="00E047FC">
        <w:t>at</w:t>
      </w:r>
      <w:r w:rsidRPr="00E047FC">
        <w:t>emat</w:t>
      </w:r>
      <w:r w:rsidR="00703E30" w:rsidRPr="00E047FC">
        <w:t>ikkdi</w:t>
      </w:r>
      <w:r w:rsidRPr="00E047FC">
        <w:t>daktikk</w:t>
      </w:r>
      <w:r w:rsidR="005E0BD4" w:rsidRPr="00E047FC">
        <w:t>.</w:t>
      </w:r>
      <w:r w:rsidR="009108AC" w:rsidRPr="00E047FC">
        <w:t xml:space="preserve"> </w:t>
      </w:r>
      <w:r w:rsidR="00FE0840" w:rsidRPr="00D45162">
        <w:t xml:space="preserve">Eksamen blir arrangert både om våren og om høsten, og </w:t>
      </w:r>
      <w:r w:rsidR="00153310" w:rsidRPr="00D45162">
        <w:t xml:space="preserve">det varierer mellom institusjoner </w:t>
      </w:r>
      <w:r w:rsidR="008645CB" w:rsidRPr="00D45162">
        <w:t>hvilket semester</w:t>
      </w:r>
      <w:r w:rsidR="00153310" w:rsidRPr="00D45162">
        <w:t xml:space="preserve"> studentene </w:t>
      </w:r>
      <w:r w:rsidR="008645CB" w:rsidRPr="00D45162">
        <w:t>tar eksamen. De som vil ta eksamen på nytt igjen</w:t>
      </w:r>
      <w:r w:rsidR="009D5E73" w:rsidRPr="00D45162">
        <w:t xml:space="preserve"> eller utsette eksamen</w:t>
      </w:r>
      <w:r w:rsidR="008645CB" w:rsidRPr="00D45162">
        <w:t xml:space="preserve">, kan </w:t>
      </w:r>
      <w:r w:rsidR="009D5E73" w:rsidRPr="00D45162">
        <w:t>ta eksamen</w:t>
      </w:r>
      <w:r w:rsidR="008645CB" w:rsidRPr="00D45162">
        <w:t xml:space="preserve"> </w:t>
      </w:r>
      <w:r w:rsidR="00453574" w:rsidRPr="00D45162">
        <w:t xml:space="preserve">påfølgende semester. Dette gjør det noe utfordrende å </w:t>
      </w:r>
      <w:r w:rsidR="00CE176B" w:rsidRPr="00D45162">
        <w:t xml:space="preserve">lage </w:t>
      </w:r>
      <w:r w:rsidR="007A2A3D" w:rsidRPr="00D45162">
        <w:t>helhetlig statistikk</w:t>
      </w:r>
      <w:r w:rsidR="00EB4F0A" w:rsidRPr="00D45162">
        <w:t xml:space="preserve">. </w:t>
      </w:r>
      <w:r w:rsidR="00E473E1">
        <w:t xml:space="preserve">Vedleggstabell X </w:t>
      </w:r>
      <w:r w:rsidR="00E9545C">
        <w:t xml:space="preserve">viser karakterfordeling for alle studiesteder for hvert enkelt semester </w:t>
      </w:r>
      <w:r w:rsidR="003B1DD1">
        <w:t>fra 2018 til 2023.</w:t>
      </w:r>
    </w:p>
    <w:p w14:paraId="763DB9A5" w14:textId="23A85CDD" w:rsidR="009546FE" w:rsidRPr="00422245" w:rsidRDefault="009546FE" w:rsidP="009546FE">
      <w:pPr>
        <w:pStyle w:val="Overskrift3"/>
        <w:spacing w:before="288"/>
      </w:pPr>
      <w:bookmarkStart w:id="111" w:name="_Ref161919412"/>
      <w:bookmarkStart w:id="112" w:name="_Toc163488427"/>
      <w:r w:rsidRPr="00422245">
        <w:t>Studiepoeng per faglige årsverk</w:t>
      </w:r>
      <w:bookmarkEnd w:id="111"/>
      <w:bookmarkEnd w:id="112"/>
    </w:p>
    <w:p w14:paraId="55450BC7" w14:textId="40DBEEAE" w:rsidR="00150E72" w:rsidRPr="00422245" w:rsidRDefault="00F74AA1" w:rsidP="003F254F">
      <w:r w:rsidRPr="00422245">
        <w:t xml:space="preserve">Antall studiepoeng per faglig årsverk </w:t>
      </w:r>
      <w:r w:rsidR="002B60CF" w:rsidRPr="00422245">
        <w:t>var en av de opprinnelige styringsparameterne.</w:t>
      </w:r>
      <w:r w:rsidR="00406406" w:rsidRPr="00422245">
        <w:t xml:space="preserve"> Indikatoren har delvis </w:t>
      </w:r>
      <w:r w:rsidR="00617592" w:rsidRPr="00422245">
        <w:t xml:space="preserve">vært tenkt </w:t>
      </w:r>
      <w:r w:rsidR="00640976" w:rsidRPr="00422245">
        <w:t>som et effektivitetsmål</w:t>
      </w:r>
      <w:r w:rsidR="00701E3A" w:rsidRPr="00422245">
        <w:t xml:space="preserve"> </w:t>
      </w:r>
      <w:r w:rsidR="00BB5B0E" w:rsidRPr="00422245">
        <w:t xml:space="preserve">for </w:t>
      </w:r>
      <w:r w:rsidR="00145F8C" w:rsidRPr="00422245">
        <w:t>underv</w:t>
      </w:r>
      <w:r w:rsidR="00A250D4" w:rsidRPr="00422245">
        <w:t>isningsarbeidet</w:t>
      </w:r>
      <w:r w:rsidR="00BB5B0E" w:rsidRPr="00422245">
        <w:t xml:space="preserve"> i sektoren.</w:t>
      </w:r>
      <w:r w:rsidR="00DD1FA5" w:rsidRPr="00422245">
        <w:t xml:space="preserve"> Indikatoren er </w:t>
      </w:r>
      <w:r w:rsidR="00DA4CE2" w:rsidRPr="00422245">
        <w:t xml:space="preserve">imidlertid </w:t>
      </w:r>
      <w:r w:rsidR="00573FE4" w:rsidRPr="00422245">
        <w:t xml:space="preserve">i </w:t>
      </w:r>
      <w:r w:rsidR="006F2F5A" w:rsidRPr="00422245">
        <w:t xml:space="preserve">stor grad et uttrykk for institusjonenes profil når det gjelder </w:t>
      </w:r>
      <w:r w:rsidR="00D372CB" w:rsidRPr="00422245">
        <w:t xml:space="preserve">forholdet mellom forskning </w:t>
      </w:r>
      <w:r w:rsidR="00FA2653" w:rsidRPr="00422245">
        <w:t>og undervisning.</w:t>
      </w:r>
      <w:r w:rsidR="00BB5B0E" w:rsidRPr="00422245">
        <w:t xml:space="preserve"> </w:t>
      </w:r>
    </w:p>
    <w:p w14:paraId="7E1494EB" w14:textId="215BAC73" w:rsidR="00350B1B" w:rsidRPr="00422245" w:rsidRDefault="004F348E" w:rsidP="003F254F">
      <w:r w:rsidRPr="00422245">
        <w:lastRenderedPageBreak/>
        <w:fldChar w:fldCharType="begin"/>
      </w:r>
      <w:r w:rsidRPr="00422245">
        <w:instrText xml:space="preserve"> REF _Ref161918419 \h </w:instrText>
      </w:r>
      <w:r w:rsidRPr="00422245">
        <w:fldChar w:fldCharType="separate"/>
      </w:r>
      <w:r w:rsidRPr="00422245">
        <w:t xml:space="preserve">Figur </w:t>
      </w:r>
      <w:r w:rsidR="00230C65">
        <w:rPr>
          <w:noProof/>
        </w:rPr>
        <w:t>5</w:t>
      </w:r>
      <w:r w:rsidR="005B096E">
        <w:noBreakHyphen/>
      </w:r>
      <w:r w:rsidR="005B096E">
        <w:rPr>
          <w:noProof/>
        </w:rPr>
        <w:t>15</w:t>
      </w:r>
      <w:r w:rsidRPr="00422245">
        <w:fldChar w:fldCharType="end"/>
      </w:r>
      <w:r w:rsidR="006B7BD3" w:rsidRPr="00422245">
        <w:t xml:space="preserve"> viser antall </w:t>
      </w:r>
      <w:r w:rsidR="00407B39" w:rsidRPr="00422245">
        <w:t xml:space="preserve">studiepoeng per faglig årsverk for sektoren samlet </w:t>
      </w:r>
      <w:r w:rsidR="00553E0F" w:rsidRPr="00422245">
        <w:t>i perioden 2014</w:t>
      </w:r>
      <w:r w:rsidR="00276953" w:rsidRPr="00422245">
        <w:t xml:space="preserve">–2023, mens </w:t>
      </w:r>
      <w:r w:rsidR="00547BB7" w:rsidRPr="00422245">
        <w:t xml:space="preserve">tabell </w:t>
      </w:r>
      <w:r w:rsidR="00276953" w:rsidRPr="00422245">
        <w:t xml:space="preserve">VX.XX viser utviklingen på institusjonsnivå. </w:t>
      </w:r>
      <w:r w:rsidR="00774AA1" w:rsidRPr="00422245">
        <w:t xml:space="preserve">Det har vært en jevn nedgang gjennom perioden, med unntak av </w:t>
      </w:r>
      <w:r w:rsidR="00AE6872" w:rsidRPr="00422245">
        <w:t>pandemiårene 202</w:t>
      </w:r>
      <w:r w:rsidR="004F2177" w:rsidRPr="00422245">
        <w:t>0</w:t>
      </w:r>
      <w:r w:rsidR="00AE6872" w:rsidRPr="00422245">
        <w:t xml:space="preserve"> og 2021</w:t>
      </w:r>
      <w:r w:rsidR="00800647" w:rsidRPr="00422245">
        <w:t xml:space="preserve"> med spesielt høye studenttall og </w:t>
      </w:r>
      <w:r w:rsidR="009F7AA7" w:rsidRPr="00422245">
        <w:t>en</w:t>
      </w:r>
      <w:r w:rsidR="00800647" w:rsidRPr="00422245">
        <w:t xml:space="preserve"> nedstenging som krevde </w:t>
      </w:r>
      <w:r w:rsidR="00350B1B" w:rsidRPr="00422245">
        <w:t xml:space="preserve">ekstraordinær prioritering av utdanningsoppgavene. </w:t>
      </w:r>
      <w:r w:rsidR="00160432" w:rsidRPr="00422245">
        <w:t xml:space="preserve">For perioden og sektoren som helhet er nedgangen i studiepoeng per faglig årsverk 12 prosent, </w:t>
      </w:r>
      <w:r w:rsidR="007A524A" w:rsidRPr="00422245">
        <w:t>og 14 prosent for de statlige institusjonene.</w:t>
      </w:r>
      <w:r w:rsidR="0003231F" w:rsidRPr="00422245">
        <w:t xml:space="preserve"> </w:t>
      </w:r>
      <w:r w:rsidR="00443D2A" w:rsidRPr="00422245">
        <w:t xml:space="preserve">Endringene i publiseringspoeng per faglig årsverk er imidlertid ujevnt fordelt mellom institusjonene, og </w:t>
      </w:r>
      <w:r w:rsidR="00B24879" w:rsidRPr="00422245">
        <w:t>ikke all</w:t>
      </w:r>
      <w:r w:rsidR="004D21CF" w:rsidRPr="00422245">
        <w:t>e</w:t>
      </w:r>
      <w:r w:rsidR="00B24879" w:rsidRPr="00422245">
        <w:t xml:space="preserve"> institusjoner har gått tilbake i </w:t>
      </w:r>
      <w:r w:rsidR="002B02ED" w:rsidRPr="00422245">
        <w:t xml:space="preserve">perioden. Eksempelvis </w:t>
      </w:r>
      <w:r w:rsidR="00F77A8F" w:rsidRPr="00422245">
        <w:t xml:space="preserve">hadde UiB en økning på 18 prosent fra 2014 til 2023 og NMBU en økning på 7 prosent. </w:t>
      </w:r>
      <w:r w:rsidR="003623A3" w:rsidRPr="00422245">
        <w:t xml:space="preserve">Universitetet i Oslo, derimot, hadde en nedgang på </w:t>
      </w:r>
      <w:r w:rsidR="00347EC5" w:rsidRPr="00422245">
        <w:t>15</w:t>
      </w:r>
      <w:r w:rsidR="00C0289C" w:rsidRPr="00422245">
        <w:t xml:space="preserve"> prosent i de samme årene.</w:t>
      </w:r>
    </w:p>
    <w:p w14:paraId="1E48B027" w14:textId="6079776A" w:rsidR="004B35A1" w:rsidRPr="00422245" w:rsidRDefault="004B35A1" w:rsidP="005528AA">
      <w:pPr>
        <w:pStyle w:val="Bildetekst"/>
        <w:keepNext/>
      </w:pPr>
      <w:bookmarkStart w:id="113" w:name="_Ref161918419"/>
      <w:r w:rsidRPr="00422245">
        <w:t xml:space="preserve">Figur </w:t>
      </w:r>
      <w:r w:rsidR="006E1D94">
        <w:fldChar w:fldCharType="begin"/>
      </w:r>
      <w:r w:rsidR="006E1D94">
        <w:instrText xml:space="preserve"> STYLEREF 1 \s </w:instrText>
      </w:r>
      <w:r w:rsidR="006E1D94">
        <w:fldChar w:fldCharType="separate"/>
      </w:r>
      <w:r w:rsidR="006E1D94">
        <w:rPr>
          <w:noProof/>
        </w:rPr>
        <w:t>5</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15</w:t>
      </w:r>
      <w:r w:rsidR="006E1D94">
        <w:fldChar w:fldCharType="end"/>
      </w:r>
      <w:bookmarkEnd w:id="113"/>
      <w:r w:rsidRPr="00422245">
        <w:t xml:space="preserve"> Studiepoeng per faglig årsverk 2014–23. Antall</w:t>
      </w:r>
    </w:p>
    <w:p w14:paraId="3BDDD3C9" w14:textId="179C2EA0" w:rsidR="00A250D4" w:rsidRDefault="00A250D4" w:rsidP="005528AA">
      <w:pPr>
        <w:keepNext/>
      </w:pPr>
      <w:r w:rsidRPr="00422245">
        <w:rPr>
          <w:noProof/>
        </w:rPr>
        <w:drawing>
          <wp:inline distT="0" distB="0" distL="0" distR="0" wp14:anchorId="5DB56A31" wp14:editId="13B7D13D">
            <wp:extent cx="5397987" cy="3257781"/>
            <wp:effectExtent l="0" t="0" r="12700" b="0"/>
            <wp:docPr id="1044023707" name="Diagram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931C98" w14:textId="764A194E" w:rsidR="00576627" w:rsidRPr="00422245" w:rsidRDefault="00576627" w:rsidP="005528AA">
      <w:pPr>
        <w:pStyle w:val="Kilde"/>
      </w:pPr>
      <w:r w:rsidRPr="004E373E">
        <w:rPr>
          <w:b/>
        </w:rPr>
        <w:t>Kilde</w:t>
      </w:r>
      <w:r>
        <w:t>: DBH</w:t>
      </w:r>
    </w:p>
    <w:p w14:paraId="04DA4E27" w14:textId="5E7FD9FC" w:rsidR="008636CB" w:rsidRPr="00422245" w:rsidRDefault="00220DE8" w:rsidP="00220DE8">
      <w:r w:rsidRPr="00422245">
        <w:t xml:space="preserve">Forskjellene mellom institusjonene tegner likevel ett tydelig bilde. Det er de institusjonene som i </w:t>
      </w:r>
      <w:r w:rsidR="00AA7F0F" w:rsidRPr="00422245">
        <w:t>stor</w:t>
      </w:r>
      <w:r w:rsidRPr="00422245">
        <w:t xml:space="preserve"> grad har endret kompetanseprofilen i retning av flere forskerutdannede, som har den største nedgangen i studiepoeng per faglig </w:t>
      </w:r>
      <w:r w:rsidR="00E5496A" w:rsidRPr="00422245">
        <w:t>årsverk</w:t>
      </w:r>
      <w:r w:rsidRPr="00422245">
        <w:t xml:space="preserve">. Disse institusjonelle utviklingstrekkene kommer vi nærmere tilbake til i kapittel </w:t>
      </w:r>
      <w:r w:rsidRPr="00422245">
        <w:fldChar w:fldCharType="begin"/>
      </w:r>
      <w:r w:rsidRPr="00422245">
        <w:instrText xml:space="preserve"> REF _Ref161921158 \r \h </w:instrText>
      </w:r>
      <w:r w:rsidRPr="00422245">
        <w:fldChar w:fldCharType="separate"/>
      </w:r>
      <w:r w:rsidRPr="00422245">
        <w:t>8.4</w:t>
      </w:r>
      <w:r w:rsidRPr="00422245">
        <w:fldChar w:fldCharType="end"/>
      </w:r>
      <w:r w:rsidRPr="00422245">
        <w:t>.</w:t>
      </w:r>
    </w:p>
    <w:p w14:paraId="19ABF68E" w14:textId="3CEF0202" w:rsidR="00220DE8" w:rsidRPr="00422245" w:rsidRDefault="00220DE8" w:rsidP="003F254F">
      <w:r w:rsidRPr="00422245">
        <w:t xml:space="preserve">Enten vi ser på hele tiårsperioden eller tidsrommet 2018–2023, er det de samme institusjonene som har hatt størst nedgang i studiepoeng per faglig årsverk. For </w:t>
      </w:r>
      <w:r w:rsidRPr="00422245">
        <w:lastRenderedPageBreak/>
        <w:t>UiS, HINN, NU og USN var nedgangen i tiårsperioden mellom 33 og 29 prosent. Av disse har HINN hatt en særlig sterk nedgang de aller siste årene med en reduksjon på hele 28 prosent siden 2020. Dette har vært en ønsket nedgang for HINN</w:t>
      </w:r>
      <w:r w:rsidR="003174BB" w:rsidRPr="00422245">
        <w:t>,</w:t>
      </w:r>
      <w:r w:rsidRPr="00422245">
        <w:t xml:space="preserve"> og er resultatet av et målrettet arbeid for å endre forholdstallet mellom ansatte og studenter</w:t>
      </w:r>
      <w:r w:rsidR="00A75CC4">
        <w:t xml:space="preserve"> </w:t>
      </w:r>
      <w:r w:rsidR="00983DF5">
        <w:fldChar w:fldCharType="begin"/>
      </w:r>
      <w:r w:rsidR="00983DF5">
        <w:instrText xml:space="preserve"> ADDIN EN.CITE &lt;EndNote&gt;&lt;Cite&gt;&lt;Author&gt;Høgskolen i Innlandet&lt;/Author&gt;&lt;Year&gt;2023&lt;/Year&gt;&lt;RecNum&gt;2288&lt;/RecNum&gt;&lt;DisplayText&gt;(Høgskolen i Innlandet, 2023)&lt;/DisplayText&gt;&lt;record&gt;&lt;rec-number&gt;2288&lt;/rec-number&gt;&lt;foreign-keys&gt;&lt;key app="EN" db-id="p2et5feaxrpe5zew2eavt29z05fv09aa5s0w" timestamp="1712322081" guid="0a5fe12b-65d4-4387-a84f-12892d30ded8"&gt;2288&lt;/key&gt;&lt;/foreign-keys&gt;&lt;ref-type name="Report"&gt;27&lt;/ref-type&gt;&lt;contributors&gt;&lt;authors&gt;&lt;author&gt;Høgskolen i Innlandet,&lt;/author&gt;&lt;/authors&gt;&lt;tertiary-authors&gt;&lt;author&gt;Høgskolen i Innlandet&lt;/author&gt;&lt;/tertiary-authors&gt;&lt;/contributors&gt;&lt;titles&gt;&lt;title&gt;Årsrapport 2022&lt;/title&gt;&lt;/titles&gt;&lt;dates&gt;&lt;year&gt;2023&lt;/year&gt;&lt;/dates&gt;&lt;publisher&gt;Høgskolen i Innlandet&lt;/publisher&gt;&lt;urls&gt;&lt;related-urls&gt;&lt;url&gt;https://www.inn.no/om-hogskolen/organisering/styringsdokumenter/hinn-aarsrapport-2022.pdf&lt;/url&gt;&lt;/related-urls&gt;&lt;/urls&gt;&lt;/record&gt;&lt;/Cite&gt;&lt;/EndNote&gt;</w:instrText>
      </w:r>
      <w:r w:rsidR="00983DF5">
        <w:fldChar w:fldCharType="separate"/>
      </w:r>
      <w:r w:rsidR="00983DF5">
        <w:rPr>
          <w:noProof/>
        </w:rPr>
        <w:t>(Høgskolen i Innlandet, 2023)</w:t>
      </w:r>
      <w:r w:rsidR="00983DF5">
        <w:fldChar w:fldCharType="end"/>
      </w:r>
      <w:r w:rsidRPr="00422245">
        <w:t>.</w:t>
      </w:r>
      <w:r w:rsidR="00592E53" w:rsidRPr="00422245">
        <w:t xml:space="preserve"> </w:t>
      </w:r>
      <w:r w:rsidR="008636CB" w:rsidRPr="00422245">
        <w:t xml:space="preserve">Aller sterkest nedgang </w:t>
      </w:r>
      <w:r w:rsidR="00977899" w:rsidRPr="00422245">
        <w:t>i tiårsperioden hadde UiS</w:t>
      </w:r>
      <w:r w:rsidR="006D3B28" w:rsidRPr="00422245">
        <w:t xml:space="preserve">. </w:t>
      </w:r>
      <w:r w:rsidR="000B7A05" w:rsidRPr="00422245">
        <w:t xml:space="preserve">I </w:t>
      </w:r>
      <w:r w:rsidR="00252CBE" w:rsidRPr="00422245">
        <w:t xml:space="preserve">2014 hadde UiS nesten dobbelt så mange studiepoeng per faglig årsverk som for eksempel UiB. </w:t>
      </w:r>
      <w:r w:rsidR="00777546" w:rsidRPr="00422245">
        <w:t xml:space="preserve">I </w:t>
      </w:r>
      <w:r w:rsidR="004202C0" w:rsidRPr="00422245">
        <w:t xml:space="preserve">2023 </w:t>
      </w:r>
      <w:r w:rsidR="006D108D" w:rsidRPr="00422245">
        <w:t xml:space="preserve">var forskjellen krympet til 8 prosent. </w:t>
      </w:r>
      <w:r w:rsidR="0025577C" w:rsidRPr="00422245">
        <w:t>Det er et tydelig uttrykk for</w:t>
      </w:r>
      <w:r w:rsidR="00054222" w:rsidRPr="00422245">
        <w:t xml:space="preserve"> </w:t>
      </w:r>
      <w:r w:rsidR="001C56BF" w:rsidRPr="00422245">
        <w:t>noen av de endringen som har kjennetegnet norsk høyere utdanning de siste årene.</w:t>
      </w:r>
    </w:p>
    <w:p w14:paraId="64422841" w14:textId="77777777" w:rsidR="00561487" w:rsidRDefault="003A4B27" w:rsidP="003A4B27">
      <w:pPr>
        <w:pStyle w:val="Overskrift3"/>
        <w:spacing w:before="288"/>
      </w:pPr>
      <w:bookmarkStart w:id="114" w:name="_Toc163488428"/>
      <w:r>
        <w:t>Statistiske sammenhenger</w:t>
      </w:r>
      <w:bookmarkEnd w:id="114"/>
    </w:p>
    <w:p w14:paraId="46E657F6" w14:textId="4B566328" w:rsidR="00561487" w:rsidRDefault="00206DD7" w:rsidP="003A4B27">
      <w:r>
        <w:t>Her planlegge</w:t>
      </w:r>
      <w:r w:rsidR="00A874FF">
        <w:t>r vi å kjøre noen korrelasjonsanalyser</w:t>
      </w:r>
      <w:r w:rsidR="008B65B9">
        <w:t>, for eksempel</w:t>
      </w:r>
      <w:r w:rsidR="00A874FF">
        <w:t xml:space="preserve"> mellom</w:t>
      </w:r>
    </w:p>
    <w:p w14:paraId="2CC9B83C" w14:textId="4A0A9BA8" w:rsidR="00DC1AA5" w:rsidRDefault="00573CC2" w:rsidP="00573CC2">
      <w:pPr>
        <w:pStyle w:val="Listeavsnitt"/>
        <w:numPr>
          <w:ilvl w:val="0"/>
          <w:numId w:val="46"/>
        </w:numPr>
      </w:pPr>
      <w:r w:rsidRPr="00422245">
        <w:t xml:space="preserve">Søkere per studieplass </w:t>
      </w:r>
      <w:r w:rsidR="008D121D">
        <w:t xml:space="preserve">og </w:t>
      </w:r>
      <w:r w:rsidRPr="00422245">
        <w:t>studiepoeng per faglige årsverk</w:t>
      </w:r>
    </w:p>
    <w:p w14:paraId="11A83A24" w14:textId="00B61DF0" w:rsidR="00573CC2" w:rsidRDefault="00DC1AA5" w:rsidP="00573CC2">
      <w:pPr>
        <w:pStyle w:val="Listeavsnitt"/>
        <w:numPr>
          <w:ilvl w:val="0"/>
          <w:numId w:val="46"/>
        </w:numPr>
      </w:pPr>
      <w:r>
        <w:t>O</w:t>
      </w:r>
      <w:r w:rsidRPr="00DC1AA5">
        <w:t>pptakskarakter</w:t>
      </w:r>
      <w:r>
        <w:t>er</w:t>
      </w:r>
      <w:r w:rsidR="002F65C9">
        <w:t>/opptakspoeng</w:t>
      </w:r>
      <w:r w:rsidRPr="00DC1AA5">
        <w:t xml:space="preserve"> og gjennomføring</w:t>
      </w:r>
    </w:p>
    <w:p w14:paraId="42371EDA" w14:textId="77227A6F" w:rsidR="002F65C9" w:rsidRDefault="002F65C9" w:rsidP="00573CC2">
      <w:pPr>
        <w:pStyle w:val="Listeavsnitt"/>
        <w:numPr>
          <w:ilvl w:val="0"/>
          <w:numId w:val="46"/>
        </w:numPr>
      </w:pPr>
      <w:r w:rsidRPr="002F65C9">
        <w:t>Opptakskarakterer/opptakspoeng og tilfredshet med studieprogrammet</w:t>
      </w:r>
    </w:p>
    <w:p w14:paraId="6ABE4F4D" w14:textId="4B6B9043" w:rsidR="00F16F2E" w:rsidRDefault="00F16F2E" w:rsidP="00573CC2">
      <w:pPr>
        <w:pStyle w:val="Listeavsnitt"/>
        <w:numPr>
          <w:ilvl w:val="0"/>
          <w:numId w:val="46"/>
        </w:numPr>
      </w:pPr>
      <w:r>
        <w:t>Tidsbruk og gjennomføring</w:t>
      </w:r>
    </w:p>
    <w:p w14:paraId="1A97ED10" w14:textId="2E13AC2E" w:rsidR="00640D86" w:rsidRDefault="00F20CB0" w:rsidP="00863AF8">
      <w:pPr>
        <w:pStyle w:val="Listeavsnitt"/>
      </w:pPr>
      <w:r>
        <w:t>Gjennomføring</w:t>
      </w:r>
      <w:r w:rsidR="002F65C9">
        <w:t xml:space="preserve"> på</w:t>
      </w:r>
      <w:r w:rsidR="00993184" w:rsidRPr="00422245">
        <w:t xml:space="preserve"> normert tid bachelor </w:t>
      </w:r>
      <w:r w:rsidR="00561487">
        <w:t xml:space="preserve">og </w:t>
      </w:r>
      <w:r w:rsidR="00993184" w:rsidRPr="00422245">
        <w:t>master</w:t>
      </w:r>
    </w:p>
    <w:p w14:paraId="76B6AF64" w14:textId="77777777" w:rsidR="00582BEE" w:rsidRPr="00422245" w:rsidRDefault="00582BEE" w:rsidP="00582BEE"/>
    <w:p w14:paraId="06640D45" w14:textId="77777777" w:rsidR="00B94B37" w:rsidRPr="00422245" w:rsidRDefault="00B94B37" w:rsidP="00B94B37">
      <w:pPr>
        <w:pStyle w:val="Overskrift2"/>
      </w:pPr>
      <w:bookmarkStart w:id="115" w:name="_Toc163488429"/>
      <w:bookmarkStart w:id="116" w:name="_Toc158968338"/>
      <w:r w:rsidRPr="00422245">
        <w:lastRenderedPageBreak/>
        <w:t>Institusjonsprofiler</w:t>
      </w:r>
      <w:bookmarkEnd w:id="115"/>
    </w:p>
    <w:p w14:paraId="1E53710A" w14:textId="02245A6A" w:rsidR="00F61AE5" w:rsidRDefault="00F61AE5" w:rsidP="00F61AE5">
      <w:r w:rsidRPr="00422245">
        <w:rPr>
          <w:noProof/>
        </w:rPr>
        <w:drawing>
          <wp:inline distT="0" distB="0" distL="0" distR="0" wp14:anchorId="47AD3673" wp14:editId="5B0EBE7B">
            <wp:extent cx="3200400" cy="3724275"/>
            <wp:effectExtent l="0" t="0" r="0" b="9525"/>
            <wp:docPr id="1658405835" name="Bilde 1658405835" descr="Et bilde som inneholder tekst, skjermbilde, nummer,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05835" name="Bilde 1" descr="Et bilde som inneholder tekst, skjermbilde, nummer, Font&#10;&#10;Automatisk generert beskrivelse"/>
                    <pic:cNvPicPr/>
                  </pic:nvPicPr>
                  <pic:blipFill>
                    <a:blip r:embed="rId50"/>
                    <a:stretch>
                      <a:fillRect/>
                    </a:stretch>
                  </pic:blipFill>
                  <pic:spPr>
                    <a:xfrm>
                      <a:off x="0" y="0"/>
                      <a:ext cx="3200400" cy="3724275"/>
                    </a:xfrm>
                    <a:prstGeom prst="rect">
                      <a:avLst/>
                    </a:prstGeom>
                  </pic:spPr>
                </pic:pic>
              </a:graphicData>
            </a:graphic>
          </wp:inline>
        </w:drawing>
      </w:r>
    </w:p>
    <w:p w14:paraId="51DF6AAC" w14:textId="695BC03A" w:rsidR="00915E60" w:rsidRPr="00422245" w:rsidRDefault="00915E60" w:rsidP="00582BEE">
      <w:pPr>
        <w:pStyle w:val="Merknad"/>
      </w:pPr>
      <w:r w:rsidRPr="00915E60">
        <w:t>Merk: Verdiene som vises i tabellen er normaliserte mellom 0 og 1. Det betyr at de er et uttrykk for relative forskjeller mellom institusjonene og ikke absolutte størrelser.</w:t>
      </w:r>
    </w:p>
    <w:p w14:paraId="45890E91" w14:textId="77777777" w:rsidR="00024812" w:rsidRDefault="00024812">
      <w:pPr>
        <w:rPr>
          <w:rFonts w:asciiTheme="majorHAnsi" w:eastAsiaTheme="majorEastAsia" w:hAnsiTheme="majorHAnsi" w:cstheme="majorBidi"/>
          <w:b/>
          <w:bCs/>
          <w:sz w:val="32"/>
          <w:szCs w:val="32"/>
        </w:rPr>
      </w:pPr>
      <w:bookmarkStart w:id="117" w:name="_Ref163206559"/>
      <w:bookmarkStart w:id="118" w:name="_Toc163488430"/>
      <w:r>
        <w:br w:type="page"/>
      </w:r>
    </w:p>
    <w:p w14:paraId="4C20F147" w14:textId="0D490672" w:rsidR="00F745DC" w:rsidRPr="00422245" w:rsidRDefault="00FB02BC" w:rsidP="008F4E20">
      <w:pPr>
        <w:pStyle w:val="Overskrift1"/>
        <w:spacing w:after="168"/>
      </w:pPr>
      <w:r w:rsidRPr="00422245">
        <w:lastRenderedPageBreak/>
        <w:t>Utdanning</w:t>
      </w:r>
      <w:r w:rsidR="007F1CB0">
        <w:t>,</w:t>
      </w:r>
      <w:r w:rsidRPr="00422245">
        <w:t xml:space="preserve"> arbeidsliv</w:t>
      </w:r>
      <w:bookmarkEnd w:id="116"/>
      <w:bookmarkEnd w:id="117"/>
      <w:r w:rsidR="007F1CB0">
        <w:t xml:space="preserve"> og sysselsetting</w:t>
      </w:r>
      <w:bookmarkEnd w:id="118"/>
    </w:p>
    <w:p w14:paraId="28600D8A" w14:textId="4B5310E3" w:rsidR="00ED419C" w:rsidRDefault="00EA32C3" w:rsidP="0017342D">
      <w:r>
        <w:t>Universiteter og høyskoler har et sammensatt samfunnsoppdrag.</w:t>
      </w:r>
      <w:r w:rsidR="008B3B34">
        <w:t xml:space="preserve"> En viktig hovedoppgave er å utdanne høyt kvalifiserte kandidater til dagens og mor</w:t>
      </w:r>
      <w:r w:rsidR="0071636A">
        <w:t>gen</w:t>
      </w:r>
      <w:r w:rsidR="00C96302">
        <w:t>dagens arbeidsliv.</w:t>
      </w:r>
      <w:r w:rsidR="00ED419C" w:rsidRPr="00ED419C">
        <w:t xml:space="preserve"> </w:t>
      </w:r>
      <w:r w:rsidR="00ED419C">
        <w:t>F</w:t>
      </w:r>
      <w:r w:rsidR="00ED419C" w:rsidRPr="00422245">
        <w:t xml:space="preserve">ra </w:t>
      </w:r>
      <w:r w:rsidR="00ED419C">
        <w:t xml:space="preserve">både </w:t>
      </w:r>
      <w:r w:rsidR="00ED419C" w:rsidRPr="00422245">
        <w:t>et individuelt og et samfunnsmessig perspektiv er godt samsvar mellom behovene i arbeidsmarkedet og utdanningssystemets kandidatproduksjon et sentralt mål. Dårlig tilpasning mellom individuelle studievalg og arbeidsmarkedets kompetansebehov vil slå ut i form av blant annet rekrutteringsproblemer og arbeidsledighet.</w:t>
      </w:r>
    </w:p>
    <w:p w14:paraId="71DC87DB" w14:textId="1E0FAA06" w:rsidR="00B000F7" w:rsidRPr="00422245" w:rsidRDefault="00CC1169" w:rsidP="0017342D">
      <w:r>
        <w:t>I</w:t>
      </w:r>
      <w:r w:rsidR="003124D0" w:rsidRPr="00422245">
        <w:t>nstitusjonenes studieporteføljer utvikles og dimensjoneres i grenseflaten mellom to markeder</w:t>
      </w:r>
      <w:r w:rsidR="002947A6" w:rsidRPr="00422245">
        <w:t>;</w:t>
      </w:r>
      <w:r w:rsidR="003124D0" w:rsidRPr="00422245">
        <w:t xml:space="preserve"> søknadsmarkedet og arbeidsmarkedet. </w:t>
      </w:r>
      <w:r w:rsidR="00130EB7" w:rsidRPr="00422245">
        <w:t xml:space="preserve">En </w:t>
      </w:r>
      <w:r w:rsidR="00293FB3" w:rsidRPr="00422245">
        <w:t xml:space="preserve">rapport </w:t>
      </w:r>
      <w:r w:rsidR="00C55581" w:rsidRPr="00422245">
        <w:t>utarbeidet på vegne av HK-dir</w:t>
      </w:r>
      <w:r w:rsidR="00743AAA">
        <w:t xml:space="preserve"> </w:t>
      </w:r>
      <w:r w:rsidR="00696C78">
        <w:fldChar w:fldCharType="begin"/>
      </w:r>
      <w:r w:rsidR="00F0085B">
        <w:instrText xml:space="preserve"> ADDIN EN.CITE &lt;EndNote&gt;&lt;Cite&gt;&lt;Author&gt;Ryssevik&lt;/Author&gt;&lt;Year&gt;2023&lt;/Year&gt;&lt;RecNum&gt;2276&lt;/RecNum&gt;&lt;DisplayText&gt;(Ryssevik et al., 2023)&lt;/DisplayText&gt;&lt;record&gt;&lt;rec-number&gt;2276&lt;/rec-number&gt;&lt;foreign-keys&gt;&lt;key app="EN" db-id="p2et5feaxrpe5zew2eavt29z05fv09aa5s0w" timestamp="1712317683" guid="307d2842-7d95-4495-9764-e597be2a5d82"&gt;2276&lt;/key&gt;&lt;/foreign-keys&gt;&lt;ref-type name="Report"&gt;27&lt;/ref-type&gt;&lt;contributors&gt;&lt;authors&gt;&lt;author&gt;Jostein Ryssevik&lt;/author&gt;&lt;author&gt;Malin Dahle&lt;/author&gt;&lt;author&gt;Asle Høgestøl&lt;/author&gt;&lt;author&gt;Henriette Skyberg&lt;/author&gt;&lt;/authors&gt;&lt;tertiary-authors&gt;&lt;author&gt;Ideas2Evidence&lt;/author&gt;&lt;/tertiary-authors&gt;&lt;/contributors&gt;&lt;titles&gt;&lt;title&gt;Mellom styring og marked - Kartlegging av behovet for et kunnskapsgrunnlag for dimensjonering av høyere utdanning&lt;/title&gt;&lt;/titles&gt;&lt;dates&gt;&lt;year&gt;2023&lt;/year&gt;&lt;/dates&gt;&lt;isbn&gt;2023:6&lt;/isbn&gt;&lt;urls&gt;&lt;related-urls&gt;&lt;url&gt;https://ideas2evidence.com/nb/publications/mellom-styring-og-marked-kartlegging-av-behovet-et-kunnskapsgrunnlag-dimensjonering-av&lt;/url&gt;&lt;/related-urls&gt;&lt;/urls&gt;&lt;/record&gt;&lt;/Cite&gt;&lt;/EndNote&gt;</w:instrText>
      </w:r>
      <w:r w:rsidR="00696C78">
        <w:fldChar w:fldCharType="separate"/>
      </w:r>
      <w:r w:rsidR="00696C78">
        <w:rPr>
          <w:noProof/>
        </w:rPr>
        <w:t>(Ryssevik et al., 2023)</w:t>
      </w:r>
      <w:r w:rsidR="00696C78">
        <w:fldChar w:fldCharType="end"/>
      </w:r>
      <w:r w:rsidR="00C55581" w:rsidRPr="00422245">
        <w:t xml:space="preserve"> </w:t>
      </w:r>
      <w:r w:rsidR="00C0093F" w:rsidRPr="00422245">
        <w:t>finner at k</w:t>
      </w:r>
      <w:r w:rsidR="006E15EB" w:rsidRPr="00422245">
        <w:t xml:space="preserve">oblingene mellom disse to markedene er relativt svake og </w:t>
      </w:r>
      <w:r w:rsidR="00007440" w:rsidRPr="00422245">
        <w:t xml:space="preserve">at </w:t>
      </w:r>
      <w:r w:rsidR="006E15EB" w:rsidRPr="00422245">
        <w:t>misforhold</w:t>
      </w:r>
      <w:r w:rsidR="00AE1871" w:rsidRPr="00422245">
        <w:t>et</w:t>
      </w:r>
      <w:r w:rsidR="006E15EB" w:rsidRPr="00422245">
        <w:t xml:space="preserve"> mellom ungdommens studievalg og arbeidslivets kompetansebehov</w:t>
      </w:r>
      <w:r w:rsidR="00AE1871" w:rsidRPr="00422245">
        <w:t xml:space="preserve"> ofte er vesentlig</w:t>
      </w:r>
      <w:r w:rsidR="006E15EB" w:rsidRPr="00422245">
        <w:t>.</w:t>
      </w:r>
      <w:r w:rsidR="00743DC1">
        <w:t xml:space="preserve"> </w:t>
      </w:r>
      <w:r w:rsidR="003F42B8">
        <w:t xml:space="preserve">I 2019 slo imidlertid </w:t>
      </w:r>
      <w:r w:rsidR="006220C8">
        <w:t>Kompetansebeho</w:t>
      </w:r>
      <w:r w:rsidR="00CD0860">
        <w:t>vsutvalgets andre rapport fast</w:t>
      </w:r>
      <w:r w:rsidR="0032024A">
        <w:t xml:space="preserve"> følgende: «U</w:t>
      </w:r>
      <w:r w:rsidR="008B6951" w:rsidRPr="008B6951">
        <w:t>tdanningssystemet og arbeidslivet i Norge er samlet sett velfungerende og bidrar til at Norge har høy sysselsetting og en arbeidsstyrke med høy kompetanse</w:t>
      </w:r>
      <w:r w:rsidR="00C0154F">
        <w:t xml:space="preserve">» </w:t>
      </w:r>
      <w:r w:rsidR="00BB4D08">
        <w:fldChar w:fldCharType="begin"/>
      </w:r>
      <w:r w:rsidR="00BB4D08">
        <w:instrText xml:space="preserve"> ADDIN EN.CITE &lt;EndNote&gt;&lt;Cite&gt;&lt;Author&gt;NOU 2019: 2&lt;/Author&gt;&lt;Year&gt;2019&lt;/Year&gt;&lt;RecNum&gt;999&lt;/RecNum&gt;&lt;DisplayText&gt;(NOU 2019: 2, 2019)&lt;/DisplayText&gt;&lt;record&gt;&lt;rec-number&gt;999&lt;/rec-number&gt;&lt;foreign-keys&gt;&lt;key app="EN" db-id="p2et5feaxrpe5zew2eavt29z05fv09aa5s0w" timestamp="1712306651" guid="07b4c994-d3af-4711-bccc-80392b3c49bb"&gt;999&lt;/key&gt;&lt;/foreign-keys&gt;&lt;ref-type name="Government Document"&gt;46&lt;/ref-type&gt;&lt;contributors&gt;&lt;authors&gt;&lt;author&gt;NOU 2019: 2,&lt;/author&gt;&lt;/authors&gt;&lt;secondary-authors&gt;&lt;author&gt;Kunnskapsdepartementet&lt;/author&gt;&lt;/secondary-authors&gt;&lt;/contributors&gt;&lt;titles&gt;&lt;title&gt;Fremtidige kompetansebehov II: Utfordringer for kompetansepolitikken&lt;/title&gt;&lt;/titles&gt;&lt;dates&gt;&lt;year&gt;2019&lt;/year&gt;&lt;/dates&gt;&lt;pub-location&gt;Oslo&lt;/pub-location&gt;&lt;publisher&gt;Kunnskapsdepartementet&lt;/publisher&gt;&lt;urls&gt;&lt;related-urls&gt;&lt;url&gt;https://www.regjeringen.no/contentassets/216ef613554042ccae0c127a6b3b3ac8/no/pdfs/nou201920190002000dddpdfs.pdf&lt;/url&gt;&lt;/related-urls&gt;&lt;/urls&gt;&lt;/record&gt;&lt;/Cite&gt;&lt;/EndNote&gt;</w:instrText>
      </w:r>
      <w:r w:rsidR="00BB4D08">
        <w:fldChar w:fldCharType="separate"/>
      </w:r>
      <w:r w:rsidR="00BB4D08">
        <w:rPr>
          <w:noProof/>
        </w:rPr>
        <w:t>(NOU 2019: 2, 2019)</w:t>
      </w:r>
      <w:r w:rsidR="00BB4D08">
        <w:fldChar w:fldCharType="end"/>
      </w:r>
      <w:r w:rsidR="00BB4D08">
        <w:t>.</w:t>
      </w:r>
      <w:r w:rsidR="00D71559">
        <w:t xml:space="preserve"> </w:t>
      </w:r>
      <w:r w:rsidR="006E15EB" w:rsidRPr="00422245">
        <w:t xml:space="preserve"> </w:t>
      </w:r>
    </w:p>
    <w:p w14:paraId="58025DB4" w14:textId="397CF74C" w:rsidR="00945BF8" w:rsidRDefault="006D18D5">
      <w:r>
        <w:t xml:space="preserve">Kapittelet </w:t>
      </w:r>
      <w:r w:rsidR="00945BF8">
        <w:t xml:space="preserve">behandler denne tematikken på følgende måter: </w:t>
      </w:r>
      <w:r w:rsidR="00DC7AB8">
        <w:t>Først</w:t>
      </w:r>
      <w:r w:rsidR="007F7ED0">
        <w:t xml:space="preserve"> ser vi mer detaljert på </w:t>
      </w:r>
      <w:r w:rsidR="00F31458">
        <w:t xml:space="preserve">uteksaminerte kandidater innenfor noen nøkkelutdanninger i lys av formulerte kompetansebehov. </w:t>
      </w:r>
      <w:r w:rsidR="00E6660E">
        <w:t>Deretter ser vi på Kandidatundersøkelsen</w:t>
      </w:r>
      <w:r w:rsidR="0059497F">
        <w:t xml:space="preserve"> og hva de uteksaminerte selv sier om overgangen fra utdanning til arbeidsliv. Til sist </w:t>
      </w:r>
      <w:r w:rsidR="0018611F">
        <w:t xml:space="preserve">bruker vi registerdata om sysselsetting </w:t>
      </w:r>
      <w:r w:rsidR="00FA0090">
        <w:t xml:space="preserve">for å </w:t>
      </w:r>
      <w:r w:rsidR="00A32849">
        <w:t>s</w:t>
      </w:r>
      <w:r w:rsidR="00A85D2D">
        <w:t>e arbeidsmark</w:t>
      </w:r>
      <w:r w:rsidR="00644CE1">
        <w:t xml:space="preserve">edsstatusen til </w:t>
      </w:r>
      <w:r w:rsidR="00F47E59">
        <w:t xml:space="preserve">uteksaminerte </w:t>
      </w:r>
      <w:r>
        <w:t>fra noen sentrale utdanninger i tiden etter fullført utdanning.</w:t>
      </w:r>
    </w:p>
    <w:p w14:paraId="6B936E54" w14:textId="3F64FF94" w:rsidR="0026329B" w:rsidRPr="00422245" w:rsidRDefault="0026329B"/>
    <w:p w14:paraId="3738E27B" w14:textId="3610C22C" w:rsidR="00024E81" w:rsidRPr="00422245" w:rsidRDefault="001910B4" w:rsidP="001910B4">
      <w:pPr>
        <w:pStyle w:val="Overskrift2"/>
      </w:pPr>
      <w:bookmarkStart w:id="119" w:name="_Toc163488431"/>
      <w:r w:rsidRPr="00422245">
        <w:t>U</w:t>
      </w:r>
      <w:r w:rsidR="00D31F03" w:rsidRPr="00422245">
        <w:t>teksaminerte kandidater</w:t>
      </w:r>
      <w:r w:rsidR="0079321D">
        <w:t xml:space="preserve"> </w:t>
      </w:r>
      <w:r w:rsidR="00B207E7">
        <w:t>på arbeidsmarkedet</w:t>
      </w:r>
      <w:bookmarkEnd w:id="119"/>
    </w:p>
    <w:p w14:paraId="4E1C61FB" w14:textId="273A4165" w:rsidR="00386816" w:rsidRPr="00422245" w:rsidRDefault="0067055F" w:rsidP="009C0565">
      <w:r w:rsidRPr="00422245">
        <w:t xml:space="preserve">Hovedbildet i det norske arbeidsmarkedet er </w:t>
      </w:r>
      <w:r w:rsidR="00145941" w:rsidRPr="00422245">
        <w:t xml:space="preserve">lav arbeidsledighet og </w:t>
      </w:r>
      <w:r w:rsidR="003673EF" w:rsidRPr="00422245">
        <w:t>en vedvarende høy etterspørsel etter arbeidskraft</w:t>
      </w:r>
      <w:r w:rsidR="00B50D50">
        <w:t>.</w:t>
      </w:r>
      <w:r w:rsidR="00696C78">
        <w:t xml:space="preserve"> </w:t>
      </w:r>
      <w:r w:rsidR="00B50D50" w:rsidRPr="00422245">
        <w:t xml:space="preserve">Etterspørselen etter arbeidskraft er størst for utdanninger på lavere nivåer, og har ellers gått ned fra det rekordhøye nivået i 2022 </w:t>
      </w:r>
      <w:r w:rsidR="00F61EDA">
        <w:fldChar w:fldCharType="begin"/>
      </w:r>
      <w:r w:rsidR="00D206C0">
        <w:instrText xml:space="preserve"> ADDIN EN.CITE &lt;EndNote&gt;&lt;Cite&gt;&lt;Author&gt;HK-dir&lt;/Author&gt;&lt;Year&gt;2023&lt;/Year&gt;&lt;RecNum&gt;2277&lt;/RecNum&gt;&lt;DisplayText&gt;(HK-dir, 2023b; Myklathun, 2023)&lt;/DisplayText&gt;&lt;record&gt;&lt;rec-number&gt;2277&lt;/rec-number&gt;&lt;foreign-keys&gt;&lt;key app="EN" db-id="p2et5feaxrpe5zew2eavt29z05fv09aa5s0w" timestamp="1712318263" guid="1db9afd2-526c-406c-a8bf-d95139da18fe"&gt;2277&lt;/key&gt;&lt;/foreign-keys&gt;&lt;ref-type name="Report"&gt;27&lt;/ref-type&gt;&lt;contributors&gt;&lt;authors&gt;&lt;author&gt;HK-dir&lt;/author&gt;&lt;/authors&gt;&lt;/contributors&gt;&lt;titles&gt;&lt;title&gt;Framtidige kompetansebehov. Kunnskapsgrunnlag for kompetansepolitikken 2023&lt;/title&gt;&lt;/titles&gt;&lt;dates&gt;&lt;year&gt;2023&lt;/year&gt;&lt;/dates&gt;&lt;isbn&gt;2023:03&lt;/isbn&gt;&lt;urls&gt;&lt;related-urls&gt;&lt;url&gt;https://hkdir.no/rapporter-undersokelser-og-statistikk/framtidige-kompetansebehov-kunnskapsgrunnlag-for-kompetansepolitikken-2023&lt;/url&gt;&lt;/related-urls&gt;&lt;/urls&gt;&lt;/record&gt;&lt;/Cite&gt;&lt;Cite&gt;&lt;Author&gt;Myklathun&lt;/Author&gt;&lt;Year&gt;2023&lt;/Year&gt;&lt;RecNum&gt;2278&lt;/RecNum&gt;&lt;record&gt;&lt;rec-number&gt;2278&lt;/rec-number&gt;&lt;foreign-keys&gt;&lt;key app="EN" db-id="p2et5feaxrpe5zew2eavt29z05fv09aa5s0w" timestamp="1712318582" guid="89ec8613-ed25-4c54-8065-522f7089dd46"&gt;2278&lt;/key&gt;&lt;/foreign-keys&gt;&lt;ref-type name="Report"&gt;27&lt;/ref-type&gt;&lt;contributors&gt;&lt;authors&gt;&lt;author&gt;Kristian Harald Myklathun&lt;/author&gt;&lt;/authors&gt;&lt;tertiary-authors&gt;&lt;author&gt;NAV&lt;/author&gt;&lt;/tertiary-authors&gt;&lt;/contributors&gt;&lt;titles&gt;&lt;title&gt;NAVs Bedriftsundersøking 2023: Redusert mangel på arbeidskraft&lt;/title&gt;&lt;/titles&gt;&lt;dates&gt;&lt;year&gt;2023&lt;/year&gt;&lt;/dates&gt;&lt;isbn&gt;2023:5&lt;/isbn&gt;&lt;urls&gt;&lt;related-urls&gt;&lt;url&gt;https://www.nav.no/_/attachment/download/53351692-1196-4647-bee2-3055f8c81ed5:3b00bf572c1b9aa10ef9f0d10dbbc8a585329c88/NAVs%20bedriftsunders%C3%B8kelse%202023.pdf&lt;/url&gt;&lt;/related-urls&gt;&lt;/urls&gt;&lt;/record&gt;&lt;/Cite&gt;&lt;/EndNote&gt;</w:instrText>
      </w:r>
      <w:r w:rsidR="00F61EDA">
        <w:fldChar w:fldCharType="separate"/>
      </w:r>
      <w:r w:rsidR="00D206C0">
        <w:rPr>
          <w:noProof/>
        </w:rPr>
        <w:t>(HK-dir, 2023b; Myklathun, 2023)</w:t>
      </w:r>
      <w:r w:rsidR="00F61EDA">
        <w:fldChar w:fldCharType="end"/>
      </w:r>
      <w:r w:rsidR="00C4733B">
        <w:t xml:space="preserve">. </w:t>
      </w:r>
      <w:r w:rsidR="00920ACE" w:rsidRPr="00422245">
        <w:t xml:space="preserve">De siste </w:t>
      </w:r>
      <w:r w:rsidR="009922D5" w:rsidRPr="00422245">
        <w:t>tilgjengelige</w:t>
      </w:r>
      <w:r w:rsidR="003176BA" w:rsidRPr="00422245">
        <w:t xml:space="preserve"> tallene </w:t>
      </w:r>
      <w:r w:rsidR="00517555" w:rsidRPr="00422245">
        <w:t xml:space="preserve">viser at </w:t>
      </w:r>
      <w:r w:rsidR="009922D5" w:rsidRPr="00422245">
        <w:t xml:space="preserve">Norge </w:t>
      </w:r>
      <w:r w:rsidR="00713A38" w:rsidRPr="00422245">
        <w:t xml:space="preserve">i 2022 var </w:t>
      </w:r>
      <w:r w:rsidR="00F078D6" w:rsidRPr="00422245">
        <w:t xml:space="preserve">det landet i OECD </w:t>
      </w:r>
      <w:r w:rsidR="00B84E15" w:rsidRPr="00422245">
        <w:t xml:space="preserve">som hadde den høyeste </w:t>
      </w:r>
      <w:r w:rsidR="00C765D1" w:rsidRPr="00422245">
        <w:t xml:space="preserve">sysselsettingsandelen </w:t>
      </w:r>
      <w:r w:rsidR="00B84E15" w:rsidRPr="00422245">
        <w:t xml:space="preserve">for personer med bachelorutdanning </w:t>
      </w:r>
      <w:r w:rsidR="000D0816" w:rsidRPr="00422245">
        <w:t>(90 prosent)</w:t>
      </w:r>
      <w:r w:rsidR="00B84E15" w:rsidRPr="00422245">
        <w:t xml:space="preserve"> og </w:t>
      </w:r>
      <w:r w:rsidR="00CE70CC" w:rsidRPr="00422245">
        <w:t>den</w:t>
      </w:r>
      <w:r w:rsidR="00B84E15" w:rsidRPr="00422245">
        <w:t xml:space="preserve"> nest</w:t>
      </w:r>
      <w:r w:rsidR="00F078D6" w:rsidRPr="00422245">
        <w:t xml:space="preserve"> høyeste </w:t>
      </w:r>
      <w:r w:rsidR="00B84E15" w:rsidRPr="00422245">
        <w:t>for personer</w:t>
      </w:r>
      <w:r w:rsidR="00C765D1" w:rsidRPr="00422245">
        <w:t xml:space="preserve"> med</w:t>
      </w:r>
      <w:r w:rsidR="009922D5" w:rsidRPr="00422245">
        <w:t xml:space="preserve"> </w:t>
      </w:r>
      <w:r w:rsidR="00B84E15" w:rsidRPr="00422245">
        <w:t>masterutdanning</w:t>
      </w:r>
      <w:r w:rsidR="000D0816" w:rsidRPr="00422245">
        <w:t xml:space="preserve"> (95 prosent)</w:t>
      </w:r>
      <w:r w:rsidR="00B84E15" w:rsidRPr="00422245">
        <w:t>.</w:t>
      </w:r>
      <w:r w:rsidR="000D0816" w:rsidRPr="00422245">
        <w:t xml:space="preserve"> </w:t>
      </w:r>
      <w:r w:rsidR="00D6572E" w:rsidRPr="00422245">
        <w:t xml:space="preserve">Blant unge </w:t>
      </w:r>
      <w:r w:rsidR="00E357AE" w:rsidRPr="00422245">
        <w:t>mellom 25 og 34 var</w:t>
      </w:r>
      <w:r w:rsidR="00666BED" w:rsidRPr="00422245">
        <w:t xml:space="preserve"> sysselsettingsgraden</w:t>
      </w:r>
      <w:r w:rsidR="00E357AE" w:rsidRPr="00422245">
        <w:t xml:space="preserve"> i Norge 92 prosent for dem med bachelorgrad </w:t>
      </w:r>
      <w:r w:rsidR="00703DF9" w:rsidRPr="00422245">
        <w:t xml:space="preserve">og </w:t>
      </w:r>
      <w:r w:rsidR="00D57664" w:rsidRPr="00422245">
        <w:t>95 prosent for dem med mastergrad</w:t>
      </w:r>
      <w:r w:rsidR="009922D5" w:rsidRPr="00422245">
        <w:t xml:space="preserve"> </w:t>
      </w:r>
      <w:r w:rsidR="009F05C8" w:rsidRPr="00422245">
        <w:t>(Ref OECD)</w:t>
      </w:r>
      <w:r w:rsidR="00504997" w:rsidRPr="00422245">
        <w:t>.</w:t>
      </w:r>
    </w:p>
    <w:p w14:paraId="7EF54758" w14:textId="2BC1FA58" w:rsidR="00227F11" w:rsidRPr="004F60A0" w:rsidRDefault="00E81D3C" w:rsidP="00C50AA7">
      <w:pPr>
        <w:pStyle w:val="Overskrift3"/>
        <w:spacing w:before="288"/>
      </w:pPr>
      <w:bookmarkStart w:id="120" w:name="_Toc163488432"/>
      <w:r>
        <w:lastRenderedPageBreak/>
        <w:t>Forventning om ø</w:t>
      </w:r>
      <w:r w:rsidR="00FA32FF">
        <w:t xml:space="preserve">kende underskudd </w:t>
      </w:r>
      <w:r w:rsidR="00E070DC">
        <w:t>bare for</w:t>
      </w:r>
      <w:r w:rsidR="00FA32FF">
        <w:t xml:space="preserve"> visse utdanningstyper</w:t>
      </w:r>
      <w:bookmarkEnd w:id="120"/>
    </w:p>
    <w:p w14:paraId="39C4CAF7" w14:textId="71E44FC6" w:rsidR="009220B1" w:rsidRPr="00422245" w:rsidRDefault="00521DB4" w:rsidP="009C0565">
      <w:r w:rsidRPr="00422245">
        <w:t xml:space="preserve">Basert på </w:t>
      </w:r>
      <w:r w:rsidR="00B8637E" w:rsidRPr="00422245">
        <w:t>sentrale ut</w:t>
      </w:r>
      <w:r w:rsidR="00881698" w:rsidRPr="00422245">
        <w:t xml:space="preserve">viklingstrekk </w:t>
      </w:r>
      <w:r w:rsidR="00F04604" w:rsidRPr="00422245">
        <w:t>for demografi og makr</w:t>
      </w:r>
      <w:r w:rsidR="00452765" w:rsidRPr="00422245">
        <w:t>o</w:t>
      </w:r>
      <w:r w:rsidR="00F04604" w:rsidRPr="00422245">
        <w:t>økonomi</w:t>
      </w:r>
      <w:r w:rsidR="00452765" w:rsidRPr="00422245">
        <w:t>,</w:t>
      </w:r>
      <w:r w:rsidR="003E5516" w:rsidRPr="00422245">
        <w:t xml:space="preserve"> produserer </w:t>
      </w:r>
      <w:r w:rsidR="007B6E18" w:rsidRPr="00422245">
        <w:t>SSB</w:t>
      </w:r>
      <w:r w:rsidR="003E5516" w:rsidRPr="00422245">
        <w:t xml:space="preserve"> framskrivinger av framtidig </w:t>
      </w:r>
      <w:r w:rsidR="006E4DA7" w:rsidRPr="00422245">
        <w:t>tilbud og etterspørsel etter arb</w:t>
      </w:r>
      <w:r w:rsidR="008C524D" w:rsidRPr="00422245">
        <w:t>e</w:t>
      </w:r>
      <w:r w:rsidR="006E4DA7" w:rsidRPr="00422245">
        <w:t>id</w:t>
      </w:r>
      <w:r w:rsidR="008C524D" w:rsidRPr="00422245">
        <w:t>s</w:t>
      </w:r>
      <w:r w:rsidR="006E4DA7" w:rsidRPr="00422245">
        <w:t xml:space="preserve">kraft. </w:t>
      </w:r>
      <w:r w:rsidR="00176D96" w:rsidRPr="00422245">
        <w:t xml:space="preserve">Gitt </w:t>
      </w:r>
      <w:r w:rsidR="00D7654E" w:rsidRPr="00422245">
        <w:t>den</w:t>
      </w:r>
      <w:r w:rsidR="00176D96" w:rsidRPr="00422245">
        <w:t xml:space="preserve"> eksisterende </w:t>
      </w:r>
      <w:r w:rsidR="00D7654E" w:rsidRPr="00422245">
        <w:t>utviklingen, sier de</w:t>
      </w:r>
      <w:r w:rsidR="007B6E18" w:rsidRPr="00422245">
        <w:t xml:space="preserve"> siste framskrivinge</w:t>
      </w:r>
      <w:r w:rsidR="00D7654E" w:rsidRPr="00422245">
        <w:t>ne</w:t>
      </w:r>
      <w:r w:rsidR="007B6E18" w:rsidRPr="00422245">
        <w:t xml:space="preserve"> at </w:t>
      </w:r>
      <w:r w:rsidR="00DB236F" w:rsidRPr="00422245">
        <w:t xml:space="preserve">tilbudet </w:t>
      </w:r>
      <w:r w:rsidR="009631F4" w:rsidRPr="00422245">
        <w:t xml:space="preserve">av høyt utdannet arbeidskraft, altså personer med </w:t>
      </w:r>
      <w:r w:rsidR="00E654D7" w:rsidRPr="00422245">
        <w:t>bachelor- eller mastergrad</w:t>
      </w:r>
      <w:r w:rsidR="009631F4" w:rsidRPr="00422245">
        <w:t xml:space="preserve">, </w:t>
      </w:r>
      <w:r w:rsidR="00A134F1" w:rsidRPr="00422245">
        <w:t xml:space="preserve">vil stige raskere enn etterspørselen de </w:t>
      </w:r>
      <w:r w:rsidR="00FA4A0B" w:rsidRPr="00422245">
        <w:t>kommende</w:t>
      </w:r>
      <w:r w:rsidR="00A134F1" w:rsidRPr="00422245">
        <w:t xml:space="preserve"> </w:t>
      </w:r>
      <w:r w:rsidR="00DF6E6D" w:rsidRPr="00422245">
        <w:t>årene</w:t>
      </w:r>
      <w:r w:rsidR="00022628">
        <w:t xml:space="preserve"> </w:t>
      </w:r>
      <w:r w:rsidR="00022628">
        <w:fldChar w:fldCharType="begin"/>
      </w:r>
      <w:r w:rsidR="00022628">
        <w:instrText xml:space="preserve"> ADDIN EN.CITE &lt;EndNote&gt;&lt;Cite&gt;&lt;Author&gt;Bjertnæs&lt;/Author&gt;&lt;Year&gt;2023&lt;/Year&gt;&lt;RecNum&gt;2116&lt;/RecNum&gt;&lt;DisplayText&gt;(Bjertnæs et al., 2023)&lt;/DisplayText&gt;&lt;record&gt;&lt;rec-number&gt;2116&lt;/rec-number&gt;&lt;foreign-keys&gt;&lt;key app="EN" db-id="p2et5feaxrpe5zew2eavt29z05fv09aa5s0w" timestamp="1712306743" guid="20613669-d5b3-4820-be1b-ac4d33cf3b1d"&gt;2116&lt;/key&gt;&lt;/foreign-keys&gt;&lt;ref-type name="Report"&gt;27&lt;/ref-type&gt;&lt;contributors&gt;&lt;authors&gt;&lt;author&gt;Bjertnæs, Geir H. M&lt;/author&gt;&lt;author&gt;Boug, Pål&lt;/author&gt;&lt;author&gt;von Brach, Thomas&lt;/author&gt;&lt;author&gt;Bye, Brita&lt;/author&gt;&lt;author&gt;Cappelen, Ådne&lt;/author&gt;&lt;author&gt;Fæhn, Taran&lt;/author&gt;&lt;author&gt;Graber, Michael&lt;/author&gt;&lt;author&gt;Gundersen, S. Thomas&lt;/author&gt;&lt;author&gt;Hammersland, Roger&lt;/author&gt;&lt;author&gt;Holmøy, Erling&lt;/author&gt;&lt;author&gt;Hungnes, Håvard&lt;/author&gt;&lt;author&gt;Jasinski, Marek&lt;/author&gt;&lt;author&gt;Kaushal, Kevin R&lt;/author&gt;&lt;author&gt;Kolsrud, Dag&lt;/author&gt;&lt;author&gt;Quaghebeur, Ewoud&lt;/author&gt;&lt;author&gt;Skretting, Julia&lt;/author&gt;&lt;author&gt;Trettvoll, Håkon&lt;/author&gt;&lt;author&gt;Vigtel, Trond C.&lt;/author&gt;&lt;/authors&gt;&lt;secondary-authors&gt;&lt;author&gt;Statistisk sentralbyrå&lt;/author&gt;&lt;/secondary-authors&gt;&lt;/contributors&gt;&lt;titles&gt;&lt;title&gt;Utfordringer for lønnsdannelsen og norsk økonomi. Tredning for Frontfagsmodellutvalget&lt;/title&gt;&lt;/titles&gt;&lt;volume&gt;47&lt;/volume&gt;&lt;dates&gt;&lt;year&gt;2023&lt;/year&gt;&lt;/dates&gt;&lt;publisher&gt;Statistisk sentralbyrå&lt;/publisher&gt;&lt;urls&gt;&lt;related-urls&gt;&lt;url&gt;https://www.ssb.no/nasjonalregnskap-og-konjunkturer/konjunkturer/artikler/utfordringer-for-lonnsdannelsen-og-norsk-okonomi/_/attachment/inline/8f6c764d-e7f8-4253-9551-88cc187468ce:03fe13c797378730d261d421f952b844f7c33729/RAPP2023-47.pdf&lt;/url&gt;&lt;/related-urls&gt;&lt;/urls&gt;&lt;/record&gt;&lt;/Cite&gt;&lt;/EndNote&gt;</w:instrText>
      </w:r>
      <w:r w:rsidR="00022628">
        <w:fldChar w:fldCharType="separate"/>
      </w:r>
      <w:r w:rsidR="00022628">
        <w:rPr>
          <w:noProof/>
        </w:rPr>
        <w:t>(Bjertnæs et al., 2023)</w:t>
      </w:r>
      <w:r w:rsidR="00022628">
        <w:fldChar w:fldCharType="end"/>
      </w:r>
      <w:r w:rsidR="00A134F1" w:rsidRPr="00422245">
        <w:t>.</w:t>
      </w:r>
      <w:r w:rsidR="00DF6E6D" w:rsidRPr="00422245">
        <w:t xml:space="preserve"> D</w:t>
      </w:r>
      <w:r w:rsidR="006070F4" w:rsidRPr="00422245">
        <w:t>e</w:t>
      </w:r>
      <w:r w:rsidR="00C665C9" w:rsidRPr="00422245">
        <w:t xml:space="preserve">tte er ikke ensbetydende med at arbeidsledigheten vil stige for </w:t>
      </w:r>
      <w:r w:rsidR="00C4362B" w:rsidRPr="00422245">
        <w:t>personer med høyere utdanning</w:t>
      </w:r>
      <w:r w:rsidR="00C665C9" w:rsidRPr="00422245">
        <w:t xml:space="preserve">, men </w:t>
      </w:r>
      <w:r w:rsidR="00D546AE" w:rsidRPr="00422245">
        <w:t xml:space="preserve">kan </w:t>
      </w:r>
      <w:r w:rsidR="00654A22" w:rsidRPr="00422245">
        <w:t xml:space="preserve">blant annet </w:t>
      </w:r>
      <w:r w:rsidR="00D546AE" w:rsidRPr="00422245">
        <w:t xml:space="preserve">bety at </w:t>
      </w:r>
      <w:r w:rsidR="002B71DD" w:rsidRPr="00422245">
        <w:t xml:space="preserve">eksisterende etterspørsel kan bli dekket og at </w:t>
      </w:r>
      <w:r w:rsidR="00D546AE" w:rsidRPr="00422245">
        <w:t>oppgaver som i dag utføres av personer på lavere utdanningsnivåer</w:t>
      </w:r>
      <w:r w:rsidR="00BF747F">
        <w:t>,</w:t>
      </w:r>
      <w:r w:rsidR="00D546AE" w:rsidRPr="00422245">
        <w:t xml:space="preserve"> vil bli utført av personer med bachelor- eller mastergrad</w:t>
      </w:r>
      <w:r w:rsidR="00590A50" w:rsidRPr="00422245">
        <w:t xml:space="preserve"> i framtiden</w:t>
      </w:r>
      <w:r w:rsidR="00D546AE" w:rsidRPr="00422245">
        <w:t>.</w:t>
      </w:r>
      <w:r w:rsidR="00BA10DF" w:rsidRPr="00422245">
        <w:t xml:space="preserve"> </w:t>
      </w:r>
      <w:r w:rsidR="00E56A33" w:rsidRPr="00422245">
        <w:t xml:space="preserve">I tillegg </w:t>
      </w:r>
      <w:r w:rsidR="00A233CD" w:rsidRPr="00422245">
        <w:t xml:space="preserve">mener SSB at det </w:t>
      </w:r>
      <w:r w:rsidR="00B03693" w:rsidRPr="00422245">
        <w:t>kan være grunn til å tr</w:t>
      </w:r>
      <w:r w:rsidR="009B5F8F" w:rsidRPr="00422245">
        <w:t>o at</w:t>
      </w:r>
      <w:r w:rsidR="00B03693" w:rsidRPr="00422245">
        <w:t xml:space="preserve"> </w:t>
      </w:r>
      <w:r w:rsidR="00B9680B" w:rsidRPr="00422245">
        <w:t>vurderinger av</w:t>
      </w:r>
      <w:r w:rsidR="00E125D6" w:rsidRPr="00422245">
        <w:t xml:space="preserve"> jobbsikkerhet og</w:t>
      </w:r>
      <w:r w:rsidR="009B5F8F" w:rsidRPr="00422245">
        <w:t xml:space="preserve"> </w:t>
      </w:r>
      <w:r w:rsidR="007D5B15" w:rsidRPr="00422245">
        <w:t xml:space="preserve">endringer i lønnsnivå </w:t>
      </w:r>
      <w:r w:rsidR="00B9680B" w:rsidRPr="00422245">
        <w:t>som respons</w:t>
      </w:r>
      <w:r w:rsidR="00E125D6" w:rsidRPr="00422245">
        <w:t xml:space="preserve"> på </w:t>
      </w:r>
      <w:r w:rsidR="00D40FA3" w:rsidRPr="00422245">
        <w:t>overskudd eller underskudd på arbeidskraft</w:t>
      </w:r>
      <w:r w:rsidR="00B9680B" w:rsidRPr="00422245">
        <w:t xml:space="preserve"> vil påvirke </w:t>
      </w:r>
      <w:r w:rsidR="00A7110C" w:rsidRPr="00422245">
        <w:t>unges utdanningsvalg i framtiden</w:t>
      </w:r>
      <w:r w:rsidR="00F86630">
        <w:t>.</w:t>
      </w:r>
      <w:r w:rsidR="003C6AC5" w:rsidRPr="00422245">
        <w:t xml:space="preserve"> </w:t>
      </w:r>
      <w:r w:rsidR="00F86630">
        <w:t xml:space="preserve">Dette kan </w:t>
      </w:r>
      <w:r w:rsidR="003C6AC5" w:rsidRPr="00422245">
        <w:t xml:space="preserve">i så fall føre </w:t>
      </w:r>
      <w:r w:rsidR="00D411D4" w:rsidRPr="00422245">
        <w:t xml:space="preserve">til en </w:t>
      </w:r>
      <w:r w:rsidR="00A07330" w:rsidRPr="00422245">
        <w:t>større grad av balanse mellom tilbud og etterspørsel enn det framskrivingene tilsier</w:t>
      </w:r>
      <w:r w:rsidR="00A660C5">
        <w:t xml:space="preserve"> </w:t>
      </w:r>
      <w:r w:rsidR="00CA218F">
        <w:fldChar w:fldCharType="begin"/>
      </w:r>
      <w:r w:rsidR="00CA218F">
        <w:instrText xml:space="preserve"> ADDIN EN.CITE &lt;EndNote&gt;&lt;Cite&gt;&lt;Author&gt;Bjertnæs&lt;/Author&gt;&lt;Year&gt;2023&lt;/Year&gt;&lt;RecNum&gt;2116&lt;/RecNum&gt;&lt;Pages&gt;230&lt;/Pages&gt;&lt;DisplayText&gt;(Bjertnæs et al., 2023, p. 230)&lt;/DisplayText&gt;&lt;record&gt;&lt;rec-number&gt;2116&lt;/rec-number&gt;&lt;foreign-keys&gt;&lt;key app="EN" db-id="p2et5feaxrpe5zew2eavt29z05fv09aa5s0w" timestamp="1712306743" guid="20613669-d5b3-4820-be1b-ac4d33cf3b1d"&gt;2116&lt;/key&gt;&lt;/foreign-keys&gt;&lt;ref-type name="Report"&gt;27&lt;/ref-type&gt;&lt;contributors&gt;&lt;authors&gt;&lt;author&gt;Bjertnæs, Geir H. M&lt;/author&gt;&lt;author&gt;Boug, Pål&lt;/author&gt;&lt;author&gt;von Brach, Thomas&lt;/author&gt;&lt;author&gt;Bye, Brita&lt;/author&gt;&lt;author&gt;Cappelen, Ådne&lt;/author&gt;&lt;author&gt;Fæhn, Taran&lt;/author&gt;&lt;author&gt;Graber, Michael&lt;/author&gt;&lt;author&gt;Gundersen, S. Thomas&lt;/author&gt;&lt;author&gt;Hammersland, Roger&lt;/author&gt;&lt;author&gt;Holmøy, Erling&lt;/author&gt;&lt;author&gt;Hungnes, Håvard&lt;/author&gt;&lt;author&gt;Jasinski, Marek&lt;/author&gt;&lt;author&gt;Kaushal, Kevin R&lt;/author&gt;&lt;author&gt;Kolsrud, Dag&lt;/author&gt;&lt;author&gt;Quaghebeur, Ewoud&lt;/author&gt;&lt;author&gt;Skretting, Julia&lt;/author&gt;&lt;author&gt;Trettvoll, Håkon&lt;/author&gt;&lt;author&gt;Vigtel, Trond C.&lt;/author&gt;&lt;/authors&gt;&lt;secondary-authors&gt;&lt;author&gt;Statistisk sentralbyrå&lt;/author&gt;&lt;/secondary-authors&gt;&lt;/contributors&gt;&lt;titles&gt;&lt;title&gt;Utfordringer for lønnsdannelsen og norsk økonomi. Tredning for Frontfagsmodellutvalget&lt;/title&gt;&lt;/titles&gt;&lt;volume&gt;47&lt;/volume&gt;&lt;dates&gt;&lt;year&gt;2023&lt;/year&gt;&lt;/dates&gt;&lt;publisher&gt;Statistisk sentralbyrå&lt;/publisher&gt;&lt;urls&gt;&lt;related-urls&gt;&lt;url&gt;https://www.ssb.no/nasjonalregnskap-og-konjunkturer/konjunkturer/artikler/utfordringer-for-lonnsdannelsen-og-norsk-okonomi/_/attachment/inline/8f6c764d-e7f8-4253-9551-88cc187468ce:03fe13c797378730d261d421f952b844f7c33729/RAPP2023-47.pdf&lt;/url&gt;&lt;/related-urls&gt;&lt;/urls&gt;&lt;/record&gt;&lt;/Cite&gt;&lt;/EndNote&gt;</w:instrText>
      </w:r>
      <w:r w:rsidR="00CA218F">
        <w:fldChar w:fldCharType="separate"/>
      </w:r>
      <w:r w:rsidR="00CA218F">
        <w:rPr>
          <w:noProof/>
        </w:rPr>
        <w:t>(Bjertnæs et al., 2023, p. 230)</w:t>
      </w:r>
      <w:r w:rsidR="00CA218F">
        <w:fldChar w:fldCharType="end"/>
      </w:r>
      <w:r w:rsidR="00A7110C" w:rsidRPr="00422245">
        <w:t>.</w:t>
      </w:r>
    </w:p>
    <w:p w14:paraId="7E03BF4B" w14:textId="77777777" w:rsidR="00EF2D2A" w:rsidRDefault="004F5825" w:rsidP="009C0565">
      <w:r w:rsidRPr="00422245">
        <w:t>Både dagens situasjon og SSBs fr</w:t>
      </w:r>
      <w:r w:rsidR="00FF5523" w:rsidRPr="00422245">
        <w:t>a</w:t>
      </w:r>
      <w:r w:rsidRPr="00422245">
        <w:t>mskrivinger er imidlertid ulike for ulike utdanningstyper.</w:t>
      </w:r>
      <w:r w:rsidR="00D0024A" w:rsidRPr="00422245">
        <w:t xml:space="preserve"> </w:t>
      </w:r>
      <w:r w:rsidR="00D7060A" w:rsidRPr="00422245">
        <w:t xml:space="preserve">Den største </w:t>
      </w:r>
      <w:r w:rsidR="003F7FB3" w:rsidRPr="00422245">
        <w:t>etterspørselen etter arbeidskraft finnes i</w:t>
      </w:r>
      <w:r w:rsidR="00AD42B2" w:rsidRPr="00422245">
        <w:t xml:space="preserve"> dag i</w:t>
      </w:r>
      <w:r w:rsidR="003F7FB3" w:rsidRPr="00422245">
        <w:t xml:space="preserve"> helse</w:t>
      </w:r>
      <w:r w:rsidR="00BC0DCC" w:rsidRPr="00422245">
        <w:t xml:space="preserve">- og omsorgssektoren, </w:t>
      </w:r>
      <w:r w:rsidR="00AD42B2" w:rsidRPr="00422245">
        <w:t>hvor særlig sykepleiere er etterspurt</w:t>
      </w:r>
      <w:r w:rsidR="00DB3559" w:rsidRPr="00422245">
        <w:t>.</w:t>
      </w:r>
      <w:r w:rsidR="00646FBE" w:rsidRPr="00422245">
        <w:t xml:space="preserve"> SSBs framskrivinger</w:t>
      </w:r>
      <w:r w:rsidR="00A14A5B" w:rsidRPr="00422245">
        <w:t xml:space="preserve"> av arbeidsmarkedet</w:t>
      </w:r>
      <w:r w:rsidR="00404881" w:rsidRPr="00422245">
        <w:t xml:space="preserve"> fra desember 2023</w:t>
      </w:r>
      <w:r w:rsidR="00646FBE" w:rsidRPr="00422245">
        <w:t xml:space="preserve"> </w:t>
      </w:r>
      <w:r w:rsidR="00B9298C" w:rsidRPr="00422245">
        <w:t>sier</w:t>
      </w:r>
      <w:r w:rsidR="003F4AC2" w:rsidRPr="00422245">
        <w:t xml:space="preserve"> ellers</w:t>
      </w:r>
      <w:r w:rsidR="00B9298C" w:rsidRPr="00422245">
        <w:t xml:space="preserve"> at etterspørselen etter </w:t>
      </w:r>
      <w:r w:rsidR="00FB17E2" w:rsidRPr="00422245">
        <w:t>bachelorutdannede innen helse og omsorg</w:t>
      </w:r>
      <w:r w:rsidR="005C2EC3">
        <w:t xml:space="preserve">, </w:t>
      </w:r>
      <w:r w:rsidR="002E194C" w:rsidRPr="00422245">
        <w:t>der sykepleiere er den største gruppe</w:t>
      </w:r>
      <w:r w:rsidR="000E089C">
        <w:t>n</w:t>
      </w:r>
      <w:r w:rsidR="005C2EC3">
        <w:t>,</w:t>
      </w:r>
      <w:r w:rsidR="00FB17E2" w:rsidRPr="00422245">
        <w:t xml:space="preserve"> </w:t>
      </w:r>
      <w:r w:rsidR="00B9298C" w:rsidRPr="00422245">
        <w:t xml:space="preserve">vil øke omtrent i takt med </w:t>
      </w:r>
      <w:r w:rsidR="00E112B9" w:rsidRPr="00422245">
        <w:t>antallet personer i arbeidsstyrken med disse utdanningen</w:t>
      </w:r>
      <w:r w:rsidR="00633C91" w:rsidRPr="00422245">
        <w:t>e</w:t>
      </w:r>
      <w:r w:rsidR="002E194C" w:rsidRPr="00422245">
        <w:t xml:space="preserve"> (</w:t>
      </w:r>
      <w:r w:rsidR="00F3349F" w:rsidRPr="00422245">
        <w:t>«tilbudet»</w:t>
      </w:r>
      <w:r w:rsidR="002E194C" w:rsidRPr="00422245">
        <w:t>)</w:t>
      </w:r>
      <w:r w:rsidR="00B9298C" w:rsidRPr="00422245">
        <w:t xml:space="preserve"> de </w:t>
      </w:r>
      <w:r w:rsidR="0054364D" w:rsidRPr="00422245">
        <w:t>nærmeste</w:t>
      </w:r>
      <w:r w:rsidR="00B9298C" w:rsidRPr="00422245">
        <w:t xml:space="preserve"> årene</w:t>
      </w:r>
      <w:r w:rsidR="005C2EC3">
        <w:t>.</w:t>
      </w:r>
      <w:r w:rsidR="003E27F0" w:rsidRPr="00422245">
        <w:t xml:space="preserve"> </w:t>
      </w:r>
      <w:r w:rsidR="000554AA">
        <w:t>Dette vil</w:t>
      </w:r>
      <w:r w:rsidR="003E27F0" w:rsidRPr="00422245">
        <w:t xml:space="preserve"> i så fall tilsi at det blir vanskelig å dekke det eksisterende gapet mellom tilbud og etterspørsel</w:t>
      </w:r>
      <w:r w:rsidR="00625A5E" w:rsidRPr="00422245">
        <w:t>.</w:t>
      </w:r>
      <w:r w:rsidR="00404881" w:rsidRPr="00422245">
        <w:t xml:space="preserve"> </w:t>
      </w:r>
      <w:r w:rsidR="00527440" w:rsidRPr="00422245">
        <w:t xml:space="preserve">Fra rundt 2045 </w:t>
      </w:r>
      <w:r w:rsidR="008B48B4" w:rsidRPr="00422245">
        <w:t>fremskriver SSB en økning i etterspørselen som er større enn økningen i tilbudet.</w:t>
      </w:r>
    </w:p>
    <w:p w14:paraId="067B3A31" w14:textId="3F4D96AB" w:rsidR="008E3CD6" w:rsidRDefault="008931AB" w:rsidP="009C0565">
      <w:r w:rsidRPr="00422245">
        <w:t xml:space="preserve">Dette skiller seg likevel fra tidligere framskrivinger, som har </w:t>
      </w:r>
      <w:r w:rsidR="00083DED" w:rsidRPr="00422245">
        <w:t xml:space="preserve">sagt at etterspørselen vil øke </w:t>
      </w:r>
      <w:r w:rsidR="00172D34" w:rsidRPr="00422245">
        <w:t xml:space="preserve">betydelig </w:t>
      </w:r>
      <w:r w:rsidR="00083DED" w:rsidRPr="00422245">
        <w:t>mer enn tilbudet</w:t>
      </w:r>
      <w:r w:rsidR="00A90DF2" w:rsidRPr="00422245">
        <w:t xml:space="preserve"> og at dette vil skje</w:t>
      </w:r>
      <w:r w:rsidR="00083DED" w:rsidRPr="00422245">
        <w:t xml:space="preserve"> </w:t>
      </w:r>
      <w:r w:rsidR="000F06B8" w:rsidRPr="00422245">
        <w:t>fra et langt tidligere tidspunkt</w:t>
      </w:r>
      <w:r w:rsidR="00A90DF2" w:rsidRPr="00422245">
        <w:t xml:space="preserve"> enn 2045</w:t>
      </w:r>
      <w:r w:rsidR="00137A36" w:rsidRPr="00422245">
        <w:t xml:space="preserve">, noe som ville ha ført til et økende underskudd på </w:t>
      </w:r>
      <w:r w:rsidR="00527440" w:rsidRPr="00422245">
        <w:t>personer med disse utdanningene</w:t>
      </w:r>
      <w:r w:rsidR="00172D34" w:rsidRPr="00422245">
        <w:t xml:space="preserve"> også på relativt kort sikt</w:t>
      </w:r>
      <w:r w:rsidRPr="00422245">
        <w:t>.</w:t>
      </w:r>
      <w:r w:rsidR="005D4707" w:rsidRPr="00422245">
        <w:t xml:space="preserve"> </w:t>
      </w:r>
      <w:r w:rsidR="00C0414F" w:rsidRPr="00422245">
        <w:t>Ingen av framskrivingene har imidlertid</w:t>
      </w:r>
      <w:r w:rsidR="006B6C5C" w:rsidRPr="00422245">
        <w:t xml:space="preserve"> </w:t>
      </w:r>
      <w:r w:rsidR="000D7590" w:rsidRPr="00422245">
        <w:t xml:space="preserve">tatt hensyn til et </w:t>
      </w:r>
      <w:r w:rsidR="00440648" w:rsidRPr="00422245">
        <w:t xml:space="preserve">skarpt fall i oppmøtet til </w:t>
      </w:r>
      <w:r w:rsidR="006E6B17" w:rsidRPr="00422245">
        <w:t>syke</w:t>
      </w:r>
      <w:r w:rsidR="00271920" w:rsidRPr="00422245">
        <w:t>pleieutdanningen i 2023.</w:t>
      </w:r>
      <w:r w:rsidR="006B6C5C" w:rsidRPr="00422245">
        <w:t xml:space="preserve"> </w:t>
      </w:r>
      <w:r w:rsidR="00B44659" w:rsidRPr="00422245">
        <w:t xml:space="preserve">I 2023 var 87 prosent av studieplassene på dette studiet fylt opp, mens oppfyllingsgraden de foregående årene har vært 100 prosent eller over dette. Fallet kommer etter flere år med fallende søkertall, </w:t>
      </w:r>
      <w:r w:rsidR="00CC42F8">
        <w:t>men det var</w:t>
      </w:r>
      <w:r w:rsidR="00B44659" w:rsidRPr="00422245">
        <w:t xml:space="preserve"> først i 2023 </w:t>
      </w:r>
      <w:r w:rsidR="00CC42F8">
        <w:t>at dette</w:t>
      </w:r>
      <w:r w:rsidR="00B44659" w:rsidRPr="00422245">
        <w:t xml:space="preserve"> fikk utslag i </w:t>
      </w:r>
      <w:r w:rsidR="00066450" w:rsidRPr="00422245">
        <w:t>at mange institusjoner ikke greier å fylle opp studieplassene</w:t>
      </w:r>
      <w:r w:rsidR="00F60EF5">
        <w:t xml:space="preserve"> (se </w:t>
      </w:r>
      <w:r w:rsidR="00F60EF5">
        <w:fldChar w:fldCharType="begin"/>
      </w:r>
      <w:r w:rsidR="00F60EF5">
        <w:instrText xml:space="preserve"> REF _Ref163470081 \h </w:instrText>
      </w:r>
      <w:r w:rsidR="00F60EF5">
        <w:fldChar w:fldCharType="separate"/>
      </w:r>
      <w:r w:rsidR="00F60EF5" w:rsidRPr="00422245">
        <w:t xml:space="preserve">Figur </w:t>
      </w:r>
      <w:r w:rsidR="00F60EF5">
        <w:rPr>
          <w:noProof/>
        </w:rPr>
        <w:t>6</w:t>
      </w:r>
      <w:r w:rsidR="00F60EF5">
        <w:noBreakHyphen/>
      </w:r>
      <w:r w:rsidR="00F60EF5">
        <w:rPr>
          <w:noProof/>
        </w:rPr>
        <w:t>1</w:t>
      </w:r>
      <w:r w:rsidR="00F60EF5">
        <w:fldChar w:fldCharType="end"/>
      </w:r>
      <w:r w:rsidR="00F60EF5">
        <w:t xml:space="preserve"> under)</w:t>
      </w:r>
      <w:r w:rsidR="00B44659" w:rsidRPr="00422245">
        <w:t xml:space="preserve">. </w:t>
      </w:r>
      <w:r w:rsidR="006714CE" w:rsidRPr="00422245">
        <w:t xml:space="preserve">Dette vil </w:t>
      </w:r>
      <w:r w:rsidR="008F2A9D">
        <w:t>kunne</w:t>
      </w:r>
      <w:r w:rsidR="006714CE" w:rsidRPr="00422245">
        <w:t xml:space="preserve"> føre til et lavere antall uteksaminerte fra 2026</w:t>
      </w:r>
      <w:r w:rsidR="005E3BFC" w:rsidRPr="00422245">
        <w:t xml:space="preserve">, og </w:t>
      </w:r>
      <w:r w:rsidR="00451118" w:rsidRPr="00422245">
        <w:t xml:space="preserve">dersom søkertrendene ikke endrer seg, vil det føre til et lavere tilbud </w:t>
      </w:r>
      <w:r w:rsidR="00894CB9" w:rsidRPr="00422245">
        <w:t>av</w:t>
      </w:r>
      <w:r w:rsidR="00222750" w:rsidRPr="00422245">
        <w:t xml:space="preserve"> </w:t>
      </w:r>
      <w:r w:rsidR="006D46DC" w:rsidRPr="00422245">
        <w:t xml:space="preserve">utdannede </w:t>
      </w:r>
      <w:r w:rsidR="006D46DC" w:rsidRPr="00422245">
        <w:lastRenderedPageBreak/>
        <w:t>sykepleiere enn det SSB legger til grunn</w:t>
      </w:r>
      <w:r w:rsidR="006714CE" w:rsidRPr="00422245">
        <w:t>.</w:t>
      </w:r>
      <w:bookmarkStart w:id="121" w:name="_Ref163469600"/>
      <w:r w:rsidR="00FB3F5D" w:rsidRPr="00422245">
        <w:rPr>
          <w:rStyle w:val="Fotnotereferanse"/>
        </w:rPr>
        <w:footnoteReference w:id="28"/>
      </w:r>
      <w:bookmarkEnd w:id="121"/>
      <w:r w:rsidR="006714CE" w:rsidRPr="00422245">
        <w:t xml:space="preserve"> </w:t>
      </w:r>
      <w:r w:rsidR="008F2A9D" w:rsidRPr="00250EB5">
        <w:t>Som omtalt i kapittel 5.2.1, har de fallende søkertallene</w:t>
      </w:r>
      <w:r w:rsidR="008F2A9D">
        <w:t xml:space="preserve"> ellers</w:t>
      </w:r>
      <w:r w:rsidR="008F2A9D" w:rsidRPr="00250EB5">
        <w:t xml:space="preserve"> ført til at gjennomsnittskarakterene blant de opptatte til studiet har falt markant i 2022 og 2023. Man kan se for seg at også dette kan ha negativ påvirkning på gjennomføringsgrad og antall uteksaminerte.</w:t>
      </w:r>
    </w:p>
    <w:p w14:paraId="1AEFDE67" w14:textId="77777777" w:rsidR="008E3CD6" w:rsidRPr="00422245" w:rsidRDefault="008E3CD6" w:rsidP="008E3CD6">
      <w:pPr>
        <w:pStyle w:val="Bildetekst"/>
        <w:keepNext/>
      </w:pPr>
      <w:bookmarkStart w:id="122" w:name="_Ref163470081"/>
      <w:r w:rsidRPr="00422245">
        <w:t xml:space="preserve">Figur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 \* ARABIC \s 1 </w:instrText>
      </w:r>
      <w:r>
        <w:fldChar w:fldCharType="separate"/>
      </w:r>
      <w:r>
        <w:rPr>
          <w:noProof/>
        </w:rPr>
        <w:t>1</w:t>
      </w:r>
      <w:r>
        <w:fldChar w:fldCharType="end"/>
      </w:r>
      <w:bookmarkEnd w:id="122"/>
      <w:r w:rsidRPr="00422245">
        <w:t xml:space="preserve"> Søkere, møtte og fullførte kandidater fra sykepleiestudiet. 2008-2023.</w:t>
      </w:r>
    </w:p>
    <w:p w14:paraId="7F33CCA3" w14:textId="77777777" w:rsidR="008E3CD6" w:rsidRDefault="008E3CD6" w:rsidP="008E3CD6">
      <w:r w:rsidRPr="00422245">
        <w:rPr>
          <w:noProof/>
        </w:rPr>
        <w:drawing>
          <wp:inline distT="0" distB="0" distL="0" distR="0" wp14:anchorId="566A0835" wp14:editId="3CC9BA36">
            <wp:extent cx="5718175" cy="2743200"/>
            <wp:effectExtent l="0" t="0" r="15875" b="0"/>
            <wp:docPr id="1566880989" name="Diagram 1">
              <a:extLst xmlns:a="http://schemas.openxmlformats.org/drawingml/2006/main">
                <a:ext uri="{FF2B5EF4-FFF2-40B4-BE49-F238E27FC236}">
                  <a16:creationId xmlns:a16="http://schemas.microsoft.com/office/drawing/2014/main" id="{A9978266-8CF7-41A5-5ED2-C1D026F08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643A07" w14:textId="23E16DBB" w:rsidR="00912F43" w:rsidRDefault="00AE1580" w:rsidP="00912F43">
      <w:pPr>
        <w:pStyle w:val="Merknad"/>
      </w:pPr>
      <w:r>
        <w:t>Merknad: Det store f</w:t>
      </w:r>
      <w:r w:rsidR="00912F43">
        <w:t xml:space="preserve">allet i antallet kvalifiserte førstevalgssøkere i 2019 kom ved innføringen av </w:t>
      </w:r>
      <w:r w:rsidR="00895295">
        <w:t>karakterkrav i norsk og matematikk. Dette fallet førte imidlertid ikke t</w:t>
      </w:r>
      <w:r w:rsidR="00B24F0F">
        <w:t xml:space="preserve">il </w:t>
      </w:r>
      <w:r>
        <w:t>et fall i antallet nye studenter som møtte til studiestart.</w:t>
      </w:r>
    </w:p>
    <w:p w14:paraId="013E8467" w14:textId="77777777" w:rsidR="008E3CD6" w:rsidRPr="00422245" w:rsidRDefault="008E3CD6" w:rsidP="008E3CD6">
      <w:pPr>
        <w:pStyle w:val="Kilde"/>
      </w:pPr>
      <w:r w:rsidRPr="004E373E">
        <w:rPr>
          <w:b/>
        </w:rPr>
        <w:t>Kilde</w:t>
      </w:r>
      <w:r>
        <w:t>: DBH</w:t>
      </w:r>
    </w:p>
    <w:p w14:paraId="718C7670" w14:textId="77777777" w:rsidR="008E3CD6" w:rsidRDefault="008E3CD6" w:rsidP="009C0565"/>
    <w:p w14:paraId="32665EED" w14:textId="2DB41B6A" w:rsidR="0029252E" w:rsidRDefault="005D4707" w:rsidP="009C0565">
      <w:r w:rsidRPr="00422245">
        <w:t>Blant yrker som krever høyere utdanning</w:t>
      </w:r>
      <w:r w:rsidR="002915C4" w:rsidRPr="00422245">
        <w:t>,</w:t>
      </w:r>
      <w:r w:rsidRPr="00422245">
        <w:t xml:space="preserve"> </w:t>
      </w:r>
      <w:r w:rsidR="00F23B24" w:rsidRPr="00422245">
        <w:t>er det</w:t>
      </w:r>
      <w:r w:rsidR="00172D34" w:rsidRPr="00422245">
        <w:t xml:space="preserve"> ellers</w:t>
      </w:r>
      <w:r w:rsidR="00F23B24" w:rsidRPr="00422245">
        <w:t xml:space="preserve"> også stor etterspørsel innen</w:t>
      </w:r>
      <w:r w:rsidRPr="00422245">
        <w:t xml:space="preserve"> </w:t>
      </w:r>
      <w:r w:rsidR="00A21CCF" w:rsidRPr="00422245">
        <w:t>ingeniør- og ikt-fag</w:t>
      </w:r>
      <w:r w:rsidR="00932674" w:rsidRPr="00422245">
        <w:t>.</w:t>
      </w:r>
      <w:r w:rsidR="00817C67" w:rsidRPr="00422245">
        <w:t xml:space="preserve"> I tillegg </w:t>
      </w:r>
      <w:r w:rsidR="009056ED" w:rsidRPr="00422245">
        <w:t>ligger</w:t>
      </w:r>
      <w:r w:rsidR="00686D0E" w:rsidRPr="00422245">
        <w:t xml:space="preserve"> blant annet</w:t>
      </w:r>
      <w:r w:rsidR="00932674" w:rsidRPr="00422245">
        <w:t xml:space="preserve"> </w:t>
      </w:r>
      <w:r w:rsidRPr="00422245">
        <w:t xml:space="preserve">grunnskolelærere høyt på listen over </w:t>
      </w:r>
      <w:r w:rsidR="002915C4" w:rsidRPr="00422245">
        <w:t>yrker hvor det mangler flest personer</w:t>
      </w:r>
      <w:r w:rsidR="00CF2E69" w:rsidRPr="00422245">
        <w:t xml:space="preserve"> i</w:t>
      </w:r>
      <w:r w:rsidR="008E43E4" w:rsidRPr="00422245">
        <w:t>følge</w:t>
      </w:r>
      <w:r w:rsidR="00CF2E69" w:rsidRPr="00422245">
        <w:t xml:space="preserve"> NAVs bedriftsundersøkelse</w:t>
      </w:r>
      <w:r w:rsidR="00FC759F">
        <w:t xml:space="preserve"> </w:t>
      </w:r>
      <w:r w:rsidR="00FC759F">
        <w:fldChar w:fldCharType="begin"/>
      </w:r>
      <w:r w:rsidR="0026259D">
        <w:instrText xml:space="preserve"> ADDIN EN.CITE &lt;EndNote&gt;&lt;Cite&gt;&lt;Author&gt;Myklathun&lt;/Author&gt;&lt;Year&gt;2023&lt;/Year&gt;&lt;RecNum&gt;2278&lt;/RecNum&gt;&lt;DisplayText&gt;(Myklathun, 2023)&lt;/DisplayText&gt;&lt;record&gt;&lt;rec-number&gt;2278&lt;/rec-number&gt;&lt;foreign-keys&gt;&lt;key app="EN" db-id="p2et5feaxrpe5zew2eavt29z05fv09aa5s0w" timestamp="1712318582" guid="89ec8613-ed25-4c54-8065-522f7089dd46"&gt;2278&lt;/key&gt;&lt;/foreign-keys&gt;&lt;ref-type name="Report"&gt;27&lt;/ref-type&gt;&lt;contributors&gt;&lt;authors&gt;&lt;author&gt;Kristian Harald Myklathun&lt;/author&gt;&lt;/authors&gt;&lt;tertiary-authors&gt;&lt;author&gt;NAV&lt;/author&gt;&lt;/tertiary-authors&gt;&lt;/contributors&gt;&lt;titles&gt;&lt;title&gt;NAVs Bedriftsundersøking 2023: Redusert mangel på arbeidskraft&lt;/title&gt;&lt;/titles&gt;&lt;dates&gt;&lt;year&gt;2023&lt;/year&gt;&lt;/dates&gt;&lt;isbn&gt;2023:5&lt;/isbn&gt;&lt;urls&gt;&lt;related-urls&gt;&lt;url&gt;https://www.nav.no/_/attachment/download/53351692-1196-4647-bee2-3055f8c81ed5:3b00bf572c1b9aa10ef9f0d10dbbc8a585329c88/NAVs%20bedriftsunders%C3%B8kelse%202023.pdf&lt;/url&gt;&lt;/related-urls&gt;&lt;/urls&gt;&lt;/record&gt;&lt;/Cite&gt;&lt;/EndNote&gt;</w:instrText>
      </w:r>
      <w:r w:rsidR="00FC759F">
        <w:fldChar w:fldCharType="separate"/>
      </w:r>
      <w:r w:rsidR="00FC759F">
        <w:rPr>
          <w:noProof/>
        </w:rPr>
        <w:t>(Myklathun, 2023)</w:t>
      </w:r>
      <w:r w:rsidR="00FC759F">
        <w:fldChar w:fldCharType="end"/>
      </w:r>
      <w:r w:rsidR="002915C4" w:rsidRPr="00422245">
        <w:t>.</w:t>
      </w:r>
      <w:r w:rsidR="00D23B7E" w:rsidRPr="00422245">
        <w:t xml:space="preserve"> </w:t>
      </w:r>
      <w:r w:rsidR="00D66064" w:rsidRPr="00422245">
        <w:t>SSBs utdanningskategorier</w:t>
      </w:r>
      <w:r w:rsidR="00BF2A42" w:rsidRPr="00422245">
        <w:t xml:space="preserve"> i den siste framskrivingen</w:t>
      </w:r>
      <w:r w:rsidR="00D66064" w:rsidRPr="00422245">
        <w:t xml:space="preserve"> er for brede til å kunne </w:t>
      </w:r>
      <w:r w:rsidR="00D5398E" w:rsidRPr="00422245">
        <w:t>si noe spesifikt</w:t>
      </w:r>
      <w:r w:rsidR="00D66064" w:rsidRPr="00422245">
        <w:t xml:space="preserve"> for disse utdannings</w:t>
      </w:r>
      <w:r w:rsidR="00203730" w:rsidRPr="00422245">
        <w:t>- og yrkesgruppene</w:t>
      </w:r>
      <w:r w:rsidR="00A14A5B" w:rsidRPr="00422245">
        <w:t xml:space="preserve">, men for </w:t>
      </w:r>
      <w:r w:rsidR="00700C48" w:rsidRPr="00422245">
        <w:t xml:space="preserve">læreryrkene </w:t>
      </w:r>
      <w:r w:rsidR="00D5398E" w:rsidRPr="00422245">
        <w:t xml:space="preserve">og </w:t>
      </w:r>
      <w:r w:rsidR="00700C48" w:rsidRPr="00422245">
        <w:t xml:space="preserve">helseyrkene </w:t>
      </w:r>
      <w:r w:rsidR="006F6047" w:rsidRPr="00422245">
        <w:t>publiserte SSB egne framskrivinger i 2023</w:t>
      </w:r>
      <w:r w:rsidR="00203730" w:rsidRPr="00422245">
        <w:t>.</w:t>
      </w:r>
      <w:r w:rsidR="006B2230" w:rsidRPr="00422245">
        <w:t xml:space="preserve"> Her blir det sagt at </w:t>
      </w:r>
      <w:r w:rsidR="00B554C2" w:rsidRPr="00422245">
        <w:t>det vil være mulig å redusere mangelen på kvalifiserte lærere i skolen fram mot 2040</w:t>
      </w:r>
      <w:r w:rsidR="00D30C70" w:rsidRPr="00422245">
        <w:t xml:space="preserve">. </w:t>
      </w:r>
      <w:r w:rsidR="00315D40" w:rsidRPr="00422245">
        <w:t xml:space="preserve">Gitt siste års </w:t>
      </w:r>
      <w:r w:rsidR="00FB0985" w:rsidRPr="00422245">
        <w:t xml:space="preserve">fall i </w:t>
      </w:r>
      <w:r w:rsidR="00315D40" w:rsidRPr="00422245">
        <w:t xml:space="preserve">søker- og oppmøtetall </w:t>
      </w:r>
      <w:r w:rsidR="00CC42F8">
        <w:t xml:space="preserve">også </w:t>
      </w:r>
      <w:r w:rsidR="00315D40" w:rsidRPr="00422245">
        <w:t xml:space="preserve">ved </w:t>
      </w:r>
      <w:r w:rsidR="00315D40" w:rsidRPr="00422245">
        <w:lastRenderedPageBreak/>
        <w:t>lærerutdanningene</w:t>
      </w:r>
      <w:r w:rsidR="000E54D4">
        <w:t>,</w:t>
      </w:r>
      <w:r w:rsidR="00315D40" w:rsidRPr="00422245">
        <w:t xml:space="preserve"> kan man imidlertid stille spørsmål ved om </w:t>
      </w:r>
      <w:r w:rsidR="00FB0985" w:rsidRPr="00422245">
        <w:t>dette vil være mulig</w:t>
      </w:r>
      <w:r w:rsidR="003E5FAD">
        <w:t xml:space="preserve">, så sant </w:t>
      </w:r>
      <w:r w:rsidR="00D84F90">
        <w:t>søkertallene ikke øker igjen de kommende årene</w:t>
      </w:r>
      <w:r w:rsidR="00FB0985" w:rsidRPr="00422245">
        <w:t>.</w:t>
      </w:r>
      <w:r w:rsidR="00E9732A" w:rsidRPr="00422245">
        <w:rPr>
          <w:rStyle w:val="Fotnotereferanse"/>
        </w:rPr>
        <w:footnoteReference w:id="29"/>
      </w:r>
    </w:p>
    <w:p w14:paraId="2884B8C1" w14:textId="0F1780E2" w:rsidR="0011663F" w:rsidRDefault="0011663F" w:rsidP="0011663F">
      <w:pPr>
        <w:pStyle w:val="Overskrift3"/>
        <w:spacing w:before="288"/>
      </w:pPr>
      <w:bookmarkStart w:id="123" w:name="_Toc163488433"/>
      <w:r>
        <w:t>Bedre situasjon</w:t>
      </w:r>
      <w:r w:rsidR="00295BE4" w:rsidRPr="00422245">
        <w:t xml:space="preserve"> for </w:t>
      </w:r>
      <w:r>
        <w:t>andre helseutdanninger</w:t>
      </w:r>
      <w:bookmarkEnd w:id="123"/>
    </w:p>
    <w:p w14:paraId="0A1E04FC" w14:textId="06ABBA40" w:rsidR="00E73385" w:rsidRPr="00422245" w:rsidRDefault="00295BE4" w:rsidP="00711A1B">
      <w:r w:rsidRPr="00422245">
        <w:t xml:space="preserve">For vurderinger av framtidig behov for spesifikke </w:t>
      </w:r>
      <w:r w:rsidR="00AE6E60" w:rsidRPr="00422245">
        <w:t>typer helsepersonell, kan man</w:t>
      </w:r>
      <w:r w:rsidR="002956BE" w:rsidRPr="00422245">
        <w:t xml:space="preserve"> </w:t>
      </w:r>
      <w:r w:rsidR="00AE6E60" w:rsidRPr="00422245">
        <w:t>se til SSBs framskriving av arbeidsma</w:t>
      </w:r>
      <w:r w:rsidR="00745E14" w:rsidRPr="00422245">
        <w:t>rkedet for helsepersonell fram mot 2040</w:t>
      </w:r>
      <w:r w:rsidR="00D56CB0">
        <w:t xml:space="preserve"> </w:t>
      </w:r>
      <w:r w:rsidR="001E04A7">
        <w:fldChar w:fldCharType="begin"/>
      </w:r>
      <w:r w:rsidR="001E04A7">
        <w:instrText xml:space="preserve"> ADDIN EN.CITE &lt;EndNote&gt;&lt;Cite&gt;&lt;Author&gt;Jia&lt;/Author&gt;&lt;Year&gt;2023&lt;/Year&gt;&lt;RecNum&gt;2157&lt;/RecNum&gt;&lt;DisplayText&gt;(Jia et al., 2023)&lt;/DisplayText&gt;&lt;record&gt;&lt;rec-number&gt;2157&lt;/rec-number&gt;&lt;foreign-keys&gt;&lt;key app="EN" db-id="p2et5feaxrpe5zew2eavt29z05fv09aa5s0w" timestamp="1712306745" guid="2492f161-5d0b-47f6-ac28-0c57f55bfcdd"&gt;2157&lt;/key&gt;&lt;/foreign-keys&gt;&lt;ref-type name="Report"&gt;27&lt;/ref-type&gt;&lt;contributors&gt;&lt;authors&gt;&lt;author&gt;Zhiyang Jia&lt;/author&gt;&lt;author&gt;Tom Kornstad&lt;/author&gt;&lt;author&gt;Nils Martin Stølen&lt;/author&gt;&lt;author&gt;Geir Hjemås&lt;/author&gt;&lt;/authors&gt;&lt;/contributors&gt;&lt;titles&gt;&lt;title&gt;Arbeidsmarked for helsepersonell fram mot 2040&lt;/title&gt;&lt;secondary-title&gt;Tall som forteller&lt;/secondary-title&gt;&lt;/titles&gt;&lt;dates&gt;&lt;year&gt;2023&lt;/year&gt;&lt;/dates&gt;&lt;publisher&gt;Statistisk sentralbyrå&lt;/publisher&gt;&lt;urls&gt;&lt;related-urls&gt;&lt;url&gt;https://www.ssb.no/arbeid-og-lonn/sysselsetting/artikler/arbeidsmarkedet-for-helsepersonell-fram-mot-2040/_/attachment/inline/487396f0-0469-49de-8b79-092941ac346f:9861f0cf62d33b5643028f02e0e8f7c22f80a709/RAPP2023-02.pdf&lt;/url&gt;&lt;/related-urls&gt;&lt;/urls&gt;&lt;custom6&gt;2023/2&lt;/custom6&gt;&lt;/record&gt;&lt;/Cite&gt;&lt;/EndNote&gt;</w:instrText>
      </w:r>
      <w:r w:rsidR="001E04A7">
        <w:fldChar w:fldCharType="separate"/>
      </w:r>
      <w:r w:rsidR="001E04A7">
        <w:rPr>
          <w:noProof/>
        </w:rPr>
        <w:t>(Jia et al., 2023)</w:t>
      </w:r>
      <w:r w:rsidR="001E04A7">
        <w:fldChar w:fldCharType="end"/>
      </w:r>
      <w:r w:rsidR="00745E14" w:rsidRPr="00422245">
        <w:t>.</w:t>
      </w:r>
      <w:r w:rsidR="00302A44" w:rsidRPr="00422245">
        <w:rPr>
          <w:rStyle w:val="Fotnotereferanse"/>
        </w:rPr>
        <w:footnoteReference w:id="30"/>
      </w:r>
      <w:r w:rsidR="0002296D" w:rsidRPr="00422245">
        <w:t xml:space="preserve"> </w:t>
      </w:r>
      <w:r w:rsidR="004944BF" w:rsidRPr="00422245">
        <w:t xml:space="preserve">Nest etter sykepleiere, er </w:t>
      </w:r>
      <w:r w:rsidR="000E35D7" w:rsidRPr="00422245">
        <w:t xml:space="preserve">det for </w:t>
      </w:r>
      <w:r w:rsidR="000214BE" w:rsidRPr="00422245">
        <w:t xml:space="preserve">vernepleiere </w:t>
      </w:r>
      <w:r w:rsidR="000E35D7" w:rsidRPr="00422245">
        <w:t xml:space="preserve">at </w:t>
      </w:r>
      <w:r w:rsidR="00F50F82" w:rsidRPr="00422245">
        <w:t>det framskrevne</w:t>
      </w:r>
      <w:r w:rsidR="000E35D7" w:rsidRPr="00422245">
        <w:t xml:space="preserve"> </w:t>
      </w:r>
      <w:r w:rsidR="00174E3F" w:rsidRPr="00422245">
        <w:t>gapet mellom tilbud og etterspørsel</w:t>
      </w:r>
      <w:r w:rsidR="00F50F82" w:rsidRPr="00422245">
        <w:t xml:space="preserve"> i 2040 er størst</w:t>
      </w:r>
      <w:r w:rsidR="00A71C71" w:rsidRPr="00422245">
        <w:t xml:space="preserve"> </w:t>
      </w:r>
      <w:r w:rsidR="00882EE3">
        <w:t xml:space="preserve"> innenfor</w:t>
      </w:r>
      <w:r w:rsidR="00BA09FE" w:rsidRPr="00422245">
        <w:t xml:space="preserve"> yrker som krever høyere utdanning</w:t>
      </w:r>
      <w:r w:rsidR="00F50F82" w:rsidRPr="00422245">
        <w:t>.</w:t>
      </w:r>
      <w:r w:rsidR="00BA09FE" w:rsidRPr="00422245">
        <w:rPr>
          <w:rStyle w:val="Fotnotereferanse"/>
        </w:rPr>
        <w:footnoteReference w:id="31"/>
      </w:r>
      <w:r w:rsidR="00F50F82" w:rsidRPr="00422245">
        <w:t xml:space="preserve"> </w:t>
      </w:r>
      <w:r w:rsidR="00BD150A">
        <w:t xml:space="preserve">Mens det er fremskrevet en kommende </w:t>
      </w:r>
      <w:r w:rsidR="009955D2" w:rsidRPr="00422245">
        <w:t>udekket</w:t>
      </w:r>
      <w:r w:rsidR="00F11E56" w:rsidRPr="00422245">
        <w:t xml:space="preserve"> </w:t>
      </w:r>
      <w:r w:rsidR="00A754B6" w:rsidRPr="00422245">
        <w:t xml:space="preserve">etterspørsel </w:t>
      </w:r>
      <w:r w:rsidR="004547D4">
        <w:t xml:space="preserve">etter sykepleiere </w:t>
      </w:r>
      <w:r w:rsidR="003E0737" w:rsidRPr="00422245">
        <w:t xml:space="preserve">på </w:t>
      </w:r>
      <w:r w:rsidR="003A744E" w:rsidRPr="00422245">
        <w:t>29 700 årsverk</w:t>
      </w:r>
      <w:r w:rsidR="003E0737" w:rsidRPr="00422245">
        <w:t xml:space="preserve">, </w:t>
      </w:r>
      <w:r w:rsidR="004547D4">
        <w:t>er</w:t>
      </w:r>
      <w:r w:rsidR="003E0737" w:rsidRPr="00422245">
        <w:t xml:space="preserve"> det tilsvare</w:t>
      </w:r>
      <w:r w:rsidR="007B59AD" w:rsidRPr="00422245">
        <w:t xml:space="preserve">nde tallet for vernepleiere </w:t>
      </w:r>
      <w:r w:rsidR="00B26C7C" w:rsidRPr="00422245">
        <w:t>7 400.</w:t>
      </w:r>
      <w:r w:rsidR="002D243F" w:rsidRPr="00422245">
        <w:rPr>
          <w:rStyle w:val="Fotnotereferanse"/>
        </w:rPr>
        <w:footnoteReference w:id="32"/>
      </w:r>
      <w:r w:rsidR="00782A66" w:rsidRPr="00422245">
        <w:t xml:space="preserve"> </w:t>
      </w:r>
    </w:p>
    <w:p w14:paraId="441C504C" w14:textId="756A56A8" w:rsidR="00336617" w:rsidRPr="00422245" w:rsidRDefault="00E956F6" w:rsidP="00711A1B">
      <w:r w:rsidRPr="00422245">
        <w:t>I framskrivingen er det tatt utgangspu</w:t>
      </w:r>
      <w:r w:rsidR="004172AF" w:rsidRPr="00422245">
        <w:t>nkt i tilgangen på nytt helsepersonell i 2019</w:t>
      </w:r>
      <w:r w:rsidR="00E717CF" w:rsidRPr="00422245">
        <w:t xml:space="preserve"> når man beregner framtidig </w:t>
      </w:r>
      <w:r w:rsidR="00CA6030" w:rsidRPr="00422245">
        <w:t>utvikling</w:t>
      </w:r>
      <w:r w:rsidR="004172AF" w:rsidRPr="00422245">
        <w:t xml:space="preserve">, og endringer etter </w:t>
      </w:r>
      <w:r w:rsidR="00CA6030" w:rsidRPr="00422245">
        <w:t>2019</w:t>
      </w:r>
      <w:r w:rsidR="004172AF" w:rsidRPr="00422245">
        <w:t xml:space="preserve"> </w:t>
      </w:r>
      <w:r w:rsidR="00371510">
        <w:t xml:space="preserve">er </w:t>
      </w:r>
      <w:r w:rsidR="004172AF" w:rsidRPr="00422245">
        <w:t>ikke tatt hensyn til.</w:t>
      </w:r>
      <w:r w:rsidR="002F2797" w:rsidRPr="00422245">
        <w:t xml:space="preserve"> </w:t>
      </w:r>
      <w:r w:rsidR="0007001A" w:rsidRPr="00422245">
        <w:t xml:space="preserve">Som nevnt har det imidlertid skjedd et fall i antall søkere og </w:t>
      </w:r>
      <w:r w:rsidR="00853520" w:rsidRPr="00422245">
        <w:t xml:space="preserve">møtte </w:t>
      </w:r>
      <w:r w:rsidR="00C75241" w:rsidRPr="00422245">
        <w:t>studenter til sykepleiestudiet</w:t>
      </w:r>
      <w:r w:rsidR="00E73385" w:rsidRPr="00422245">
        <w:t xml:space="preserve"> </w:t>
      </w:r>
      <w:r w:rsidR="000B554A" w:rsidRPr="00422245">
        <w:t>etter dette</w:t>
      </w:r>
      <w:r w:rsidR="00BD6DCA">
        <w:t>.</w:t>
      </w:r>
      <w:r w:rsidR="0089368D">
        <w:t xml:space="preserve"> </w:t>
      </w:r>
      <w:r w:rsidR="00E87C0B">
        <w:t xml:space="preserve">For </w:t>
      </w:r>
      <w:r w:rsidR="001C268B" w:rsidRPr="00422245">
        <w:t>vernepleieutdanningen</w:t>
      </w:r>
      <w:r w:rsidR="00977E7C">
        <w:t xml:space="preserve"> er</w:t>
      </w:r>
      <w:r w:rsidR="004E1F54" w:rsidRPr="00422245">
        <w:t xml:space="preserve"> søkertallene</w:t>
      </w:r>
      <w:r w:rsidR="00977E7C">
        <w:t xml:space="preserve"> derimot</w:t>
      </w:r>
      <w:r w:rsidR="004E1F54" w:rsidRPr="00422245">
        <w:t xml:space="preserve"> fremdeles er høye</w:t>
      </w:r>
      <w:r w:rsidR="00977E7C">
        <w:t xml:space="preserve"> (</w:t>
      </w:r>
      <w:r w:rsidR="00977E7C">
        <w:fldChar w:fldCharType="begin"/>
      </w:r>
      <w:r w:rsidR="00977E7C">
        <w:instrText xml:space="preserve"> REF _Ref161663659 \h </w:instrText>
      </w:r>
      <w:r w:rsidR="00977E7C">
        <w:fldChar w:fldCharType="separate"/>
      </w:r>
      <w:r w:rsidR="00977E7C" w:rsidRPr="00422245">
        <w:t xml:space="preserve">Figur </w:t>
      </w:r>
      <w:r w:rsidR="00977E7C">
        <w:rPr>
          <w:noProof/>
        </w:rPr>
        <w:t>6</w:t>
      </w:r>
      <w:r w:rsidR="00977E7C">
        <w:noBreakHyphen/>
      </w:r>
      <w:r w:rsidR="00977E7C">
        <w:rPr>
          <w:noProof/>
        </w:rPr>
        <w:t>2</w:t>
      </w:r>
      <w:r w:rsidR="00977E7C">
        <w:fldChar w:fldCharType="end"/>
      </w:r>
      <w:r w:rsidR="00977E7C">
        <w:t>)</w:t>
      </w:r>
      <w:r w:rsidR="00780FC2">
        <w:t xml:space="preserve">, og vi ser ingen vesentlig nedgang i </w:t>
      </w:r>
      <w:r w:rsidR="00CB1ACC">
        <w:t>antallet som har møtt til studiestart siste år</w:t>
      </w:r>
      <w:r w:rsidR="001C268B" w:rsidRPr="00422245">
        <w:t>.</w:t>
      </w:r>
      <w:r w:rsidR="00022117" w:rsidRPr="00422245">
        <w:t xml:space="preserve"> Heller ikke </w:t>
      </w:r>
      <w:r w:rsidR="00626411" w:rsidRPr="00422245">
        <w:t>for andre</w:t>
      </w:r>
      <w:r w:rsidR="00022117" w:rsidRPr="00422245">
        <w:t xml:space="preserve"> </w:t>
      </w:r>
      <w:r w:rsidR="00626411" w:rsidRPr="00422245">
        <w:t xml:space="preserve">profesjonsutdanninger innen helse ser vi </w:t>
      </w:r>
      <w:r w:rsidR="00124BA8">
        <w:t>store</w:t>
      </w:r>
      <w:r w:rsidR="00DB5033" w:rsidRPr="00422245">
        <w:t xml:space="preserve"> fall i antallet nye studenter </w:t>
      </w:r>
      <w:r w:rsidR="00964937" w:rsidRPr="00422245">
        <w:t>de siste årene</w:t>
      </w:r>
      <w:r w:rsidR="009436CE" w:rsidRPr="00422245">
        <w:t>, selv om flere studier har hatt noe fallende søkertall</w:t>
      </w:r>
      <w:r w:rsidR="00964937" w:rsidRPr="00422245">
        <w:t>.</w:t>
      </w:r>
    </w:p>
    <w:p w14:paraId="2021F1F4" w14:textId="0C8AC8C3" w:rsidR="00165142" w:rsidRPr="00422245" w:rsidRDefault="00165142" w:rsidP="00165142">
      <w:pPr>
        <w:pStyle w:val="Bildetekst"/>
        <w:keepNext/>
      </w:pPr>
      <w:bookmarkStart w:id="124" w:name="_Ref161663659"/>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6</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124"/>
      <w:r w:rsidRPr="00422245">
        <w:t xml:space="preserve"> Søkere, møtte og fullførte kandidater fra vernepleiestudiet. 2008-2023.</w:t>
      </w:r>
    </w:p>
    <w:p w14:paraId="1E19BCE2" w14:textId="14FF33C9" w:rsidR="00336617" w:rsidRDefault="007512D2" w:rsidP="00711A1B">
      <w:r w:rsidRPr="00422245">
        <w:rPr>
          <w:noProof/>
        </w:rPr>
        <w:drawing>
          <wp:inline distT="0" distB="0" distL="0" distR="0" wp14:anchorId="1D7265F0" wp14:editId="44BFE066">
            <wp:extent cx="5718412" cy="2743200"/>
            <wp:effectExtent l="0" t="0" r="15875" b="0"/>
            <wp:docPr id="1955352207" name="Diagram 1">
              <a:extLst xmlns:a="http://schemas.openxmlformats.org/drawingml/2006/main">
                <a:ext uri="{FF2B5EF4-FFF2-40B4-BE49-F238E27FC236}">
                  <a16:creationId xmlns:a16="http://schemas.microsoft.com/office/drawing/2014/main" id="{70811D81-3B84-78B4-4F02-51EBBC344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C0A21E8" w14:textId="4FA2CB37" w:rsidR="001D5A4E" w:rsidRPr="00422245" w:rsidRDefault="001D5A4E" w:rsidP="006903B5">
      <w:pPr>
        <w:pStyle w:val="Kilde"/>
      </w:pPr>
      <w:r w:rsidRPr="004E373E">
        <w:rPr>
          <w:b/>
        </w:rPr>
        <w:t>Kilde</w:t>
      </w:r>
      <w:r>
        <w:t>: DBH</w:t>
      </w:r>
    </w:p>
    <w:p w14:paraId="082D8CC7" w14:textId="622D83EF" w:rsidR="00D3437F" w:rsidRPr="00422245" w:rsidRDefault="00890C84" w:rsidP="00711A1B">
      <w:r>
        <w:t>N</w:t>
      </w:r>
      <w:r w:rsidR="006F471F" w:rsidRPr="00422245">
        <w:t xml:space="preserve">år vi ser på de sosialfaglige </w:t>
      </w:r>
      <w:r w:rsidR="00BC6B4A" w:rsidRPr="00422245">
        <w:t>profesjons</w:t>
      </w:r>
      <w:r w:rsidR="006F471F" w:rsidRPr="00422245">
        <w:t>utdanningene</w:t>
      </w:r>
      <w:r w:rsidR="00722054" w:rsidRPr="00422245">
        <w:t xml:space="preserve"> (barnevern og sosialt arbeid), </w:t>
      </w:r>
      <w:r w:rsidR="00917948" w:rsidRPr="00422245">
        <w:t>ser situasjonen ulik ut for de ulike utdanningene.</w:t>
      </w:r>
      <w:r w:rsidR="00BC6B4A" w:rsidRPr="00422245">
        <w:t xml:space="preserve"> Søkertallene til sosialt arbeid er fremdeles høye</w:t>
      </w:r>
      <w:r w:rsidR="00B24D17" w:rsidRPr="00422245">
        <w:t>, og antallet møtte studenter har vært stabilt de siste årene.</w:t>
      </w:r>
      <w:r w:rsidR="00CF134E" w:rsidRPr="00422245">
        <w:t xml:space="preserve"> </w:t>
      </w:r>
      <w:r w:rsidR="00996A09" w:rsidRPr="00422245">
        <w:t xml:space="preserve">Barnevernpedagogutdanningen har </w:t>
      </w:r>
      <w:r w:rsidR="006B334C" w:rsidRPr="00422245">
        <w:t xml:space="preserve">derimot hatt </w:t>
      </w:r>
      <w:r w:rsidR="00CA3727" w:rsidRPr="00422245">
        <w:t xml:space="preserve">et </w:t>
      </w:r>
      <w:r w:rsidR="002D3D16">
        <w:t>kraftig</w:t>
      </w:r>
      <w:r w:rsidR="00CA3727" w:rsidRPr="00422245">
        <w:t xml:space="preserve"> fall i søker</w:t>
      </w:r>
      <w:r w:rsidR="00AC0132" w:rsidRPr="00422245">
        <w:t>tall</w:t>
      </w:r>
      <w:r w:rsidR="00CA3727" w:rsidRPr="00422245">
        <w:t xml:space="preserve"> </w:t>
      </w:r>
      <w:r w:rsidR="007241A1" w:rsidRPr="00422245">
        <w:t>de siste årene</w:t>
      </w:r>
      <w:r w:rsidR="005D241F" w:rsidRPr="00422245">
        <w:t xml:space="preserve">, og antall møtte studenter </w:t>
      </w:r>
      <w:r w:rsidR="005471C5" w:rsidRPr="00422245">
        <w:t xml:space="preserve">i 2023 </w:t>
      </w:r>
      <w:r w:rsidR="00AC0132" w:rsidRPr="00422245">
        <w:t>var</w:t>
      </w:r>
      <w:r w:rsidR="005471C5" w:rsidRPr="00422245">
        <w:t xml:space="preserve"> det laveste siden 2008.</w:t>
      </w:r>
      <w:r w:rsidR="000E6DA6" w:rsidRPr="00422245">
        <w:t xml:space="preserve"> I 2023 møtte 760 nye studenter til studiestart, mot 845 året før.</w:t>
      </w:r>
      <w:r w:rsidR="008813CC" w:rsidRPr="00422245">
        <w:t xml:space="preserve"> </w:t>
      </w:r>
      <w:r w:rsidR="008840C6" w:rsidRPr="00422245">
        <w:fldChar w:fldCharType="begin"/>
      </w:r>
      <w:r w:rsidR="008840C6" w:rsidRPr="00422245">
        <w:instrText xml:space="preserve"> REF _Ref161667170 \h </w:instrText>
      </w:r>
      <w:r w:rsidR="008840C6" w:rsidRPr="00422245">
        <w:fldChar w:fldCharType="separate"/>
      </w:r>
      <w:r w:rsidR="008840C6" w:rsidRPr="00422245">
        <w:t xml:space="preserve">Figur </w:t>
      </w:r>
      <w:r w:rsidR="002471FC">
        <w:rPr>
          <w:noProof/>
        </w:rPr>
        <w:t>6</w:t>
      </w:r>
      <w:r w:rsidR="008840C6" w:rsidRPr="00422245">
        <w:noBreakHyphen/>
        <w:t>3</w:t>
      </w:r>
      <w:r w:rsidR="008840C6" w:rsidRPr="00422245">
        <w:fldChar w:fldCharType="end"/>
      </w:r>
      <w:r w:rsidR="008840C6" w:rsidRPr="00422245">
        <w:t xml:space="preserve"> viser </w:t>
      </w:r>
      <w:r w:rsidR="002A61D9" w:rsidRPr="00422245">
        <w:t>an</w:t>
      </w:r>
      <w:r w:rsidR="009E37EF" w:rsidRPr="00422245">
        <w:t xml:space="preserve">tall møtte studenter per planlagte studieplass </w:t>
      </w:r>
      <w:r w:rsidR="00D8133F">
        <w:t>på denne utdanningen</w:t>
      </w:r>
      <w:r w:rsidR="009E37EF" w:rsidRPr="00422245">
        <w:t xml:space="preserve"> </w:t>
      </w:r>
      <w:r w:rsidR="00E32F67" w:rsidRPr="00422245">
        <w:t xml:space="preserve">i 2023. </w:t>
      </w:r>
      <w:r w:rsidR="00543FB8" w:rsidRPr="00422245">
        <w:t xml:space="preserve">For </w:t>
      </w:r>
      <w:r w:rsidR="00E906ED" w:rsidRPr="00422245">
        <w:t>HINN</w:t>
      </w:r>
      <w:r w:rsidR="00543FB8" w:rsidRPr="00422245">
        <w:t>s vedkommende foregår</w:t>
      </w:r>
      <w:r w:rsidR="00655C9F" w:rsidRPr="00422245">
        <w:t xml:space="preserve"> </w:t>
      </w:r>
      <w:r w:rsidR="00D8133F">
        <w:t>barnevernpedagog</w:t>
      </w:r>
      <w:r w:rsidR="00655C9F" w:rsidRPr="00422245">
        <w:t xml:space="preserve">utdanningen på Lillehammer, og </w:t>
      </w:r>
      <w:r w:rsidR="00543FB8" w:rsidRPr="00422245">
        <w:t>for</w:t>
      </w:r>
      <w:r w:rsidR="00E906ED" w:rsidRPr="00422245">
        <w:t xml:space="preserve"> HVL</w:t>
      </w:r>
      <w:r w:rsidR="00543FB8" w:rsidRPr="00422245">
        <w:t>s</w:t>
      </w:r>
      <w:r w:rsidR="00655C9F" w:rsidRPr="00422245">
        <w:t xml:space="preserve"> </w:t>
      </w:r>
      <w:r w:rsidR="00E906ED" w:rsidRPr="00422245">
        <w:t xml:space="preserve">i Sogndal. </w:t>
      </w:r>
      <w:r w:rsidR="00B75DA9" w:rsidRPr="00422245">
        <w:t>Vi ser med andre ord</w:t>
      </w:r>
      <w:r w:rsidR="006E39D9" w:rsidRPr="00422245">
        <w:t xml:space="preserve"> </w:t>
      </w:r>
      <w:r w:rsidR="008840C6" w:rsidRPr="00422245">
        <w:t>at det er institusjonene i Nord-Norge</w:t>
      </w:r>
      <w:r w:rsidR="0058539F" w:rsidRPr="00422245">
        <w:t xml:space="preserve"> og på mindre studiesteder i Sør-Norge</w:t>
      </w:r>
      <w:r w:rsidR="00B75DA9" w:rsidRPr="00422245">
        <w:t xml:space="preserve"> som </w:t>
      </w:r>
      <w:r w:rsidR="000317AE" w:rsidRPr="00422245">
        <w:t xml:space="preserve">ikke har </w:t>
      </w:r>
      <w:r w:rsidR="00543FB8" w:rsidRPr="00422245">
        <w:t>fylt</w:t>
      </w:r>
      <w:r w:rsidR="000317AE" w:rsidRPr="00422245">
        <w:t xml:space="preserve"> opp de planlagte studieplassene</w:t>
      </w:r>
      <w:r w:rsidR="004C6476" w:rsidRPr="00422245">
        <w:t>.</w:t>
      </w:r>
      <w:r w:rsidR="00F41494" w:rsidRPr="00422245">
        <w:t xml:space="preserve"> Dette er et mønster </w:t>
      </w:r>
      <w:r w:rsidR="00E84F60" w:rsidRPr="00422245">
        <w:t>vi ser igjen for andre studier</w:t>
      </w:r>
      <w:r w:rsidR="00227F11">
        <w:t xml:space="preserve"> med fallende søker- og oppmøtetall</w:t>
      </w:r>
      <w:r w:rsidR="00E84F60" w:rsidRPr="00422245">
        <w:t>.</w:t>
      </w:r>
    </w:p>
    <w:p w14:paraId="15797371" w14:textId="63A30B4D" w:rsidR="00FA2983" w:rsidRPr="00422245" w:rsidRDefault="00FA2983" w:rsidP="00FA2983">
      <w:pPr>
        <w:pStyle w:val="Bildetekst"/>
        <w:keepNext/>
      </w:pPr>
      <w:bookmarkStart w:id="125" w:name="_Ref161667170"/>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6</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bookmarkEnd w:id="125"/>
      <w:r w:rsidRPr="00422245">
        <w:t xml:space="preserve"> Møtte studenter per planlagte studieplass, barnevern</w:t>
      </w:r>
      <w:r w:rsidR="00E32F67" w:rsidRPr="00422245">
        <w:t>. 2023.</w:t>
      </w:r>
    </w:p>
    <w:p w14:paraId="3F982456" w14:textId="378DE938" w:rsidR="00724F17" w:rsidRDefault="00FA0625" w:rsidP="00711A1B">
      <w:r w:rsidRPr="00422245">
        <w:rPr>
          <w:noProof/>
        </w:rPr>
        <w:drawing>
          <wp:inline distT="0" distB="0" distL="0" distR="0" wp14:anchorId="5BBC5C58" wp14:editId="7B87F21D">
            <wp:extent cx="5731510" cy="3128645"/>
            <wp:effectExtent l="0" t="0" r="2540" b="14605"/>
            <wp:docPr id="198439143" name="Diagram 1">
              <a:extLst xmlns:a="http://schemas.openxmlformats.org/drawingml/2006/main">
                <a:ext uri="{FF2B5EF4-FFF2-40B4-BE49-F238E27FC236}">
                  <a16:creationId xmlns:a16="http://schemas.microsoft.com/office/drawing/2014/main" id="{9A94DA9C-BCD1-994B-FEAB-5510804059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39F4D71" w14:textId="3EB61383" w:rsidR="006903B5" w:rsidRPr="00422245" w:rsidRDefault="006903B5" w:rsidP="006903B5">
      <w:pPr>
        <w:pStyle w:val="Kilde"/>
      </w:pPr>
      <w:r w:rsidRPr="004E373E">
        <w:rPr>
          <w:b/>
        </w:rPr>
        <w:t>Kilde</w:t>
      </w:r>
      <w:r>
        <w:t>: DBH</w:t>
      </w:r>
    </w:p>
    <w:p w14:paraId="1AD4BF2A" w14:textId="77777777" w:rsidR="00195EB4" w:rsidRDefault="00195EB4" w:rsidP="00195EB4">
      <w:pPr>
        <w:pStyle w:val="Overskrift3"/>
        <w:numPr>
          <w:ilvl w:val="2"/>
          <w:numId w:val="42"/>
        </w:numPr>
        <w:spacing w:before="288"/>
      </w:pPr>
      <w:bookmarkStart w:id="126" w:name="_Toc163488434"/>
      <w:r>
        <w:t>Måltallene avvikles</w:t>
      </w:r>
      <w:bookmarkEnd w:id="126"/>
    </w:p>
    <w:p w14:paraId="6EB67C08" w14:textId="77777777" w:rsidR="00195EB4" w:rsidRDefault="00195EB4" w:rsidP="00195EB4">
      <w:r w:rsidRPr="00422245">
        <w:t xml:space="preserve">Nettopp helse- og lærerutdanningene er i en særskilt posisjon, i og med at det er svært viktig at samfunnets behov for kandidater fra disse utdanningene imøtekommes. I 2014 ble det derfor innført kandidatmåltall for </w:t>
      </w:r>
      <w:r>
        <w:t xml:space="preserve">disse utdanningene med det formål </w:t>
      </w:r>
      <w:r w:rsidRPr="00422245">
        <w:t>at Kunnskapsdepartementet skulle regulere produksjonen av kandidater</w:t>
      </w:r>
      <w:r>
        <w:t>. Stortingsmeldingen</w:t>
      </w:r>
      <w:r w:rsidRPr="00A9520F">
        <w:t xml:space="preserve"> </w:t>
      </w:r>
      <w:r w:rsidRPr="00A9520F">
        <w:rPr>
          <w:i/>
          <w:iCs/>
        </w:rPr>
        <w:t>Profesjonsnære utdanningar over heile landet</w:t>
      </w:r>
      <w:r>
        <w:rPr>
          <w:i/>
          <w:iCs/>
        </w:rPr>
        <w:t xml:space="preserve"> </w:t>
      </w:r>
      <w:r>
        <w:t xml:space="preserve">konkluderer imidlertid med at kandidatmåltall ikke er et godt verktøy for å oppnå dette, og at regjeringen derfor vil avvikle bruken av kandidatmåltall. I stedet vil regjeringen bruke statistikk om opptaks- og gjennomføringstall til å vurdere institusjonenes prioriteringer og i hvilken grad det lar seg gjøre å dekke framtidige kompetansebehov. Det forventes også at institusjonene gjør vurderinger av framtidig kompetansebehov, og at utdanningstilbudet dimensjoneres etter dette </w:t>
      </w:r>
      <w:r>
        <w:fldChar w:fldCharType="begin"/>
      </w:r>
      <w:r>
        <w:instrText xml:space="preserve"> ADDIN EN.CITE &lt;EndNote&gt;&lt;Cite&gt;&lt;Author&gt;Meld. St. 19 (2023–2024)&lt;/Author&gt;&lt;RecNum&gt;2292&lt;/RecNum&gt;&lt;DisplayText&gt;(Meld. St. 19 (2023–2024))&lt;/DisplayText&gt;&lt;record&gt;&lt;rec-number&gt;2292&lt;/rec-number&gt;&lt;foreign-keys&gt;&lt;key app="EN" db-id="p2et5feaxrpe5zew2eavt29z05fv09aa5s0w" timestamp="1712324284" guid="8ea93a20-2373-4693-afe6-b50f5d6d0730"&gt;2292&lt;/key&gt;&lt;/foreign-keys&gt;&lt;ref-type name="Report"&gt;27&lt;/ref-type&gt;&lt;contributors&gt;&lt;authors&gt;&lt;author&gt;Meld. St. 19 (2023–2024),&lt;/author&gt;&lt;/authors&gt;&lt;secondary-authors&gt;&lt;author&gt;Kunnskapsdepartementet&lt;/author&gt;&lt;/secondary-authors&gt;&lt;/contributors&gt;&lt;titles&gt;&lt;title&gt;Profesjonsnære utdanningar over heile landet&lt;/title&gt;&lt;/titles&gt;&lt;dates&gt;&lt;/dates&gt;&lt;urls&gt;&lt;/urls&gt;&lt;/record&gt;&lt;/Cite&gt;&lt;/EndNote&gt;</w:instrText>
      </w:r>
      <w:r>
        <w:fldChar w:fldCharType="separate"/>
      </w:r>
      <w:r>
        <w:rPr>
          <w:noProof/>
        </w:rPr>
        <w:t>(Meld. St. 19 (2023–2024))</w:t>
      </w:r>
      <w:r>
        <w:fldChar w:fldCharType="end"/>
      </w:r>
      <w:r>
        <w:t>.</w:t>
      </w:r>
    </w:p>
    <w:p w14:paraId="69C12D93" w14:textId="77777777" w:rsidR="00195EB4" w:rsidRDefault="00195EB4" w:rsidP="00195EB4">
      <w:r>
        <w:t>Frem til nå har</w:t>
      </w:r>
      <w:r w:rsidRPr="00422245">
        <w:t xml:space="preserve"> likevel kandidatmåltallene </w:t>
      </w:r>
      <w:r>
        <w:t>vært</w:t>
      </w:r>
      <w:r w:rsidRPr="00422245">
        <w:t xml:space="preserve"> i bruk, og også 2024 har det blitt fastsatt kandidatmåltall</w:t>
      </w:r>
      <w:r>
        <w:t xml:space="preserve"> </w:t>
      </w:r>
      <w:r>
        <w:fldChar w:fldCharType="begin"/>
      </w:r>
      <w:r>
        <w:instrText xml:space="preserve"> ADDIN EN.CITE &lt;EndNote&gt;&lt;Cite&gt;&lt;Author&gt;Kunnskapsdepartementet&lt;/Author&gt;&lt;Year&gt;2024&lt;/Year&gt;&lt;RecNum&gt;2293&lt;/RecNum&gt;&lt;DisplayText&gt;(Kunnskapsdepartementet, 2024)&lt;/DisplayText&gt;&lt;record&gt;&lt;rec-number&gt;2293&lt;/rec-number&gt;&lt;foreign-keys&gt;&lt;key app="EN" db-id="p2et5feaxrpe5zew2eavt29z05fv09aa5s0w" timestamp="1712324469" guid="bcaa4b02-8735-4a1d-9826-6a4c05f01d21"&gt;2293&lt;/key&gt;&lt;/foreign-keys&gt;&lt;ref-type name="Report"&gt;27&lt;/ref-type&gt;&lt;contributors&gt;&lt;authors&gt;&lt;author&gt;Kunnskapsdepartementet&lt;/author&gt;&lt;/authors&gt;&lt;secondary-authors&gt;&lt;author&gt;Kunnskapsdepartementet&lt;/author&gt;&lt;/secondary-authors&gt;&lt;tertiary-authors&gt;&lt;author&gt;Kunnskapsdepartementet&lt;/author&gt;&lt;/tertiary-authors&gt;&lt;/contributors&gt;&lt;titles&gt;&lt;title&gt;Orientering om statsbudsjettet 2024 for universitet og høgskular&lt;/title&gt;&lt;/titles&gt;&lt;dates&gt;&lt;year&gt;2024&lt;/year&gt;&lt;/dates&gt;&lt;urls&gt;&lt;related-urls&gt;&lt;url&gt;https://www.regjeringen.no/contentassets/31af8e2c3a224ac2829e48cc91d89083/v3.-orientering-om-statsbudsjettet-2024-for-universitet-og-hogskular.pdf&lt;/url&gt;&lt;/related-urls&gt;&lt;/urls&gt;&lt;/record&gt;&lt;/Cite&gt;&lt;/EndNote&gt;</w:instrText>
      </w:r>
      <w:r>
        <w:fldChar w:fldCharType="separate"/>
      </w:r>
      <w:r>
        <w:rPr>
          <w:noProof/>
        </w:rPr>
        <w:t>(Kunnskapsdepartementet, 2024)</w:t>
      </w:r>
      <w:r>
        <w:fldChar w:fldCharType="end"/>
      </w:r>
      <w:r w:rsidRPr="00422245">
        <w:t>.</w:t>
      </w:r>
      <w:r>
        <w:t xml:space="preserve">  </w:t>
      </w:r>
      <w:r w:rsidRPr="00422245">
        <w:t xml:space="preserve">For de fleste helsefagutdanningene lå antallet uteksaminerte i 2023 over eller like under måltallet. Et unntak her er jordmorutdanningen, der antallet uteksaminerte bare </w:t>
      </w:r>
      <w:r w:rsidRPr="00422245">
        <w:lastRenderedPageBreak/>
        <w:t>var noe over 70 prosent av måltallet.</w:t>
      </w:r>
      <w:r w:rsidRPr="00422245">
        <w:rPr>
          <w:rStyle w:val="Fotnotereferanse"/>
        </w:rPr>
        <w:footnoteReference w:id="33"/>
      </w:r>
      <w:r w:rsidRPr="00422245">
        <w:t xml:space="preserve"> Dette tilsvarer omtrent situasjonen i 2022. Ut ifra antallet nye studenter i 2022 og 2023, kan man imidlertid forvente at antallet uteksaminerte fra jordmorutdanningen vil stige de neste årene.</w:t>
      </w:r>
      <w:r w:rsidRPr="00422245">
        <w:rPr>
          <w:rStyle w:val="Fotnotereferanse"/>
        </w:rPr>
        <w:footnoteReference w:id="34"/>
      </w:r>
      <w:r w:rsidRPr="00422245">
        <w:t xml:space="preserve"> Også noen mindre helsefagutdanninger har et antall uteksaminerte som ligger vesentlig under måltallet. Dette gjelder særlig utdanning i tegnspråk og -tolkning og tannteknikerutdanningen. Se ellers V2.31.</w:t>
      </w:r>
    </w:p>
    <w:p w14:paraId="60362D5A" w14:textId="77777777" w:rsidR="00BA6269" w:rsidRPr="00422245" w:rsidRDefault="00BA6269" w:rsidP="00BA6269"/>
    <w:p w14:paraId="29585ADA" w14:textId="0B6F83ED" w:rsidR="00D31F03" w:rsidRPr="00422245" w:rsidRDefault="004643BF" w:rsidP="001910B4">
      <w:pPr>
        <w:pStyle w:val="Overskrift2"/>
      </w:pPr>
      <w:bookmarkStart w:id="127" w:name="_Toc163488435"/>
      <w:r w:rsidRPr="00422245">
        <w:t>Tilpasning på arbeidsmarkedet</w:t>
      </w:r>
      <w:bookmarkEnd w:id="127"/>
    </w:p>
    <w:p w14:paraId="6E3C99B8" w14:textId="6BB2A9D4" w:rsidR="00BA4AA6" w:rsidRPr="00422245" w:rsidRDefault="00BA4AA6" w:rsidP="00BA4AA6">
      <w:r w:rsidRPr="00422245">
        <w:t xml:space="preserve">NIFU gjør Kandidatundersøkelsen på oppdrag fra HK-dir. </w:t>
      </w:r>
    </w:p>
    <w:p w14:paraId="7B2D15EF" w14:textId="50E00C84" w:rsidR="00BA6269" w:rsidRPr="00422245" w:rsidRDefault="00BA6269" w:rsidP="00901B5E">
      <w:pPr>
        <w:keepNext/>
        <w:keepLines/>
      </w:pPr>
    </w:p>
    <w:p w14:paraId="05C557F8" w14:textId="2913B5E5" w:rsidR="001910B4" w:rsidRPr="00422245" w:rsidRDefault="00C50416" w:rsidP="001910B4">
      <w:pPr>
        <w:pStyle w:val="Overskrift2"/>
      </w:pPr>
      <w:bookmarkStart w:id="128" w:name="_Toc163488436"/>
      <w:r w:rsidRPr="00422245">
        <w:t xml:space="preserve">Sysselsetting </w:t>
      </w:r>
      <w:r w:rsidR="004121C7">
        <w:t>for</w:t>
      </w:r>
      <w:r w:rsidRPr="00422245">
        <w:t xml:space="preserve"> utvalgte </w:t>
      </w:r>
      <w:r w:rsidR="004121C7">
        <w:t>utdanninger</w:t>
      </w:r>
      <w:bookmarkEnd w:id="128"/>
    </w:p>
    <w:p w14:paraId="16F7428D" w14:textId="0A5B05B9" w:rsidR="00726723" w:rsidRDefault="004B5723" w:rsidP="001910B4">
      <w:r>
        <w:t>Ved hje</w:t>
      </w:r>
      <w:r w:rsidR="00F94B6F">
        <w:t xml:space="preserve">lp av </w:t>
      </w:r>
      <w:r w:rsidR="008F6C74">
        <w:t xml:space="preserve">utdannings- og sysselsettingsdata i microdata.no har vi produsert statistikk </w:t>
      </w:r>
      <w:r w:rsidR="00EB74E1">
        <w:t>som viser</w:t>
      </w:r>
      <w:r w:rsidR="008F6C74">
        <w:t xml:space="preserve"> i hvilken grad </w:t>
      </w:r>
      <w:r w:rsidR="00C55673">
        <w:t xml:space="preserve">og i hvilket yrke </w:t>
      </w:r>
      <w:r w:rsidR="008F6C74">
        <w:t>uteksaminerte våren 2022 er sysselsatt</w:t>
      </w:r>
      <w:r w:rsidR="00006222">
        <w:t xml:space="preserve"> i juni 2023</w:t>
      </w:r>
      <w:r w:rsidR="009F0DA3">
        <w:t>.</w:t>
      </w:r>
      <w:r w:rsidR="00EF52E4">
        <w:t xml:space="preserve"> </w:t>
      </w:r>
      <w:r w:rsidR="00376847">
        <w:fldChar w:fldCharType="begin"/>
      </w:r>
      <w:r w:rsidR="00376847">
        <w:instrText xml:space="preserve"> REF _Ref163200548 \h </w:instrText>
      </w:r>
      <w:r w:rsidR="00376847">
        <w:fldChar w:fldCharType="separate"/>
      </w:r>
      <w:r w:rsidR="00376847">
        <w:t xml:space="preserve">Figur </w:t>
      </w:r>
      <w:r w:rsidR="00115A0D">
        <w:rPr>
          <w:noProof/>
        </w:rPr>
        <w:t>6</w:t>
      </w:r>
      <w:r w:rsidR="00376847">
        <w:noBreakHyphen/>
      </w:r>
      <w:r w:rsidR="00376847">
        <w:rPr>
          <w:noProof/>
        </w:rPr>
        <w:t>4</w:t>
      </w:r>
      <w:r w:rsidR="00376847">
        <w:fldChar w:fldCharType="end"/>
      </w:r>
      <w:r w:rsidR="00376847">
        <w:t xml:space="preserve"> viser </w:t>
      </w:r>
      <w:r w:rsidR="00D14FD3">
        <w:t xml:space="preserve">hvor stor andel av de uteksaminerte fra </w:t>
      </w:r>
      <w:r w:rsidR="005B2400">
        <w:t>noen</w:t>
      </w:r>
      <w:r w:rsidR="00D14FD3">
        <w:t xml:space="preserve"> de største profesjonsutdanningene som </w:t>
      </w:r>
      <w:r w:rsidR="008B3509">
        <w:t>er i ansettelsesforhold overhodet, og hvor mange som er i arbeid</w:t>
      </w:r>
      <w:r w:rsidR="00D14FD3">
        <w:t xml:space="preserve"> i </w:t>
      </w:r>
      <w:r w:rsidR="0027716A">
        <w:t xml:space="preserve">et yrke eller en sektor som svarer til </w:t>
      </w:r>
      <w:r w:rsidR="00827E33">
        <w:t>utdanningen deres</w:t>
      </w:r>
      <w:r w:rsidR="0027716A">
        <w:t>.</w:t>
      </w:r>
      <w:r w:rsidR="00827E33">
        <w:t xml:space="preserve"> </w:t>
      </w:r>
      <w:r w:rsidR="0027716A">
        <w:t xml:space="preserve"> </w:t>
      </w:r>
      <w:r w:rsidR="00707B2C">
        <w:t>Vi ser at de aller fleste er i en eller annen form for arbeid ett år etter fullført utdanning</w:t>
      </w:r>
      <w:r w:rsidR="00AD7A9F">
        <w:t>.</w:t>
      </w:r>
      <w:r w:rsidR="00707B2C">
        <w:t xml:space="preserve"> </w:t>
      </w:r>
      <w:r w:rsidR="00AD7A9F">
        <w:t>H</w:t>
      </w:r>
      <w:r w:rsidR="007D3F4D">
        <w:t xml:space="preserve">vor </w:t>
      </w:r>
      <w:r w:rsidR="00644347">
        <w:t xml:space="preserve">mange som jobber i </w:t>
      </w:r>
      <w:r w:rsidR="003333A7">
        <w:t>yrket eller sektoren de er utdannet til</w:t>
      </w:r>
      <w:r w:rsidR="00115A0D">
        <w:t>,</w:t>
      </w:r>
      <w:r w:rsidR="003333A7">
        <w:t xml:space="preserve"> og hvor mange som har full stilling,</w:t>
      </w:r>
      <w:r w:rsidR="00707B2C">
        <w:t xml:space="preserve"> </w:t>
      </w:r>
      <w:r w:rsidR="007D3F4D">
        <w:t xml:space="preserve">varierer </w:t>
      </w:r>
      <w:r w:rsidR="00AD7A9F">
        <w:t xml:space="preserve">imidlertid </w:t>
      </w:r>
      <w:r w:rsidR="007D3F4D">
        <w:t>fo</w:t>
      </w:r>
      <w:r w:rsidR="003333A7">
        <w:t>r</w:t>
      </w:r>
      <w:r w:rsidR="007D3F4D">
        <w:t>holdsvis mye mellom ulike ut</w:t>
      </w:r>
      <w:r w:rsidR="003333A7">
        <w:t>danninger.</w:t>
      </w:r>
      <w:r w:rsidR="00A65CEF">
        <w:t xml:space="preserve"> Blant</w:t>
      </w:r>
      <w:r w:rsidR="00B033A9">
        <w:t xml:space="preserve"> </w:t>
      </w:r>
      <w:r w:rsidR="00EA1177">
        <w:t>de b</w:t>
      </w:r>
      <w:r w:rsidR="005B2400">
        <w:t>arneha</w:t>
      </w:r>
      <w:r w:rsidR="00EA1177">
        <w:t xml:space="preserve">gelærerutdannede, er det </w:t>
      </w:r>
      <w:r w:rsidR="008A2346">
        <w:t>28 prosent som ikke jobber som barnehagelærer</w:t>
      </w:r>
      <w:r w:rsidR="004B6EE1">
        <w:t>, og 19 prosent som hverken jobber som barnehagelærer eller barnehageassistent</w:t>
      </w:r>
      <w:r w:rsidR="00587B04">
        <w:t xml:space="preserve">. Samtidig ser vi at de aller fleste som faktisk jobber som </w:t>
      </w:r>
      <w:r w:rsidR="00DB10A7">
        <w:t>barnehagelærer,</w:t>
      </w:r>
      <w:r w:rsidR="00587B04">
        <w:t xml:space="preserve"> </w:t>
      </w:r>
      <w:r w:rsidR="00D37DA1">
        <w:t xml:space="preserve">har full stilling. </w:t>
      </w:r>
      <w:r w:rsidR="00B60557">
        <w:t xml:space="preserve">Blant de utdannede sykepleierne er </w:t>
      </w:r>
      <w:r w:rsidR="00D86473">
        <w:t>andelen som ikke jobber som sykepleier bare 8 prosent</w:t>
      </w:r>
      <w:r w:rsidR="003317FB">
        <w:t xml:space="preserve">, </w:t>
      </w:r>
      <w:r w:rsidR="00A23149">
        <w:t xml:space="preserve">men en betydelig </w:t>
      </w:r>
      <w:r w:rsidR="001D44B8">
        <w:t>del jobber deltid.</w:t>
      </w:r>
      <w:r w:rsidR="00BC0F44">
        <w:t xml:space="preserve"> Under 60 prosent </w:t>
      </w:r>
      <w:r w:rsidR="008B4880">
        <w:t xml:space="preserve">arbeider </w:t>
      </w:r>
      <w:r w:rsidR="008D0437">
        <w:t xml:space="preserve">i full stilling som sykepleier. </w:t>
      </w:r>
      <w:r w:rsidR="008D0437">
        <w:lastRenderedPageBreak/>
        <w:t xml:space="preserve">Den høyeste andelen som jobber i </w:t>
      </w:r>
      <w:r w:rsidR="003D5448">
        <w:t>full stilling i det yrket de er utdannet til, finner vi blant grunnskolelærerne (1.-7.-klasse)</w:t>
      </w:r>
      <w:r w:rsidR="00402659">
        <w:t>, med 85 prosent.</w:t>
      </w:r>
      <w:r w:rsidR="00402659">
        <w:rPr>
          <w:rStyle w:val="Fotnotereferanse"/>
        </w:rPr>
        <w:footnoteReference w:id="35"/>
      </w:r>
    </w:p>
    <w:p w14:paraId="323880C7" w14:textId="4BCA393C" w:rsidR="0076619B" w:rsidRDefault="0076619B" w:rsidP="001910B4">
      <w:pPr>
        <w:rPr>
          <w:noProof/>
        </w:rPr>
      </w:pPr>
      <w:r w:rsidRPr="0076619B">
        <w:rPr>
          <w:noProof/>
        </w:rPr>
        <w:t>https://vedlegg.hkdir.no/MichaelRev/2024/figur/V6.4</w:t>
      </w:r>
    </w:p>
    <w:p w14:paraId="6C901AC6" w14:textId="2A586E5E" w:rsidR="00BF38C6" w:rsidRPr="00384B69" w:rsidRDefault="00BF38C6" w:rsidP="00BF38C6">
      <w:pPr>
        <w:pStyle w:val="Bildetekst"/>
        <w:keepNext/>
        <w:rPr>
          <w:lang w:val="nn-NO"/>
        </w:rPr>
      </w:pPr>
      <w:bookmarkStart w:id="129" w:name="_Ref163200548"/>
      <w:r>
        <w:t xml:space="preserve">Figur </w:t>
      </w:r>
      <w:r w:rsidR="006E1D94">
        <w:fldChar w:fldCharType="begin"/>
      </w:r>
      <w:r w:rsidR="006E1D94">
        <w:instrText xml:space="preserve"> STYLEREF 1 \s </w:instrText>
      </w:r>
      <w:r w:rsidR="006E1D94">
        <w:fldChar w:fldCharType="separate"/>
      </w:r>
      <w:r w:rsidR="006E1D94">
        <w:rPr>
          <w:noProof/>
        </w:rPr>
        <w:t>6</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129"/>
      <w:r>
        <w:t xml:space="preserve"> A</w:t>
      </w:r>
      <w:r w:rsidR="00C57424">
        <w:t>rbeidstilknytning for</w:t>
      </w:r>
      <w:r>
        <w:t xml:space="preserve"> uteksaminerte </w:t>
      </w:r>
      <w:r w:rsidR="009F0C23">
        <w:t xml:space="preserve">fra store profesjonsutdanninger </w:t>
      </w:r>
      <w:r>
        <w:t>våren 2022</w:t>
      </w:r>
      <w:r w:rsidR="00C554EA">
        <w:t xml:space="preserve"> etter</w:t>
      </w:r>
      <w:r w:rsidR="00524090">
        <w:t xml:space="preserve"> </w:t>
      </w:r>
      <w:r w:rsidR="009B1906">
        <w:t xml:space="preserve">yrke og </w:t>
      </w:r>
      <w:r w:rsidR="00524090">
        <w:t>s</w:t>
      </w:r>
      <w:r w:rsidR="00056885">
        <w:t>t</w:t>
      </w:r>
      <w:r w:rsidR="00524090">
        <w:t>illingsprosent</w:t>
      </w:r>
      <w:r>
        <w:t xml:space="preserve"> i juni 2023</w:t>
      </w:r>
      <w:r w:rsidR="00EE229D">
        <w:t>.</w:t>
      </w:r>
      <w:r w:rsidR="00524090">
        <w:t xml:space="preserve"> </w:t>
      </w:r>
      <w:r w:rsidR="00C554EA">
        <w:t>Prosentandel.</w:t>
      </w:r>
    </w:p>
    <w:p w14:paraId="746F8C10" w14:textId="511B32DA" w:rsidR="004643BF" w:rsidRPr="00422245" w:rsidRDefault="008E4672" w:rsidP="001910B4">
      <w:r>
        <w:rPr>
          <w:noProof/>
        </w:rPr>
        <w:drawing>
          <wp:inline distT="0" distB="0" distL="0" distR="0" wp14:anchorId="2BB461C4" wp14:editId="04281A5A">
            <wp:extent cx="5732060" cy="4667250"/>
            <wp:effectExtent l="0" t="0" r="2540" b="0"/>
            <wp:docPr id="1833793608" name="Diagram 1">
              <a:extLst xmlns:a="http://schemas.openxmlformats.org/drawingml/2006/main">
                <a:ext uri="{FF2B5EF4-FFF2-40B4-BE49-F238E27FC236}">
                  <a16:creationId xmlns:a16="http://schemas.microsoft.com/office/drawing/2014/main" id="{2FAADCBF-2C23-6A08-1796-1780303E0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589D306" w14:textId="77BA1366" w:rsidR="00777EBC" w:rsidRDefault="00777EBC" w:rsidP="00777EBC">
      <w:pPr>
        <w:pStyle w:val="Merknad"/>
      </w:pPr>
      <w:r>
        <w:t xml:space="preserve">Merknad: Når summen avviker noe fra 100 prosent, </w:t>
      </w:r>
      <w:r w:rsidR="00492E67">
        <w:t>skyldes dette</w:t>
      </w:r>
      <w:r>
        <w:t xml:space="preserve"> </w:t>
      </w:r>
      <w:r w:rsidR="00492E67">
        <w:t>anonymiseringsmekanismer i microdata.</w:t>
      </w:r>
    </w:p>
    <w:p w14:paraId="72EA1545" w14:textId="77777777" w:rsidR="009B7761" w:rsidRPr="00422245" w:rsidRDefault="009B7761" w:rsidP="009B7761">
      <w:pPr>
        <w:pStyle w:val="Kilde"/>
      </w:pPr>
      <w:r w:rsidRPr="004E373E">
        <w:rPr>
          <w:b/>
        </w:rPr>
        <w:lastRenderedPageBreak/>
        <w:t>Kilde</w:t>
      </w:r>
      <w:r w:rsidRPr="00BF38C6">
        <w:rPr>
          <w:b/>
          <w:bCs/>
        </w:rPr>
        <w:t>:</w:t>
      </w:r>
      <w:r>
        <w:t xml:space="preserve"> Microdata.no</w:t>
      </w:r>
    </w:p>
    <w:p w14:paraId="1591698C" w14:textId="0FDEF588" w:rsidR="001B1A72" w:rsidRPr="00422245" w:rsidRDefault="00D628A5" w:rsidP="00587C4B">
      <w:r>
        <w:t xml:space="preserve">For </w:t>
      </w:r>
      <w:r w:rsidR="005D59AE">
        <w:t xml:space="preserve">masterutdannede </w:t>
      </w:r>
      <w:r w:rsidR="007B33AA">
        <w:t xml:space="preserve">har vi laget statistikk for </w:t>
      </w:r>
      <w:r w:rsidR="007C25A4">
        <w:t>tre store profesjonsutdanninger og</w:t>
      </w:r>
      <w:r w:rsidR="007B33AA">
        <w:t xml:space="preserve"> fire </w:t>
      </w:r>
      <w:r w:rsidR="001702CE">
        <w:t>ulike</w:t>
      </w:r>
      <w:r w:rsidR="007C25A4">
        <w:t xml:space="preserve"> disiplinære</w:t>
      </w:r>
      <w:r w:rsidR="001702CE">
        <w:t xml:space="preserve"> fagområder</w:t>
      </w:r>
      <w:r w:rsidR="00DA7C8B">
        <w:t xml:space="preserve">, se </w:t>
      </w:r>
      <w:r w:rsidR="00AD1662">
        <w:fldChar w:fldCharType="begin"/>
      </w:r>
      <w:r w:rsidR="00AD1662">
        <w:instrText xml:space="preserve"> REF _Ref163385016 \h </w:instrText>
      </w:r>
      <w:r w:rsidR="00AD1662">
        <w:fldChar w:fldCharType="separate"/>
      </w:r>
      <w:r w:rsidR="00AD1662">
        <w:t xml:space="preserve">Figur </w:t>
      </w:r>
      <w:r w:rsidR="00AD1662">
        <w:rPr>
          <w:noProof/>
        </w:rPr>
        <w:t>6</w:t>
      </w:r>
      <w:r w:rsidR="00AD1662">
        <w:noBreakHyphen/>
      </w:r>
      <w:r w:rsidR="00AD1662">
        <w:rPr>
          <w:noProof/>
        </w:rPr>
        <w:t>5</w:t>
      </w:r>
      <w:r w:rsidR="00AD1662">
        <w:fldChar w:fldCharType="end"/>
      </w:r>
      <w:r w:rsidR="001702CE">
        <w:t>.</w:t>
      </w:r>
      <w:r w:rsidR="001702CE">
        <w:rPr>
          <w:rStyle w:val="Fotnotereferanse"/>
        </w:rPr>
        <w:footnoteReference w:id="36"/>
      </w:r>
      <w:r w:rsidR="003F0B99">
        <w:t xml:space="preserve"> </w:t>
      </w:r>
      <w:r w:rsidR="007B4916">
        <w:t>For samfunnsvitenskapelige fag og juridiske fag og for naturvitenskapelige/teknologiske fag ser det ut til å være</w:t>
      </w:r>
      <w:r w:rsidR="00DB66FB">
        <w:t xml:space="preserve"> et </w:t>
      </w:r>
      <w:r w:rsidR="003E3662">
        <w:t>visst</w:t>
      </w:r>
      <w:r w:rsidR="00DB66FB">
        <w:t xml:space="preserve"> skille mellom profesjonsutdanninger og disiplinutdanninger</w:t>
      </w:r>
      <w:r w:rsidR="007B4916">
        <w:t>.</w:t>
      </w:r>
      <w:r w:rsidR="00DB66FB">
        <w:t xml:space="preserve"> </w:t>
      </w:r>
      <w:r w:rsidR="007E346F">
        <w:t>Blant dem som ble utdannet med mastergrad i teknologi eller rettsvitenskap våren 2022, var rundt 90 prosent i full stilling i juni 2023. Tilsvarende andeler</w:t>
      </w:r>
      <w:r w:rsidR="00803B7B">
        <w:t xml:space="preserve"> blant dem med disiplinære utdanninger innen naturvitenskap eller </w:t>
      </w:r>
      <w:r w:rsidR="00DE616F">
        <w:t>samfunnsvitenskapelige/juridiske fag</w:t>
      </w:r>
      <w:r w:rsidR="007B0C3B">
        <w:t xml:space="preserve"> var rundt 80 prosent.</w:t>
      </w:r>
      <w:r w:rsidR="0052285E">
        <w:t xml:space="preserve"> </w:t>
      </w:r>
      <w:r w:rsidR="00582977">
        <w:t xml:space="preserve">Innen økonomisk-administrative fag ser vi </w:t>
      </w:r>
      <w:r w:rsidR="000D1429">
        <w:t xml:space="preserve">ikke en tilsvarende forskjell mellom de siviløkonomutdannede og andre med mastergrad i økonomisk-administrative fag. Det er mulig at </w:t>
      </w:r>
      <w:r w:rsidR="003B0711">
        <w:t>et slikt</w:t>
      </w:r>
      <w:r w:rsidR="000D1429">
        <w:t xml:space="preserve"> skille er </w:t>
      </w:r>
      <w:r w:rsidR="00B5797C">
        <w:t xml:space="preserve">mindre relevant </w:t>
      </w:r>
      <w:r w:rsidR="000204CE">
        <w:t xml:space="preserve">på dette fagområdet, siden mange utdanninger </w:t>
      </w:r>
      <w:r w:rsidR="00AF2F89">
        <w:t xml:space="preserve">innen økonomi og administrasjon uansett kan være </w:t>
      </w:r>
      <w:r w:rsidR="00006EE9">
        <w:t>profesjonsrettede.</w:t>
      </w:r>
      <w:r w:rsidR="00391ACA">
        <w:t xml:space="preserve"> </w:t>
      </w:r>
      <w:r w:rsidR="00350332">
        <w:t xml:space="preserve">I den grad vi ser en forskjell, ser den ut til å være at </w:t>
      </w:r>
      <w:r w:rsidR="00293DFC">
        <w:t>en noe lav</w:t>
      </w:r>
      <w:r w:rsidR="004268E8">
        <w:t>ere andel</w:t>
      </w:r>
      <w:r w:rsidR="00324280">
        <w:t xml:space="preserve"> av </w:t>
      </w:r>
      <w:r w:rsidR="005657F6">
        <w:t xml:space="preserve">de siviløkonomutdannede er i et ansettelsesforhold, men </w:t>
      </w:r>
      <w:r w:rsidR="00F87DB0">
        <w:t xml:space="preserve">tallet for akkurat denne utdanningen er noe mer usikkert enn </w:t>
      </w:r>
      <w:r w:rsidR="00BC2621">
        <w:t>øvrige tall</w:t>
      </w:r>
      <w:r w:rsidR="00F87DB0">
        <w:t>.</w:t>
      </w:r>
      <w:r w:rsidR="00BC2621" w:rsidRPr="00BC2621">
        <w:rPr>
          <w:rStyle w:val="Fotnotereferanse"/>
        </w:rPr>
        <w:t xml:space="preserve"> </w:t>
      </w:r>
      <w:r w:rsidR="00DB113A">
        <w:rPr>
          <w:rStyle w:val="Fotnotereferanse"/>
        </w:rPr>
        <w:footnoteReference w:id="37"/>
      </w:r>
      <w:r w:rsidR="002F36F3">
        <w:t xml:space="preserve"> </w:t>
      </w:r>
      <w:r w:rsidR="005374CC">
        <w:t>De</w:t>
      </w:r>
      <w:r w:rsidR="00D534CF">
        <w:t>t er de</w:t>
      </w:r>
      <w:r w:rsidR="005374CC">
        <w:t xml:space="preserve"> uteksaminerte fra humanistiske fag </w:t>
      </w:r>
      <w:r w:rsidR="00D534CF">
        <w:t>som i størst grad ikke er ti</w:t>
      </w:r>
      <w:r w:rsidR="00B719C6">
        <w:t>lknyttet et arbeidsforhold</w:t>
      </w:r>
      <w:r w:rsidR="00D534CF">
        <w:t xml:space="preserve"> (17 prosent)</w:t>
      </w:r>
      <w:r w:rsidR="00B719C6">
        <w:t xml:space="preserve">, </w:t>
      </w:r>
      <w:r w:rsidR="000A32C9">
        <w:t>og når vi ser på andelen som har full stilling</w:t>
      </w:r>
      <w:r w:rsidR="00CF5112">
        <w:t xml:space="preserve"> er </w:t>
      </w:r>
      <w:r w:rsidR="000A32C9">
        <w:t xml:space="preserve">forskjellen fra andre fagområder er særlig stor. </w:t>
      </w:r>
      <w:r w:rsidR="007D1A26">
        <w:t>Blant humanistene som ble uteksaminert med mastergrad våren 2022 er det 50 prosent som er i full jobb i juni 2023.</w:t>
      </w:r>
    </w:p>
    <w:p w14:paraId="2E885FD1" w14:textId="202623C4" w:rsidR="00D922A0" w:rsidRPr="00422245" w:rsidRDefault="00D922A0" w:rsidP="00587C4B">
      <w:r>
        <w:t xml:space="preserve">De masterutdannede </w:t>
      </w:r>
      <w:r w:rsidR="00390FE8">
        <w:t>som omtales her</w:t>
      </w:r>
      <w:r w:rsidR="00D82718">
        <w:t>,</w:t>
      </w:r>
      <w:r>
        <w:t xml:space="preserve"> er ellers mindre konsentrert i enkeltyrker enn </w:t>
      </w:r>
      <w:r w:rsidR="002C4E41">
        <w:t>utdanningene</w:t>
      </w:r>
      <w:r w:rsidR="00956F2E">
        <w:t xml:space="preserve"> i </w:t>
      </w:r>
      <w:r w:rsidR="00956F2E">
        <w:fldChar w:fldCharType="begin"/>
      </w:r>
      <w:r w:rsidR="00956F2E">
        <w:instrText xml:space="preserve"> REF _Ref163200548 \h </w:instrText>
      </w:r>
      <w:r w:rsidR="00956F2E">
        <w:fldChar w:fldCharType="separate"/>
      </w:r>
      <w:r w:rsidR="00956F2E">
        <w:t xml:space="preserve">Figur </w:t>
      </w:r>
      <w:r w:rsidR="00956F2E">
        <w:rPr>
          <w:noProof/>
        </w:rPr>
        <w:t>6</w:t>
      </w:r>
      <w:r w:rsidR="00956F2E">
        <w:noBreakHyphen/>
      </w:r>
      <w:r w:rsidR="00956F2E">
        <w:rPr>
          <w:noProof/>
        </w:rPr>
        <w:t>4</w:t>
      </w:r>
      <w:r w:rsidR="00956F2E">
        <w:fldChar w:fldCharType="end"/>
      </w:r>
      <w:r w:rsidR="002D6BB8">
        <w:t xml:space="preserve">. </w:t>
      </w:r>
      <w:r w:rsidR="00F07A72">
        <w:t xml:space="preserve">Mest samlet er </w:t>
      </w:r>
      <w:r w:rsidR="002B2B93">
        <w:t xml:space="preserve">likevel de </w:t>
      </w:r>
      <w:r w:rsidR="00103FF4">
        <w:t xml:space="preserve">profesjonsutdannede, og særlig </w:t>
      </w:r>
      <w:r w:rsidR="00F07A72">
        <w:t xml:space="preserve">de utdannede i rettsvitenskap, der </w:t>
      </w:r>
      <w:r w:rsidR="009F4BBD">
        <w:t>halvparten jobber i juridiske yrker og en fjerdedel som høyere saksbehandlere.</w:t>
      </w:r>
      <w:r w:rsidR="00147135">
        <w:t xml:space="preserve"> </w:t>
      </w:r>
      <w:r w:rsidR="00A554EB">
        <w:t>Masterutdannede innen humanistiske fag og samfunnsfag/juridiske fag</w:t>
      </w:r>
      <w:r w:rsidR="00CA6DE0">
        <w:t xml:space="preserve"> er på den andre siden s</w:t>
      </w:r>
      <w:r w:rsidR="007520A8">
        <w:t>predt over mange yrker</w:t>
      </w:r>
      <w:r w:rsidR="00A554EB">
        <w:t xml:space="preserve">. </w:t>
      </w:r>
      <w:r w:rsidR="00091E30">
        <w:t>Humanistene</w:t>
      </w:r>
      <w:r w:rsidR="00A554EB">
        <w:t xml:space="preserve"> har</w:t>
      </w:r>
      <w:r w:rsidR="007520A8">
        <w:t xml:space="preserve"> et tyngdepunkt innen </w:t>
      </w:r>
      <w:r w:rsidR="006F3514">
        <w:t>undervisningsyrker</w:t>
      </w:r>
      <w:r w:rsidR="00C16531">
        <w:t>, der litt over en tredjedel</w:t>
      </w:r>
      <w:r w:rsidR="00E07008">
        <w:t xml:space="preserve"> av dem som er i arbeid er sysselsatt</w:t>
      </w:r>
      <w:r w:rsidR="00091E30">
        <w:t xml:space="preserve">, mens </w:t>
      </w:r>
      <w:r w:rsidR="00E27D3F">
        <w:t>om lag en tredjedel av masterkandidatene fra samfunnsfag/juridiske fag er rådgivere</w:t>
      </w:r>
      <w:r w:rsidR="00E07008">
        <w:t>.</w:t>
      </w:r>
      <w:r w:rsidR="00F16918">
        <w:t xml:space="preserve"> </w:t>
      </w:r>
      <w:r w:rsidR="00961809">
        <w:t xml:space="preserve">Kandidater fra naturvitenskapelige fag </w:t>
      </w:r>
      <w:r w:rsidR="002D7A42">
        <w:t>(ikke master i teknologi)</w:t>
      </w:r>
      <w:r w:rsidR="00961809">
        <w:t xml:space="preserve"> er </w:t>
      </w:r>
      <w:r w:rsidR="003B49E2">
        <w:t xml:space="preserve">i enda mindre grad </w:t>
      </w:r>
      <w:r w:rsidR="00161A18">
        <w:lastRenderedPageBreak/>
        <w:t xml:space="preserve">konsentrert i </w:t>
      </w:r>
      <w:r w:rsidR="00A86669">
        <w:t>é</w:t>
      </w:r>
      <w:r w:rsidR="00161A18">
        <w:t>n enkelt yrkeskategori.</w:t>
      </w:r>
      <w:r w:rsidR="00961809">
        <w:t xml:space="preserve"> </w:t>
      </w:r>
      <w:r w:rsidR="002B0535">
        <w:t xml:space="preserve">Litt over 20 prosent jobber som realister og sivilingeniører, mens rundt </w:t>
      </w:r>
      <w:r w:rsidR="000929C1">
        <w:t xml:space="preserve">18 prosent jobber som </w:t>
      </w:r>
      <w:r w:rsidR="007836DB">
        <w:t>IKT-rådgivere</w:t>
      </w:r>
      <w:r w:rsidR="002B0535">
        <w:t>.</w:t>
      </w:r>
      <w:r w:rsidR="00471A77">
        <w:t xml:space="preserve"> </w:t>
      </w:r>
    </w:p>
    <w:p w14:paraId="597346F5" w14:textId="711F2988" w:rsidR="003F0B99" w:rsidRDefault="003F0B99" w:rsidP="003F0B99">
      <w:pPr>
        <w:pStyle w:val="Bildetekst"/>
        <w:keepNext/>
      </w:pPr>
      <w:bookmarkStart w:id="130" w:name="_Ref163385016"/>
      <w:r>
        <w:t xml:space="preserve">Figur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 \* ARABIC \s 1 </w:instrText>
      </w:r>
      <w:r>
        <w:fldChar w:fldCharType="separate"/>
      </w:r>
      <w:r>
        <w:rPr>
          <w:noProof/>
        </w:rPr>
        <w:t>5</w:t>
      </w:r>
      <w:r>
        <w:fldChar w:fldCharType="end"/>
      </w:r>
      <w:bookmarkEnd w:id="130"/>
      <w:r>
        <w:t xml:space="preserve"> </w:t>
      </w:r>
      <w:r w:rsidRPr="003956B1">
        <w:t xml:space="preserve">Arbeidstilknytning for uteksaminerte fra </w:t>
      </w:r>
      <w:r w:rsidR="00956F2E">
        <w:t xml:space="preserve">ulike </w:t>
      </w:r>
      <w:r>
        <w:t>masterutdanninger</w:t>
      </w:r>
      <w:r w:rsidRPr="003956B1">
        <w:t xml:space="preserve"> våren 2022 etter stillingsprosent i juni 2023. Prosentandel.</w:t>
      </w:r>
    </w:p>
    <w:p w14:paraId="6C0B7C0C" w14:textId="14969A38" w:rsidR="00013330" w:rsidRPr="00422245" w:rsidRDefault="00AB428D" w:rsidP="00587C4B">
      <w:r>
        <w:rPr>
          <w:noProof/>
        </w:rPr>
        <w:drawing>
          <wp:inline distT="0" distB="0" distL="0" distR="0" wp14:anchorId="59F4094E" wp14:editId="76F1B1E4">
            <wp:extent cx="5725236" cy="3476625"/>
            <wp:effectExtent l="0" t="0" r="8890" b="9525"/>
            <wp:docPr id="211677808" name="Diagram 1">
              <a:extLst xmlns:a="http://schemas.openxmlformats.org/drawingml/2006/main">
                <a:ext uri="{FF2B5EF4-FFF2-40B4-BE49-F238E27FC236}">
                  <a16:creationId xmlns:a16="http://schemas.microsoft.com/office/drawing/2014/main" id="{67B1D0D6-422A-59ED-8E11-68042B618F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C4647E" w14:textId="4AB8B149" w:rsidR="008F2756" w:rsidRDefault="008F2756" w:rsidP="00F67B9E">
      <w:pPr>
        <w:pStyle w:val="Merknad"/>
      </w:pPr>
      <w:r>
        <w:t>Merknad: Når summen avviker noe fra 100 prosent, skyldes dette anonymiseringsmekanismer i microdata.</w:t>
      </w:r>
    </w:p>
    <w:p w14:paraId="428BACA2" w14:textId="77777777" w:rsidR="00CA3140" w:rsidRPr="00422245" w:rsidRDefault="00CA3140" w:rsidP="00CA3140">
      <w:pPr>
        <w:pStyle w:val="Kilde"/>
      </w:pPr>
      <w:r w:rsidRPr="004E373E">
        <w:rPr>
          <w:b/>
        </w:rPr>
        <w:t>Kilde</w:t>
      </w:r>
      <w:r w:rsidRPr="00F67B9E">
        <w:rPr>
          <w:b/>
          <w:bCs/>
        </w:rPr>
        <w:t>:</w:t>
      </w:r>
      <w:r>
        <w:t xml:space="preserve"> Microdata</w:t>
      </w:r>
    </w:p>
    <w:p w14:paraId="255B81B4" w14:textId="77777777" w:rsidR="00CA3140" w:rsidRPr="00422245" w:rsidRDefault="00CA3140" w:rsidP="00F67B9E">
      <w:pPr>
        <w:pStyle w:val="Merknad"/>
      </w:pPr>
    </w:p>
    <w:p w14:paraId="08748816" w14:textId="77777777" w:rsidR="00AB7D6C" w:rsidRDefault="00AB7D6C">
      <w:pPr>
        <w:rPr>
          <w:rFonts w:asciiTheme="majorHAnsi" w:eastAsiaTheme="majorEastAsia" w:hAnsiTheme="majorHAnsi" w:cstheme="majorBidi"/>
          <w:b/>
          <w:bCs/>
          <w:sz w:val="32"/>
          <w:szCs w:val="32"/>
        </w:rPr>
      </w:pPr>
      <w:bookmarkStart w:id="131" w:name="_Toc158968339"/>
      <w:r>
        <w:br w:type="page"/>
      </w:r>
    </w:p>
    <w:p w14:paraId="42FF6552" w14:textId="32BC9A34" w:rsidR="00F745DC" w:rsidRPr="00422245" w:rsidRDefault="004314F3" w:rsidP="008F4E20">
      <w:pPr>
        <w:pStyle w:val="Overskrift1"/>
        <w:spacing w:after="168"/>
      </w:pPr>
      <w:bookmarkStart w:id="132" w:name="_Toc163488437"/>
      <w:r w:rsidRPr="00422245">
        <w:lastRenderedPageBreak/>
        <w:t>Forskerutdanning</w:t>
      </w:r>
      <w:bookmarkEnd w:id="131"/>
      <w:bookmarkEnd w:id="132"/>
    </w:p>
    <w:p w14:paraId="1B3566CB" w14:textId="50B8AE0F" w:rsidR="00143042" w:rsidRPr="00422245" w:rsidRDefault="001B74F9" w:rsidP="00143042">
      <w:r w:rsidRPr="00422245">
        <w:t>Dette kapittelet tar for seg</w:t>
      </w:r>
      <w:r w:rsidR="0064752E" w:rsidRPr="00422245">
        <w:t xml:space="preserve"> statistikk om</w:t>
      </w:r>
      <w:r w:rsidRPr="00422245">
        <w:t xml:space="preserve"> </w:t>
      </w:r>
      <w:r w:rsidR="009E2B57" w:rsidRPr="00422245">
        <w:t xml:space="preserve">forskerutdanningen ved norske universiteter og høyskoler, mens </w:t>
      </w:r>
      <w:r w:rsidR="00DD3208" w:rsidRPr="00422245">
        <w:t xml:space="preserve">andre aspekter </w:t>
      </w:r>
      <w:r w:rsidR="002A5137" w:rsidRPr="00422245">
        <w:t xml:space="preserve">ved forskningsvirksomheten, som publisering, ekstern finansiering mm., </w:t>
      </w:r>
      <w:r w:rsidR="00E6213E" w:rsidRPr="00422245">
        <w:t xml:space="preserve">er tema i neste kapittel. </w:t>
      </w:r>
      <w:r w:rsidR="003F6392" w:rsidRPr="00422245">
        <w:t>Når vi</w:t>
      </w:r>
      <w:r w:rsidR="006F6704" w:rsidRPr="00422245">
        <w:t xml:space="preserve"> </w:t>
      </w:r>
      <w:r w:rsidR="00CC1B39" w:rsidRPr="00422245">
        <w:t>i kapittel 7</w:t>
      </w:r>
      <w:r w:rsidR="006F6704" w:rsidRPr="00422245">
        <w:t xml:space="preserve"> presenterer </w:t>
      </w:r>
      <w:r w:rsidR="00DA3FD6" w:rsidRPr="00422245">
        <w:t>institusjonsprofiler for forsk</w:t>
      </w:r>
      <w:r w:rsidR="0046790B" w:rsidRPr="00422245">
        <w:t>ning</w:t>
      </w:r>
      <w:r w:rsidR="00F32F4E" w:rsidRPr="00422245">
        <w:t xml:space="preserve">, </w:t>
      </w:r>
      <w:r w:rsidR="00765B19" w:rsidRPr="00422245">
        <w:t>er både forskerutdanning og annen statistikk om forskning en del av grunnlaget.</w:t>
      </w:r>
    </w:p>
    <w:p w14:paraId="6D6B9B50" w14:textId="6C2DB0B2" w:rsidR="00143042" w:rsidRPr="00422245" w:rsidRDefault="00973272" w:rsidP="005B7973">
      <w:pPr>
        <w:pStyle w:val="Overskrift2"/>
      </w:pPr>
      <w:bookmarkStart w:id="133" w:name="_Toc163488438"/>
      <w:bookmarkStart w:id="134" w:name="_Toc158968341"/>
      <w:bookmarkStart w:id="135" w:name="_Ref160956091"/>
      <w:r w:rsidRPr="00422245">
        <w:t>Stipendiater</w:t>
      </w:r>
      <w:bookmarkEnd w:id="133"/>
      <w:r w:rsidRPr="00422245">
        <w:t xml:space="preserve"> </w:t>
      </w:r>
      <w:bookmarkEnd w:id="134"/>
      <w:bookmarkEnd w:id="135"/>
    </w:p>
    <w:p w14:paraId="39620C7C" w14:textId="4A9F826F" w:rsidR="00364237" w:rsidRPr="00422245" w:rsidRDefault="00E540BD" w:rsidP="00143042">
      <w:r w:rsidRPr="00422245">
        <w:t xml:space="preserve">Stipendiater </w:t>
      </w:r>
      <w:r w:rsidR="00994F0B" w:rsidRPr="00422245">
        <w:t xml:space="preserve">under forskerutdanning utgjør en viktig del av fagmiljøet ved universiteter og høyskoler. </w:t>
      </w:r>
      <w:r w:rsidR="00EF3798" w:rsidRPr="00422245">
        <w:t xml:space="preserve">I 2023 ble det </w:t>
      </w:r>
      <w:r w:rsidR="009C7E42" w:rsidRPr="00422245">
        <w:t xml:space="preserve">i alt </w:t>
      </w:r>
      <w:r w:rsidR="00EF3798" w:rsidRPr="00422245">
        <w:t>utført 6356 årsverk i stipendiatstillinger</w:t>
      </w:r>
      <w:r w:rsidR="009C7E42" w:rsidRPr="00422245">
        <w:t xml:space="preserve">. Det </w:t>
      </w:r>
      <w:r w:rsidR="00914481" w:rsidRPr="00422245">
        <w:t>innebærer en vekst på 44 prosent fra ti år tidligere</w:t>
      </w:r>
      <w:r w:rsidR="00384AEE" w:rsidRPr="00422245">
        <w:t xml:space="preserve">. </w:t>
      </w:r>
      <w:r w:rsidR="009B1839" w:rsidRPr="00422245">
        <w:t>Veksten i antall stipendiater har derfor vært langt sterkere i tiårsperioden enn økningen i antall studenter</w:t>
      </w:r>
      <w:r w:rsidR="00C45307" w:rsidRPr="00422245">
        <w:t>, som var 17 prosent.</w:t>
      </w:r>
      <w:r w:rsidR="00D155BD" w:rsidRPr="00422245">
        <w:t xml:space="preserve"> Tallene for 2023 representerte imidlertid et brudd med denne langtidstrenden, for første gang siden 2014 gikk antall utførte årsverk i stipendiatstillinger ned.</w:t>
      </w:r>
    </w:p>
    <w:p w14:paraId="43317D25" w14:textId="0185BE87" w:rsidR="00973272" w:rsidRPr="00422245" w:rsidRDefault="00AB76E2" w:rsidP="00143042">
      <w:r w:rsidRPr="00422245">
        <w:t xml:space="preserve">Historisk har </w:t>
      </w:r>
      <w:r w:rsidR="005772AF" w:rsidRPr="00422245">
        <w:t xml:space="preserve">stipendiatene i stor grad vært konsentrert ved noen få institusjoner. </w:t>
      </w:r>
      <w:r w:rsidR="00D16BD3" w:rsidRPr="00422245">
        <w:t>I 20</w:t>
      </w:r>
      <w:r w:rsidR="001D1943" w:rsidRPr="00422245">
        <w:t>1</w:t>
      </w:r>
      <w:r w:rsidR="00D16BD3" w:rsidRPr="00422245">
        <w:t xml:space="preserve">4 stod </w:t>
      </w:r>
      <w:r w:rsidR="00B20AC3" w:rsidRPr="00422245">
        <w:t xml:space="preserve">fire institusjoner, NTNU, UiB, UiO og UiT for 73 prosent av alle </w:t>
      </w:r>
      <w:r w:rsidR="00F401CD" w:rsidRPr="00422245">
        <w:t>stipendiatårsverkene.</w:t>
      </w:r>
      <w:r w:rsidR="001D1943" w:rsidRPr="00422245">
        <w:t xml:space="preserve"> </w:t>
      </w:r>
      <w:r w:rsidR="00A413D0" w:rsidRPr="00422245">
        <w:t>I 2023 var andelen redusert til 66 prosent.</w:t>
      </w:r>
      <w:r w:rsidR="001C3EBB" w:rsidRPr="00422245">
        <w:t xml:space="preserve"> </w:t>
      </w:r>
      <w:r w:rsidR="00556A04" w:rsidRPr="00422245">
        <w:t xml:space="preserve">Av de nesten 2000 stipendiatårsverkene som var kommet til mellom 2024 og 2023, </w:t>
      </w:r>
      <w:r w:rsidR="00897CD6" w:rsidRPr="00422245">
        <w:t xml:space="preserve">var </w:t>
      </w:r>
      <w:r w:rsidR="00D14189" w:rsidRPr="00422245">
        <w:t xml:space="preserve">49 prosent </w:t>
      </w:r>
      <w:r w:rsidR="00897CD6" w:rsidRPr="00422245">
        <w:t xml:space="preserve">lokalisert til disse fire institusjonene. </w:t>
      </w:r>
      <w:r w:rsidR="001C3EBB" w:rsidRPr="00422245">
        <w:t xml:space="preserve">Mens NTNU og UiT i 2023 hadde omtrent like stor andel av stipendiatene </w:t>
      </w:r>
      <w:r w:rsidR="00482360" w:rsidRPr="00422245">
        <w:t xml:space="preserve">i sektoren </w:t>
      </w:r>
      <w:r w:rsidR="001C3EBB" w:rsidRPr="00422245">
        <w:t xml:space="preserve">som de hadde i 2014, </w:t>
      </w:r>
      <w:r w:rsidR="00153939" w:rsidRPr="00422245">
        <w:t>var andelen for UiOs</w:t>
      </w:r>
      <w:r w:rsidR="00F54A3F" w:rsidRPr="00422245">
        <w:t xml:space="preserve"> vedkommende redusert fra 24 til 20 prosent og for UiBs del fra 14 til 11 prosent.</w:t>
      </w:r>
      <w:r w:rsidR="00365D78" w:rsidRPr="00422245">
        <w:t xml:space="preserve"> </w:t>
      </w:r>
    </w:p>
    <w:p w14:paraId="23824BD4" w14:textId="42119EA6" w:rsidR="00BA08EC" w:rsidRPr="00422245" w:rsidRDefault="00BA08EC" w:rsidP="00143042">
      <w:pPr>
        <w:rPr>
          <w:b/>
          <w:bCs/>
        </w:rPr>
      </w:pPr>
      <w:r w:rsidRPr="00422245">
        <w:rPr>
          <w:b/>
          <w:bCs/>
        </w:rPr>
        <w:t>Sterk vekst – fra lavt utgangspunkt</w:t>
      </w:r>
    </w:p>
    <w:p w14:paraId="0565E050" w14:textId="027DD88B" w:rsidR="00F54A3F" w:rsidRDefault="004B2BD8" w:rsidP="00143042">
      <w:r w:rsidRPr="00422245">
        <w:t xml:space="preserve">Mye </w:t>
      </w:r>
      <w:r w:rsidR="002051FC" w:rsidRPr="00422245">
        <w:t xml:space="preserve">av veksten i tiårsperioden </w:t>
      </w:r>
      <w:r w:rsidR="00BD4CD1" w:rsidRPr="00422245">
        <w:t>er knyttet til styrking av forskningsvirksomheten ved institusjoner og fagmilj</w:t>
      </w:r>
      <w:r w:rsidR="00085D94" w:rsidRPr="00422245">
        <w:t xml:space="preserve">ø som historisk har hatt lite forskning. </w:t>
      </w:r>
      <w:r w:rsidR="00365D78" w:rsidRPr="00422245">
        <w:fldChar w:fldCharType="begin"/>
      </w:r>
      <w:r w:rsidR="00365D78" w:rsidRPr="00422245">
        <w:instrText xml:space="preserve"> REF _Ref161593786 \h </w:instrText>
      </w:r>
      <w:r w:rsidR="00365D78" w:rsidRPr="00422245">
        <w:fldChar w:fldCharType="separate"/>
      </w:r>
      <w:r w:rsidR="00365D78" w:rsidRPr="00422245">
        <w:t xml:space="preserve">Figur </w:t>
      </w:r>
      <w:r w:rsidR="00AF1DDA">
        <w:rPr>
          <w:noProof/>
        </w:rPr>
        <w:t>7</w:t>
      </w:r>
      <w:r w:rsidR="005B096E">
        <w:noBreakHyphen/>
      </w:r>
      <w:r w:rsidR="005B096E">
        <w:rPr>
          <w:noProof/>
        </w:rPr>
        <w:t>1</w:t>
      </w:r>
      <w:r w:rsidR="00365D78" w:rsidRPr="00422245">
        <w:fldChar w:fldCharType="end"/>
      </w:r>
      <w:r w:rsidR="00365D78" w:rsidRPr="00422245">
        <w:t xml:space="preserve"> viser </w:t>
      </w:r>
      <w:r w:rsidR="00ED1042" w:rsidRPr="00422245">
        <w:t xml:space="preserve">at den relative veksten siden 2014 har vært særlig sterk ved institusjoner som </w:t>
      </w:r>
      <w:r w:rsidR="006265A9" w:rsidRPr="00422245">
        <w:t xml:space="preserve">UiA, UiS, </w:t>
      </w:r>
      <w:r w:rsidR="000B7A27" w:rsidRPr="00422245">
        <w:t xml:space="preserve">OsloMet og HVL, men også at utgangspunktet her var lavt. </w:t>
      </w:r>
      <w:r w:rsidR="00CA2396" w:rsidRPr="00422245">
        <w:t xml:space="preserve">Selv om mønsteret i </w:t>
      </w:r>
      <w:r w:rsidR="00794EE6" w:rsidRPr="00422245">
        <w:t>fordel</w:t>
      </w:r>
      <w:r w:rsidR="0007073F" w:rsidRPr="00422245">
        <w:t xml:space="preserve">ingen av </w:t>
      </w:r>
      <w:r w:rsidR="00CA2396" w:rsidRPr="00422245">
        <w:t>stipendiatstillinger i stor grad er det samme som tidligere, er forskjellen mellom de «største av de minste» og «de minste av de største» mindre enn hva de</w:t>
      </w:r>
      <w:r w:rsidR="00794EE6" w:rsidRPr="00422245">
        <w:t>n</w:t>
      </w:r>
      <w:r w:rsidR="00CA2396" w:rsidRPr="00422245">
        <w:t xml:space="preserve"> var for ti år siden.</w:t>
      </w:r>
    </w:p>
    <w:p w14:paraId="00747CC6" w14:textId="6E38E558" w:rsidR="00984EF1" w:rsidRPr="00422245" w:rsidRDefault="00984EF1" w:rsidP="00143042">
      <w:r w:rsidRPr="00984EF1">
        <w:t>https://vedlegg.hkdir.no/MichaelRev/2024/figur/V7.1</w:t>
      </w:r>
    </w:p>
    <w:p w14:paraId="752B85C7" w14:textId="5B262134" w:rsidR="00365D78" w:rsidRPr="00422245" w:rsidRDefault="00C935A5" w:rsidP="00365D78">
      <w:pPr>
        <w:pStyle w:val="Bildetekst"/>
        <w:keepNext/>
      </w:pPr>
      <w:bookmarkStart w:id="136" w:name="_Ref161593786"/>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w:t>
      </w:r>
      <w:r w:rsidR="006E1D94">
        <w:fldChar w:fldCharType="end"/>
      </w:r>
      <w:bookmarkEnd w:id="136"/>
      <w:r w:rsidR="00365D78" w:rsidRPr="00422245">
        <w:t xml:space="preserve"> Årsverk i stipendiatstilling per institusjon, utvalgte år. Institusjoner med flere enn 50 årsverk 2023.</w:t>
      </w:r>
    </w:p>
    <w:p w14:paraId="37E8C8D9" w14:textId="2D97049C" w:rsidR="00973272" w:rsidRDefault="003E5973" w:rsidP="00143042">
      <w:r w:rsidRPr="00422245">
        <w:rPr>
          <w:noProof/>
        </w:rPr>
        <w:drawing>
          <wp:inline distT="0" distB="0" distL="0" distR="0" wp14:anchorId="28FF5F40" wp14:editId="17DF9239">
            <wp:extent cx="5731510" cy="3346450"/>
            <wp:effectExtent l="0" t="0" r="2540" b="6350"/>
            <wp:docPr id="1460855967" name="Diagram 1">
              <a:extLst xmlns:a="http://schemas.openxmlformats.org/drawingml/2006/main">
                <a:ext uri="{FF2B5EF4-FFF2-40B4-BE49-F238E27FC236}">
                  <a16:creationId xmlns:a16="http://schemas.microsoft.com/office/drawing/2014/main" id="{0AA7C491-BE98-2FD6-E94E-D5F07C947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C8110C3" w14:textId="09B66C61" w:rsidR="00CA3140" w:rsidRPr="00422245" w:rsidRDefault="00CA3140" w:rsidP="0038507C">
      <w:pPr>
        <w:pStyle w:val="Kilde"/>
      </w:pPr>
      <w:r w:rsidRPr="004E373E">
        <w:rPr>
          <w:b/>
        </w:rPr>
        <w:t>Kilde</w:t>
      </w:r>
      <w:r>
        <w:t>: DBH</w:t>
      </w:r>
    </w:p>
    <w:p w14:paraId="1A01D094" w14:textId="27EB25DD" w:rsidR="00FD565D" w:rsidRPr="00422245" w:rsidRDefault="003C717E" w:rsidP="00143042">
      <w:r w:rsidRPr="00422245">
        <w:t>Ved å se antall stipendiater i sammenheng</w:t>
      </w:r>
      <w:r w:rsidR="00A86BE3" w:rsidRPr="00422245">
        <w:t xml:space="preserve"> med antall studenter ved institusjonen</w:t>
      </w:r>
      <w:r w:rsidR="00ED1DA3" w:rsidRPr="00422245">
        <w:t>e</w:t>
      </w:r>
      <w:r w:rsidR="00584924" w:rsidRPr="00422245">
        <w:t>, får vi et bilde av</w:t>
      </w:r>
      <w:r w:rsidR="00537384" w:rsidRPr="00422245">
        <w:t xml:space="preserve"> det relative omfanget av stipendiatpopulasjonen </w:t>
      </w:r>
      <w:r w:rsidR="00B95835" w:rsidRPr="00422245">
        <w:t>ved institusjonene.</w:t>
      </w:r>
      <w:r w:rsidR="001679E8" w:rsidRPr="00422245">
        <w:t xml:space="preserve"> </w:t>
      </w:r>
      <w:r w:rsidR="00CE09CB" w:rsidRPr="00422245">
        <w:fldChar w:fldCharType="begin"/>
      </w:r>
      <w:r w:rsidR="00CE09CB" w:rsidRPr="00422245">
        <w:instrText xml:space="preserve"> REF _Ref161597268 \h </w:instrText>
      </w:r>
      <w:r w:rsidR="00CE09CB" w:rsidRPr="00422245">
        <w:fldChar w:fldCharType="separate"/>
      </w:r>
      <w:r w:rsidR="00CE09CB" w:rsidRPr="00422245">
        <w:t xml:space="preserve">Figur </w:t>
      </w:r>
      <w:r w:rsidR="001B13D0">
        <w:rPr>
          <w:noProof/>
        </w:rPr>
        <w:t>7</w:t>
      </w:r>
      <w:r w:rsidR="005B096E">
        <w:noBreakHyphen/>
      </w:r>
      <w:r w:rsidR="00CE09CB" w:rsidRPr="00422245">
        <w:t>2</w:t>
      </w:r>
      <w:r w:rsidR="00CE09CB" w:rsidRPr="00422245">
        <w:fldChar w:fldCharType="end"/>
      </w:r>
      <w:r w:rsidR="00CE09CB" w:rsidRPr="00422245">
        <w:t xml:space="preserve"> viser store forskjelle</w:t>
      </w:r>
      <w:r w:rsidR="00F560F9" w:rsidRPr="00422245">
        <w:t>r</w:t>
      </w:r>
      <w:r w:rsidR="00CE09CB" w:rsidRPr="00422245">
        <w:t xml:space="preserve"> mellom institusjonene</w:t>
      </w:r>
      <w:r w:rsidR="00BB4091" w:rsidRPr="00422245">
        <w:t xml:space="preserve">. Ved UiO og UiT </w:t>
      </w:r>
      <w:r w:rsidR="000B48DF" w:rsidRPr="00422245">
        <w:t>er forholdstallet mellom stipendiatårsverk og studen</w:t>
      </w:r>
      <w:r w:rsidR="00637C43" w:rsidRPr="00422245">
        <w:t>t</w:t>
      </w:r>
      <w:r w:rsidR="000B48DF" w:rsidRPr="00422245">
        <w:t xml:space="preserve">er </w:t>
      </w:r>
      <w:r w:rsidR="00637C43" w:rsidRPr="00422245">
        <w:t>om lag</w:t>
      </w:r>
      <w:r w:rsidR="000B48DF" w:rsidRPr="00422245">
        <w:t xml:space="preserve"> fem ganger så høyt som ved HINN</w:t>
      </w:r>
      <w:r w:rsidR="00637C43" w:rsidRPr="00422245">
        <w:t xml:space="preserve">, HVL og </w:t>
      </w:r>
      <w:r w:rsidR="00926FCB" w:rsidRPr="00422245">
        <w:t>OsloMet</w:t>
      </w:r>
      <w:r w:rsidR="005E2316" w:rsidRPr="00422245">
        <w:t>.</w:t>
      </w:r>
    </w:p>
    <w:p w14:paraId="7D696DC9" w14:textId="73BF6DB9" w:rsidR="00ED0CF7" w:rsidRPr="00422245" w:rsidRDefault="00ED0CF7" w:rsidP="00ED0CF7">
      <w:pPr>
        <w:pStyle w:val="Bildetekst"/>
        <w:keepNext/>
      </w:pPr>
      <w:bookmarkStart w:id="137" w:name="_Ref161597268"/>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137"/>
      <w:r w:rsidRPr="00422245">
        <w:t xml:space="preserve"> Antall stipendiatårsverk per 100 studenter, 2023.</w:t>
      </w:r>
    </w:p>
    <w:p w14:paraId="6442EC1B" w14:textId="798917FF" w:rsidR="00ED1DA3" w:rsidRDefault="009E6E39" w:rsidP="00143042">
      <w:r w:rsidRPr="00422245">
        <w:rPr>
          <w:noProof/>
        </w:rPr>
        <w:drawing>
          <wp:inline distT="0" distB="0" distL="0" distR="0" wp14:anchorId="1B6A893A" wp14:editId="55AF2BF8">
            <wp:extent cx="5704764" cy="3209925"/>
            <wp:effectExtent l="0" t="0" r="10795" b="9525"/>
            <wp:docPr id="1039963271" name="Diagram 1">
              <a:extLst xmlns:a="http://schemas.openxmlformats.org/drawingml/2006/main">
                <a:ext uri="{FF2B5EF4-FFF2-40B4-BE49-F238E27FC236}">
                  <a16:creationId xmlns:a16="http://schemas.microsoft.com/office/drawing/2014/main" id="{56E98A33-D508-01EC-70F8-A1F44CAECD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0E5DD6" w14:textId="4FC18196" w:rsidR="0038507C" w:rsidRPr="00422245" w:rsidRDefault="0038507C" w:rsidP="0038507C">
      <w:pPr>
        <w:pStyle w:val="Kilde"/>
      </w:pPr>
      <w:r w:rsidRPr="004E373E">
        <w:rPr>
          <w:b/>
        </w:rPr>
        <w:t>Kilde</w:t>
      </w:r>
      <w:r>
        <w:t>: DBH</w:t>
      </w:r>
    </w:p>
    <w:p w14:paraId="3C5CFFE8" w14:textId="66A00E22" w:rsidR="00E33884" w:rsidRPr="00422245" w:rsidRDefault="00F560F9" w:rsidP="00F560F9">
      <w:r w:rsidRPr="00422245">
        <w:t>Mens kjønnsbalansen, eller -ubalansen</w:t>
      </w:r>
      <w:r w:rsidR="00CA40BE" w:rsidRPr="00422245">
        <w:t xml:space="preserve"> blant studenter</w:t>
      </w:r>
      <w:r w:rsidRPr="00422245">
        <w:t xml:space="preserve"> har vært temmelig stabil i 20 år, har kvinner være mindre overrepresentert blant stipendiatene. Dette endrer seg imidlertid sakte, men sikkert, og kvinneandelen øker år for år. I 2023 ble 56 prosent av stipendiatårsverkene utført av kvinner, og kjønnsbalansen blant stipendiatene nærmer seg dermed den som lenge har kjennetegnet studentpopulasjonen.</w:t>
      </w:r>
      <w:r w:rsidR="00D53B2E" w:rsidRPr="00422245">
        <w:t xml:space="preserve"> </w:t>
      </w:r>
    </w:p>
    <w:p w14:paraId="20032D2D" w14:textId="3832DC58" w:rsidR="006A56B8" w:rsidRPr="00422245" w:rsidRDefault="006A56B8" w:rsidP="006A56B8">
      <w:pPr>
        <w:pStyle w:val="Overskrift2"/>
      </w:pPr>
      <w:bookmarkStart w:id="138" w:name="_Toc158968340"/>
      <w:bookmarkStart w:id="139" w:name="_Ref162098906"/>
      <w:bookmarkStart w:id="140" w:name="_Toc163488439"/>
      <w:r w:rsidRPr="00422245">
        <w:t>Avlagte doktorgrader</w:t>
      </w:r>
      <w:bookmarkEnd w:id="138"/>
      <w:r w:rsidR="009E78D6" w:rsidRPr="00422245">
        <w:t xml:space="preserve"> (Flere avla doktorgrad i 2023)</w:t>
      </w:r>
      <w:bookmarkEnd w:id="139"/>
      <w:bookmarkEnd w:id="140"/>
    </w:p>
    <w:p w14:paraId="5C6AAAC8" w14:textId="48533E41" w:rsidR="00FE5D64" w:rsidRPr="00422245" w:rsidRDefault="0013771C" w:rsidP="006A56B8">
      <w:r w:rsidRPr="00422245">
        <w:t xml:space="preserve">I både 2021 og 2022 </w:t>
      </w:r>
      <w:r w:rsidR="00B218E0" w:rsidRPr="00422245">
        <w:t>sank tallet på avlagte doktorgrader fra det foreløpige toppåret 2020.</w:t>
      </w:r>
      <w:r w:rsidR="00FE5D64" w:rsidRPr="00422245">
        <w:t xml:space="preserve"> </w:t>
      </w:r>
      <w:r w:rsidR="0051110C" w:rsidRPr="00422245">
        <w:t xml:space="preserve">Nedgangen </w:t>
      </w:r>
      <w:r w:rsidR="00497EDC" w:rsidRPr="00422245">
        <w:t>m</w:t>
      </w:r>
      <w:r w:rsidR="0051110C" w:rsidRPr="00422245">
        <w:t xml:space="preserve">å ses i sammenheng med de vanskelighetene pandemien medførte for </w:t>
      </w:r>
      <w:r w:rsidR="00B86E4A" w:rsidRPr="00422245">
        <w:t>doktorgradsstudentene</w:t>
      </w:r>
      <w:r w:rsidR="00943B20">
        <w:t xml:space="preserve"> </w:t>
      </w:r>
      <w:r w:rsidR="005F1F68">
        <w:fldChar w:fldCharType="begin"/>
      </w:r>
      <w:r w:rsidR="0026259D">
        <w:instrText xml:space="preserve"> ADDIN EN.CITE &lt;EndNote&gt;&lt;Cite&gt;&lt;Author&gt;Ramberg&lt;/Author&gt;&lt;Year&gt;2023&lt;/Year&gt;&lt;RecNum&gt;2279&lt;/RecNum&gt;&lt;DisplayText&gt;(Ramberg &amp;amp; Wendt, 2023)&lt;/DisplayText&gt;&lt;record&gt;&lt;rec-number&gt;2279&lt;/rec-number&gt;&lt;foreign-keys&gt;&lt;key app="EN" db-id="p2et5feaxrpe5zew2eavt29z05fv09aa5s0w" timestamp="1712319276" guid="67e2cec0-813f-480f-a257-c3093f0c5aad"&gt;2279&lt;/key&gt;&lt;/foreign-keys&gt;&lt;ref-type name="Report"&gt;27&lt;/ref-type&gt;&lt;contributors&gt;&lt;authors&gt;&lt;author&gt;Inge Ramberg&lt;/author&gt;&lt;author&gt;Kaja Kathrine Wendt&lt;/author&gt;&lt;/authors&gt;&lt;/contributors&gt;&lt;titles&gt;&lt;title&gt;Forskerhverdag under koronapandemien: Resultater fra en panelundersøkelse av norske forskere 2022&lt;/title&gt;&lt;secondary-title&gt;Arbeidsnotat&lt;/secondary-title&gt;&lt;/titles&gt;&lt;dates&gt;&lt;year&gt;2023&lt;/year&gt;&lt;/dates&gt;&lt;publisher&gt;NIFU&lt;/publisher&gt;&lt;isbn&gt;2023:9&lt;/isbn&gt;&lt;urls&gt;&lt;related-urls&gt;&lt;url&gt;https://www.nifu.no/publikasjoner/forskerhverdag-under-koronapandemien-resultater-fra-en-panelundersokelse-av-norske-forskere-2022/&lt;/url&gt;&lt;/related-urls&gt;&lt;/urls&gt;&lt;/record&gt;&lt;/Cite&gt;&lt;/EndNote&gt;</w:instrText>
      </w:r>
      <w:r w:rsidR="005F1F68">
        <w:fldChar w:fldCharType="separate"/>
      </w:r>
      <w:r w:rsidR="005F1F68">
        <w:rPr>
          <w:noProof/>
        </w:rPr>
        <w:t>(Ramberg &amp; Wendt, 2023)</w:t>
      </w:r>
      <w:r w:rsidR="005F1F68">
        <w:fldChar w:fldCharType="end"/>
      </w:r>
      <w:r w:rsidR="00B86E4A" w:rsidRPr="00422245">
        <w:t>. I 2023 steg tallet igjen</w:t>
      </w:r>
      <w:r w:rsidR="00726A75" w:rsidRPr="00422245">
        <w:t xml:space="preserve">. </w:t>
      </w:r>
      <w:r w:rsidR="0071151D" w:rsidRPr="00422245">
        <w:t xml:space="preserve">1612 avlagte doktorgrader i 2023 er det nest høyeste tallet historisk sett, bare </w:t>
      </w:r>
      <w:r w:rsidR="009C7E84" w:rsidRPr="00422245">
        <w:t xml:space="preserve">overgått av 2020, da 1634 personer </w:t>
      </w:r>
      <w:r w:rsidR="003A121C">
        <w:t>avla doktorg</w:t>
      </w:r>
      <w:r w:rsidR="002D6836">
        <w:t>rad</w:t>
      </w:r>
      <w:r w:rsidR="009C7E84" w:rsidRPr="00422245">
        <w:t>.</w:t>
      </w:r>
    </w:p>
    <w:p w14:paraId="0537ACBB" w14:textId="7811C8E2" w:rsidR="0057575F" w:rsidRPr="00422245" w:rsidRDefault="0057575F" w:rsidP="0057575F">
      <w:pPr>
        <w:pStyle w:val="Bildetekst"/>
        <w:keepNext/>
      </w:pPr>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r w:rsidRPr="00422245">
        <w:t xml:space="preserve"> Avlagte doktorgrader 2014–2023</w:t>
      </w:r>
    </w:p>
    <w:p w14:paraId="53A399B5" w14:textId="4056FFD5" w:rsidR="007A63EF" w:rsidRDefault="007A63EF" w:rsidP="006A56B8">
      <w:r w:rsidRPr="00422245">
        <w:rPr>
          <w:noProof/>
        </w:rPr>
        <w:drawing>
          <wp:inline distT="0" distB="0" distL="0" distR="0" wp14:anchorId="64A15256" wp14:editId="2F5DD0A0">
            <wp:extent cx="5640615" cy="3774249"/>
            <wp:effectExtent l="0" t="0" r="17780" b="17145"/>
            <wp:docPr id="1004540146" name="Diagram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6BC71B3" w14:textId="293C62C6" w:rsidR="00AF0597" w:rsidRPr="00422245" w:rsidRDefault="00AF0597" w:rsidP="00AF0597">
      <w:pPr>
        <w:pStyle w:val="Kilde"/>
      </w:pPr>
      <w:r w:rsidRPr="004E373E">
        <w:rPr>
          <w:b/>
        </w:rPr>
        <w:t>Kilde</w:t>
      </w:r>
      <w:r>
        <w:t>: DBH</w:t>
      </w:r>
    </w:p>
    <w:p w14:paraId="3DA7AE68" w14:textId="26B519C1" w:rsidR="00756ADD" w:rsidRPr="00422245" w:rsidRDefault="00756ADD" w:rsidP="00756ADD">
      <w:r w:rsidRPr="00422245">
        <w:t>Over tiårsperioden har antallet avlagte doktorgrader økt med 11 prosent.</w:t>
      </w:r>
      <w:r w:rsidR="00042202" w:rsidRPr="00422245">
        <w:t xml:space="preserve"> </w:t>
      </w:r>
      <w:r w:rsidR="00B157FB" w:rsidRPr="00422245">
        <w:t>NTNU og UiO stod i 2023 for 53 prosent av alle avlagte doktorgrader.</w:t>
      </w:r>
      <w:r w:rsidR="00A513E4" w:rsidRPr="00422245">
        <w:t xml:space="preserve"> Legger vi til UiB, </w:t>
      </w:r>
      <w:r w:rsidR="00F758A8" w:rsidRPr="00422245">
        <w:t>står de tre største for to av tre doktorgrader i 2023.</w:t>
      </w:r>
      <w:r w:rsidR="003A2723" w:rsidRPr="00422245">
        <w:t xml:space="preserve"> Langtidsbildet er like</w:t>
      </w:r>
      <w:r w:rsidR="00F149C1" w:rsidRPr="00422245">
        <w:t>vel at</w:t>
      </w:r>
      <w:r w:rsidR="00D83309" w:rsidRPr="00422245">
        <w:t xml:space="preserve"> en gradvis stigende andel av doktorgradskandidatene kommer fra nyere universiteter og høyskoler. </w:t>
      </w:r>
      <w:r w:rsidR="00C973B9" w:rsidRPr="00422245">
        <w:t xml:space="preserve">I 2014 sto NTNU, UiB og UiO for </w:t>
      </w:r>
      <w:r w:rsidR="00DE558F" w:rsidRPr="00422245">
        <w:t xml:space="preserve">76 prosent av alle </w:t>
      </w:r>
      <w:r w:rsidR="00057D1A" w:rsidRPr="00422245">
        <w:t>doktorgrader.</w:t>
      </w:r>
      <w:r w:rsidR="003D22E7" w:rsidRPr="00422245">
        <w:t xml:space="preserve"> </w:t>
      </w:r>
      <w:r w:rsidR="00A62DE5" w:rsidRPr="00422245">
        <w:t xml:space="preserve">For UiO har endringen </w:t>
      </w:r>
      <w:r w:rsidR="00331597" w:rsidRPr="00422245">
        <w:t xml:space="preserve">i tiårs perioden vært betydelig i både absolutte og relative tall. I 2014 utgjorde 519 avlagte doktorgrader </w:t>
      </w:r>
      <w:r w:rsidR="00CD7419" w:rsidRPr="00422245">
        <w:t xml:space="preserve">ved UiO </w:t>
      </w:r>
      <w:r w:rsidR="00392DB6" w:rsidRPr="00422245">
        <w:t xml:space="preserve">36 prosent av alle doktorgrader. </w:t>
      </w:r>
      <w:r w:rsidR="00DA3080" w:rsidRPr="00422245">
        <w:t xml:space="preserve">Ti år senere </w:t>
      </w:r>
      <w:r w:rsidR="008C55EB" w:rsidRPr="00422245">
        <w:t xml:space="preserve">avla </w:t>
      </w:r>
      <w:r w:rsidR="00A54FC1" w:rsidRPr="00422245">
        <w:t>427</w:t>
      </w:r>
      <w:r w:rsidR="008C55EB" w:rsidRPr="00422245">
        <w:t xml:space="preserve"> personer </w:t>
      </w:r>
      <w:r w:rsidR="00A54FC1" w:rsidRPr="00422245">
        <w:t>doktorgra</w:t>
      </w:r>
      <w:r w:rsidR="00AA6266" w:rsidRPr="00422245">
        <w:t>d</w:t>
      </w:r>
      <w:r w:rsidR="008C55EB" w:rsidRPr="00422245">
        <w:t>en ved UiO og institusjonens sektorandel var sunket til</w:t>
      </w:r>
      <w:r w:rsidR="00AA6266" w:rsidRPr="00422245">
        <w:t xml:space="preserve"> 26 prosent</w:t>
      </w:r>
      <w:r w:rsidR="008C55EB" w:rsidRPr="00422245">
        <w:t>.</w:t>
      </w:r>
    </w:p>
    <w:p w14:paraId="73147C72" w14:textId="729B9519" w:rsidR="002B49D7" w:rsidRPr="00422245" w:rsidRDefault="003054CB" w:rsidP="00756ADD">
      <w:r w:rsidRPr="00422245">
        <w:t>På grunn av gjennomføringstiden tar det</w:t>
      </w:r>
      <w:r w:rsidR="001A5894" w:rsidRPr="00422245">
        <w:t xml:space="preserve"> flere år før </w:t>
      </w:r>
      <w:r w:rsidR="00BB0E5E" w:rsidRPr="00422245">
        <w:t xml:space="preserve">endringer i stipendiatpopulasjonen avspeiler seg i </w:t>
      </w:r>
      <w:r w:rsidR="0097632F" w:rsidRPr="00422245">
        <w:t xml:space="preserve">avlagte doktorgrader. </w:t>
      </w:r>
      <w:r w:rsidR="00834767" w:rsidRPr="00422245">
        <w:t xml:space="preserve">De siste femten årene har det vært </w:t>
      </w:r>
      <w:r w:rsidR="007B7FD7" w:rsidRPr="00422245">
        <w:t>tilnærmet like mange menn som kvinner blant doktorandene</w:t>
      </w:r>
      <w:r w:rsidR="002B5454" w:rsidRPr="00422245">
        <w:t xml:space="preserve"> </w:t>
      </w:r>
      <w:r w:rsidR="0026259D">
        <w:fldChar w:fldCharType="begin"/>
      </w:r>
      <w:r w:rsidR="0026259D">
        <w:instrText xml:space="preserve"> ADDIN EN.CITE &lt;EndNote&gt;&lt;Cite&gt;&lt;Author&gt;Forskningsrådet&lt;/Author&gt;&lt;Year&gt;2023&lt;/Year&gt;&lt;RecNum&gt;2205&lt;/RecNum&gt;&lt;DisplayText&gt;(Forskningsrådet, 2023)&lt;/DisplayText&gt;&lt;record&gt;&lt;rec-number&gt;2205&lt;/rec-number&gt;&lt;foreign-keys&gt;&lt;key app="EN" db-id="p2et5feaxrpe5zew2eavt29z05fv09aa5s0w" timestamp="1712306746" guid="1cf41ad2-47aa-4f62-801c-cfadd440fe1d"&gt;2205&lt;/key&gt;&lt;/foreign-keys&gt;&lt;ref-type name="Report"&gt;27&lt;/ref-type&gt;&lt;contributors&gt;&lt;authors&gt;&lt;author&gt;Forskningsrådet&lt;/author&gt;&lt;/authors&gt;&lt;/contributors&gt;&lt;titles&gt;&lt;title&gt;Indikatorrapporten 2023&lt;/title&gt;&lt;/titles&gt;&lt;dates&gt;&lt;year&gt;2023&lt;/year&gt;&lt;/dates&gt;&lt;urls&gt;&lt;related-urls&gt;&lt;url&gt;https://www.forskningsradet.no/indikatorrapporten/indikatorrapporten-dokument/&lt;/url&gt;&lt;/related-urls&gt;&lt;/urls&gt;&lt;/record&gt;&lt;/Cite&gt;&lt;/EndNote&gt;</w:instrText>
      </w:r>
      <w:r w:rsidR="0026259D">
        <w:fldChar w:fldCharType="separate"/>
      </w:r>
      <w:r w:rsidR="0026259D">
        <w:rPr>
          <w:noProof/>
        </w:rPr>
        <w:t>(Forskningsrådet, 2023)</w:t>
      </w:r>
      <w:r w:rsidR="0026259D">
        <w:fldChar w:fldCharType="end"/>
      </w:r>
      <w:r w:rsidR="00F40583" w:rsidRPr="00422245">
        <w:t xml:space="preserve">. </w:t>
      </w:r>
      <w:r w:rsidR="00DB369D" w:rsidRPr="00422245">
        <w:t xml:space="preserve">Andelen menn i 2023 var imidlertid den laveste </w:t>
      </w:r>
      <w:r w:rsidR="004465BF" w:rsidRPr="00422245">
        <w:t>noen gang, 46 prosent, en nedgang fra 48 prosent i 2022, 49 prosent i 2021</w:t>
      </w:r>
      <w:r w:rsidR="00C94439" w:rsidRPr="00422245">
        <w:t xml:space="preserve"> </w:t>
      </w:r>
      <w:r w:rsidR="00DD7A30" w:rsidRPr="00422245">
        <w:t>og 50 prosent i 2019.</w:t>
      </w:r>
      <w:r w:rsidR="008C715F" w:rsidRPr="00422245">
        <w:t xml:space="preserve"> Dermed er kjønnsfordelingen blant </w:t>
      </w:r>
      <w:r w:rsidR="00D922E4" w:rsidRPr="00422245">
        <w:t>doktorandene betydelig nærmere kjønnsbalansen i studentmassen enn tilfellet var f</w:t>
      </w:r>
      <w:r w:rsidR="00D11695" w:rsidRPr="00422245">
        <w:t>or fire år siden.</w:t>
      </w:r>
      <w:r w:rsidR="00FD15D8" w:rsidRPr="00422245">
        <w:t xml:space="preserve"> </w:t>
      </w:r>
      <w:r w:rsidR="008F455A" w:rsidRPr="00422245">
        <w:fldChar w:fldCharType="begin"/>
      </w:r>
      <w:r w:rsidR="008F455A" w:rsidRPr="00422245">
        <w:instrText xml:space="preserve"> REF _Ref158715744 \h </w:instrText>
      </w:r>
      <w:r w:rsidR="008F455A" w:rsidRPr="00422245">
        <w:fldChar w:fldCharType="separate"/>
      </w:r>
      <w:r w:rsidR="008F455A" w:rsidRPr="00422245">
        <w:t xml:space="preserve">Figur </w:t>
      </w:r>
      <w:r w:rsidR="00620786">
        <w:rPr>
          <w:noProof/>
        </w:rPr>
        <w:lastRenderedPageBreak/>
        <w:t>9</w:t>
      </w:r>
      <w:r w:rsidR="005B096E">
        <w:noBreakHyphen/>
      </w:r>
      <w:r w:rsidR="008F455A" w:rsidRPr="00422245">
        <w:t>9</w:t>
      </w:r>
      <w:r w:rsidR="008F455A" w:rsidRPr="00422245">
        <w:fldChar w:fldCharType="end"/>
      </w:r>
      <w:r w:rsidR="008F455A" w:rsidRPr="00422245">
        <w:t xml:space="preserve"> i kapittel </w:t>
      </w:r>
      <w:r w:rsidR="00673E93" w:rsidRPr="00422245">
        <w:fldChar w:fldCharType="begin"/>
      </w:r>
      <w:r w:rsidR="00673E93" w:rsidRPr="00422245">
        <w:instrText xml:space="preserve"> REF _Ref161388340 \r \h </w:instrText>
      </w:r>
      <w:r w:rsidR="00673E93" w:rsidRPr="00422245">
        <w:fldChar w:fldCharType="separate"/>
      </w:r>
      <w:r w:rsidR="00620786">
        <w:t>9.5</w:t>
      </w:r>
      <w:r w:rsidR="00673E93" w:rsidRPr="00422245">
        <w:fldChar w:fldCharType="end"/>
      </w:r>
      <w:r w:rsidR="00673E93" w:rsidRPr="00422245">
        <w:t xml:space="preserve"> </w:t>
      </w:r>
      <w:r w:rsidR="00A5157C" w:rsidRPr="00422245">
        <w:t xml:space="preserve">viser kjønnsfordelingen per institusjon blant </w:t>
      </w:r>
      <w:r w:rsidR="003F101B" w:rsidRPr="00422245">
        <w:t>stu</w:t>
      </w:r>
      <w:r w:rsidR="00C30A7D" w:rsidRPr="00422245">
        <w:t xml:space="preserve">denter, doktorgradskandidater </w:t>
      </w:r>
      <w:r w:rsidR="002A5915" w:rsidRPr="00422245">
        <w:t>og utvalgte stillingskategorier.</w:t>
      </w:r>
    </w:p>
    <w:p w14:paraId="33A1351E" w14:textId="3970ED0E" w:rsidR="00174560" w:rsidRPr="00422245" w:rsidRDefault="00174560" w:rsidP="00756ADD">
      <w:r w:rsidRPr="00422245">
        <w:t xml:space="preserve">Om vi derimot skiller ut bare de norske doktorandene, </w:t>
      </w:r>
      <w:r w:rsidR="00F7180C" w:rsidRPr="00422245">
        <w:t xml:space="preserve">er fordelingen mellom kjønnene den samme som </w:t>
      </w:r>
      <w:r w:rsidR="00ED7660" w:rsidRPr="00422245">
        <w:t>blant studentene</w:t>
      </w:r>
      <w:r w:rsidRPr="00422245">
        <w:t xml:space="preserve">. Av norske statsborgere som fullførte doktorgraden i 2014, var 43 prosent menn. I 2023 var andelen redusert til 39 prosent. Se også kapittel </w:t>
      </w:r>
      <w:r w:rsidR="00441536">
        <w:fldChar w:fldCharType="begin"/>
      </w:r>
      <w:r w:rsidR="00441536">
        <w:instrText xml:space="preserve"> REF _Ref162098636 \r \h </w:instrText>
      </w:r>
      <w:r w:rsidR="00441536">
        <w:fldChar w:fldCharType="separate"/>
      </w:r>
      <w:r w:rsidR="00441536">
        <w:t>7.4</w:t>
      </w:r>
      <w:r w:rsidR="00441536">
        <w:fldChar w:fldCharType="end"/>
      </w:r>
      <w:r w:rsidRPr="00422245">
        <w:t xml:space="preserve"> for statistikk om doktorgrader og statsborgerskap.</w:t>
      </w:r>
    </w:p>
    <w:p w14:paraId="2332E539" w14:textId="0FD91B4C" w:rsidR="00AA14B9" w:rsidRPr="00422245" w:rsidRDefault="00AA14B9" w:rsidP="005C58B9">
      <w:pPr>
        <w:pStyle w:val="Overskrift2"/>
      </w:pPr>
      <w:bookmarkStart w:id="141" w:name="_Toc163488440"/>
      <w:r w:rsidRPr="00422245">
        <w:t>Gjennomføring i doktorgradsutdanning</w:t>
      </w:r>
      <w:bookmarkEnd w:id="141"/>
    </w:p>
    <w:p w14:paraId="4052AFE4" w14:textId="1E3BF2DF" w:rsidR="009F4CEC" w:rsidRPr="00422245" w:rsidRDefault="00F652A4" w:rsidP="00843CD0">
      <w:r w:rsidRPr="00422245">
        <w:t xml:space="preserve">Indikatoren for gjennomføring er </w:t>
      </w:r>
      <w:r w:rsidR="00ED6F1C" w:rsidRPr="00422245">
        <w:t xml:space="preserve">andelen som har fullført </w:t>
      </w:r>
      <w:r w:rsidR="00737D04" w:rsidRPr="00422245">
        <w:t>seks år etter opptak</w:t>
      </w:r>
      <w:r w:rsidR="00DF4B09" w:rsidRPr="00422245">
        <w:t xml:space="preserve">, uavhengig av </w:t>
      </w:r>
      <w:r w:rsidR="00DA627E" w:rsidRPr="00422245">
        <w:t>lengden på doktorgradsavtalen</w:t>
      </w:r>
      <w:r w:rsidR="00850C2C">
        <w:t>.</w:t>
      </w:r>
      <w:r w:rsidR="00DA627E" w:rsidRPr="00422245">
        <w:t xml:space="preserve"> </w:t>
      </w:r>
      <w:r w:rsidR="009A6A32" w:rsidRPr="00422245">
        <w:t xml:space="preserve">Gjennomføringstallene for </w:t>
      </w:r>
      <w:r w:rsidR="00966035" w:rsidRPr="00422245">
        <w:t xml:space="preserve">et gitt år viser dermed hvor stor andel av dem som ble tatt </w:t>
      </w:r>
      <w:r w:rsidR="004F5E1A" w:rsidRPr="00422245">
        <w:t>opp seks år tidligere, som har fullført per det aktuelle året.</w:t>
      </w:r>
    </w:p>
    <w:bookmarkStart w:id="142" w:name="_Toc158968342"/>
    <w:p w14:paraId="611E5B85" w14:textId="506FF897" w:rsidR="00E516F7" w:rsidRPr="00422245" w:rsidRDefault="00757DE2" w:rsidP="00AA14B9">
      <w:r w:rsidRPr="00422245">
        <w:fldChar w:fldCharType="begin"/>
      </w:r>
      <w:r w:rsidRPr="00422245">
        <w:instrText xml:space="preserve"> REF _Ref161389105 \h </w:instrText>
      </w:r>
      <w:r w:rsidRPr="00422245">
        <w:fldChar w:fldCharType="separate"/>
      </w:r>
      <w:r w:rsidRPr="00422245">
        <w:t xml:space="preserve">Tabell </w:t>
      </w:r>
      <w:r w:rsidR="00850C2C">
        <w:rPr>
          <w:noProof/>
        </w:rPr>
        <w:t>7</w:t>
      </w:r>
      <w:r w:rsidRPr="00422245">
        <w:t>.1</w:t>
      </w:r>
      <w:r w:rsidRPr="00422245">
        <w:fldChar w:fldCharType="end"/>
      </w:r>
      <w:r w:rsidR="00E83020" w:rsidRPr="00422245">
        <w:t xml:space="preserve"> viser </w:t>
      </w:r>
      <w:r w:rsidR="003A2672" w:rsidRPr="00422245">
        <w:t xml:space="preserve">gjennomføringsandel for perioden 2014-2023. </w:t>
      </w:r>
      <w:r w:rsidR="00F944D2" w:rsidRPr="00422245">
        <w:t xml:space="preserve">Andelen </w:t>
      </w:r>
      <w:r w:rsidR="008B1D73" w:rsidRPr="00422245">
        <w:t xml:space="preserve">for 2023 </w:t>
      </w:r>
      <w:r w:rsidR="00621A29" w:rsidRPr="00422245">
        <w:t>er 65,6 prosent, praktisk talt identisk med andelen ti år tidligere</w:t>
      </w:r>
      <w:r w:rsidR="008B1D73" w:rsidRPr="00422245">
        <w:t xml:space="preserve">. </w:t>
      </w:r>
      <w:r w:rsidR="00DF38A8" w:rsidRPr="00422245">
        <w:t xml:space="preserve">Imidlertid er andelen </w:t>
      </w:r>
      <w:r w:rsidR="00621A29" w:rsidRPr="00422245">
        <w:t xml:space="preserve">i 2023 </w:t>
      </w:r>
      <w:r w:rsidR="00DF38A8" w:rsidRPr="00422245">
        <w:t xml:space="preserve">lavere enn de foregående årene, og særlig sammenliknet med 2020, </w:t>
      </w:r>
      <w:r w:rsidR="00621A29" w:rsidRPr="00422245">
        <w:t>de</w:t>
      </w:r>
      <w:r w:rsidR="00555513" w:rsidRPr="00422245">
        <w:t>t</w:t>
      </w:r>
      <w:r w:rsidR="00621A29" w:rsidRPr="00422245">
        <w:t xml:space="preserve"> eneste året andelen har nådd 70 prosent. </w:t>
      </w:r>
      <w:r w:rsidR="005D5102" w:rsidRPr="00422245">
        <w:t>At andelen har sunket hvert år siden 2020</w:t>
      </w:r>
      <w:r w:rsidR="00843CD0" w:rsidRPr="00422245">
        <w:t>, har trolig sammenheng med utsettelser og vanskeligheter skapt av pandemien.</w:t>
      </w:r>
      <w:r w:rsidR="00735C24" w:rsidRPr="00422245">
        <w:t xml:space="preserve"> </w:t>
      </w:r>
      <w:r w:rsidR="009E452B" w:rsidRPr="00422245">
        <w:t>Og i</w:t>
      </w:r>
      <w:r w:rsidR="008D09A9" w:rsidRPr="00422245">
        <w:t xml:space="preserve"> den grad pandemien er </w:t>
      </w:r>
      <w:r w:rsidR="009E452B" w:rsidRPr="00422245">
        <w:t xml:space="preserve">årsak til lavere gjennomføringsgrad, må vi vente at </w:t>
      </w:r>
      <w:r w:rsidR="002D7280" w:rsidRPr="00422245">
        <w:t xml:space="preserve">dette vil prege statistikken for gjennomføring i </w:t>
      </w:r>
      <w:r w:rsidR="00555513" w:rsidRPr="00422245">
        <w:t>noen</w:t>
      </w:r>
      <w:r w:rsidR="002D7280" w:rsidRPr="00422245">
        <w:t xml:space="preserve"> år framover. </w:t>
      </w:r>
      <w:r w:rsidR="003245C1" w:rsidRPr="00422245">
        <w:t>P</w:t>
      </w:r>
      <w:r w:rsidR="004C7340" w:rsidRPr="00422245">
        <w:t xml:space="preserve">andemien </w:t>
      </w:r>
      <w:r w:rsidR="009E14A2" w:rsidRPr="00422245">
        <w:t>har vært en</w:t>
      </w:r>
      <w:r w:rsidR="004C7340" w:rsidRPr="00422245">
        <w:t xml:space="preserve"> faktor </w:t>
      </w:r>
      <w:r w:rsidR="00290049" w:rsidRPr="00422245">
        <w:t>for alle som ble tatt opp i alle fall fram til 2021, kanskje også 2022.</w:t>
      </w:r>
    </w:p>
    <w:p w14:paraId="0B2560EE" w14:textId="628B7029" w:rsidR="00E853B4" w:rsidRPr="00422245" w:rsidRDefault="007B7FD7" w:rsidP="00913856">
      <w:pPr>
        <w:pStyle w:val="Bildetekst"/>
        <w:keepNext/>
      </w:pPr>
      <w:bookmarkStart w:id="143" w:name="_Ref161389105"/>
      <w:r w:rsidRPr="00422245">
        <w:lastRenderedPageBreak/>
        <w:t xml:space="preserve">Tabell </w:t>
      </w:r>
      <w:r w:rsidR="00826DA7">
        <w:fldChar w:fldCharType="begin"/>
      </w:r>
      <w:r w:rsidR="00826DA7">
        <w:instrText xml:space="preserve"> STYLEREF 1 \s </w:instrText>
      </w:r>
      <w:r w:rsidR="00826DA7">
        <w:fldChar w:fldCharType="separate"/>
      </w:r>
      <w:r w:rsidR="00826DA7">
        <w:rPr>
          <w:noProof/>
        </w:rPr>
        <w:t>7</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1</w:t>
      </w:r>
      <w:r w:rsidR="00826DA7">
        <w:fldChar w:fldCharType="end"/>
      </w:r>
      <w:bookmarkEnd w:id="143"/>
      <w:r w:rsidRPr="00422245">
        <w:t xml:space="preserve"> </w:t>
      </w:r>
      <w:r w:rsidR="001176AE" w:rsidRPr="00422245">
        <w:t>Andel disputerte av kandidater opptatt på doktorgradsprogram seks år tidligere, 2014–23</w:t>
      </w:r>
      <w:r w:rsidR="0075179E" w:rsidRPr="00422245">
        <w:t>. Prosent</w:t>
      </w:r>
    </w:p>
    <w:tbl>
      <w:tblPr>
        <w:tblW w:w="0" w:type="auto"/>
        <w:tblCellMar>
          <w:left w:w="70" w:type="dxa"/>
          <w:right w:w="70" w:type="dxa"/>
        </w:tblCellMar>
        <w:tblLook w:val="04A0" w:firstRow="1" w:lastRow="0" w:firstColumn="1" w:lastColumn="0" w:noHBand="0" w:noVBand="1"/>
      </w:tblPr>
      <w:tblGrid>
        <w:gridCol w:w="1092"/>
        <w:gridCol w:w="496"/>
        <w:gridCol w:w="496"/>
        <w:gridCol w:w="496"/>
        <w:gridCol w:w="496"/>
        <w:gridCol w:w="496"/>
        <w:gridCol w:w="496"/>
        <w:gridCol w:w="496"/>
        <w:gridCol w:w="496"/>
        <w:gridCol w:w="496"/>
        <w:gridCol w:w="496"/>
        <w:gridCol w:w="1216"/>
      </w:tblGrid>
      <w:tr w:rsidR="00E853B4" w:rsidRPr="00422245" w14:paraId="3DEA4683" w14:textId="77777777" w:rsidTr="00E853B4">
        <w:trPr>
          <w:trHeight w:val="430"/>
        </w:trPr>
        <w:tc>
          <w:tcPr>
            <w:tcW w:w="0" w:type="auto"/>
            <w:tcBorders>
              <w:top w:val="nil"/>
              <w:left w:val="single" w:sz="8" w:space="0" w:color="0079AC"/>
              <w:bottom w:val="nil"/>
              <w:right w:val="nil"/>
            </w:tcBorders>
            <w:shd w:val="clear" w:color="000000" w:fill="0079AC"/>
            <w:vAlign w:val="center"/>
            <w:hideMark/>
          </w:tcPr>
          <w:p w14:paraId="58D3D646" w14:textId="77777777" w:rsidR="00E853B4" w:rsidRPr="00422245" w:rsidRDefault="00E853B4" w:rsidP="00D22393">
            <w:pPr>
              <w:keepNext/>
              <w:spacing w:after="0" w:line="240" w:lineRule="auto"/>
              <w:rPr>
                <w:rFonts w:ascii="Times New Roman" w:eastAsia="Times New Roman" w:hAnsi="Times New Roman" w:cs="Times New Roman"/>
                <w:color w:val="000000"/>
                <w:sz w:val="20"/>
                <w:szCs w:val="20"/>
                <w:lang w:eastAsia="nb-NO"/>
              </w:rPr>
            </w:pPr>
            <w:r w:rsidRPr="00422245">
              <w:rPr>
                <w:rFonts w:ascii="Times New Roman" w:eastAsia="Times New Roman" w:hAnsi="Times New Roman" w:cs="Times New Roman"/>
                <w:color w:val="000000"/>
                <w:sz w:val="20"/>
                <w:szCs w:val="20"/>
                <w:lang w:eastAsia="nb-NO"/>
              </w:rPr>
              <w:t> </w:t>
            </w:r>
          </w:p>
        </w:tc>
        <w:tc>
          <w:tcPr>
            <w:tcW w:w="0" w:type="auto"/>
            <w:tcBorders>
              <w:top w:val="nil"/>
              <w:left w:val="single" w:sz="8" w:space="0" w:color="2E91BB"/>
              <w:bottom w:val="single" w:sz="8" w:space="0" w:color="2E91BB"/>
              <w:right w:val="nil"/>
            </w:tcBorders>
            <w:shd w:val="clear" w:color="000000" w:fill="0079AC"/>
            <w:vAlign w:val="center"/>
            <w:hideMark/>
          </w:tcPr>
          <w:p w14:paraId="51D02ED2"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2014</w:t>
            </w:r>
          </w:p>
        </w:tc>
        <w:tc>
          <w:tcPr>
            <w:tcW w:w="0" w:type="auto"/>
            <w:tcBorders>
              <w:top w:val="nil"/>
              <w:left w:val="single" w:sz="8" w:space="0" w:color="2E91BB"/>
              <w:bottom w:val="single" w:sz="8" w:space="0" w:color="2E91BB"/>
              <w:right w:val="nil"/>
            </w:tcBorders>
            <w:shd w:val="clear" w:color="000000" w:fill="0079AC"/>
            <w:vAlign w:val="center"/>
            <w:hideMark/>
          </w:tcPr>
          <w:p w14:paraId="3AA0FDA4"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2015</w:t>
            </w:r>
          </w:p>
        </w:tc>
        <w:tc>
          <w:tcPr>
            <w:tcW w:w="0" w:type="auto"/>
            <w:tcBorders>
              <w:top w:val="nil"/>
              <w:left w:val="single" w:sz="8" w:space="0" w:color="2E91BB"/>
              <w:bottom w:val="single" w:sz="8" w:space="0" w:color="2E91BB"/>
              <w:right w:val="nil"/>
            </w:tcBorders>
            <w:shd w:val="clear" w:color="000000" w:fill="0079AC"/>
            <w:vAlign w:val="center"/>
            <w:hideMark/>
          </w:tcPr>
          <w:p w14:paraId="4D2F3DC4"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2016</w:t>
            </w:r>
          </w:p>
        </w:tc>
        <w:tc>
          <w:tcPr>
            <w:tcW w:w="0" w:type="auto"/>
            <w:tcBorders>
              <w:top w:val="nil"/>
              <w:left w:val="single" w:sz="8" w:space="0" w:color="2E91BB"/>
              <w:bottom w:val="single" w:sz="8" w:space="0" w:color="2E91BB"/>
              <w:right w:val="nil"/>
            </w:tcBorders>
            <w:shd w:val="clear" w:color="000000" w:fill="0079AC"/>
            <w:vAlign w:val="center"/>
            <w:hideMark/>
          </w:tcPr>
          <w:p w14:paraId="28616318"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2017</w:t>
            </w:r>
          </w:p>
        </w:tc>
        <w:tc>
          <w:tcPr>
            <w:tcW w:w="0" w:type="auto"/>
            <w:tcBorders>
              <w:top w:val="nil"/>
              <w:left w:val="single" w:sz="8" w:space="0" w:color="2E91BB"/>
              <w:bottom w:val="single" w:sz="8" w:space="0" w:color="2E91BB"/>
              <w:right w:val="nil"/>
            </w:tcBorders>
            <w:shd w:val="clear" w:color="000000" w:fill="0079AC"/>
            <w:vAlign w:val="center"/>
            <w:hideMark/>
          </w:tcPr>
          <w:p w14:paraId="3B234FDC"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2018</w:t>
            </w:r>
          </w:p>
        </w:tc>
        <w:tc>
          <w:tcPr>
            <w:tcW w:w="0" w:type="auto"/>
            <w:tcBorders>
              <w:top w:val="nil"/>
              <w:left w:val="single" w:sz="8" w:space="0" w:color="2E91BB"/>
              <w:bottom w:val="single" w:sz="8" w:space="0" w:color="2E91BB"/>
              <w:right w:val="nil"/>
            </w:tcBorders>
            <w:shd w:val="clear" w:color="000000" w:fill="0079AC"/>
            <w:vAlign w:val="center"/>
            <w:hideMark/>
          </w:tcPr>
          <w:p w14:paraId="54BB70FB"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2019</w:t>
            </w:r>
          </w:p>
        </w:tc>
        <w:tc>
          <w:tcPr>
            <w:tcW w:w="0" w:type="auto"/>
            <w:tcBorders>
              <w:top w:val="nil"/>
              <w:left w:val="single" w:sz="8" w:space="0" w:color="2E91BB"/>
              <w:bottom w:val="single" w:sz="8" w:space="0" w:color="2E91BB"/>
              <w:right w:val="nil"/>
            </w:tcBorders>
            <w:shd w:val="clear" w:color="000000" w:fill="0079AC"/>
            <w:vAlign w:val="center"/>
            <w:hideMark/>
          </w:tcPr>
          <w:p w14:paraId="35EA20A8"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2020</w:t>
            </w:r>
          </w:p>
        </w:tc>
        <w:tc>
          <w:tcPr>
            <w:tcW w:w="0" w:type="auto"/>
            <w:tcBorders>
              <w:top w:val="nil"/>
              <w:left w:val="single" w:sz="8" w:space="0" w:color="2E91BB"/>
              <w:bottom w:val="single" w:sz="8" w:space="0" w:color="2E91BB"/>
              <w:right w:val="nil"/>
            </w:tcBorders>
            <w:shd w:val="clear" w:color="000000" w:fill="0079AC"/>
            <w:vAlign w:val="center"/>
            <w:hideMark/>
          </w:tcPr>
          <w:p w14:paraId="71F38DD7"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2021</w:t>
            </w:r>
          </w:p>
        </w:tc>
        <w:tc>
          <w:tcPr>
            <w:tcW w:w="0" w:type="auto"/>
            <w:tcBorders>
              <w:top w:val="nil"/>
              <w:left w:val="single" w:sz="8" w:space="0" w:color="2E91BB"/>
              <w:bottom w:val="single" w:sz="8" w:space="0" w:color="2E91BB"/>
              <w:right w:val="nil"/>
            </w:tcBorders>
            <w:shd w:val="clear" w:color="000000" w:fill="0079AC"/>
            <w:vAlign w:val="center"/>
            <w:hideMark/>
          </w:tcPr>
          <w:p w14:paraId="279575E1"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2022</w:t>
            </w:r>
          </w:p>
        </w:tc>
        <w:tc>
          <w:tcPr>
            <w:tcW w:w="0" w:type="auto"/>
            <w:tcBorders>
              <w:top w:val="nil"/>
              <w:left w:val="single" w:sz="8" w:space="0" w:color="2E91BB"/>
              <w:bottom w:val="single" w:sz="8" w:space="0" w:color="2E91BB"/>
              <w:right w:val="nil"/>
            </w:tcBorders>
            <w:shd w:val="clear" w:color="000000" w:fill="0079AC"/>
            <w:vAlign w:val="center"/>
            <w:hideMark/>
          </w:tcPr>
          <w:p w14:paraId="2BD80D7C" w14:textId="77777777"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2023</w:t>
            </w:r>
          </w:p>
        </w:tc>
        <w:tc>
          <w:tcPr>
            <w:tcW w:w="0" w:type="auto"/>
            <w:tcBorders>
              <w:top w:val="nil"/>
              <w:left w:val="single" w:sz="8" w:space="0" w:color="2E91BB"/>
              <w:bottom w:val="single" w:sz="8" w:space="0" w:color="2E91BB"/>
              <w:right w:val="nil"/>
            </w:tcBorders>
            <w:shd w:val="clear" w:color="000000" w:fill="0079AC"/>
            <w:vAlign w:val="center"/>
            <w:hideMark/>
          </w:tcPr>
          <w:p w14:paraId="1A8A123C" w14:textId="584852B9" w:rsidR="00E853B4" w:rsidRPr="00422245" w:rsidRDefault="00E853B4" w:rsidP="00D22393">
            <w:pPr>
              <w:keepNext/>
              <w:spacing w:after="0" w:line="240" w:lineRule="auto"/>
              <w:jc w:val="center"/>
              <w:rPr>
                <w:rFonts w:ascii="Arial" w:eastAsia="Times New Roman" w:hAnsi="Arial" w:cs="Arial"/>
                <w:b/>
                <w:bCs/>
                <w:color w:val="FFFFFF"/>
                <w:sz w:val="16"/>
                <w:szCs w:val="16"/>
                <w:lang w:eastAsia="nb-NO"/>
              </w:rPr>
            </w:pPr>
            <w:r w:rsidRPr="00422245">
              <w:rPr>
                <w:rFonts w:ascii="Arial" w:eastAsia="Times New Roman" w:hAnsi="Arial" w:cs="Arial"/>
                <w:b/>
                <w:bCs/>
                <w:color w:val="FFFFFF"/>
                <w:sz w:val="16"/>
                <w:szCs w:val="16"/>
                <w:lang w:eastAsia="nb-NO"/>
              </w:rPr>
              <w:t xml:space="preserve"> </w:t>
            </w:r>
            <w:r w:rsidR="002178BF" w:rsidRPr="00422245">
              <w:rPr>
                <w:rFonts w:ascii="Arial" w:eastAsia="Times New Roman" w:hAnsi="Arial" w:cs="Arial"/>
                <w:b/>
                <w:bCs/>
                <w:color w:val="FFFFFF"/>
                <w:sz w:val="16"/>
                <w:szCs w:val="16"/>
                <w:lang w:eastAsia="nb-NO"/>
              </w:rPr>
              <w:t xml:space="preserve">Tatt opp </w:t>
            </w:r>
            <w:r w:rsidRPr="00422245">
              <w:rPr>
                <w:rFonts w:ascii="Arial" w:eastAsia="Times New Roman" w:hAnsi="Arial" w:cs="Arial"/>
                <w:b/>
                <w:bCs/>
                <w:color w:val="FFFFFF"/>
                <w:sz w:val="16"/>
                <w:szCs w:val="16"/>
                <w:lang w:eastAsia="nb-NO"/>
              </w:rPr>
              <w:t xml:space="preserve">2017 </w:t>
            </w:r>
          </w:p>
        </w:tc>
      </w:tr>
      <w:tr w:rsidR="00E853B4" w:rsidRPr="00422245" w14:paraId="09020194" w14:textId="77777777" w:rsidTr="00E853B4">
        <w:trPr>
          <w:trHeight w:val="290"/>
        </w:trPr>
        <w:tc>
          <w:tcPr>
            <w:tcW w:w="0" w:type="auto"/>
            <w:tcBorders>
              <w:top w:val="nil"/>
              <w:left w:val="nil"/>
              <w:bottom w:val="nil"/>
              <w:right w:val="nil"/>
            </w:tcBorders>
            <w:shd w:val="clear" w:color="000000" w:fill="EEEEEE"/>
            <w:vAlign w:val="center"/>
            <w:hideMark/>
          </w:tcPr>
          <w:p w14:paraId="5F9FEAB3"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NU </w:t>
            </w:r>
          </w:p>
        </w:tc>
        <w:tc>
          <w:tcPr>
            <w:tcW w:w="0" w:type="auto"/>
            <w:tcBorders>
              <w:top w:val="nil"/>
              <w:left w:val="nil"/>
              <w:bottom w:val="nil"/>
              <w:right w:val="nil"/>
            </w:tcBorders>
            <w:shd w:val="clear" w:color="000000" w:fill="EEEEEE"/>
            <w:vAlign w:val="center"/>
            <w:hideMark/>
          </w:tcPr>
          <w:p w14:paraId="14FBD07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59,1</w:t>
            </w:r>
          </w:p>
        </w:tc>
        <w:tc>
          <w:tcPr>
            <w:tcW w:w="0" w:type="auto"/>
            <w:tcBorders>
              <w:top w:val="nil"/>
              <w:left w:val="nil"/>
              <w:bottom w:val="nil"/>
              <w:right w:val="nil"/>
            </w:tcBorders>
            <w:shd w:val="clear" w:color="000000" w:fill="EEEEEE"/>
            <w:vAlign w:val="center"/>
            <w:hideMark/>
          </w:tcPr>
          <w:p w14:paraId="1B78126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60,0</w:t>
            </w:r>
          </w:p>
        </w:tc>
        <w:tc>
          <w:tcPr>
            <w:tcW w:w="0" w:type="auto"/>
            <w:tcBorders>
              <w:top w:val="nil"/>
              <w:left w:val="nil"/>
              <w:bottom w:val="nil"/>
              <w:right w:val="nil"/>
            </w:tcBorders>
            <w:shd w:val="clear" w:color="000000" w:fill="EEEEEE"/>
            <w:vAlign w:val="center"/>
            <w:hideMark/>
          </w:tcPr>
          <w:p w14:paraId="68660E3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61,8</w:t>
            </w:r>
          </w:p>
        </w:tc>
        <w:tc>
          <w:tcPr>
            <w:tcW w:w="0" w:type="auto"/>
            <w:tcBorders>
              <w:top w:val="nil"/>
              <w:left w:val="nil"/>
              <w:bottom w:val="nil"/>
              <w:right w:val="nil"/>
            </w:tcBorders>
            <w:shd w:val="clear" w:color="000000" w:fill="EEEEEE"/>
            <w:vAlign w:val="center"/>
            <w:hideMark/>
          </w:tcPr>
          <w:p w14:paraId="2E3B70C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50,0</w:t>
            </w:r>
          </w:p>
        </w:tc>
        <w:tc>
          <w:tcPr>
            <w:tcW w:w="0" w:type="auto"/>
            <w:tcBorders>
              <w:top w:val="nil"/>
              <w:left w:val="nil"/>
              <w:bottom w:val="nil"/>
              <w:right w:val="nil"/>
            </w:tcBorders>
            <w:shd w:val="clear" w:color="000000" w:fill="EEEEEE"/>
            <w:vAlign w:val="center"/>
            <w:hideMark/>
          </w:tcPr>
          <w:p w14:paraId="3962494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64,3</w:t>
            </w:r>
          </w:p>
        </w:tc>
        <w:tc>
          <w:tcPr>
            <w:tcW w:w="0" w:type="auto"/>
            <w:tcBorders>
              <w:top w:val="nil"/>
              <w:left w:val="nil"/>
              <w:bottom w:val="nil"/>
              <w:right w:val="nil"/>
            </w:tcBorders>
            <w:shd w:val="clear" w:color="000000" w:fill="EEEEEE"/>
            <w:vAlign w:val="center"/>
            <w:hideMark/>
          </w:tcPr>
          <w:p w14:paraId="0AA0F69E"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78,3</w:t>
            </w:r>
          </w:p>
        </w:tc>
        <w:tc>
          <w:tcPr>
            <w:tcW w:w="0" w:type="auto"/>
            <w:tcBorders>
              <w:top w:val="nil"/>
              <w:left w:val="nil"/>
              <w:bottom w:val="nil"/>
              <w:right w:val="nil"/>
            </w:tcBorders>
            <w:shd w:val="clear" w:color="000000" w:fill="EEEEEE"/>
            <w:vAlign w:val="center"/>
            <w:hideMark/>
          </w:tcPr>
          <w:p w14:paraId="5C21C11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72,7</w:t>
            </w:r>
          </w:p>
        </w:tc>
        <w:tc>
          <w:tcPr>
            <w:tcW w:w="0" w:type="auto"/>
            <w:tcBorders>
              <w:top w:val="nil"/>
              <w:left w:val="nil"/>
              <w:bottom w:val="nil"/>
              <w:right w:val="nil"/>
            </w:tcBorders>
            <w:shd w:val="clear" w:color="000000" w:fill="EEEEEE"/>
            <w:vAlign w:val="center"/>
            <w:hideMark/>
          </w:tcPr>
          <w:p w14:paraId="15FAA52C"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57,1</w:t>
            </w:r>
          </w:p>
        </w:tc>
        <w:tc>
          <w:tcPr>
            <w:tcW w:w="0" w:type="auto"/>
            <w:tcBorders>
              <w:top w:val="nil"/>
              <w:left w:val="nil"/>
              <w:bottom w:val="nil"/>
              <w:right w:val="nil"/>
            </w:tcBorders>
            <w:shd w:val="clear" w:color="000000" w:fill="EEEEEE"/>
            <w:vAlign w:val="center"/>
            <w:hideMark/>
          </w:tcPr>
          <w:p w14:paraId="4B9F337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61,9</w:t>
            </w:r>
          </w:p>
        </w:tc>
        <w:tc>
          <w:tcPr>
            <w:tcW w:w="0" w:type="auto"/>
            <w:tcBorders>
              <w:top w:val="nil"/>
              <w:left w:val="nil"/>
              <w:bottom w:val="nil"/>
              <w:right w:val="nil"/>
            </w:tcBorders>
            <w:shd w:val="clear" w:color="000000" w:fill="EEEEEE"/>
            <w:vAlign w:val="center"/>
            <w:hideMark/>
          </w:tcPr>
          <w:p w14:paraId="35865C0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49,0</w:t>
            </w:r>
          </w:p>
        </w:tc>
        <w:tc>
          <w:tcPr>
            <w:tcW w:w="0" w:type="auto"/>
            <w:tcBorders>
              <w:top w:val="nil"/>
              <w:left w:val="nil"/>
              <w:bottom w:val="nil"/>
              <w:right w:val="nil"/>
            </w:tcBorders>
            <w:shd w:val="clear" w:color="000000" w:fill="EEEEEE"/>
            <w:vAlign w:val="center"/>
            <w:hideMark/>
          </w:tcPr>
          <w:p w14:paraId="7E8680A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51</w:t>
            </w:r>
          </w:p>
        </w:tc>
      </w:tr>
      <w:tr w:rsidR="00E853B4" w:rsidRPr="00422245" w14:paraId="499C7BE4" w14:textId="77777777" w:rsidTr="00E853B4">
        <w:trPr>
          <w:trHeight w:val="290"/>
        </w:trPr>
        <w:tc>
          <w:tcPr>
            <w:tcW w:w="0" w:type="auto"/>
            <w:tcBorders>
              <w:top w:val="nil"/>
              <w:left w:val="single" w:sz="8" w:space="0" w:color="EEEEEE"/>
              <w:bottom w:val="nil"/>
              <w:right w:val="nil"/>
            </w:tcBorders>
            <w:shd w:val="clear" w:color="000000" w:fill="FFFFFF"/>
            <w:vAlign w:val="center"/>
            <w:hideMark/>
          </w:tcPr>
          <w:p w14:paraId="2D0330C1"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NMBU </w:t>
            </w:r>
          </w:p>
        </w:tc>
        <w:tc>
          <w:tcPr>
            <w:tcW w:w="0" w:type="auto"/>
            <w:tcBorders>
              <w:top w:val="nil"/>
              <w:left w:val="single" w:sz="8" w:space="0" w:color="EEEEEE"/>
              <w:bottom w:val="nil"/>
              <w:right w:val="nil"/>
            </w:tcBorders>
            <w:shd w:val="clear" w:color="000000" w:fill="FFFFFF"/>
            <w:vAlign w:val="center"/>
            <w:hideMark/>
          </w:tcPr>
          <w:p w14:paraId="6E72397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62,4</w:t>
            </w:r>
          </w:p>
        </w:tc>
        <w:tc>
          <w:tcPr>
            <w:tcW w:w="0" w:type="auto"/>
            <w:tcBorders>
              <w:top w:val="nil"/>
              <w:left w:val="single" w:sz="8" w:space="0" w:color="EEEEEE"/>
              <w:bottom w:val="nil"/>
              <w:right w:val="nil"/>
            </w:tcBorders>
            <w:shd w:val="clear" w:color="000000" w:fill="FFFFFF"/>
            <w:vAlign w:val="center"/>
            <w:hideMark/>
          </w:tcPr>
          <w:p w14:paraId="2F13BD3C"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69,6</w:t>
            </w:r>
          </w:p>
        </w:tc>
        <w:tc>
          <w:tcPr>
            <w:tcW w:w="0" w:type="auto"/>
            <w:tcBorders>
              <w:top w:val="nil"/>
              <w:left w:val="single" w:sz="8" w:space="0" w:color="EEEEEE"/>
              <w:bottom w:val="nil"/>
              <w:right w:val="nil"/>
            </w:tcBorders>
            <w:shd w:val="clear" w:color="000000" w:fill="FFFFFF"/>
            <w:vAlign w:val="center"/>
            <w:hideMark/>
          </w:tcPr>
          <w:p w14:paraId="234F7E6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74,8</w:t>
            </w:r>
          </w:p>
        </w:tc>
        <w:tc>
          <w:tcPr>
            <w:tcW w:w="0" w:type="auto"/>
            <w:tcBorders>
              <w:top w:val="nil"/>
              <w:left w:val="single" w:sz="8" w:space="0" w:color="EEEEEE"/>
              <w:bottom w:val="nil"/>
              <w:right w:val="nil"/>
            </w:tcBorders>
            <w:shd w:val="clear" w:color="000000" w:fill="FFFFFF"/>
            <w:vAlign w:val="center"/>
            <w:hideMark/>
          </w:tcPr>
          <w:p w14:paraId="3BB082C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67,1</w:t>
            </w:r>
          </w:p>
        </w:tc>
        <w:tc>
          <w:tcPr>
            <w:tcW w:w="0" w:type="auto"/>
            <w:tcBorders>
              <w:top w:val="nil"/>
              <w:left w:val="single" w:sz="8" w:space="0" w:color="EEEEEE"/>
              <w:bottom w:val="nil"/>
              <w:right w:val="nil"/>
            </w:tcBorders>
            <w:shd w:val="clear" w:color="000000" w:fill="FFFFFF"/>
            <w:vAlign w:val="center"/>
            <w:hideMark/>
          </w:tcPr>
          <w:p w14:paraId="7D957B2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77,6</w:t>
            </w:r>
          </w:p>
        </w:tc>
        <w:tc>
          <w:tcPr>
            <w:tcW w:w="0" w:type="auto"/>
            <w:tcBorders>
              <w:top w:val="nil"/>
              <w:left w:val="single" w:sz="8" w:space="0" w:color="EEEEEE"/>
              <w:bottom w:val="nil"/>
              <w:right w:val="nil"/>
            </w:tcBorders>
            <w:shd w:val="clear" w:color="000000" w:fill="FFFFFF"/>
            <w:vAlign w:val="center"/>
            <w:hideMark/>
          </w:tcPr>
          <w:p w14:paraId="6AA1B0B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81,8</w:t>
            </w:r>
          </w:p>
        </w:tc>
        <w:tc>
          <w:tcPr>
            <w:tcW w:w="0" w:type="auto"/>
            <w:tcBorders>
              <w:top w:val="nil"/>
              <w:left w:val="single" w:sz="8" w:space="0" w:color="EEEEEE"/>
              <w:bottom w:val="nil"/>
              <w:right w:val="nil"/>
            </w:tcBorders>
            <w:shd w:val="clear" w:color="000000" w:fill="FFFFFF"/>
            <w:vAlign w:val="center"/>
            <w:hideMark/>
          </w:tcPr>
          <w:p w14:paraId="5804ABDA"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75,7</w:t>
            </w:r>
          </w:p>
        </w:tc>
        <w:tc>
          <w:tcPr>
            <w:tcW w:w="0" w:type="auto"/>
            <w:tcBorders>
              <w:top w:val="nil"/>
              <w:left w:val="single" w:sz="8" w:space="0" w:color="EEEEEE"/>
              <w:bottom w:val="nil"/>
              <w:right w:val="nil"/>
            </w:tcBorders>
            <w:shd w:val="clear" w:color="000000" w:fill="FFFFFF"/>
            <w:vAlign w:val="center"/>
            <w:hideMark/>
          </w:tcPr>
          <w:p w14:paraId="4641A87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69,8</w:t>
            </w:r>
          </w:p>
        </w:tc>
        <w:tc>
          <w:tcPr>
            <w:tcW w:w="0" w:type="auto"/>
            <w:tcBorders>
              <w:top w:val="nil"/>
              <w:left w:val="single" w:sz="8" w:space="0" w:color="EEEEEE"/>
              <w:bottom w:val="nil"/>
              <w:right w:val="nil"/>
            </w:tcBorders>
            <w:shd w:val="clear" w:color="000000" w:fill="FFFFFF"/>
            <w:vAlign w:val="center"/>
            <w:hideMark/>
          </w:tcPr>
          <w:p w14:paraId="5FE8574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68,9</w:t>
            </w:r>
          </w:p>
        </w:tc>
        <w:tc>
          <w:tcPr>
            <w:tcW w:w="0" w:type="auto"/>
            <w:tcBorders>
              <w:top w:val="nil"/>
              <w:left w:val="single" w:sz="8" w:space="0" w:color="EEEEEE"/>
              <w:bottom w:val="nil"/>
              <w:right w:val="nil"/>
            </w:tcBorders>
            <w:shd w:val="clear" w:color="000000" w:fill="FFFFFF"/>
            <w:vAlign w:val="center"/>
            <w:hideMark/>
          </w:tcPr>
          <w:p w14:paraId="6F6A647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67,0</w:t>
            </w:r>
          </w:p>
        </w:tc>
        <w:tc>
          <w:tcPr>
            <w:tcW w:w="0" w:type="auto"/>
            <w:tcBorders>
              <w:top w:val="nil"/>
              <w:left w:val="single" w:sz="8" w:space="0" w:color="EEEEEE"/>
              <w:bottom w:val="nil"/>
              <w:right w:val="nil"/>
            </w:tcBorders>
            <w:shd w:val="clear" w:color="000000" w:fill="FFFFFF"/>
            <w:vAlign w:val="center"/>
            <w:hideMark/>
          </w:tcPr>
          <w:p w14:paraId="5F9DF3B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100</w:t>
            </w:r>
          </w:p>
        </w:tc>
      </w:tr>
      <w:tr w:rsidR="00E853B4" w:rsidRPr="00422245" w14:paraId="77213D21" w14:textId="77777777" w:rsidTr="00E853B4">
        <w:trPr>
          <w:trHeight w:val="290"/>
        </w:trPr>
        <w:tc>
          <w:tcPr>
            <w:tcW w:w="0" w:type="auto"/>
            <w:tcBorders>
              <w:top w:val="nil"/>
              <w:left w:val="nil"/>
              <w:bottom w:val="nil"/>
              <w:right w:val="nil"/>
            </w:tcBorders>
            <w:shd w:val="clear" w:color="000000" w:fill="EEEEEE"/>
            <w:vAlign w:val="center"/>
            <w:hideMark/>
          </w:tcPr>
          <w:p w14:paraId="1349B8B1"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NTNU </w:t>
            </w:r>
          </w:p>
        </w:tc>
        <w:tc>
          <w:tcPr>
            <w:tcW w:w="0" w:type="auto"/>
            <w:tcBorders>
              <w:top w:val="nil"/>
              <w:left w:val="nil"/>
              <w:bottom w:val="nil"/>
              <w:right w:val="nil"/>
            </w:tcBorders>
            <w:shd w:val="clear" w:color="000000" w:fill="EEEEEE"/>
            <w:vAlign w:val="center"/>
            <w:hideMark/>
          </w:tcPr>
          <w:p w14:paraId="0E3F102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67,8</w:t>
            </w:r>
          </w:p>
        </w:tc>
        <w:tc>
          <w:tcPr>
            <w:tcW w:w="0" w:type="auto"/>
            <w:tcBorders>
              <w:top w:val="nil"/>
              <w:left w:val="nil"/>
              <w:bottom w:val="nil"/>
              <w:right w:val="nil"/>
            </w:tcBorders>
            <w:shd w:val="clear" w:color="000000" w:fill="EEEEEE"/>
            <w:vAlign w:val="center"/>
            <w:hideMark/>
          </w:tcPr>
          <w:p w14:paraId="245A93D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64,6</w:t>
            </w:r>
          </w:p>
        </w:tc>
        <w:tc>
          <w:tcPr>
            <w:tcW w:w="0" w:type="auto"/>
            <w:tcBorders>
              <w:top w:val="nil"/>
              <w:left w:val="nil"/>
              <w:bottom w:val="nil"/>
              <w:right w:val="nil"/>
            </w:tcBorders>
            <w:shd w:val="clear" w:color="000000" w:fill="EEEEEE"/>
            <w:vAlign w:val="center"/>
            <w:hideMark/>
          </w:tcPr>
          <w:p w14:paraId="41E5538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72,3</w:t>
            </w:r>
          </w:p>
        </w:tc>
        <w:tc>
          <w:tcPr>
            <w:tcW w:w="0" w:type="auto"/>
            <w:tcBorders>
              <w:top w:val="nil"/>
              <w:left w:val="nil"/>
              <w:bottom w:val="nil"/>
              <w:right w:val="nil"/>
            </w:tcBorders>
            <w:shd w:val="clear" w:color="000000" w:fill="EEEEEE"/>
            <w:vAlign w:val="center"/>
            <w:hideMark/>
          </w:tcPr>
          <w:p w14:paraId="15C2280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69,4</w:t>
            </w:r>
          </w:p>
        </w:tc>
        <w:tc>
          <w:tcPr>
            <w:tcW w:w="0" w:type="auto"/>
            <w:tcBorders>
              <w:top w:val="nil"/>
              <w:left w:val="nil"/>
              <w:bottom w:val="nil"/>
              <w:right w:val="nil"/>
            </w:tcBorders>
            <w:shd w:val="clear" w:color="000000" w:fill="EEEEEE"/>
            <w:vAlign w:val="center"/>
            <w:hideMark/>
          </w:tcPr>
          <w:p w14:paraId="5486610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75,9</w:t>
            </w:r>
          </w:p>
        </w:tc>
        <w:tc>
          <w:tcPr>
            <w:tcW w:w="0" w:type="auto"/>
            <w:tcBorders>
              <w:top w:val="nil"/>
              <w:left w:val="nil"/>
              <w:bottom w:val="nil"/>
              <w:right w:val="nil"/>
            </w:tcBorders>
            <w:shd w:val="clear" w:color="000000" w:fill="EEEEEE"/>
            <w:vAlign w:val="center"/>
            <w:hideMark/>
          </w:tcPr>
          <w:p w14:paraId="4245CE4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75,1</w:t>
            </w:r>
          </w:p>
        </w:tc>
        <w:tc>
          <w:tcPr>
            <w:tcW w:w="0" w:type="auto"/>
            <w:tcBorders>
              <w:top w:val="nil"/>
              <w:left w:val="nil"/>
              <w:bottom w:val="nil"/>
              <w:right w:val="nil"/>
            </w:tcBorders>
            <w:shd w:val="clear" w:color="000000" w:fill="EEEEEE"/>
            <w:vAlign w:val="center"/>
            <w:hideMark/>
          </w:tcPr>
          <w:p w14:paraId="0B07F14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75,5</w:t>
            </w:r>
          </w:p>
        </w:tc>
        <w:tc>
          <w:tcPr>
            <w:tcW w:w="0" w:type="auto"/>
            <w:tcBorders>
              <w:top w:val="nil"/>
              <w:left w:val="nil"/>
              <w:bottom w:val="nil"/>
              <w:right w:val="nil"/>
            </w:tcBorders>
            <w:shd w:val="clear" w:color="000000" w:fill="EEEEEE"/>
            <w:vAlign w:val="center"/>
            <w:hideMark/>
          </w:tcPr>
          <w:p w14:paraId="4AC02F6C"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73,4</w:t>
            </w:r>
          </w:p>
        </w:tc>
        <w:tc>
          <w:tcPr>
            <w:tcW w:w="0" w:type="auto"/>
            <w:tcBorders>
              <w:top w:val="nil"/>
              <w:left w:val="nil"/>
              <w:bottom w:val="nil"/>
              <w:right w:val="nil"/>
            </w:tcBorders>
            <w:shd w:val="clear" w:color="000000" w:fill="EEEEEE"/>
            <w:vAlign w:val="center"/>
            <w:hideMark/>
          </w:tcPr>
          <w:p w14:paraId="49E81B0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71,2</w:t>
            </w:r>
          </w:p>
        </w:tc>
        <w:tc>
          <w:tcPr>
            <w:tcW w:w="0" w:type="auto"/>
            <w:tcBorders>
              <w:top w:val="nil"/>
              <w:left w:val="nil"/>
              <w:bottom w:val="nil"/>
              <w:right w:val="nil"/>
            </w:tcBorders>
            <w:shd w:val="clear" w:color="000000" w:fill="EEEEEE"/>
            <w:vAlign w:val="center"/>
            <w:hideMark/>
          </w:tcPr>
          <w:p w14:paraId="6861986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74,0</w:t>
            </w:r>
          </w:p>
        </w:tc>
        <w:tc>
          <w:tcPr>
            <w:tcW w:w="0" w:type="auto"/>
            <w:tcBorders>
              <w:top w:val="nil"/>
              <w:left w:val="nil"/>
              <w:bottom w:val="nil"/>
              <w:right w:val="nil"/>
            </w:tcBorders>
            <w:shd w:val="clear" w:color="000000" w:fill="EEEEEE"/>
            <w:vAlign w:val="center"/>
            <w:hideMark/>
          </w:tcPr>
          <w:p w14:paraId="031FD45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492</w:t>
            </w:r>
          </w:p>
        </w:tc>
      </w:tr>
      <w:tr w:rsidR="00E853B4" w:rsidRPr="00422245" w14:paraId="6FC98C2D" w14:textId="77777777" w:rsidTr="00E853B4">
        <w:trPr>
          <w:trHeight w:val="290"/>
        </w:trPr>
        <w:tc>
          <w:tcPr>
            <w:tcW w:w="0" w:type="auto"/>
            <w:tcBorders>
              <w:top w:val="nil"/>
              <w:left w:val="single" w:sz="8" w:space="0" w:color="EEEEEE"/>
              <w:bottom w:val="nil"/>
              <w:right w:val="nil"/>
            </w:tcBorders>
            <w:shd w:val="clear" w:color="000000" w:fill="FFFFFF"/>
            <w:vAlign w:val="center"/>
            <w:hideMark/>
          </w:tcPr>
          <w:p w14:paraId="5133180C"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OsloMet </w:t>
            </w:r>
          </w:p>
        </w:tc>
        <w:tc>
          <w:tcPr>
            <w:tcW w:w="0" w:type="auto"/>
            <w:tcBorders>
              <w:top w:val="nil"/>
              <w:left w:val="single" w:sz="8" w:space="0" w:color="EEEEEE"/>
              <w:bottom w:val="nil"/>
              <w:right w:val="nil"/>
            </w:tcBorders>
            <w:shd w:val="clear" w:color="000000" w:fill="FFFFFF"/>
            <w:vAlign w:val="center"/>
            <w:hideMark/>
          </w:tcPr>
          <w:p w14:paraId="302E54E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33,3</w:t>
            </w:r>
          </w:p>
        </w:tc>
        <w:tc>
          <w:tcPr>
            <w:tcW w:w="0" w:type="auto"/>
            <w:tcBorders>
              <w:top w:val="nil"/>
              <w:left w:val="single" w:sz="8" w:space="0" w:color="EEEEEE"/>
              <w:bottom w:val="nil"/>
              <w:right w:val="nil"/>
            </w:tcBorders>
            <w:shd w:val="clear" w:color="000000" w:fill="FFFFFF"/>
            <w:vAlign w:val="center"/>
            <w:hideMark/>
          </w:tcPr>
          <w:p w14:paraId="7C7C2C3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75,0</w:t>
            </w:r>
          </w:p>
        </w:tc>
        <w:tc>
          <w:tcPr>
            <w:tcW w:w="0" w:type="auto"/>
            <w:tcBorders>
              <w:top w:val="nil"/>
              <w:left w:val="single" w:sz="8" w:space="0" w:color="EEEEEE"/>
              <w:bottom w:val="nil"/>
              <w:right w:val="nil"/>
            </w:tcBorders>
            <w:shd w:val="clear" w:color="000000" w:fill="FFFFFF"/>
            <w:vAlign w:val="center"/>
            <w:hideMark/>
          </w:tcPr>
          <w:p w14:paraId="42B9DF7A"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60,0</w:t>
            </w:r>
          </w:p>
        </w:tc>
        <w:tc>
          <w:tcPr>
            <w:tcW w:w="0" w:type="auto"/>
            <w:tcBorders>
              <w:top w:val="nil"/>
              <w:left w:val="single" w:sz="8" w:space="0" w:color="EEEEEE"/>
              <w:bottom w:val="nil"/>
              <w:right w:val="nil"/>
            </w:tcBorders>
            <w:shd w:val="clear" w:color="000000" w:fill="FFFFFF"/>
            <w:vAlign w:val="center"/>
            <w:hideMark/>
          </w:tcPr>
          <w:p w14:paraId="6FBF118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58,8</w:t>
            </w:r>
          </w:p>
        </w:tc>
        <w:tc>
          <w:tcPr>
            <w:tcW w:w="0" w:type="auto"/>
            <w:tcBorders>
              <w:top w:val="nil"/>
              <w:left w:val="single" w:sz="8" w:space="0" w:color="EEEEEE"/>
              <w:bottom w:val="nil"/>
              <w:right w:val="nil"/>
            </w:tcBorders>
            <w:shd w:val="clear" w:color="000000" w:fill="FFFFFF"/>
            <w:vAlign w:val="center"/>
            <w:hideMark/>
          </w:tcPr>
          <w:p w14:paraId="1010497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52,4</w:t>
            </w:r>
          </w:p>
        </w:tc>
        <w:tc>
          <w:tcPr>
            <w:tcW w:w="0" w:type="auto"/>
            <w:tcBorders>
              <w:top w:val="nil"/>
              <w:left w:val="single" w:sz="8" w:space="0" w:color="EEEEEE"/>
              <w:bottom w:val="nil"/>
              <w:right w:val="nil"/>
            </w:tcBorders>
            <w:shd w:val="clear" w:color="000000" w:fill="FFFFFF"/>
            <w:vAlign w:val="center"/>
            <w:hideMark/>
          </w:tcPr>
          <w:p w14:paraId="5BDE9FB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61,8</w:t>
            </w:r>
          </w:p>
        </w:tc>
        <w:tc>
          <w:tcPr>
            <w:tcW w:w="0" w:type="auto"/>
            <w:tcBorders>
              <w:top w:val="nil"/>
              <w:left w:val="single" w:sz="8" w:space="0" w:color="EEEEEE"/>
              <w:bottom w:val="nil"/>
              <w:right w:val="nil"/>
            </w:tcBorders>
            <w:shd w:val="clear" w:color="000000" w:fill="FFFFFF"/>
            <w:vAlign w:val="center"/>
            <w:hideMark/>
          </w:tcPr>
          <w:p w14:paraId="06A1E84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76,3</w:t>
            </w:r>
          </w:p>
        </w:tc>
        <w:tc>
          <w:tcPr>
            <w:tcW w:w="0" w:type="auto"/>
            <w:tcBorders>
              <w:top w:val="nil"/>
              <w:left w:val="single" w:sz="8" w:space="0" w:color="EEEEEE"/>
              <w:bottom w:val="nil"/>
              <w:right w:val="nil"/>
            </w:tcBorders>
            <w:shd w:val="clear" w:color="000000" w:fill="FFFFFF"/>
            <w:vAlign w:val="center"/>
            <w:hideMark/>
          </w:tcPr>
          <w:p w14:paraId="0C58B97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64,5</w:t>
            </w:r>
          </w:p>
        </w:tc>
        <w:tc>
          <w:tcPr>
            <w:tcW w:w="0" w:type="auto"/>
            <w:tcBorders>
              <w:top w:val="nil"/>
              <w:left w:val="single" w:sz="8" w:space="0" w:color="EEEEEE"/>
              <w:bottom w:val="nil"/>
              <w:right w:val="nil"/>
            </w:tcBorders>
            <w:shd w:val="clear" w:color="000000" w:fill="FFFFFF"/>
            <w:vAlign w:val="center"/>
            <w:hideMark/>
          </w:tcPr>
          <w:p w14:paraId="42D0FE7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71,7</w:t>
            </w:r>
          </w:p>
        </w:tc>
        <w:tc>
          <w:tcPr>
            <w:tcW w:w="0" w:type="auto"/>
            <w:tcBorders>
              <w:top w:val="nil"/>
              <w:left w:val="single" w:sz="8" w:space="0" w:color="EEEEEE"/>
              <w:bottom w:val="nil"/>
              <w:right w:val="nil"/>
            </w:tcBorders>
            <w:shd w:val="clear" w:color="000000" w:fill="FFFFFF"/>
            <w:vAlign w:val="center"/>
            <w:hideMark/>
          </w:tcPr>
          <w:p w14:paraId="66BF50C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67,3</w:t>
            </w:r>
          </w:p>
        </w:tc>
        <w:tc>
          <w:tcPr>
            <w:tcW w:w="0" w:type="auto"/>
            <w:tcBorders>
              <w:top w:val="nil"/>
              <w:left w:val="single" w:sz="8" w:space="0" w:color="EEEEEE"/>
              <w:bottom w:val="nil"/>
              <w:right w:val="nil"/>
            </w:tcBorders>
            <w:shd w:val="clear" w:color="000000" w:fill="FFFFFF"/>
            <w:vAlign w:val="center"/>
            <w:hideMark/>
          </w:tcPr>
          <w:p w14:paraId="548AE6EA"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49</w:t>
            </w:r>
          </w:p>
        </w:tc>
      </w:tr>
      <w:tr w:rsidR="00E853B4" w:rsidRPr="00422245" w14:paraId="3D3A2E15" w14:textId="77777777" w:rsidTr="00E853B4">
        <w:trPr>
          <w:trHeight w:val="290"/>
        </w:trPr>
        <w:tc>
          <w:tcPr>
            <w:tcW w:w="0" w:type="auto"/>
            <w:tcBorders>
              <w:top w:val="nil"/>
              <w:left w:val="nil"/>
              <w:bottom w:val="nil"/>
              <w:right w:val="nil"/>
            </w:tcBorders>
            <w:shd w:val="clear" w:color="000000" w:fill="EEEEEE"/>
            <w:vAlign w:val="center"/>
            <w:hideMark/>
          </w:tcPr>
          <w:p w14:paraId="22138D24"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UiA </w:t>
            </w:r>
          </w:p>
        </w:tc>
        <w:tc>
          <w:tcPr>
            <w:tcW w:w="0" w:type="auto"/>
            <w:tcBorders>
              <w:top w:val="nil"/>
              <w:left w:val="nil"/>
              <w:bottom w:val="nil"/>
              <w:right w:val="nil"/>
            </w:tcBorders>
            <w:shd w:val="clear" w:color="000000" w:fill="EEEEEE"/>
            <w:vAlign w:val="center"/>
            <w:hideMark/>
          </w:tcPr>
          <w:p w14:paraId="631A5C0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62,1</w:t>
            </w:r>
          </w:p>
        </w:tc>
        <w:tc>
          <w:tcPr>
            <w:tcW w:w="0" w:type="auto"/>
            <w:tcBorders>
              <w:top w:val="nil"/>
              <w:left w:val="nil"/>
              <w:bottom w:val="nil"/>
              <w:right w:val="nil"/>
            </w:tcBorders>
            <w:shd w:val="clear" w:color="000000" w:fill="EEEEEE"/>
            <w:vAlign w:val="center"/>
            <w:hideMark/>
          </w:tcPr>
          <w:p w14:paraId="0549F42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55,6</w:t>
            </w:r>
          </w:p>
        </w:tc>
        <w:tc>
          <w:tcPr>
            <w:tcW w:w="0" w:type="auto"/>
            <w:tcBorders>
              <w:top w:val="nil"/>
              <w:left w:val="nil"/>
              <w:bottom w:val="nil"/>
              <w:right w:val="nil"/>
            </w:tcBorders>
            <w:shd w:val="clear" w:color="000000" w:fill="EEEEEE"/>
            <w:vAlign w:val="center"/>
            <w:hideMark/>
          </w:tcPr>
          <w:p w14:paraId="0128541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53,3</w:t>
            </w:r>
          </w:p>
        </w:tc>
        <w:tc>
          <w:tcPr>
            <w:tcW w:w="0" w:type="auto"/>
            <w:tcBorders>
              <w:top w:val="nil"/>
              <w:left w:val="nil"/>
              <w:bottom w:val="nil"/>
              <w:right w:val="nil"/>
            </w:tcBorders>
            <w:shd w:val="clear" w:color="000000" w:fill="EEEEEE"/>
            <w:vAlign w:val="center"/>
            <w:hideMark/>
          </w:tcPr>
          <w:p w14:paraId="032D9FC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63,0</w:t>
            </w:r>
          </w:p>
        </w:tc>
        <w:tc>
          <w:tcPr>
            <w:tcW w:w="0" w:type="auto"/>
            <w:tcBorders>
              <w:top w:val="nil"/>
              <w:left w:val="nil"/>
              <w:bottom w:val="nil"/>
              <w:right w:val="nil"/>
            </w:tcBorders>
            <w:shd w:val="clear" w:color="000000" w:fill="EEEEEE"/>
            <w:vAlign w:val="center"/>
            <w:hideMark/>
          </w:tcPr>
          <w:p w14:paraId="0856CD4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62,5</w:t>
            </w:r>
          </w:p>
        </w:tc>
        <w:tc>
          <w:tcPr>
            <w:tcW w:w="0" w:type="auto"/>
            <w:tcBorders>
              <w:top w:val="nil"/>
              <w:left w:val="nil"/>
              <w:bottom w:val="nil"/>
              <w:right w:val="nil"/>
            </w:tcBorders>
            <w:shd w:val="clear" w:color="000000" w:fill="EEEEEE"/>
            <w:vAlign w:val="center"/>
            <w:hideMark/>
          </w:tcPr>
          <w:p w14:paraId="050E5FD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65,0</w:t>
            </w:r>
          </w:p>
        </w:tc>
        <w:tc>
          <w:tcPr>
            <w:tcW w:w="0" w:type="auto"/>
            <w:tcBorders>
              <w:top w:val="nil"/>
              <w:left w:val="nil"/>
              <w:bottom w:val="nil"/>
              <w:right w:val="nil"/>
            </w:tcBorders>
            <w:shd w:val="clear" w:color="000000" w:fill="EEEEEE"/>
            <w:vAlign w:val="center"/>
            <w:hideMark/>
          </w:tcPr>
          <w:p w14:paraId="138099E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66,0</w:t>
            </w:r>
          </w:p>
        </w:tc>
        <w:tc>
          <w:tcPr>
            <w:tcW w:w="0" w:type="auto"/>
            <w:tcBorders>
              <w:top w:val="nil"/>
              <w:left w:val="nil"/>
              <w:bottom w:val="nil"/>
              <w:right w:val="nil"/>
            </w:tcBorders>
            <w:shd w:val="clear" w:color="000000" w:fill="EEEEEE"/>
            <w:vAlign w:val="center"/>
            <w:hideMark/>
          </w:tcPr>
          <w:p w14:paraId="479CA331"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79,2</w:t>
            </w:r>
          </w:p>
        </w:tc>
        <w:tc>
          <w:tcPr>
            <w:tcW w:w="0" w:type="auto"/>
            <w:tcBorders>
              <w:top w:val="nil"/>
              <w:left w:val="nil"/>
              <w:bottom w:val="nil"/>
              <w:right w:val="nil"/>
            </w:tcBorders>
            <w:shd w:val="clear" w:color="000000" w:fill="EEEEEE"/>
            <w:vAlign w:val="center"/>
            <w:hideMark/>
          </w:tcPr>
          <w:p w14:paraId="5F2D725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65,0</w:t>
            </w:r>
          </w:p>
        </w:tc>
        <w:tc>
          <w:tcPr>
            <w:tcW w:w="0" w:type="auto"/>
            <w:tcBorders>
              <w:top w:val="nil"/>
              <w:left w:val="nil"/>
              <w:bottom w:val="nil"/>
              <w:right w:val="nil"/>
            </w:tcBorders>
            <w:shd w:val="clear" w:color="000000" w:fill="EEEEEE"/>
            <w:vAlign w:val="center"/>
            <w:hideMark/>
          </w:tcPr>
          <w:p w14:paraId="6D886C8A"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55,2</w:t>
            </w:r>
          </w:p>
        </w:tc>
        <w:tc>
          <w:tcPr>
            <w:tcW w:w="0" w:type="auto"/>
            <w:tcBorders>
              <w:top w:val="nil"/>
              <w:left w:val="nil"/>
              <w:bottom w:val="nil"/>
              <w:right w:val="nil"/>
            </w:tcBorders>
            <w:shd w:val="clear" w:color="000000" w:fill="EEEEEE"/>
            <w:vAlign w:val="center"/>
            <w:hideMark/>
          </w:tcPr>
          <w:p w14:paraId="25B8CA6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58</w:t>
            </w:r>
          </w:p>
        </w:tc>
      </w:tr>
      <w:tr w:rsidR="00E853B4" w:rsidRPr="00422245" w14:paraId="2ACFB093" w14:textId="77777777" w:rsidTr="00E853B4">
        <w:trPr>
          <w:trHeight w:val="290"/>
        </w:trPr>
        <w:tc>
          <w:tcPr>
            <w:tcW w:w="0" w:type="auto"/>
            <w:tcBorders>
              <w:top w:val="nil"/>
              <w:left w:val="single" w:sz="8" w:space="0" w:color="EEEEEE"/>
              <w:bottom w:val="nil"/>
              <w:right w:val="nil"/>
            </w:tcBorders>
            <w:shd w:val="clear" w:color="000000" w:fill="FFFFFF"/>
            <w:vAlign w:val="center"/>
            <w:hideMark/>
          </w:tcPr>
          <w:p w14:paraId="7C06B2D8"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UiB </w:t>
            </w:r>
          </w:p>
        </w:tc>
        <w:tc>
          <w:tcPr>
            <w:tcW w:w="0" w:type="auto"/>
            <w:tcBorders>
              <w:top w:val="nil"/>
              <w:left w:val="single" w:sz="8" w:space="0" w:color="EEEEEE"/>
              <w:bottom w:val="nil"/>
              <w:right w:val="nil"/>
            </w:tcBorders>
            <w:shd w:val="clear" w:color="000000" w:fill="FFFFFF"/>
            <w:vAlign w:val="center"/>
            <w:hideMark/>
          </w:tcPr>
          <w:p w14:paraId="2807F2C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74,0</w:t>
            </w:r>
          </w:p>
        </w:tc>
        <w:tc>
          <w:tcPr>
            <w:tcW w:w="0" w:type="auto"/>
            <w:tcBorders>
              <w:top w:val="nil"/>
              <w:left w:val="single" w:sz="8" w:space="0" w:color="EEEEEE"/>
              <w:bottom w:val="nil"/>
              <w:right w:val="nil"/>
            </w:tcBorders>
            <w:shd w:val="clear" w:color="000000" w:fill="FFFFFF"/>
            <w:vAlign w:val="center"/>
            <w:hideMark/>
          </w:tcPr>
          <w:p w14:paraId="53FA25FE"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77,4</w:t>
            </w:r>
          </w:p>
        </w:tc>
        <w:tc>
          <w:tcPr>
            <w:tcW w:w="0" w:type="auto"/>
            <w:tcBorders>
              <w:top w:val="nil"/>
              <w:left w:val="single" w:sz="8" w:space="0" w:color="EEEEEE"/>
              <w:bottom w:val="nil"/>
              <w:right w:val="nil"/>
            </w:tcBorders>
            <w:shd w:val="clear" w:color="000000" w:fill="FFFFFF"/>
            <w:vAlign w:val="center"/>
            <w:hideMark/>
          </w:tcPr>
          <w:p w14:paraId="3E906FB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65,3</w:t>
            </w:r>
          </w:p>
        </w:tc>
        <w:tc>
          <w:tcPr>
            <w:tcW w:w="0" w:type="auto"/>
            <w:tcBorders>
              <w:top w:val="nil"/>
              <w:left w:val="single" w:sz="8" w:space="0" w:color="EEEEEE"/>
              <w:bottom w:val="nil"/>
              <w:right w:val="nil"/>
            </w:tcBorders>
            <w:shd w:val="clear" w:color="000000" w:fill="FFFFFF"/>
            <w:vAlign w:val="center"/>
            <w:hideMark/>
          </w:tcPr>
          <w:p w14:paraId="461AB5A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70,7</w:t>
            </w:r>
          </w:p>
        </w:tc>
        <w:tc>
          <w:tcPr>
            <w:tcW w:w="0" w:type="auto"/>
            <w:tcBorders>
              <w:top w:val="nil"/>
              <w:left w:val="single" w:sz="8" w:space="0" w:color="EEEEEE"/>
              <w:bottom w:val="nil"/>
              <w:right w:val="nil"/>
            </w:tcBorders>
            <w:shd w:val="clear" w:color="000000" w:fill="FFFFFF"/>
            <w:vAlign w:val="center"/>
            <w:hideMark/>
          </w:tcPr>
          <w:p w14:paraId="09B73F9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68,8</w:t>
            </w:r>
          </w:p>
        </w:tc>
        <w:tc>
          <w:tcPr>
            <w:tcW w:w="0" w:type="auto"/>
            <w:tcBorders>
              <w:top w:val="nil"/>
              <w:left w:val="single" w:sz="8" w:space="0" w:color="EEEEEE"/>
              <w:bottom w:val="nil"/>
              <w:right w:val="nil"/>
            </w:tcBorders>
            <w:shd w:val="clear" w:color="000000" w:fill="FFFFFF"/>
            <w:vAlign w:val="center"/>
            <w:hideMark/>
          </w:tcPr>
          <w:p w14:paraId="560ED2E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64,4</w:t>
            </w:r>
          </w:p>
        </w:tc>
        <w:tc>
          <w:tcPr>
            <w:tcW w:w="0" w:type="auto"/>
            <w:tcBorders>
              <w:top w:val="nil"/>
              <w:left w:val="single" w:sz="8" w:space="0" w:color="EEEEEE"/>
              <w:bottom w:val="nil"/>
              <w:right w:val="nil"/>
            </w:tcBorders>
            <w:shd w:val="clear" w:color="000000" w:fill="FFFFFF"/>
            <w:vAlign w:val="center"/>
            <w:hideMark/>
          </w:tcPr>
          <w:p w14:paraId="11BEB6DA"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73,7</w:t>
            </w:r>
          </w:p>
        </w:tc>
        <w:tc>
          <w:tcPr>
            <w:tcW w:w="0" w:type="auto"/>
            <w:tcBorders>
              <w:top w:val="nil"/>
              <w:left w:val="single" w:sz="8" w:space="0" w:color="EEEEEE"/>
              <w:bottom w:val="nil"/>
              <w:right w:val="nil"/>
            </w:tcBorders>
            <w:shd w:val="clear" w:color="000000" w:fill="FFFFFF"/>
            <w:vAlign w:val="center"/>
            <w:hideMark/>
          </w:tcPr>
          <w:p w14:paraId="5C797A1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71,4</w:t>
            </w:r>
          </w:p>
        </w:tc>
        <w:tc>
          <w:tcPr>
            <w:tcW w:w="0" w:type="auto"/>
            <w:tcBorders>
              <w:top w:val="nil"/>
              <w:left w:val="single" w:sz="8" w:space="0" w:color="EEEEEE"/>
              <w:bottom w:val="nil"/>
              <w:right w:val="nil"/>
            </w:tcBorders>
            <w:shd w:val="clear" w:color="000000" w:fill="FFFFFF"/>
            <w:vAlign w:val="center"/>
            <w:hideMark/>
          </w:tcPr>
          <w:p w14:paraId="3B4EE88E"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69,6</w:t>
            </w:r>
          </w:p>
        </w:tc>
        <w:tc>
          <w:tcPr>
            <w:tcW w:w="0" w:type="auto"/>
            <w:tcBorders>
              <w:top w:val="nil"/>
              <w:left w:val="single" w:sz="8" w:space="0" w:color="EEEEEE"/>
              <w:bottom w:val="nil"/>
              <w:right w:val="nil"/>
            </w:tcBorders>
            <w:shd w:val="clear" w:color="000000" w:fill="FFFFFF"/>
            <w:vAlign w:val="center"/>
            <w:hideMark/>
          </w:tcPr>
          <w:p w14:paraId="5D3C5BA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69,1</w:t>
            </w:r>
          </w:p>
        </w:tc>
        <w:tc>
          <w:tcPr>
            <w:tcW w:w="0" w:type="auto"/>
            <w:tcBorders>
              <w:top w:val="nil"/>
              <w:left w:val="single" w:sz="8" w:space="0" w:color="EEEEEE"/>
              <w:bottom w:val="nil"/>
              <w:right w:val="nil"/>
            </w:tcBorders>
            <w:shd w:val="clear" w:color="000000" w:fill="FFFFFF"/>
            <w:vAlign w:val="center"/>
            <w:hideMark/>
          </w:tcPr>
          <w:p w14:paraId="6F94641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278</w:t>
            </w:r>
          </w:p>
        </w:tc>
      </w:tr>
      <w:tr w:rsidR="00E853B4" w:rsidRPr="00422245" w14:paraId="11D930BB" w14:textId="77777777" w:rsidTr="00E853B4">
        <w:trPr>
          <w:trHeight w:val="290"/>
        </w:trPr>
        <w:tc>
          <w:tcPr>
            <w:tcW w:w="0" w:type="auto"/>
            <w:tcBorders>
              <w:top w:val="nil"/>
              <w:left w:val="nil"/>
              <w:bottom w:val="nil"/>
              <w:right w:val="nil"/>
            </w:tcBorders>
            <w:shd w:val="clear" w:color="000000" w:fill="EEEEEE"/>
            <w:vAlign w:val="center"/>
            <w:hideMark/>
          </w:tcPr>
          <w:p w14:paraId="7CB5CD7E"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UiO </w:t>
            </w:r>
          </w:p>
        </w:tc>
        <w:tc>
          <w:tcPr>
            <w:tcW w:w="0" w:type="auto"/>
            <w:tcBorders>
              <w:top w:val="nil"/>
              <w:left w:val="nil"/>
              <w:bottom w:val="nil"/>
              <w:right w:val="nil"/>
            </w:tcBorders>
            <w:shd w:val="clear" w:color="000000" w:fill="EEEEEE"/>
            <w:vAlign w:val="center"/>
            <w:hideMark/>
          </w:tcPr>
          <w:p w14:paraId="65994FA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65,3</w:t>
            </w:r>
          </w:p>
        </w:tc>
        <w:tc>
          <w:tcPr>
            <w:tcW w:w="0" w:type="auto"/>
            <w:tcBorders>
              <w:top w:val="nil"/>
              <w:left w:val="nil"/>
              <w:bottom w:val="nil"/>
              <w:right w:val="nil"/>
            </w:tcBorders>
            <w:shd w:val="clear" w:color="000000" w:fill="EEEEEE"/>
            <w:vAlign w:val="center"/>
            <w:hideMark/>
          </w:tcPr>
          <w:p w14:paraId="4591EE0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65,8</w:t>
            </w:r>
          </w:p>
        </w:tc>
        <w:tc>
          <w:tcPr>
            <w:tcW w:w="0" w:type="auto"/>
            <w:tcBorders>
              <w:top w:val="nil"/>
              <w:left w:val="nil"/>
              <w:bottom w:val="nil"/>
              <w:right w:val="nil"/>
            </w:tcBorders>
            <w:shd w:val="clear" w:color="000000" w:fill="EEEEEE"/>
            <w:vAlign w:val="center"/>
            <w:hideMark/>
          </w:tcPr>
          <w:p w14:paraId="0A6517A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66,7</w:t>
            </w:r>
          </w:p>
        </w:tc>
        <w:tc>
          <w:tcPr>
            <w:tcW w:w="0" w:type="auto"/>
            <w:tcBorders>
              <w:top w:val="nil"/>
              <w:left w:val="nil"/>
              <w:bottom w:val="nil"/>
              <w:right w:val="nil"/>
            </w:tcBorders>
            <w:shd w:val="clear" w:color="000000" w:fill="EEEEEE"/>
            <w:vAlign w:val="center"/>
            <w:hideMark/>
          </w:tcPr>
          <w:p w14:paraId="634A03D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63,5</w:t>
            </w:r>
          </w:p>
        </w:tc>
        <w:tc>
          <w:tcPr>
            <w:tcW w:w="0" w:type="auto"/>
            <w:tcBorders>
              <w:top w:val="nil"/>
              <w:left w:val="nil"/>
              <w:bottom w:val="nil"/>
              <w:right w:val="nil"/>
            </w:tcBorders>
            <w:shd w:val="clear" w:color="000000" w:fill="EEEEEE"/>
            <w:vAlign w:val="center"/>
            <w:hideMark/>
          </w:tcPr>
          <w:p w14:paraId="2983221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66,0</w:t>
            </w:r>
          </w:p>
        </w:tc>
        <w:tc>
          <w:tcPr>
            <w:tcW w:w="0" w:type="auto"/>
            <w:tcBorders>
              <w:top w:val="nil"/>
              <w:left w:val="nil"/>
              <w:bottom w:val="nil"/>
              <w:right w:val="nil"/>
            </w:tcBorders>
            <w:shd w:val="clear" w:color="000000" w:fill="EEEEEE"/>
            <w:vAlign w:val="center"/>
            <w:hideMark/>
          </w:tcPr>
          <w:p w14:paraId="26BF4F9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61,4</w:t>
            </w:r>
          </w:p>
        </w:tc>
        <w:tc>
          <w:tcPr>
            <w:tcW w:w="0" w:type="auto"/>
            <w:tcBorders>
              <w:top w:val="nil"/>
              <w:left w:val="nil"/>
              <w:bottom w:val="nil"/>
              <w:right w:val="nil"/>
            </w:tcBorders>
            <w:shd w:val="clear" w:color="000000" w:fill="EEEEEE"/>
            <w:vAlign w:val="center"/>
            <w:hideMark/>
          </w:tcPr>
          <w:p w14:paraId="145CB35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67,2</w:t>
            </w:r>
          </w:p>
        </w:tc>
        <w:tc>
          <w:tcPr>
            <w:tcW w:w="0" w:type="auto"/>
            <w:tcBorders>
              <w:top w:val="nil"/>
              <w:left w:val="nil"/>
              <w:bottom w:val="nil"/>
              <w:right w:val="nil"/>
            </w:tcBorders>
            <w:shd w:val="clear" w:color="000000" w:fill="EEEEEE"/>
            <w:vAlign w:val="center"/>
            <w:hideMark/>
          </w:tcPr>
          <w:p w14:paraId="4358CA8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65,1</w:t>
            </w:r>
          </w:p>
        </w:tc>
        <w:tc>
          <w:tcPr>
            <w:tcW w:w="0" w:type="auto"/>
            <w:tcBorders>
              <w:top w:val="nil"/>
              <w:left w:val="nil"/>
              <w:bottom w:val="nil"/>
              <w:right w:val="nil"/>
            </w:tcBorders>
            <w:shd w:val="clear" w:color="000000" w:fill="EEEEEE"/>
            <w:vAlign w:val="center"/>
            <w:hideMark/>
          </w:tcPr>
          <w:p w14:paraId="405E602E"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65,2</w:t>
            </w:r>
          </w:p>
        </w:tc>
        <w:tc>
          <w:tcPr>
            <w:tcW w:w="0" w:type="auto"/>
            <w:tcBorders>
              <w:top w:val="nil"/>
              <w:left w:val="nil"/>
              <w:bottom w:val="nil"/>
              <w:right w:val="nil"/>
            </w:tcBorders>
            <w:shd w:val="clear" w:color="000000" w:fill="EEEEEE"/>
            <w:vAlign w:val="center"/>
            <w:hideMark/>
          </w:tcPr>
          <w:p w14:paraId="7F9C94F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60,2</w:t>
            </w:r>
          </w:p>
        </w:tc>
        <w:tc>
          <w:tcPr>
            <w:tcW w:w="0" w:type="auto"/>
            <w:tcBorders>
              <w:top w:val="nil"/>
              <w:left w:val="nil"/>
              <w:bottom w:val="nil"/>
              <w:right w:val="nil"/>
            </w:tcBorders>
            <w:shd w:val="clear" w:color="000000" w:fill="EEEEEE"/>
            <w:vAlign w:val="center"/>
            <w:hideMark/>
          </w:tcPr>
          <w:p w14:paraId="350B697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507</w:t>
            </w:r>
          </w:p>
        </w:tc>
      </w:tr>
      <w:tr w:rsidR="00E853B4" w:rsidRPr="00422245" w14:paraId="34017FAD" w14:textId="77777777" w:rsidTr="00E853B4">
        <w:trPr>
          <w:trHeight w:val="290"/>
        </w:trPr>
        <w:tc>
          <w:tcPr>
            <w:tcW w:w="0" w:type="auto"/>
            <w:tcBorders>
              <w:top w:val="nil"/>
              <w:left w:val="single" w:sz="8" w:space="0" w:color="EEEEEE"/>
              <w:bottom w:val="nil"/>
              <w:right w:val="nil"/>
            </w:tcBorders>
            <w:shd w:val="clear" w:color="000000" w:fill="FFFFFF"/>
            <w:vAlign w:val="center"/>
            <w:hideMark/>
          </w:tcPr>
          <w:p w14:paraId="542F2224"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UiS </w:t>
            </w:r>
          </w:p>
        </w:tc>
        <w:tc>
          <w:tcPr>
            <w:tcW w:w="0" w:type="auto"/>
            <w:tcBorders>
              <w:top w:val="nil"/>
              <w:left w:val="single" w:sz="8" w:space="0" w:color="EEEEEE"/>
              <w:bottom w:val="nil"/>
              <w:right w:val="nil"/>
            </w:tcBorders>
            <w:shd w:val="clear" w:color="000000" w:fill="FFFFFF"/>
            <w:vAlign w:val="center"/>
            <w:hideMark/>
          </w:tcPr>
          <w:p w14:paraId="2F3D9F5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56,9</w:t>
            </w:r>
          </w:p>
        </w:tc>
        <w:tc>
          <w:tcPr>
            <w:tcW w:w="0" w:type="auto"/>
            <w:tcBorders>
              <w:top w:val="nil"/>
              <w:left w:val="single" w:sz="8" w:space="0" w:color="EEEEEE"/>
              <w:bottom w:val="nil"/>
              <w:right w:val="nil"/>
            </w:tcBorders>
            <w:shd w:val="clear" w:color="000000" w:fill="FFFFFF"/>
            <w:vAlign w:val="center"/>
            <w:hideMark/>
          </w:tcPr>
          <w:p w14:paraId="6A1775E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49,1</w:t>
            </w:r>
          </w:p>
        </w:tc>
        <w:tc>
          <w:tcPr>
            <w:tcW w:w="0" w:type="auto"/>
            <w:tcBorders>
              <w:top w:val="nil"/>
              <w:left w:val="single" w:sz="8" w:space="0" w:color="EEEEEE"/>
              <w:bottom w:val="nil"/>
              <w:right w:val="nil"/>
            </w:tcBorders>
            <w:shd w:val="clear" w:color="000000" w:fill="FFFFFF"/>
            <w:vAlign w:val="center"/>
            <w:hideMark/>
          </w:tcPr>
          <w:p w14:paraId="2113AEFC"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68,2</w:t>
            </w:r>
          </w:p>
        </w:tc>
        <w:tc>
          <w:tcPr>
            <w:tcW w:w="0" w:type="auto"/>
            <w:tcBorders>
              <w:top w:val="nil"/>
              <w:left w:val="single" w:sz="8" w:space="0" w:color="EEEEEE"/>
              <w:bottom w:val="nil"/>
              <w:right w:val="nil"/>
            </w:tcBorders>
            <w:shd w:val="clear" w:color="000000" w:fill="FFFFFF"/>
            <w:vAlign w:val="center"/>
            <w:hideMark/>
          </w:tcPr>
          <w:p w14:paraId="0B2CC1A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63,8</w:t>
            </w:r>
          </w:p>
        </w:tc>
        <w:tc>
          <w:tcPr>
            <w:tcW w:w="0" w:type="auto"/>
            <w:tcBorders>
              <w:top w:val="nil"/>
              <w:left w:val="single" w:sz="8" w:space="0" w:color="EEEEEE"/>
              <w:bottom w:val="nil"/>
              <w:right w:val="nil"/>
            </w:tcBorders>
            <w:shd w:val="clear" w:color="000000" w:fill="FFFFFF"/>
            <w:vAlign w:val="center"/>
            <w:hideMark/>
          </w:tcPr>
          <w:p w14:paraId="4F0D0D4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63,5</w:t>
            </w:r>
          </w:p>
        </w:tc>
        <w:tc>
          <w:tcPr>
            <w:tcW w:w="0" w:type="auto"/>
            <w:tcBorders>
              <w:top w:val="nil"/>
              <w:left w:val="single" w:sz="8" w:space="0" w:color="EEEEEE"/>
              <w:bottom w:val="nil"/>
              <w:right w:val="nil"/>
            </w:tcBorders>
            <w:shd w:val="clear" w:color="000000" w:fill="FFFFFF"/>
            <w:vAlign w:val="center"/>
            <w:hideMark/>
          </w:tcPr>
          <w:p w14:paraId="42C3948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57,8</w:t>
            </w:r>
          </w:p>
        </w:tc>
        <w:tc>
          <w:tcPr>
            <w:tcW w:w="0" w:type="auto"/>
            <w:tcBorders>
              <w:top w:val="nil"/>
              <w:left w:val="single" w:sz="8" w:space="0" w:color="EEEEEE"/>
              <w:bottom w:val="nil"/>
              <w:right w:val="nil"/>
            </w:tcBorders>
            <w:shd w:val="clear" w:color="000000" w:fill="FFFFFF"/>
            <w:vAlign w:val="center"/>
            <w:hideMark/>
          </w:tcPr>
          <w:p w14:paraId="6425747A"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75,0</w:t>
            </w:r>
          </w:p>
        </w:tc>
        <w:tc>
          <w:tcPr>
            <w:tcW w:w="0" w:type="auto"/>
            <w:tcBorders>
              <w:top w:val="nil"/>
              <w:left w:val="single" w:sz="8" w:space="0" w:color="EEEEEE"/>
              <w:bottom w:val="nil"/>
              <w:right w:val="nil"/>
            </w:tcBorders>
            <w:shd w:val="clear" w:color="000000" w:fill="FFFFFF"/>
            <w:vAlign w:val="center"/>
            <w:hideMark/>
          </w:tcPr>
          <w:p w14:paraId="0BF2551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67,9</w:t>
            </w:r>
          </w:p>
        </w:tc>
        <w:tc>
          <w:tcPr>
            <w:tcW w:w="0" w:type="auto"/>
            <w:tcBorders>
              <w:top w:val="nil"/>
              <w:left w:val="single" w:sz="8" w:space="0" w:color="EEEEEE"/>
              <w:bottom w:val="nil"/>
              <w:right w:val="nil"/>
            </w:tcBorders>
            <w:shd w:val="clear" w:color="000000" w:fill="FFFFFF"/>
            <w:vAlign w:val="center"/>
            <w:hideMark/>
          </w:tcPr>
          <w:p w14:paraId="6AB66AD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64,4</w:t>
            </w:r>
          </w:p>
        </w:tc>
        <w:tc>
          <w:tcPr>
            <w:tcW w:w="0" w:type="auto"/>
            <w:tcBorders>
              <w:top w:val="nil"/>
              <w:left w:val="single" w:sz="8" w:space="0" w:color="EEEEEE"/>
              <w:bottom w:val="nil"/>
              <w:right w:val="nil"/>
            </w:tcBorders>
            <w:shd w:val="clear" w:color="000000" w:fill="FFFFFF"/>
            <w:vAlign w:val="center"/>
            <w:hideMark/>
          </w:tcPr>
          <w:p w14:paraId="732D384E"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60,3</w:t>
            </w:r>
          </w:p>
        </w:tc>
        <w:tc>
          <w:tcPr>
            <w:tcW w:w="0" w:type="auto"/>
            <w:tcBorders>
              <w:top w:val="nil"/>
              <w:left w:val="single" w:sz="8" w:space="0" w:color="EEEEEE"/>
              <w:bottom w:val="nil"/>
              <w:right w:val="nil"/>
            </w:tcBorders>
            <w:shd w:val="clear" w:color="000000" w:fill="FFFFFF"/>
            <w:vAlign w:val="center"/>
            <w:hideMark/>
          </w:tcPr>
          <w:p w14:paraId="28D5FAC1"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73</w:t>
            </w:r>
          </w:p>
        </w:tc>
      </w:tr>
      <w:tr w:rsidR="00E853B4" w:rsidRPr="00422245" w14:paraId="0B49EFF7" w14:textId="77777777" w:rsidTr="00E853B4">
        <w:trPr>
          <w:trHeight w:val="290"/>
        </w:trPr>
        <w:tc>
          <w:tcPr>
            <w:tcW w:w="0" w:type="auto"/>
            <w:tcBorders>
              <w:top w:val="nil"/>
              <w:left w:val="nil"/>
              <w:bottom w:val="nil"/>
              <w:right w:val="nil"/>
            </w:tcBorders>
            <w:shd w:val="clear" w:color="000000" w:fill="EEEEEE"/>
            <w:vAlign w:val="center"/>
            <w:hideMark/>
          </w:tcPr>
          <w:p w14:paraId="388BE737"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USN </w:t>
            </w:r>
          </w:p>
        </w:tc>
        <w:tc>
          <w:tcPr>
            <w:tcW w:w="0" w:type="auto"/>
            <w:tcBorders>
              <w:top w:val="nil"/>
              <w:left w:val="nil"/>
              <w:bottom w:val="nil"/>
              <w:right w:val="nil"/>
            </w:tcBorders>
            <w:shd w:val="clear" w:color="000000" w:fill="EEEEEE"/>
            <w:vAlign w:val="center"/>
            <w:hideMark/>
          </w:tcPr>
          <w:p w14:paraId="6A31FAE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nil"/>
              <w:bottom w:val="nil"/>
              <w:right w:val="nil"/>
            </w:tcBorders>
            <w:shd w:val="clear" w:color="000000" w:fill="EEEEEE"/>
            <w:vAlign w:val="center"/>
            <w:hideMark/>
          </w:tcPr>
          <w:p w14:paraId="1A7251AC"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nil"/>
              <w:bottom w:val="nil"/>
              <w:right w:val="nil"/>
            </w:tcBorders>
            <w:shd w:val="clear" w:color="000000" w:fill="EEEEEE"/>
            <w:vAlign w:val="center"/>
            <w:hideMark/>
          </w:tcPr>
          <w:p w14:paraId="2EB3F55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42,9</w:t>
            </w:r>
          </w:p>
        </w:tc>
        <w:tc>
          <w:tcPr>
            <w:tcW w:w="0" w:type="auto"/>
            <w:tcBorders>
              <w:top w:val="nil"/>
              <w:left w:val="nil"/>
              <w:bottom w:val="nil"/>
              <w:right w:val="nil"/>
            </w:tcBorders>
            <w:shd w:val="clear" w:color="000000" w:fill="EEEEEE"/>
            <w:vAlign w:val="center"/>
            <w:hideMark/>
          </w:tcPr>
          <w:p w14:paraId="48D8243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71,4</w:t>
            </w:r>
          </w:p>
        </w:tc>
        <w:tc>
          <w:tcPr>
            <w:tcW w:w="0" w:type="auto"/>
            <w:tcBorders>
              <w:top w:val="nil"/>
              <w:left w:val="nil"/>
              <w:bottom w:val="nil"/>
              <w:right w:val="nil"/>
            </w:tcBorders>
            <w:shd w:val="clear" w:color="000000" w:fill="EEEEEE"/>
            <w:vAlign w:val="center"/>
            <w:hideMark/>
          </w:tcPr>
          <w:p w14:paraId="26F1ED0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57,9</w:t>
            </w:r>
          </w:p>
        </w:tc>
        <w:tc>
          <w:tcPr>
            <w:tcW w:w="0" w:type="auto"/>
            <w:tcBorders>
              <w:top w:val="nil"/>
              <w:left w:val="nil"/>
              <w:bottom w:val="nil"/>
              <w:right w:val="nil"/>
            </w:tcBorders>
            <w:shd w:val="clear" w:color="000000" w:fill="EEEEEE"/>
            <w:vAlign w:val="center"/>
            <w:hideMark/>
          </w:tcPr>
          <w:p w14:paraId="2A1F155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66,7</w:t>
            </w:r>
          </w:p>
        </w:tc>
        <w:tc>
          <w:tcPr>
            <w:tcW w:w="0" w:type="auto"/>
            <w:tcBorders>
              <w:top w:val="nil"/>
              <w:left w:val="nil"/>
              <w:bottom w:val="nil"/>
              <w:right w:val="nil"/>
            </w:tcBorders>
            <w:shd w:val="clear" w:color="000000" w:fill="EEEEEE"/>
            <w:vAlign w:val="center"/>
            <w:hideMark/>
          </w:tcPr>
          <w:p w14:paraId="05825E6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66,7</w:t>
            </w:r>
          </w:p>
        </w:tc>
        <w:tc>
          <w:tcPr>
            <w:tcW w:w="0" w:type="auto"/>
            <w:tcBorders>
              <w:top w:val="nil"/>
              <w:left w:val="nil"/>
              <w:bottom w:val="nil"/>
              <w:right w:val="nil"/>
            </w:tcBorders>
            <w:shd w:val="clear" w:color="000000" w:fill="EEEEEE"/>
            <w:vAlign w:val="center"/>
            <w:hideMark/>
          </w:tcPr>
          <w:p w14:paraId="756B9CC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63,4</w:t>
            </w:r>
          </w:p>
        </w:tc>
        <w:tc>
          <w:tcPr>
            <w:tcW w:w="0" w:type="auto"/>
            <w:tcBorders>
              <w:top w:val="nil"/>
              <w:left w:val="nil"/>
              <w:bottom w:val="nil"/>
              <w:right w:val="nil"/>
            </w:tcBorders>
            <w:shd w:val="clear" w:color="000000" w:fill="EEEEEE"/>
            <w:vAlign w:val="center"/>
            <w:hideMark/>
          </w:tcPr>
          <w:p w14:paraId="3C6A93E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62,8</w:t>
            </w:r>
          </w:p>
        </w:tc>
        <w:tc>
          <w:tcPr>
            <w:tcW w:w="0" w:type="auto"/>
            <w:tcBorders>
              <w:top w:val="nil"/>
              <w:left w:val="nil"/>
              <w:bottom w:val="nil"/>
              <w:right w:val="nil"/>
            </w:tcBorders>
            <w:shd w:val="clear" w:color="000000" w:fill="EEEEEE"/>
            <w:vAlign w:val="center"/>
            <w:hideMark/>
          </w:tcPr>
          <w:p w14:paraId="5FB9BAE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61,7</w:t>
            </w:r>
          </w:p>
        </w:tc>
        <w:tc>
          <w:tcPr>
            <w:tcW w:w="0" w:type="auto"/>
            <w:tcBorders>
              <w:top w:val="nil"/>
              <w:left w:val="nil"/>
              <w:bottom w:val="nil"/>
              <w:right w:val="nil"/>
            </w:tcBorders>
            <w:shd w:val="clear" w:color="000000" w:fill="EEEEEE"/>
            <w:vAlign w:val="center"/>
            <w:hideMark/>
          </w:tcPr>
          <w:p w14:paraId="7343CE3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60</w:t>
            </w:r>
          </w:p>
        </w:tc>
      </w:tr>
      <w:tr w:rsidR="00E853B4" w:rsidRPr="00422245" w14:paraId="5C2635AD" w14:textId="77777777" w:rsidTr="00E853B4">
        <w:trPr>
          <w:trHeight w:val="290"/>
        </w:trPr>
        <w:tc>
          <w:tcPr>
            <w:tcW w:w="0" w:type="auto"/>
            <w:tcBorders>
              <w:top w:val="nil"/>
              <w:left w:val="single" w:sz="8" w:space="0" w:color="EEEEEE"/>
              <w:bottom w:val="nil"/>
              <w:right w:val="nil"/>
            </w:tcBorders>
            <w:shd w:val="clear" w:color="000000" w:fill="FFFFFF"/>
            <w:vAlign w:val="center"/>
            <w:hideMark/>
          </w:tcPr>
          <w:p w14:paraId="2E879931"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UiT </w:t>
            </w:r>
          </w:p>
        </w:tc>
        <w:tc>
          <w:tcPr>
            <w:tcW w:w="0" w:type="auto"/>
            <w:tcBorders>
              <w:top w:val="nil"/>
              <w:left w:val="single" w:sz="8" w:space="0" w:color="EEEEEE"/>
              <w:bottom w:val="nil"/>
              <w:right w:val="nil"/>
            </w:tcBorders>
            <w:shd w:val="clear" w:color="000000" w:fill="FFFFFF"/>
            <w:vAlign w:val="center"/>
            <w:hideMark/>
          </w:tcPr>
          <w:p w14:paraId="230CCB1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50,4</w:t>
            </w:r>
          </w:p>
        </w:tc>
        <w:tc>
          <w:tcPr>
            <w:tcW w:w="0" w:type="auto"/>
            <w:tcBorders>
              <w:top w:val="nil"/>
              <w:left w:val="single" w:sz="8" w:space="0" w:color="EEEEEE"/>
              <w:bottom w:val="nil"/>
              <w:right w:val="nil"/>
            </w:tcBorders>
            <w:shd w:val="clear" w:color="000000" w:fill="FFFFFF"/>
            <w:vAlign w:val="center"/>
            <w:hideMark/>
          </w:tcPr>
          <w:p w14:paraId="3CD6EB9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61,5</w:t>
            </w:r>
          </w:p>
        </w:tc>
        <w:tc>
          <w:tcPr>
            <w:tcW w:w="0" w:type="auto"/>
            <w:tcBorders>
              <w:top w:val="nil"/>
              <w:left w:val="single" w:sz="8" w:space="0" w:color="EEEEEE"/>
              <w:bottom w:val="nil"/>
              <w:right w:val="nil"/>
            </w:tcBorders>
            <w:shd w:val="clear" w:color="000000" w:fill="FFFFFF"/>
            <w:vAlign w:val="center"/>
            <w:hideMark/>
          </w:tcPr>
          <w:p w14:paraId="1C19FF31"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63,2</w:t>
            </w:r>
          </w:p>
        </w:tc>
        <w:tc>
          <w:tcPr>
            <w:tcW w:w="0" w:type="auto"/>
            <w:tcBorders>
              <w:top w:val="nil"/>
              <w:left w:val="single" w:sz="8" w:space="0" w:color="EEEEEE"/>
              <w:bottom w:val="nil"/>
              <w:right w:val="nil"/>
            </w:tcBorders>
            <w:shd w:val="clear" w:color="000000" w:fill="FFFFFF"/>
            <w:vAlign w:val="center"/>
            <w:hideMark/>
          </w:tcPr>
          <w:p w14:paraId="2C5FB8C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59,7</w:t>
            </w:r>
          </w:p>
        </w:tc>
        <w:tc>
          <w:tcPr>
            <w:tcW w:w="0" w:type="auto"/>
            <w:tcBorders>
              <w:top w:val="nil"/>
              <w:left w:val="single" w:sz="8" w:space="0" w:color="EEEEEE"/>
              <w:bottom w:val="nil"/>
              <w:right w:val="nil"/>
            </w:tcBorders>
            <w:shd w:val="clear" w:color="000000" w:fill="FFFFFF"/>
            <w:vAlign w:val="center"/>
            <w:hideMark/>
          </w:tcPr>
          <w:p w14:paraId="6F40195B"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65,7</w:t>
            </w:r>
          </w:p>
        </w:tc>
        <w:tc>
          <w:tcPr>
            <w:tcW w:w="0" w:type="auto"/>
            <w:tcBorders>
              <w:top w:val="nil"/>
              <w:left w:val="single" w:sz="8" w:space="0" w:color="EEEEEE"/>
              <w:bottom w:val="nil"/>
              <w:right w:val="nil"/>
            </w:tcBorders>
            <w:shd w:val="clear" w:color="000000" w:fill="FFFFFF"/>
            <w:vAlign w:val="center"/>
            <w:hideMark/>
          </w:tcPr>
          <w:p w14:paraId="0919B651"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64,7</w:t>
            </w:r>
          </w:p>
        </w:tc>
        <w:tc>
          <w:tcPr>
            <w:tcW w:w="0" w:type="auto"/>
            <w:tcBorders>
              <w:top w:val="nil"/>
              <w:left w:val="single" w:sz="8" w:space="0" w:color="EEEEEE"/>
              <w:bottom w:val="nil"/>
              <w:right w:val="nil"/>
            </w:tcBorders>
            <w:shd w:val="clear" w:color="000000" w:fill="FFFFFF"/>
            <w:vAlign w:val="center"/>
            <w:hideMark/>
          </w:tcPr>
          <w:p w14:paraId="3A73F77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55,9</w:t>
            </w:r>
          </w:p>
        </w:tc>
        <w:tc>
          <w:tcPr>
            <w:tcW w:w="0" w:type="auto"/>
            <w:tcBorders>
              <w:top w:val="nil"/>
              <w:left w:val="single" w:sz="8" w:space="0" w:color="EEEEEE"/>
              <w:bottom w:val="nil"/>
              <w:right w:val="nil"/>
            </w:tcBorders>
            <w:shd w:val="clear" w:color="000000" w:fill="FFFFFF"/>
            <w:vAlign w:val="center"/>
            <w:hideMark/>
          </w:tcPr>
          <w:p w14:paraId="0DE8CF3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62,9</w:t>
            </w:r>
          </w:p>
        </w:tc>
        <w:tc>
          <w:tcPr>
            <w:tcW w:w="0" w:type="auto"/>
            <w:tcBorders>
              <w:top w:val="nil"/>
              <w:left w:val="single" w:sz="8" w:space="0" w:color="EEEEEE"/>
              <w:bottom w:val="nil"/>
              <w:right w:val="nil"/>
            </w:tcBorders>
            <w:shd w:val="clear" w:color="000000" w:fill="FFFFFF"/>
            <w:vAlign w:val="center"/>
            <w:hideMark/>
          </w:tcPr>
          <w:p w14:paraId="3761718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65,8</w:t>
            </w:r>
          </w:p>
        </w:tc>
        <w:tc>
          <w:tcPr>
            <w:tcW w:w="0" w:type="auto"/>
            <w:tcBorders>
              <w:top w:val="nil"/>
              <w:left w:val="single" w:sz="8" w:space="0" w:color="EEEEEE"/>
              <w:bottom w:val="nil"/>
              <w:right w:val="nil"/>
            </w:tcBorders>
            <w:shd w:val="clear" w:color="000000" w:fill="FFFFFF"/>
            <w:vAlign w:val="center"/>
            <w:hideMark/>
          </w:tcPr>
          <w:p w14:paraId="304D230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64,6</w:t>
            </w:r>
          </w:p>
        </w:tc>
        <w:tc>
          <w:tcPr>
            <w:tcW w:w="0" w:type="auto"/>
            <w:tcBorders>
              <w:top w:val="nil"/>
              <w:left w:val="single" w:sz="8" w:space="0" w:color="EEEEEE"/>
              <w:bottom w:val="nil"/>
              <w:right w:val="nil"/>
            </w:tcBorders>
            <w:shd w:val="clear" w:color="000000" w:fill="FFFFFF"/>
            <w:vAlign w:val="center"/>
            <w:hideMark/>
          </w:tcPr>
          <w:p w14:paraId="1A44CAD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178</w:t>
            </w:r>
          </w:p>
        </w:tc>
      </w:tr>
      <w:tr w:rsidR="00E853B4" w:rsidRPr="00422245" w14:paraId="6203965A" w14:textId="77777777" w:rsidTr="00E853B4">
        <w:trPr>
          <w:trHeight w:val="290"/>
        </w:trPr>
        <w:tc>
          <w:tcPr>
            <w:tcW w:w="0" w:type="auto"/>
            <w:tcBorders>
              <w:top w:val="nil"/>
              <w:left w:val="nil"/>
              <w:bottom w:val="nil"/>
              <w:right w:val="nil"/>
            </w:tcBorders>
            <w:shd w:val="clear" w:color="000000" w:fill="EEEEEE"/>
            <w:vAlign w:val="center"/>
            <w:hideMark/>
          </w:tcPr>
          <w:p w14:paraId="70194F2B"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NHH </w:t>
            </w:r>
          </w:p>
        </w:tc>
        <w:tc>
          <w:tcPr>
            <w:tcW w:w="0" w:type="auto"/>
            <w:tcBorders>
              <w:top w:val="nil"/>
              <w:left w:val="nil"/>
              <w:bottom w:val="nil"/>
              <w:right w:val="nil"/>
            </w:tcBorders>
            <w:shd w:val="clear" w:color="000000" w:fill="EEEEEE"/>
            <w:vAlign w:val="center"/>
            <w:hideMark/>
          </w:tcPr>
          <w:p w14:paraId="15FF1E0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57,9</w:t>
            </w:r>
          </w:p>
        </w:tc>
        <w:tc>
          <w:tcPr>
            <w:tcW w:w="0" w:type="auto"/>
            <w:tcBorders>
              <w:top w:val="nil"/>
              <w:left w:val="nil"/>
              <w:bottom w:val="nil"/>
              <w:right w:val="nil"/>
            </w:tcBorders>
            <w:shd w:val="clear" w:color="000000" w:fill="EEEEEE"/>
            <w:vAlign w:val="center"/>
            <w:hideMark/>
          </w:tcPr>
          <w:p w14:paraId="772EF01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46,2</w:t>
            </w:r>
          </w:p>
        </w:tc>
        <w:tc>
          <w:tcPr>
            <w:tcW w:w="0" w:type="auto"/>
            <w:tcBorders>
              <w:top w:val="nil"/>
              <w:left w:val="nil"/>
              <w:bottom w:val="nil"/>
              <w:right w:val="nil"/>
            </w:tcBorders>
            <w:shd w:val="clear" w:color="000000" w:fill="EEEEEE"/>
            <w:vAlign w:val="center"/>
            <w:hideMark/>
          </w:tcPr>
          <w:p w14:paraId="5EBD997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61,5</w:t>
            </w:r>
          </w:p>
        </w:tc>
        <w:tc>
          <w:tcPr>
            <w:tcW w:w="0" w:type="auto"/>
            <w:tcBorders>
              <w:top w:val="nil"/>
              <w:left w:val="nil"/>
              <w:bottom w:val="nil"/>
              <w:right w:val="nil"/>
            </w:tcBorders>
            <w:shd w:val="clear" w:color="000000" w:fill="EEEEEE"/>
            <w:vAlign w:val="center"/>
            <w:hideMark/>
          </w:tcPr>
          <w:p w14:paraId="2AB6496C"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77,3</w:t>
            </w:r>
          </w:p>
        </w:tc>
        <w:tc>
          <w:tcPr>
            <w:tcW w:w="0" w:type="auto"/>
            <w:tcBorders>
              <w:top w:val="nil"/>
              <w:left w:val="nil"/>
              <w:bottom w:val="nil"/>
              <w:right w:val="nil"/>
            </w:tcBorders>
            <w:shd w:val="clear" w:color="000000" w:fill="EEEEEE"/>
            <w:vAlign w:val="center"/>
            <w:hideMark/>
          </w:tcPr>
          <w:p w14:paraId="2E2B7520"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76,2</w:t>
            </w:r>
          </w:p>
        </w:tc>
        <w:tc>
          <w:tcPr>
            <w:tcW w:w="0" w:type="auto"/>
            <w:tcBorders>
              <w:top w:val="nil"/>
              <w:left w:val="nil"/>
              <w:bottom w:val="nil"/>
              <w:right w:val="nil"/>
            </w:tcBorders>
            <w:shd w:val="clear" w:color="000000" w:fill="EEEEEE"/>
            <w:vAlign w:val="center"/>
            <w:hideMark/>
          </w:tcPr>
          <w:p w14:paraId="54390BA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72,2</w:t>
            </w:r>
          </w:p>
        </w:tc>
        <w:tc>
          <w:tcPr>
            <w:tcW w:w="0" w:type="auto"/>
            <w:tcBorders>
              <w:top w:val="nil"/>
              <w:left w:val="nil"/>
              <w:bottom w:val="nil"/>
              <w:right w:val="nil"/>
            </w:tcBorders>
            <w:shd w:val="clear" w:color="000000" w:fill="EEEEEE"/>
            <w:vAlign w:val="center"/>
            <w:hideMark/>
          </w:tcPr>
          <w:p w14:paraId="2B80633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81,8</w:t>
            </w:r>
          </w:p>
        </w:tc>
        <w:tc>
          <w:tcPr>
            <w:tcW w:w="0" w:type="auto"/>
            <w:tcBorders>
              <w:top w:val="nil"/>
              <w:left w:val="nil"/>
              <w:bottom w:val="nil"/>
              <w:right w:val="nil"/>
            </w:tcBorders>
            <w:shd w:val="clear" w:color="000000" w:fill="EEEEEE"/>
            <w:vAlign w:val="center"/>
            <w:hideMark/>
          </w:tcPr>
          <w:p w14:paraId="776A867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55,0</w:t>
            </w:r>
          </w:p>
        </w:tc>
        <w:tc>
          <w:tcPr>
            <w:tcW w:w="0" w:type="auto"/>
            <w:tcBorders>
              <w:top w:val="nil"/>
              <w:left w:val="nil"/>
              <w:bottom w:val="nil"/>
              <w:right w:val="nil"/>
            </w:tcBorders>
            <w:shd w:val="clear" w:color="000000" w:fill="EEEEEE"/>
            <w:vAlign w:val="center"/>
            <w:hideMark/>
          </w:tcPr>
          <w:p w14:paraId="4CB4CB5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54,5</w:t>
            </w:r>
          </w:p>
        </w:tc>
        <w:tc>
          <w:tcPr>
            <w:tcW w:w="0" w:type="auto"/>
            <w:tcBorders>
              <w:top w:val="nil"/>
              <w:left w:val="nil"/>
              <w:bottom w:val="nil"/>
              <w:right w:val="nil"/>
            </w:tcBorders>
            <w:shd w:val="clear" w:color="000000" w:fill="EEEEEE"/>
            <w:vAlign w:val="center"/>
            <w:hideMark/>
          </w:tcPr>
          <w:p w14:paraId="4EE968E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85,2</w:t>
            </w:r>
          </w:p>
        </w:tc>
        <w:tc>
          <w:tcPr>
            <w:tcW w:w="0" w:type="auto"/>
            <w:tcBorders>
              <w:top w:val="nil"/>
              <w:left w:val="nil"/>
              <w:bottom w:val="nil"/>
              <w:right w:val="nil"/>
            </w:tcBorders>
            <w:shd w:val="clear" w:color="000000" w:fill="EEEEEE"/>
            <w:vAlign w:val="center"/>
            <w:hideMark/>
          </w:tcPr>
          <w:p w14:paraId="6B6A2468"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27</w:t>
            </w:r>
          </w:p>
        </w:tc>
      </w:tr>
      <w:tr w:rsidR="00E853B4" w:rsidRPr="00422245" w14:paraId="2D33405B" w14:textId="77777777" w:rsidTr="00E853B4">
        <w:trPr>
          <w:trHeight w:val="290"/>
        </w:trPr>
        <w:tc>
          <w:tcPr>
            <w:tcW w:w="0" w:type="auto"/>
            <w:tcBorders>
              <w:top w:val="nil"/>
              <w:left w:val="single" w:sz="8" w:space="0" w:color="EEEEEE"/>
              <w:bottom w:val="nil"/>
              <w:right w:val="nil"/>
            </w:tcBorders>
            <w:shd w:val="clear" w:color="000000" w:fill="FFFFFF"/>
            <w:vAlign w:val="center"/>
            <w:hideMark/>
          </w:tcPr>
          <w:p w14:paraId="7EF61970"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HINN </w:t>
            </w:r>
          </w:p>
        </w:tc>
        <w:tc>
          <w:tcPr>
            <w:tcW w:w="0" w:type="auto"/>
            <w:tcBorders>
              <w:top w:val="nil"/>
              <w:left w:val="single" w:sz="8" w:space="0" w:color="EEEEEE"/>
              <w:bottom w:val="nil"/>
              <w:right w:val="nil"/>
            </w:tcBorders>
            <w:shd w:val="clear" w:color="000000" w:fill="FFFFFF"/>
            <w:vAlign w:val="center"/>
            <w:hideMark/>
          </w:tcPr>
          <w:p w14:paraId="423AE17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67E93F5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7A30D38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3E2F24A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40,0</w:t>
            </w:r>
          </w:p>
        </w:tc>
        <w:tc>
          <w:tcPr>
            <w:tcW w:w="0" w:type="auto"/>
            <w:tcBorders>
              <w:top w:val="nil"/>
              <w:left w:val="single" w:sz="8" w:space="0" w:color="EEEEEE"/>
              <w:bottom w:val="nil"/>
              <w:right w:val="nil"/>
            </w:tcBorders>
            <w:shd w:val="clear" w:color="000000" w:fill="FFFFFF"/>
            <w:vAlign w:val="center"/>
            <w:hideMark/>
          </w:tcPr>
          <w:p w14:paraId="319EE3D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46,2</w:t>
            </w:r>
          </w:p>
        </w:tc>
        <w:tc>
          <w:tcPr>
            <w:tcW w:w="0" w:type="auto"/>
            <w:tcBorders>
              <w:top w:val="nil"/>
              <w:left w:val="single" w:sz="8" w:space="0" w:color="EEEEEE"/>
              <w:bottom w:val="nil"/>
              <w:right w:val="nil"/>
            </w:tcBorders>
            <w:shd w:val="clear" w:color="000000" w:fill="FFFFFF"/>
            <w:vAlign w:val="center"/>
            <w:hideMark/>
          </w:tcPr>
          <w:p w14:paraId="379713D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51,7</w:t>
            </w:r>
          </w:p>
        </w:tc>
        <w:tc>
          <w:tcPr>
            <w:tcW w:w="0" w:type="auto"/>
            <w:tcBorders>
              <w:top w:val="nil"/>
              <w:left w:val="single" w:sz="8" w:space="0" w:color="EEEEEE"/>
              <w:bottom w:val="nil"/>
              <w:right w:val="nil"/>
            </w:tcBorders>
            <w:shd w:val="clear" w:color="000000" w:fill="FFFFFF"/>
            <w:vAlign w:val="center"/>
            <w:hideMark/>
          </w:tcPr>
          <w:p w14:paraId="39E0A7B9"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85,7</w:t>
            </w:r>
          </w:p>
        </w:tc>
        <w:tc>
          <w:tcPr>
            <w:tcW w:w="0" w:type="auto"/>
            <w:tcBorders>
              <w:top w:val="nil"/>
              <w:left w:val="single" w:sz="8" w:space="0" w:color="EEEEEE"/>
              <w:bottom w:val="nil"/>
              <w:right w:val="nil"/>
            </w:tcBorders>
            <w:shd w:val="clear" w:color="000000" w:fill="FFFFFF"/>
            <w:vAlign w:val="center"/>
            <w:hideMark/>
          </w:tcPr>
          <w:p w14:paraId="7A8F39C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73,3</w:t>
            </w:r>
          </w:p>
        </w:tc>
        <w:tc>
          <w:tcPr>
            <w:tcW w:w="0" w:type="auto"/>
            <w:tcBorders>
              <w:top w:val="nil"/>
              <w:left w:val="single" w:sz="8" w:space="0" w:color="EEEEEE"/>
              <w:bottom w:val="nil"/>
              <w:right w:val="nil"/>
            </w:tcBorders>
            <w:shd w:val="clear" w:color="000000" w:fill="FFFFFF"/>
            <w:vAlign w:val="center"/>
            <w:hideMark/>
          </w:tcPr>
          <w:p w14:paraId="63A84B6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63,6</w:t>
            </w:r>
          </w:p>
        </w:tc>
        <w:tc>
          <w:tcPr>
            <w:tcW w:w="0" w:type="auto"/>
            <w:tcBorders>
              <w:top w:val="nil"/>
              <w:left w:val="single" w:sz="8" w:space="0" w:color="EEEEEE"/>
              <w:bottom w:val="nil"/>
              <w:right w:val="nil"/>
            </w:tcBorders>
            <w:shd w:val="clear" w:color="000000" w:fill="FFFFFF"/>
            <w:vAlign w:val="center"/>
            <w:hideMark/>
          </w:tcPr>
          <w:p w14:paraId="4A618C9A"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78,3</w:t>
            </w:r>
          </w:p>
        </w:tc>
        <w:tc>
          <w:tcPr>
            <w:tcW w:w="0" w:type="auto"/>
            <w:tcBorders>
              <w:top w:val="nil"/>
              <w:left w:val="single" w:sz="8" w:space="0" w:color="EEEEEE"/>
              <w:bottom w:val="nil"/>
              <w:right w:val="nil"/>
            </w:tcBorders>
            <w:shd w:val="clear" w:color="000000" w:fill="FFFFFF"/>
            <w:vAlign w:val="center"/>
            <w:hideMark/>
          </w:tcPr>
          <w:p w14:paraId="1B5BD626"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23</w:t>
            </w:r>
          </w:p>
        </w:tc>
      </w:tr>
      <w:tr w:rsidR="00E853B4" w:rsidRPr="00422245" w14:paraId="6C0C93B3" w14:textId="77777777" w:rsidTr="00E853B4">
        <w:trPr>
          <w:trHeight w:val="290"/>
        </w:trPr>
        <w:tc>
          <w:tcPr>
            <w:tcW w:w="0" w:type="auto"/>
            <w:tcBorders>
              <w:top w:val="nil"/>
              <w:left w:val="single" w:sz="8" w:space="0" w:color="EEEEEE"/>
              <w:bottom w:val="nil"/>
              <w:right w:val="nil"/>
            </w:tcBorders>
            <w:shd w:val="clear" w:color="000000" w:fill="FFFFFF"/>
            <w:vAlign w:val="center"/>
            <w:hideMark/>
          </w:tcPr>
          <w:p w14:paraId="11B5A205" w14:textId="77777777" w:rsidR="00E853B4" w:rsidRPr="00422245" w:rsidRDefault="00E853B4" w:rsidP="00D22393">
            <w:pPr>
              <w:keepNext/>
              <w:spacing w:after="0" w:line="240" w:lineRule="auto"/>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HVL </w:t>
            </w:r>
          </w:p>
        </w:tc>
        <w:tc>
          <w:tcPr>
            <w:tcW w:w="0" w:type="auto"/>
            <w:tcBorders>
              <w:top w:val="nil"/>
              <w:left w:val="single" w:sz="8" w:space="0" w:color="EEEEEE"/>
              <w:bottom w:val="nil"/>
              <w:right w:val="nil"/>
            </w:tcBorders>
            <w:shd w:val="clear" w:color="000000" w:fill="FFFFFF"/>
            <w:vAlign w:val="center"/>
            <w:hideMark/>
          </w:tcPr>
          <w:p w14:paraId="00155217"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4CFAFFA4"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542E14C3"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06DF70A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44F29602"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2971998E"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061C935D"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 xml:space="preserve">- </w:t>
            </w:r>
          </w:p>
        </w:tc>
        <w:tc>
          <w:tcPr>
            <w:tcW w:w="0" w:type="auto"/>
            <w:tcBorders>
              <w:top w:val="nil"/>
              <w:left w:val="single" w:sz="8" w:space="0" w:color="EEEEEE"/>
              <w:bottom w:val="nil"/>
              <w:right w:val="nil"/>
            </w:tcBorders>
            <w:shd w:val="clear" w:color="000000" w:fill="FFFFFF"/>
            <w:vAlign w:val="center"/>
            <w:hideMark/>
          </w:tcPr>
          <w:p w14:paraId="114E01CC"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0,0</w:t>
            </w:r>
          </w:p>
        </w:tc>
        <w:tc>
          <w:tcPr>
            <w:tcW w:w="0" w:type="auto"/>
            <w:tcBorders>
              <w:top w:val="nil"/>
              <w:left w:val="single" w:sz="8" w:space="0" w:color="EEEEEE"/>
              <w:bottom w:val="nil"/>
              <w:right w:val="nil"/>
            </w:tcBorders>
            <w:shd w:val="clear" w:color="000000" w:fill="FFFFFF"/>
            <w:vAlign w:val="center"/>
            <w:hideMark/>
          </w:tcPr>
          <w:p w14:paraId="78A7AC9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69,2</w:t>
            </w:r>
          </w:p>
        </w:tc>
        <w:tc>
          <w:tcPr>
            <w:tcW w:w="0" w:type="auto"/>
            <w:tcBorders>
              <w:top w:val="nil"/>
              <w:left w:val="single" w:sz="8" w:space="0" w:color="EEEEEE"/>
              <w:bottom w:val="nil"/>
              <w:right w:val="nil"/>
            </w:tcBorders>
            <w:shd w:val="clear" w:color="000000" w:fill="FFFFFF"/>
            <w:vAlign w:val="center"/>
            <w:hideMark/>
          </w:tcPr>
          <w:p w14:paraId="539654D5"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54,2</w:t>
            </w:r>
          </w:p>
        </w:tc>
        <w:tc>
          <w:tcPr>
            <w:tcW w:w="0" w:type="auto"/>
            <w:tcBorders>
              <w:top w:val="nil"/>
              <w:left w:val="single" w:sz="8" w:space="0" w:color="EEEEEE"/>
              <w:bottom w:val="nil"/>
              <w:right w:val="nil"/>
            </w:tcBorders>
            <w:shd w:val="clear" w:color="000000" w:fill="FFFFFF"/>
            <w:vAlign w:val="center"/>
            <w:hideMark/>
          </w:tcPr>
          <w:p w14:paraId="49415FFF" w14:textId="77777777" w:rsidR="00E853B4" w:rsidRPr="00422245" w:rsidRDefault="00E853B4" w:rsidP="00D22393">
            <w:pPr>
              <w:keepNext/>
              <w:spacing w:after="0" w:line="240" w:lineRule="auto"/>
              <w:jc w:val="right"/>
              <w:rPr>
                <w:rFonts w:ascii="Arial" w:eastAsia="Times New Roman" w:hAnsi="Arial" w:cs="Arial"/>
                <w:color w:val="000000"/>
                <w:sz w:val="16"/>
                <w:szCs w:val="16"/>
                <w:lang w:eastAsia="nb-NO"/>
              </w:rPr>
            </w:pPr>
            <w:r w:rsidRPr="00422245">
              <w:rPr>
                <w:rFonts w:ascii="Arial" w:eastAsia="Times New Roman" w:hAnsi="Arial" w:cs="Arial"/>
                <w:color w:val="000000"/>
                <w:sz w:val="16"/>
                <w:szCs w:val="16"/>
                <w:lang w:eastAsia="nb-NO"/>
              </w:rPr>
              <w:t>24</w:t>
            </w:r>
          </w:p>
        </w:tc>
      </w:tr>
      <w:tr w:rsidR="00E853B4" w:rsidRPr="00422245" w14:paraId="5771F893" w14:textId="77777777" w:rsidTr="00E853B4">
        <w:trPr>
          <w:trHeight w:val="420"/>
        </w:trPr>
        <w:tc>
          <w:tcPr>
            <w:tcW w:w="0" w:type="auto"/>
            <w:tcBorders>
              <w:top w:val="nil"/>
              <w:left w:val="nil"/>
              <w:bottom w:val="nil"/>
              <w:right w:val="nil"/>
            </w:tcBorders>
            <w:shd w:val="clear" w:color="000000" w:fill="CCCCCC"/>
            <w:vAlign w:val="center"/>
            <w:hideMark/>
          </w:tcPr>
          <w:p w14:paraId="626E7DDC" w14:textId="77777777" w:rsidR="00E853B4" w:rsidRPr="00422245" w:rsidRDefault="00E853B4" w:rsidP="00D22393">
            <w:pPr>
              <w:keepNext/>
              <w:spacing w:after="0" w:line="240" w:lineRule="auto"/>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Statlige inst.</w:t>
            </w:r>
            <w:r w:rsidRPr="00422245">
              <w:rPr>
                <w:rFonts w:ascii="Arial" w:eastAsia="Times New Roman" w:hAnsi="Arial" w:cs="Arial"/>
                <w:color w:val="000000"/>
                <w:sz w:val="16"/>
                <w:szCs w:val="16"/>
                <w:lang w:eastAsia="nb-NO"/>
              </w:rPr>
              <w:t xml:space="preserve"> </w:t>
            </w:r>
          </w:p>
        </w:tc>
        <w:tc>
          <w:tcPr>
            <w:tcW w:w="0" w:type="auto"/>
            <w:tcBorders>
              <w:top w:val="nil"/>
              <w:left w:val="nil"/>
              <w:bottom w:val="nil"/>
              <w:right w:val="nil"/>
            </w:tcBorders>
            <w:shd w:val="clear" w:color="000000" w:fill="CCCCCC"/>
            <w:vAlign w:val="center"/>
            <w:hideMark/>
          </w:tcPr>
          <w:p w14:paraId="43DF4A1F"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65,5</w:t>
            </w:r>
          </w:p>
        </w:tc>
        <w:tc>
          <w:tcPr>
            <w:tcW w:w="0" w:type="auto"/>
            <w:tcBorders>
              <w:top w:val="nil"/>
              <w:left w:val="nil"/>
              <w:bottom w:val="nil"/>
              <w:right w:val="nil"/>
            </w:tcBorders>
            <w:shd w:val="clear" w:color="000000" w:fill="CCCCCC"/>
            <w:vAlign w:val="center"/>
            <w:hideMark/>
          </w:tcPr>
          <w:p w14:paraId="682B61FF"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66,3</w:t>
            </w:r>
          </w:p>
        </w:tc>
        <w:tc>
          <w:tcPr>
            <w:tcW w:w="0" w:type="auto"/>
            <w:tcBorders>
              <w:top w:val="nil"/>
              <w:left w:val="nil"/>
              <w:bottom w:val="nil"/>
              <w:right w:val="nil"/>
            </w:tcBorders>
            <w:shd w:val="clear" w:color="000000" w:fill="CCCCCC"/>
            <w:vAlign w:val="center"/>
            <w:hideMark/>
          </w:tcPr>
          <w:p w14:paraId="635B7290"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67,9</w:t>
            </w:r>
          </w:p>
        </w:tc>
        <w:tc>
          <w:tcPr>
            <w:tcW w:w="0" w:type="auto"/>
            <w:tcBorders>
              <w:top w:val="nil"/>
              <w:left w:val="nil"/>
              <w:bottom w:val="nil"/>
              <w:right w:val="nil"/>
            </w:tcBorders>
            <w:shd w:val="clear" w:color="000000" w:fill="CCCCCC"/>
            <w:vAlign w:val="center"/>
            <w:hideMark/>
          </w:tcPr>
          <w:p w14:paraId="4646F2FA"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66,0</w:t>
            </w:r>
          </w:p>
        </w:tc>
        <w:tc>
          <w:tcPr>
            <w:tcW w:w="0" w:type="auto"/>
            <w:tcBorders>
              <w:top w:val="nil"/>
              <w:left w:val="nil"/>
              <w:bottom w:val="nil"/>
              <w:right w:val="nil"/>
            </w:tcBorders>
            <w:shd w:val="clear" w:color="000000" w:fill="CCCCCC"/>
            <w:vAlign w:val="center"/>
            <w:hideMark/>
          </w:tcPr>
          <w:p w14:paraId="2AE4338B"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68,4</w:t>
            </w:r>
          </w:p>
        </w:tc>
        <w:tc>
          <w:tcPr>
            <w:tcW w:w="0" w:type="auto"/>
            <w:tcBorders>
              <w:top w:val="nil"/>
              <w:left w:val="nil"/>
              <w:bottom w:val="nil"/>
              <w:right w:val="nil"/>
            </w:tcBorders>
            <w:shd w:val="clear" w:color="000000" w:fill="CCCCCC"/>
            <w:vAlign w:val="center"/>
            <w:hideMark/>
          </w:tcPr>
          <w:p w14:paraId="0F9A235B"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66,4</w:t>
            </w:r>
          </w:p>
        </w:tc>
        <w:tc>
          <w:tcPr>
            <w:tcW w:w="0" w:type="auto"/>
            <w:tcBorders>
              <w:top w:val="nil"/>
              <w:left w:val="nil"/>
              <w:bottom w:val="nil"/>
              <w:right w:val="nil"/>
            </w:tcBorders>
            <w:shd w:val="clear" w:color="000000" w:fill="CCCCCC"/>
            <w:vAlign w:val="center"/>
            <w:hideMark/>
          </w:tcPr>
          <w:p w14:paraId="274B14F4"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70,3</w:t>
            </w:r>
          </w:p>
        </w:tc>
        <w:tc>
          <w:tcPr>
            <w:tcW w:w="0" w:type="auto"/>
            <w:tcBorders>
              <w:top w:val="nil"/>
              <w:left w:val="nil"/>
              <w:bottom w:val="nil"/>
              <w:right w:val="nil"/>
            </w:tcBorders>
            <w:shd w:val="clear" w:color="000000" w:fill="CCCCCC"/>
            <w:vAlign w:val="center"/>
            <w:hideMark/>
          </w:tcPr>
          <w:p w14:paraId="066FA5A4"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67,9</w:t>
            </w:r>
          </w:p>
        </w:tc>
        <w:tc>
          <w:tcPr>
            <w:tcW w:w="0" w:type="auto"/>
            <w:tcBorders>
              <w:top w:val="nil"/>
              <w:left w:val="nil"/>
              <w:bottom w:val="nil"/>
              <w:right w:val="nil"/>
            </w:tcBorders>
            <w:shd w:val="clear" w:color="000000" w:fill="CCCCCC"/>
            <w:vAlign w:val="center"/>
            <w:hideMark/>
          </w:tcPr>
          <w:p w14:paraId="0432459F"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67,2</w:t>
            </w:r>
          </w:p>
        </w:tc>
        <w:tc>
          <w:tcPr>
            <w:tcW w:w="0" w:type="auto"/>
            <w:tcBorders>
              <w:top w:val="nil"/>
              <w:left w:val="nil"/>
              <w:bottom w:val="nil"/>
              <w:right w:val="nil"/>
            </w:tcBorders>
            <w:shd w:val="clear" w:color="000000" w:fill="CCCCCC"/>
            <w:vAlign w:val="center"/>
            <w:hideMark/>
          </w:tcPr>
          <w:p w14:paraId="17A58B5A"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65,6</w:t>
            </w:r>
          </w:p>
        </w:tc>
        <w:tc>
          <w:tcPr>
            <w:tcW w:w="0" w:type="auto"/>
            <w:tcBorders>
              <w:top w:val="nil"/>
              <w:left w:val="nil"/>
              <w:bottom w:val="nil"/>
              <w:right w:val="nil"/>
            </w:tcBorders>
            <w:shd w:val="clear" w:color="000000" w:fill="CCCCCC"/>
            <w:vAlign w:val="center"/>
            <w:hideMark/>
          </w:tcPr>
          <w:p w14:paraId="44DFC413"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1 959</w:t>
            </w:r>
          </w:p>
        </w:tc>
      </w:tr>
      <w:tr w:rsidR="00E853B4" w:rsidRPr="00422245" w14:paraId="2BFBF765" w14:textId="77777777" w:rsidTr="00E853B4">
        <w:trPr>
          <w:trHeight w:val="420"/>
        </w:trPr>
        <w:tc>
          <w:tcPr>
            <w:tcW w:w="0" w:type="auto"/>
            <w:tcBorders>
              <w:top w:val="nil"/>
              <w:left w:val="nil"/>
              <w:bottom w:val="nil"/>
              <w:right w:val="nil"/>
            </w:tcBorders>
            <w:shd w:val="clear" w:color="000000" w:fill="CCCCCC"/>
            <w:vAlign w:val="center"/>
            <w:hideMark/>
          </w:tcPr>
          <w:p w14:paraId="6463FD11" w14:textId="77777777" w:rsidR="00E853B4" w:rsidRPr="00422245" w:rsidRDefault="00E853B4" w:rsidP="00D22393">
            <w:pPr>
              <w:keepNext/>
              <w:spacing w:after="0" w:line="240" w:lineRule="auto"/>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Private inst.</w:t>
            </w:r>
            <w:r w:rsidRPr="00422245">
              <w:rPr>
                <w:rFonts w:ascii="Arial" w:eastAsia="Times New Roman" w:hAnsi="Arial" w:cs="Arial"/>
                <w:color w:val="000000"/>
                <w:sz w:val="16"/>
                <w:szCs w:val="16"/>
                <w:lang w:eastAsia="nb-NO"/>
              </w:rPr>
              <w:t xml:space="preserve"> </w:t>
            </w:r>
          </w:p>
        </w:tc>
        <w:tc>
          <w:tcPr>
            <w:tcW w:w="0" w:type="auto"/>
            <w:tcBorders>
              <w:top w:val="nil"/>
              <w:left w:val="nil"/>
              <w:bottom w:val="nil"/>
              <w:right w:val="nil"/>
            </w:tcBorders>
            <w:shd w:val="clear" w:color="000000" w:fill="CCCCCC"/>
            <w:vAlign w:val="center"/>
            <w:hideMark/>
          </w:tcPr>
          <w:p w14:paraId="6AF060FF"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52,2</w:t>
            </w:r>
          </w:p>
        </w:tc>
        <w:tc>
          <w:tcPr>
            <w:tcW w:w="0" w:type="auto"/>
            <w:tcBorders>
              <w:top w:val="nil"/>
              <w:left w:val="nil"/>
              <w:bottom w:val="nil"/>
              <w:right w:val="nil"/>
            </w:tcBorders>
            <w:shd w:val="clear" w:color="000000" w:fill="CCCCCC"/>
            <w:vAlign w:val="center"/>
            <w:hideMark/>
          </w:tcPr>
          <w:p w14:paraId="22C5FF17"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50,0</w:t>
            </w:r>
          </w:p>
        </w:tc>
        <w:tc>
          <w:tcPr>
            <w:tcW w:w="0" w:type="auto"/>
            <w:tcBorders>
              <w:top w:val="nil"/>
              <w:left w:val="nil"/>
              <w:bottom w:val="nil"/>
              <w:right w:val="nil"/>
            </w:tcBorders>
            <w:shd w:val="clear" w:color="000000" w:fill="CCCCCC"/>
            <w:vAlign w:val="center"/>
            <w:hideMark/>
          </w:tcPr>
          <w:p w14:paraId="20D7D0ED"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62,5</w:t>
            </w:r>
          </w:p>
        </w:tc>
        <w:tc>
          <w:tcPr>
            <w:tcW w:w="0" w:type="auto"/>
            <w:tcBorders>
              <w:top w:val="nil"/>
              <w:left w:val="nil"/>
              <w:bottom w:val="nil"/>
              <w:right w:val="nil"/>
            </w:tcBorders>
            <w:shd w:val="clear" w:color="000000" w:fill="CCCCCC"/>
            <w:vAlign w:val="center"/>
            <w:hideMark/>
          </w:tcPr>
          <w:p w14:paraId="1276D716"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78,9</w:t>
            </w:r>
          </w:p>
        </w:tc>
        <w:tc>
          <w:tcPr>
            <w:tcW w:w="0" w:type="auto"/>
            <w:tcBorders>
              <w:top w:val="nil"/>
              <w:left w:val="nil"/>
              <w:bottom w:val="nil"/>
              <w:right w:val="nil"/>
            </w:tcBorders>
            <w:shd w:val="clear" w:color="000000" w:fill="CCCCCC"/>
            <w:vAlign w:val="center"/>
            <w:hideMark/>
          </w:tcPr>
          <w:p w14:paraId="7426294D"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61,3</w:t>
            </w:r>
          </w:p>
        </w:tc>
        <w:tc>
          <w:tcPr>
            <w:tcW w:w="0" w:type="auto"/>
            <w:tcBorders>
              <w:top w:val="nil"/>
              <w:left w:val="nil"/>
              <w:bottom w:val="nil"/>
              <w:right w:val="nil"/>
            </w:tcBorders>
            <w:shd w:val="clear" w:color="000000" w:fill="CCCCCC"/>
            <w:vAlign w:val="center"/>
            <w:hideMark/>
          </w:tcPr>
          <w:p w14:paraId="770B65A8"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64,3</w:t>
            </w:r>
          </w:p>
        </w:tc>
        <w:tc>
          <w:tcPr>
            <w:tcW w:w="0" w:type="auto"/>
            <w:tcBorders>
              <w:top w:val="nil"/>
              <w:left w:val="nil"/>
              <w:bottom w:val="nil"/>
              <w:right w:val="nil"/>
            </w:tcBorders>
            <w:shd w:val="clear" w:color="000000" w:fill="CCCCCC"/>
            <w:vAlign w:val="center"/>
            <w:hideMark/>
          </w:tcPr>
          <w:p w14:paraId="0B47D373"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55,6</w:t>
            </w:r>
          </w:p>
        </w:tc>
        <w:tc>
          <w:tcPr>
            <w:tcW w:w="0" w:type="auto"/>
            <w:tcBorders>
              <w:top w:val="nil"/>
              <w:left w:val="nil"/>
              <w:bottom w:val="nil"/>
              <w:right w:val="nil"/>
            </w:tcBorders>
            <w:shd w:val="clear" w:color="000000" w:fill="CCCCCC"/>
            <w:vAlign w:val="center"/>
            <w:hideMark/>
          </w:tcPr>
          <w:p w14:paraId="5D87882A"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48,6</w:t>
            </w:r>
          </w:p>
        </w:tc>
        <w:tc>
          <w:tcPr>
            <w:tcW w:w="0" w:type="auto"/>
            <w:tcBorders>
              <w:top w:val="nil"/>
              <w:left w:val="nil"/>
              <w:bottom w:val="nil"/>
              <w:right w:val="nil"/>
            </w:tcBorders>
            <w:shd w:val="clear" w:color="000000" w:fill="CCCCCC"/>
            <w:vAlign w:val="center"/>
            <w:hideMark/>
          </w:tcPr>
          <w:p w14:paraId="337FA599"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53,3</w:t>
            </w:r>
          </w:p>
        </w:tc>
        <w:tc>
          <w:tcPr>
            <w:tcW w:w="0" w:type="auto"/>
            <w:tcBorders>
              <w:top w:val="nil"/>
              <w:left w:val="nil"/>
              <w:bottom w:val="nil"/>
              <w:right w:val="nil"/>
            </w:tcBorders>
            <w:shd w:val="clear" w:color="000000" w:fill="CCCCCC"/>
            <w:vAlign w:val="center"/>
            <w:hideMark/>
          </w:tcPr>
          <w:p w14:paraId="4300BF77"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62,9</w:t>
            </w:r>
          </w:p>
        </w:tc>
        <w:tc>
          <w:tcPr>
            <w:tcW w:w="0" w:type="auto"/>
            <w:tcBorders>
              <w:top w:val="nil"/>
              <w:left w:val="nil"/>
              <w:bottom w:val="nil"/>
              <w:right w:val="nil"/>
            </w:tcBorders>
            <w:shd w:val="clear" w:color="000000" w:fill="CCCCCC"/>
            <w:vAlign w:val="center"/>
            <w:hideMark/>
          </w:tcPr>
          <w:p w14:paraId="0EBE0CC1"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35</w:t>
            </w:r>
          </w:p>
        </w:tc>
      </w:tr>
      <w:tr w:rsidR="00E853B4" w:rsidRPr="00422245" w14:paraId="2BDB4593" w14:textId="77777777" w:rsidTr="00E853B4">
        <w:trPr>
          <w:trHeight w:val="290"/>
        </w:trPr>
        <w:tc>
          <w:tcPr>
            <w:tcW w:w="0" w:type="auto"/>
            <w:tcBorders>
              <w:top w:val="nil"/>
              <w:left w:val="nil"/>
              <w:bottom w:val="nil"/>
              <w:right w:val="nil"/>
            </w:tcBorders>
            <w:shd w:val="clear" w:color="000000" w:fill="CCCCCC"/>
            <w:vAlign w:val="center"/>
            <w:hideMark/>
          </w:tcPr>
          <w:p w14:paraId="7C4EA8C4" w14:textId="77777777" w:rsidR="00E853B4" w:rsidRPr="00422245" w:rsidRDefault="00E853B4" w:rsidP="00D22393">
            <w:pPr>
              <w:keepNext/>
              <w:spacing w:after="0" w:line="240" w:lineRule="auto"/>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Sum</w:t>
            </w:r>
            <w:r w:rsidRPr="00422245">
              <w:rPr>
                <w:rFonts w:ascii="Arial" w:eastAsia="Times New Roman" w:hAnsi="Arial" w:cs="Arial"/>
                <w:color w:val="000000"/>
                <w:sz w:val="16"/>
                <w:szCs w:val="16"/>
                <w:lang w:eastAsia="nb-NO"/>
              </w:rPr>
              <w:t xml:space="preserve"> </w:t>
            </w:r>
          </w:p>
        </w:tc>
        <w:tc>
          <w:tcPr>
            <w:tcW w:w="0" w:type="auto"/>
            <w:tcBorders>
              <w:top w:val="nil"/>
              <w:left w:val="nil"/>
              <w:bottom w:val="nil"/>
              <w:right w:val="nil"/>
            </w:tcBorders>
            <w:shd w:val="clear" w:color="000000" w:fill="CCCCCC"/>
            <w:vAlign w:val="center"/>
            <w:hideMark/>
          </w:tcPr>
          <w:p w14:paraId="70AD678D"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65,4</w:t>
            </w:r>
          </w:p>
        </w:tc>
        <w:tc>
          <w:tcPr>
            <w:tcW w:w="0" w:type="auto"/>
            <w:tcBorders>
              <w:top w:val="nil"/>
              <w:left w:val="nil"/>
              <w:bottom w:val="nil"/>
              <w:right w:val="nil"/>
            </w:tcBorders>
            <w:shd w:val="clear" w:color="000000" w:fill="CCCCCC"/>
            <w:vAlign w:val="center"/>
            <w:hideMark/>
          </w:tcPr>
          <w:p w14:paraId="476A9245"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66,0</w:t>
            </w:r>
          </w:p>
        </w:tc>
        <w:tc>
          <w:tcPr>
            <w:tcW w:w="0" w:type="auto"/>
            <w:tcBorders>
              <w:top w:val="nil"/>
              <w:left w:val="nil"/>
              <w:bottom w:val="nil"/>
              <w:right w:val="nil"/>
            </w:tcBorders>
            <w:shd w:val="clear" w:color="000000" w:fill="CCCCCC"/>
            <w:vAlign w:val="center"/>
            <w:hideMark/>
          </w:tcPr>
          <w:p w14:paraId="5E7A3941"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67,8</w:t>
            </w:r>
          </w:p>
        </w:tc>
        <w:tc>
          <w:tcPr>
            <w:tcW w:w="0" w:type="auto"/>
            <w:tcBorders>
              <w:top w:val="nil"/>
              <w:left w:val="nil"/>
              <w:bottom w:val="nil"/>
              <w:right w:val="nil"/>
            </w:tcBorders>
            <w:shd w:val="clear" w:color="000000" w:fill="CCCCCC"/>
            <w:vAlign w:val="center"/>
            <w:hideMark/>
          </w:tcPr>
          <w:p w14:paraId="11F36ACD"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66,2</w:t>
            </w:r>
          </w:p>
        </w:tc>
        <w:tc>
          <w:tcPr>
            <w:tcW w:w="0" w:type="auto"/>
            <w:tcBorders>
              <w:top w:val="nil"/>
              <w:left w:val="nil"/>
              <w:bottom w:val="nil"/>
              <w:right w:val="nil"/>
            </w:tcBorders>
            <w:shd w:val="clear" w:color="000000" w:fill="CCCCCC"/>
            <w:vAlign w:val="center"/>
            <w:hideMark/>
          </w:tcPr>
          <w:p w14:paraId="4254FB70"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68,2</w:t>
            </w:r>
          </w:p>
        </w:tc>
        <w:tc>
          <w:tcPr>
            <w:tcW w:w="0" w:type="auto"/>
            <w:tcBorders>
              <w:top w:val="nil"/>
              <w:left w:val="nil"/>
              <w:bottom w:val="nil"/>
              <w:right w:val="nil"/>
            </w:tcBorders>
            <w:shd w:val="clear" w:color="000000" w:fill="CCCCCC"/>
            <w:vAlign w:val="center"/>
            <w:hideMark/>
          </w:tcPr>
          <w:p w14:paraId="513EBDAB"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66,4</w:t>
            </w:r>
          </w:p>
        </w:tc>
        <w:tc>
          <w:tcPr>
            <w:tcW w:w="0" w:type="auto"/>
            <w:tcBorders>
              <w:top w:val="nil"/>
              <w:left w:val="nil"/>
              <w:bottom w:val="nil"/>
              <w:right w:val="nil"/>
            </w:tcBorders>
            <w:shd w:val="clear" w:color="000000" w:fill="CCCCCC"/>
            <w:vAlign w:val="center"/>
            <w:hideMark/>
          </w:tcPr>
          <w:p w14:paraId="6EFF3BFC"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70,0</w:t>
            </w:r>
          </w:p>
        </w:tc>
        <w:tc>
          <w:tcPr>
            <w:tcW w:w="0" w:type="auto"/>
            <w:tcBorders>
              <w:top w:val="nil"/>
              <w:left w:val="nil"/>
              <w:bottom w:val="nil"/>
              <w:right w:val="nil"/>
            </w:tcBorders>
            <w:shd w:val="clear" w:color="000000" w:fill="CCCCCC"/>
            <w:vAlign w:val="center"/>
            <w:hideMark/>
          </w:tcPr>
          <w:p w14:paraId="50AD1DD8"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67,5</w:t>
            </w:r>
          </w:p>
        </w:tc>
        <w:tc>
          <w:tcPr>
            <w:tcW w:w="0" w:type="auto"/>
            <w:tcBorders>
              <w:top w:val="nil"/>
              <w:left w:val="nil"/>
              <w:bottom w:val="nil"/>
              <w:right w:val="nil"/>
            </w:tcBorders>
            <w:shd w:val="clear" w:color="000000" w:fill="CCCCCC"/>
            <w:vAlign w:val="center"/>
            <w:hideMark/>
          </w:tcPr>
          <w:p w14:paraId="1C5EC582"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67,0</w:t>
            </w:r>
          </w:p>
        </w:tc>
        <w:tc>
          <w:tcPr>
            <w:tcW w:w="0" w:type="auto"/>
            <w:tcBorders>
              <w:top w:val="nil"/>
              <w:left w:val="nil"/>
              <w:bottom w:val="nil"/>
              <w:right w:val="nil"/>
            </w:tcBorders>
            <w:shd w:val="clear" w:color="000000" w:fill="CCCCCC"/>
            <w:vAlign w:val="center"/>
            <w:hideMark/>
          </w:tcPr>
          <w:p w14:paraId="7ACBBE20"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65,6</w:t>
            </w:r>
          </w:p>
        </w:tc>
        <w:tc>
          <w:tcPr>
            <w:tcW w:w="0" w:type="auto"/>
            <w:tcBorders>
              <w:top w:val="nil"/>
              <w:left w:val="nil"/>
              <w:bottom w:val="nil"/>
              <w:right w:val="nil"/>
            </w:tcBorders>
            <w:shd w:val="clear" w:color="000000" w:fill="CCCCCC"/>
            <w:vAlign w:val="center"/>
            <w:hideMark/>
          </w:tcPr>
          <w:p w14:paraId="7549D0C6" w14:textId="77777777" w:rsidR="00E853B4" w:rsidRPr="00422245" w:rsidRDefault="00E853B4" w:rsidP="00D22393">
            <w:pPr>
              <w:keepNext/>
              <w:spacing w:after="0" w:line="240" w:lineRule="auto"/>
              <w:jc w:val="right"/>
              <w:rPr>
                <w:rFonts w:ascii="Arial" w:eastAsia="Times New Roman" w:hAnsi="Arial" w:cs="Arial"/>
                <w:b/>
                <w:bCs/>
                <w:color w:val="000000"/>
                <w:sz w:val="16"/>
                <w:szCs w:val="16"/>
                <w:lang w:eastAsia="nb-NO"/>
              </w:rPr>
            </w:pPr>
            <w:r w:rsidRPr="00422245">
              <w:rPr>
                <w:rFonts w:ascii="Arial" w:eastAsia="Times New Roman" w:hAnsi="Arial" w:cs="Arial"/>
                <w:b/>
                <w:bCs/>
                <w:color w:val="000000"/>
                <w:sz w:val="16"/>
                <w:szCs w:val="16"/>
                <w:lang w:eastAsia="nb-NO"/>
              </w:rPr>
              <w:t>1 994</w:t>
            </w:r>
          </w:p>
        </w:tc>
      </w:tr>
    </w:tbl>
    <w:p w14:paraId="50CECA4C" w14:textId="185E42D7" w:rsidR="00B752E5" w:rsidRPr="00422245" w:rsidRDefault="001327CF" w:rsidP="00577904">
      <w:pPr>
        <w:pStyle w:val="Merknad"/>
      </w:pPr>
      <w:r w:rsidRPr="00422245">
        <w:t>Merk: institusjoner med færre enn 20 studenter tatt opp i 2017</w:t>
      </w:r>
      <w:r w:rsidR="00AD0719" w:rsidRPr="00422245">
        <w:t xml:space="preserve"> er utelatt fra tabellen</w:t>
      </w:r>
      <w:r w:rsidR="00913856" w:rsidRPr="00422245">
        <w:t>,</w:t>
      </w:r>
      <w:r w:rsidR="00AD0719" w:rsidRPr="00422245">
        <w:t xml:space="preserve"> men inkludert i summeringer.</w:t>
      </w:r>
    </w:p>
    <w:p w14:paraId="63E5C7B2" w14:textId="77777777" w:rsidR="00E62ECD" w:rsidRPr="00422245" w:rsidRDefault="004E373E" w:rsidP="00E62ECD">
      <w:pPr>
        <w:pStyle w:val="Kilde"/>
      </w:pPr>
      <w:r w:rsidRPr="004E373E">
        <w:rPr>
          <w:b/>
        </w:rPr>
        <w:t>Kilde</w:t>
      </w:r>
      <w:r w:rsidR="00E62ECD" w:rsidRPr="00422245">
        <w:t>: DBH</w:t>
      </w:r>
    </w:p>
    <w:p w14:paraId="76F4339A" w14:textId="2A781302" w:rsidR="00606616" w:rsidRPr="00422245" w:rsidRDefault="0050176D" w:rsidP="00AA14B9">
      <w:r w:rsidRPr="00422245">
        <w:t xml:space="preserve">For institusjoner med relativt lave tall kan andelen variere mye fra år til </w:t>
      </w:r>
      <w:r w:rsidR="00573D93" w:rsidRPr="00422245">
        <w:t xml:space="preserve">år. </w:t>
      </w:r>
      <w:r w:rsidR="00E306C3" w:rsidRPr="00422245">
        <w:t xml:space="preserve">For eksempel ser vi at andelen ved NHH </w:t>
      </w:r>
      <w:r w:rsidR="00780FC8" w:rsidRPr="00422245">
        <w:t xml:space="preserve">økte fra </w:t>
      </w:r>
      <w:r w:rsidR="00516058" w:rsidRPr="00422245">
        <w:t xml:space="preserve">54,5 til 85,2 prosent fra 2022 til 2023. </w:t>
      </w:r>
      <w:r w:rsidR="00417AF8" w:rsidRPr="00422245">
        <w:t xml:space="preserve">Mange av institusjonene i tabellen hadde </w:t>
      </w:r>
      <w:r w:rsidR="00D719A9" w:rsidRPr="00422245">
        <w:t xml:space="preserve">betydelig lavere opptakstall i årene før 2017, og for </w:t>
      </w:r>
      <w:r w:rsidR="00A063B7" w:rsidRPr="00422245">
        <w:t xml:space="preserve">flere institusjoner er </w:t>
      </w:r>
      <w:r w:rsidR="002D5922" w:rsidRPr="00422245">
        <w:t>omfattende doktorgradsutdanning et relativt nytt fenomen</w:t>
      </w:r>
      <w:r w:rsidR="00A4643B" w:rsidRPr="00422245">
        <w:t xml:space="preserve">. </w:t>
      </w:r>
      <w:r w:rsidR="007C32FD" w:rsidRPr="00422245">
        <w:t>At nettopp denne perioden har vært preget av s</w:t>
      </w:r>
      <w:r w:rsidR="00410873" w:rsidRPr="00422245">
        <w:t>ammenslåinger</w:t>
      </w:r>
      <w:r w:rsidR="007C32FD" w:rsidRPr="00422245">
        <w:t xml:space="preserve">, </w:t>
      </w:r>
      <w:r w:rsidR="000D1601" w:rsidRPr="00422245">
        <w:t>universitetsbygging</w:t>
      </w:r>
      <w:r w:rsidR="00ED0ACC" w:rsidRPr="00422245">
        <w:t xml:space="preserve"> og </w:t>
      </w:r>
      <w:r w:rsidR="00725E27" w:rsidRPr="00422245">
        <w:t>utvikling av doktorgradsprogram</w:t>
      </w:r>
      <w:r w:rsidR="00040344" w:rsidRPr="00422245">
        <w:t xml:space="preserve">, </w:t>
      </w:r>
      <w:r w:rsidR="000D1601" w:rsidRPr="00422245">
        <w:t>gjør historiske data mindre relevante for flere av</w:t>
      </w:r>
      <w:r w:rsidR="00410873" w:rsidRPr="00422245">
        <w:t xml:space="preserve"> </w:t>
      </w:r>
      <w:r w:rsidR="00AD2224" w:rsidRPr="00422245">
        <w:t>institusjonene</w:t>
      </w:r>
      <w:r w:rsidR="00AA2D56" w:rsidRPr="00422245">
        <w:t>.</w:t>
      </w:r>
    </w:p>
    <w:p w14:paraId="3FF1BEE1" w14:textId="42E2FE7D" w:rsidR="0024593F" w:rsidRPr="00422245" w:rsidRDefault="00635B58" w:rsidP="00AA14B9">
      <w:r w:rsidRPr="00422245">
        <w:t>Blant institusjonene som over tid har hatt</w:t>
      </w:r>
      <w:r w:rsidR="00EE7BEE" w:rsidRPr="00422245">
        <w:t xml:space="preserve"> et høyt antall doktorgradskandidater, utmerker NTNU seg med </w:t>
      </w:r>
      <w:r w:rsidR="00060046" w:rsidRPr="00422245">
        <w:t xml:space="preserve">høyere gjennomføringsandel, mellom 70 og 75 prosent de siste </w:t>
      </w:r>
      <w:r w:rsidR="005C6E41" w:rsidRPr="00422245">
        <w:t xml:space="preserve">åtte årene. </w:t>
      </w:r>
      <w:r w:rsidR="00AA4145" w:rsidRPr="00422245">
        <w:t>D</w:t>
      </w:r>
      <w:r w:rsidR="009F0A8C" w:rsidRPr="00422245">
        <w:t xml:space="preserve">ette samsvarer med funnene i en undersøkelse </w:t>
      </w:r>
      <w:r w:rsidR="009971BA" w:rsidRPr="00422245">
        <w:t xml:space="preserve">fra 2022 </w:t>
      </w:r>
      <w:r w:rsidR="009F0A8C" w:rsidRPr="00422245">
        <w:t xml:space="preserve">av </w:t>
      </w:r>
      <w:r w:rsidR="009C14A1" w:rsidRPr="00422245">
        <w:t>gjennomføring</w:t>
      </w:r>
      <w:r w:rsidR="009971BA" w:rsidRPr="00422245">
        <w:t>stid i doktorgradsutdanningen</w:t>
      </w:r>
      <w:r w:rsidR="004D5C4C" w:rsidRPr="00422245">
        <w:t xml:space="preserve">. </w:t>
      </w:r>
      <w:r w:rsidR="00911D9A" w:rsidRPr="00422245">
        <w:t xml:space="preserve">Der var tidsbruken klart kortest </w:t>
      </w:r>
      <w:r w:rsidR="00B33C39" w:rsidRPr="00422245">
        <w:t xml:space="preserve">innenfor teknologifag </w:t>
      </w:r>
      <w:r w:rsidR="00914C57">
        <w:fldChar w:fldCharType="begin"/>
      </w:r>
      <w:r w:rsidR="004A6792">
        <w:instrText xml:space="preserve"> ADDIN EN.CITE &lt;EndNote&gt;&lt;Cite&gt;&lt;Author&gt;HK-dir&lt;/Author&gt;&lt;Year&gt;2022&lt;/Year&gt;&lt;RecNum&gt;2280&lt;/RecNum&gt;&lt;DisplayText&gt;(HK-dir, 2022a)&lt;/DisplayText&gt;&lt;record&gt;&lt;rec-number&gt;2280&lt;/rec-number&gt;&lt;foreign-keys&gt;&lt;key app="EN" db-id="p2et5feaxrpe5zew2eavt29z05fv09aa5s0w" timestamp="1712319571" guid="c3e22dd1-3994-4dbf-89a1-9a6953917d24"&gt;2280&lt;/key&gt;&lt;/foreign-keys&gt;&lt;ref-type name="Report"&gt;27&lt;/ref-type&gt;&lt;contributors&gt;&lt;authors&gt;&lt;author&gt;HK-dir&lt;/author&gt;&lt;/authors&gt;&lt;/contributors&gt;&lt;titles&gt;&lt;title&gt;Avtalelengder og tidsbruk i ph.d.-utdanninga&lt;/title&gt;&lt;/titles&gt;&lt;dates&gt;&lt;year&gt;2022&lt;/year&gt;&lt;/dates&gt;&lt;isbn&gt;2022:04&lt;/isbn&gt;&lt;urls&gt;&lt;related-urls&gt;&lt;url&gt;https://hkdir.no/rapporter-undersokelser-og-statistikk/avtalelengder-og-tidsbruk-i-ph-d-utdanninga&lt;/url&gt;&lt;/related-urls&gt;&lt;/urls&gt;&lt;/record&gt;&lt;/Cite&gt;&lt;/EndNote&gt;</w:instrText>
      </w:r>
      <w:r w:rsidR="00914C57">
        <w:fldChar w:fldCharType="separate"/>
      </w:r>
      <w:r w:rsidR="00914C57">
        <w:rPr>
          <w:noProof/>
        </w:rPr>
        <w:t>(HK-dir, 2022a)</w:t>
      </w:r>
      <w:r w:rsidR="00914C57">
        <w:fldChar w:fldCharType="end"/>
      </w:r>
      <w:r w:rsidR="00914C57">
        <w:t xml:space="preserve">, </w:t>
      </w:r>
      <w:r w:rsidR="00FA3536" w:rsidRPr="00422245">
        <w:t>hvor NTNU har sitt tyngdepunkt</w:t>
      </w:r>
      <w:r w:rsidR="00942784" w:rsidRPr="00422245">
        <w:t>.</w:t>
      </w:r>
      <w:r w:rsidR="00407081" w:rsidRPr="00422245">
        <w:t xml:space="preserve"> Gjennomføringen ved NTNU h</w:t>
      </w:r>
      <w:r w:rsidR="009C1EAE" w:rsidRPr="00422245">
        <w:t xml:space="preserve">ar også vært </w:t>
      </w:r>
      <w:r w:rsidR="007960C7" w:rsidRPr="00422245">
        <w:t xml:space="preserve">relativt lite svekket etter 2020. I alle årene har gjennomføringen holdt seg over 70 prosent, og </w:t>
      </w:r>
      <w:r w:rsidR="006C4994" w:rsidRPr="00422245">
        <w:t xml:space="preserve">i 2023 klatret den opp til </w:t>
      </w:r>
      <w:r w:rsidR="00D346DF" w:rsidRPr="00422245">
        <w:t>74 prosent.</w:t>
      </w:r>
    </w:p>
    <w:p w14:paraId="414FAD93" w14:textId="43042879" w:rsidR="009E1904" w:rsidRPr="00422245" w:rsidRDefault="007421EA" w:rsidP="00AA14B9">
      <w:r w:rsidRPr="00422245">
        <w:lastRenderedPageBreak/>
        <w:t>Mens faglig profil trolig er en del av forklaringen på forskjellen mellom NTNU og andre institusjoner,</w:t>
      </w:r>
      <w:r w:rsidR="00AF246F" w:rsidRPr="00422245">
        <w:t xml:space="preserve"> er dette neppe forklaringen på forskjellen mellom UiO og UiB, som har mer likeartede fa</w:t>
      </w:r>
      <w:r w:rsidR="00A86506" w:rsidRPr="00422245">
        <w:t xml:space="preserve">glige profiler. </w:t>
      </w:r>
      <w:r w:rsidR="00F10A2D" w:rsidRPr="00422245">
        <w:t xml:space="preserve">UiB har </w:t>
      </w:r>
      <w:r w:rsidR="00E71652" w:rsidRPr="00422245">
        <w:t>over tid</w:t>
      </w:r>
      <w:r w:rsidR="00F10A2D" w:rsidRPr="00422245">
        <w:t xml:space="preserve"> hatt høyere gjennomføringsandel, </w:t>
      </w:r>
      <w:r w:rsidR="0063314A" w:rsidRPr="00422245">
        <w:t xml:space="preserve">og i 2023 var forskjellen </w:t>
      </w:r>
      <w:r w:rsidR="00DF06E5" w:rsidRPr="00422245">
        <w:t>69 mot 60 prosent.</w:t>
      </w:r>
    </w:p>
    <w:p w14:paraId="150B65BE" w14:textId="7D343EAD" w:rsidR="001D451A" w:rsidRPr="00422245" w:rsidRDefault="00CF27AE" w:rsidP="005C58B9">
      <w:pPr>
        <w:pStyle w:val="Overskrift2"/>
      </w:pPr>
      <w:bookmarkStart w:id="144" w:name="_Ref162098636"/>
      <w:bookmarkStart w:id="145" w:name="_Toc163488441"/>
      <w:r w:rsidRPr="00422245">
        <w:t>Avlagte doktorgrader – fagområder</w:t>
      </w:r>
      <w:bookmarkEnd w:id="142"/>
      <w:r w:rsidR="00A71B28" w:rsidRPr="00422245">
        <w:t xml:space="preserve"> og statsborge</w:t>
      </w:r>
      <w:r w:rsidR="00711262" w:rsidRPr="00422245">
        <w:t>rskap</w:t>
      </w:r>
      <w:bookmarkEnd w:id="144"/>
      <w:bookmarkEnd w:id="145"/>
    </w:p>
    <w:p w14:paraId="75B7DB49" w14:textId="24E41125" w:rsidR="00D7594E" w:rsidRPr="00422245" w:rsidRDefault="00E84A0A" w:rsidP="00D7594E">
      <w:r w:rsidRPr="00422245">
        <w:t xml:space="preserve">Over tid har fordelingen av avlagte doktorgrader per fagområde vært </w:t>
      </w:r>
      <w:r w:rsidR="006024BE" w:rsidRPr="00422245">
        <w:t xml:space="preserve">relativt stabil, se </w:t>
      </w:r>
      <w:r w:rsidR="00931E61" w:rsidRPr="00422245">
        <w:fldChar w:fldCharType="begin"/>
      </w:r>
      <w:r w:rsidR="00931E61" w:rsidRPr="00422245">
        <w:instrText xml:space="preserve"> REF _Ref162086778 \h </w:instrText>
      </w:r>
      <w:r w:rsidR="00931E61" w:rsidRPr="00422245">
        <w:fldChar w:fldCharType="separate"/>
      </w:r>
      <w:r w:rsidR="00931E61" w:rsidRPr="00422245">
        <w:t xml:space="preserve">Figur </w:t>
      </w:r>
      <w:r w:rsidR="001F70D1">
        <w:rPr>
          <w:noProof/>
        </w:rPr>
        <w:t>7</w:t>
      </w:r>
      <w:r w:rsidR="005B096E">
        <w:noBreakHyphen/>
      </w:r>
      <w:r w:rsidR="00931E61" w:rsidRPr="00422245">
        <w:t>4</w:t>
      </w:r>
      <w:r w:rsidR="00931E61" w:rsidRPr="00422245">
        <w:fldChar w:fldCharType="end"/>
      </w:r>
      <w:r w:rsidR="00662BC0" w:rsidRPr="00422245">
        <w:t xml:space="preserve">. </w:t>
      </w:r>
      <w:r w:rsidR="002B6811" w:rsidRPr="00422245">
        <w:t>F</w:t>
      </w:r>
      <w:r w:rsidR="0047638C" w:rsidRPr="00422245">
        <w:t xml:space="preserve">or de fleste fagområdene har </w:t>
      </w:r>
      <w:r w:rsidR="00345C98" w:rsidRPr="00422245">
        <w:t xml:space="preserve">antall avlagte grader </w:t>
      </w:r>
      <w:r w:rsidR="001E4E1E" w:rsidRPr="00422245">
        <w:t xml:space="preserve">endret seg </w:t>
      </w:r>
      <w:r w:rsidR="00863888" w:rsidRPr="00422245">
        <w:t xml:space="preserve">lite </w:t>
      </w:r>
      <w:r w:rsidR="00813362" w:rsidRPr="00422245">
        <w:t xml:space="preserve">i tiårsperioden. Unntaket er fagområdet «teknologi». Fra 2014 til 2023 </w:t>
      </w:r>
      <w:r w:rsidR="00442C0C" w:rsidRPr="00422245">
        <w:t xml:space="preserve">økte doktorgrader i teknologi sin andel fra </w:t>
      </w:r>
      <w:r w:rsidR="005A5B89" w:rsidRPr="00422245">
        <w:t xml:space="preserve">11 til 21 prosent. </w:t>
      </w:r>
      <w:r w:rsidR="00803E74" w:rsidRPr="00422245">
        <w:t xml:space="preserve">I 2014 var teknologi det fjerde største fagområdet målt i avlagte doktorgrader, i </w:t>
      </w:r>
      <w:r w:rsidR="0030502E" w:rsidRPr="00422245">
        <w:t>2023 hadde bare medis</w:t>
      </w:r>
      <w:r w:rsidR="0059321F" w:rsidRPr="00422245">
        <w:t>in og helsefag et høyere antall doktorgrader.</w:t>
      </w:r>
    </w:p>
    <w:p w14:paraId="37513CB6" w14:textId="452F1880" w:rsidR="008A4CB0" w:rsidRPr="00422245" w:rsidRDefault="008A4CB0" w:rsidP="008A4CB0">
      <w:pPr>
        <w:pStyle w:val="Bildetekst"/>
        <w:keepNext/>
      </w:pPr>
      <w:bookmarkStart w:id="146" w:name="_Ref162086778"/>
      <w:r w:rsidRPr="00422245">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146"/>
      <w:r w:rsidRPr="00422245">
        <w:t xml:space="preserve"> Avlagte doktorgrader etter fagområde, 2023</w:t>
      </w:r>
    </w:p>
    <w:p w14:paraId="667C768D" w14:textId="276447EF" w:rsidR="00831575" w:rsidRPr="00422245" w:rsidRDefault="00831575" w:rsidP="00741D0E">
      <w:pPr>
        <w:keepNext/>
      </w:pPr>
      <w:r w:rsidRPr="00422245">
        <w:rPr>
          <w:noProof/>
        </w:rPr>
        <w:drawing>
          <wp:inline distT="0" distB="0" distL="0" distR="0" wp14:anchorId="4D287271" wp14:editId="6C8220E5">
            <wp:extent cx="5657850" cy="2914650"/>
            <wp:effectExtent l="0" t="0" r="0" b="0"/>
            <wp:docPr id="1875900109" name="Diagram 1">
              <a:extLst xmlns:a="http://schemas.openxmlformats.org/drawingml/2006/main">
                <a:ext uri="{FF2B5EF4-FFF2-40B4-BE49-F238E27FC236}">
                  <a16:creationId xmlns:a16="http://schemas.microsoft.com/office/drawing/2014/main" id="{FEDD5BC0-FB2A-BF58-EF07-63CB6FA55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7A9EAD8" w14:textId="7AF7F145" w:rsidR="008A4CB0" w:rsidRPr="00422245" w:rsidRDefault="008A4CB0" w:rsidP="00741D0E">
      <w:pPr>
        <w:pStyle w:val="Kilde"/>
      </w:pPr>
      <w:r w:rsidRPr="004E373E">
        <w:rPr>
          <w:b/>
        </w:rPr>
        <w:t>Kilde</w:t>
      </w:r>
      <w:r w:rsidRPr="00422245">
        <w:t>: Statistisk sentralbyrå, FoU-statistikk</w:t>
      </w:r>
    </w:p>
    <w:p w14:paraId="1656672E" w14:textId="034630CD" w:rsidR="00440A5B" w:rsidRPr="00422245" w:rsidRDefault="0001603B" w:rsidP="00440A5B">
      <w:bookmarkStart w:id="147" w:name="_Ref162091820"/>
      <w:r w:rsidRPr="00422245">
        <w:t xml:space="preserve">Samtidig som utviklingen over </w:t>
      </w:r>
      <w:r w:rsidR="00EB31FD" w:rsidRPr="00422245">
        <w:t xml:space="preserve">tid </w:t>
      </w:r>
      <w:r w:rsidRPr="00422245">
        <w:t xml:space="preserve">er preget av stabilitet, </w:t>
      </w:r>
      <w:r w:rsidR="00DF5EE9" w:rsidRPr="00422245">
        <w:t>vise</w:t>
      </w:r>
      <w:r w:rsidR="00EB31FD" w:rsidRPr="00422245">
        <w:t xml:space="preserve">r figuren </w:t>
      </w:r>
      <w:r w:rsidR="00C512D7" w:rsidRPr="00422245">
        <w:t xml:space="preserve">også at tallene kan variere </w:t>
      </w:r>
      <w:r w:rsidR="00E549FE" w:rsidRPr="00422245">
        <w:t xml:space="preserve">en del fra år til år. </w:t>
      </w:r>
      <w:r w:rsidR="000B0E84" w:rsidRPr="00422245">
        <w:t xml:space="preserve">I 2022 var det en markant nedgang i antallet </w:t>
      </w:r>
      <w:r w:rsidR="007E0B2A" w:rsidRPr="00422245">
        <w:t>doktorgrader innenfor matematikk og naturvitenskap</w:t>
      </w:r>
      <w:r w:rsidR="002D3F3A" w:rsidRPr="00422245">
        <w:t xml:space="preserve">. </w:t>
      </w:r>
      <w:r w:rsidR="00326C9F" w:rsidRPr="00422245">
        <w:t>I 2023 var tallet tilbake omtrent på nivået for langtidstrenden.</w:t>
      </w:r>
      <w:r w:rsidR="00B109E6" w:rsidRPr="00422245">
        <w:t xml:space="preserve"> </w:t>
      </w:r>
      <w:r w:rsidR="000B7CA8" w:rsidRPr="00422245">
        <w:t xml:space="preserve">Denne </w:t>
      </w:r>
      <w:r w:rsidR="00645953" w:rsidRPr="00422245">
        <w:t>endringen</w:t>
      </w:r>
      <w:r w:rsidR="00B109E6" w:rsidRPr="00422245">
        <w:t xml:space="preserve"> i 2022 </w:t>
      </w:r>
      <w:r w:rsidR="00170C82" w:rsidRPr="00422245">
        <w:t xml:space="preserve">har blant annet blitt knyttet til </w:t>
      </w:r>
      <w:r w:rsidR="00065D92" w:rsidRPr="00422245">
        <w:t>nedgangen</w:t>
      </w:r>
      <w:r w:rsidR="00170C82" w:rsidRPr="00422245">
        <w:t xml:space="preserve"> det året i antall avlagte </w:t>
      </w:r>
      <w:r w:rsidR="00811331" w:rsidRPr="00422245">
        <w:t xml:space="preserve">doktorgrader blant utenlandske statsborgere. </w:t>
      </w:r>
      <w:r w:rsidR="00EB0E48" w:rsidRPr="00422245">
        <w:t>Sam</w:t>
      </w:r>
      <w:r w:rsidR="00C0740E" w:rsidRPr="00422245">
        <w:t>tid</w:t>
      </w:r>
      <w:r w:rsidR="009948B2" w:rsidRPr="00422245">
        <w:t>ig</w:t>
      </w:r>
      <w:r w:rsidR="00D246C5" w:rsidRPr="00422245">
        <w:t xml:space="preserve"> </w:t>
      </w:r>
      <w:r w:rsidR="00B80458" w:rsidRPr="00422245">
        <w:t xml:space="preserve">er det like stor andel utenlandske statsborgere </w:t>
      </w:r>
      <w:r w:rsidR="00897B91" w:rsidRPr="00422245">
        <w:t>in</w:t>
      </w:r>
      <w:r w:rsidR="00A5279A" w:rsidRPr="00422245">
        <w:t>n</w:t>
      </w:r>
      <w:r w:rsidR="00897B91" w:rsidRPr="00422245">
        <w:t xml:space="preserve">enfor </w:t>
      </w:r>
      <w:r w:rsidR="00897B91" w:rsidRPr="00422245">
        <w:lastRenderedPageBreak/>
        <w:t>teknologi, uten at det var noe tilsv</w:t>
      </w:r>
      <w:r w:rsidR="00A5279A" w:rsidRPr="00422245">
        <w:t>arende nedgang der.</w:t>
      </w:r>
      <w:r w:rsidR="007E2DF3" w:rsidRPr="00422245">
        <w:t xml:space="preserve"> </w:t>
      </w:r>
      <w:r w:rsidR="00A927DB" w:rsidRPr="00422245">
        <w:fldChar w:fldCharType="begin"/>
      </w:r>
      <w:r w:rsidR="00A927DB" w:rsidRPr="00422245">
        <w:instrText xml:space="preserve"> REF _Ref162091841 \h </w:instrText>
      </w:r>
      <w:r w:rsidR="00A927DB" w:rsidRPr="00422245">
        <w:fldChar w:fldCharType="separate"/>
      </w:r>
      <w:r w:rsidR="00A927DB" w:rsidRPr="00422245">
        <w:t xml:space="preserve">Figur </w:t>
      </w:r>
      <w:r w:rsidR="00FB0F7C">
        <w:rPr>
          <w:noProof/>
        </w:rPr>
        <w:t>7</w:t>
      </w:r>
      <w:r w:rsidR="005B096E">
        <w:noBreakHyphen/>
      </w:r>
      <w:r w:rsidR="00A927DB" w:rsidRPr="00422245">
        <w:t>5</w:t>
      </w:r>
      <w:r w:rsidR="00A927DB" w:rsidRPr="00422245">
        <w:fldChar w:fldCharType="end"/>
      </w:r>
      <w:r w:rsidR="00A927DB" w:rsidRPr="00422245">
        <w:t xml:space="preserve"> </w:t>
      </w:r>
      <w:r w:rsidR="00C05B2C" w:rsidRPr="00422245">
        <w:t>viser</w:t>
      </w:r>
      <w:r w:rsidR="007E2DF3" w:rsidRPr="00422245">
        <w:t xml:space="preserve"> </w:t>
      </w:r>
      <w:r w:rsidR="0093479E" w:rsidRPr="00422245">
        <w:t>fag</w:t>
      </w:r>
      <w:r w:rsidR="00444942" w:rsidRPr="00422245">
        <w:t xml:space="preserve">områdefordelingen </w:t>
      </w:r>
      <w:r w:rsidR="00F56019" w:rsidRPr="00422245">
        <w:t xml:space="preserve">blant norske </w:t>
      </w:r>
      <w:r w:rsidR="007E2DF3" w:rsidRPr="00422245">
        <w:t>og</w:t>
      </w:r>
      <w:r w:rsidR="00F56019" w:rsidRPr="00422245">
        <w:t xml:space="preserve"> utenlandske </w:t>
      </w:r>
      <w:r w:rsidR="000D69D4" w:rsidRPr="00422245">
        <w:t xml:space="preserve">doktorander i 2023. </w:t>
      </w:r>
    </w:p>
    <w:p w14:paraId="6329FF62" w14:textId="28866054" w:rsidR="00612DBA" w:rsidRPr="00422245" w:rsidRDefault="00612DBA" w:rsidP="00612DBA">
      <w:pPr>
        <w:pStyle w:val="Bildetekst"/>
        <w:keepNext/>
      </w:pPr>
      <w:bookmarkStart w:id="148" w:name="_Ref162091841"/>
      <w:r w:rsidRPr="00422245">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5</w:t>
      </w:r>
      <w:r w:rsidR="006E1D94">
        <w:fldChar w:fldCharType="end"/>
      </w:r>
      <w:bookmarkEnd w:id="147"/>
      <w:bookmarkEnd w:id="148"/>
      <w:r w:rsidRPr="00422245">
        <w:t xml:space="preserve"> Avlagte doktorgrader etter fagfelt og statsborgerskap</w:t>
      </w:r>
    </w:p>
    <w:p w14:paraId="550AE791" w14:textId="02CA1AE8" w:rsidR="00A26D13" w:rsidRPr="00422245" w:rsidRDefault="00A26D13" w:rsidP="00440A5B">
      <w:r w:rsidRPr="00422245">
        <w:rPr>
          <w:noProof/>
        </w:rPr>
        <w:drawing>
          <wp:inline distT="0" distB="0" distL="0" distR="0" wp14:anchorId="1E76F42D" wp14:editId="1158CD65">
            <wp:extent cx="5725236" cy="2749550"/>
            <wp:effectExtent l="0" t="0" r="8890" b="12700"/>
            <wp:docPr id="97151921" name="Diagram 1">
              <a:extLst xmlns:a="http://schemas.openxmlformats.org/drawingml/2006/main">
                <a:ext uri="{FF2B5EF4-FFF2-40B4-BE49-F238E27FC236}">
                  <a16:creationId xmlns:a16="http://schemas.microsoft.com/office/drawing/2014/main" id="{66A9E5B7-B427-021E-2629-A091F496F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88187D2" w14:textId="77777777" w:rsidR="00B617ED" w:rsidRPr="00422245" w:rsidRDefault="00B617ED" w:rsidP="00B617ED">
      <w:pPr>
        <w:pStyle w:val="Kilde"/>
      </w:pPr>
      <w:r w:rsidRPr="004E373E">
        <w:rPr>
          <w:b/>
        </w:rPr>
        <w:t>Kilde</w:t>
      </w:r>
      <w:r w:rsidRPr="00422245">
        <w:t>: Statistisk sentralbyrå, FoU-statistikk</w:t>
      </w:r>
    </w:p>
    <w:p w14:paraId="287585DF" w14:textId="67896E15" w:rsidR="00A26D13" w:rsidRPr="00422245" w:rsidRDefault="008B49B0" w:rsidP="00440A5B">
      <w:pPr>
        <w:rPr>
          <w:b/>
          <w:bCs/>
        </w:rPr>
      </w:pPr>
      <w:r w:rsidRPr="00422245">
        <w:rPr>
          <w:b/>
          <w:bCs/>
        </w:rPr>
        <w:t>Rekordhøyt antall utenlandske doktorander</w:t>
      </w:r>
    </w:p>
    <w:p w14:paraId="2801D1D6" w14:textId="42B07116" w:rsidR="001D138F" w:rsidRPr="00422245" w:rsidRDefault="003D4500" w:rsidP="00440A5B">
      <w:r w:rsidRPr="00422245">
        <w:t>Over tid har utenlandske statsborgere</w:t>
      </w:r>
      <w:r w:rsidR="0065239D" w:rsidRPr="00422245">
        <w:t xml:space="preserve"> blant dok</w:t>
      </w:r>
      <w:r w:rsidR="004A3923" w:rsidRPr="00422245">
        <w:t xml:space="preserve">torandene økt i både antall og andel. </w:t>
      </w:r>
      <w:r w:rsidR="00680E41" w:rsidRPr="00422245">
        <w:t xml:space="preserve">I 2023 </w:t>
      </w:r>
      <w:r w:rsidR="004F0334" w:rsidRPr="00422245">
        <w:t xml:space="preserve">avla 706 utenlandske kandidater doktorgrad ved norsk </w:t>
      </w:r>
      <w:r w:rsidR="004A1969" w:rsidRPr="00422245">
        <w:t>universitet eller høyskole,</w:t>
      </w:r>
      <w:r w:rsidR="004A3923" w:rsidRPr="00422245">
        <w:t xml:space="preserve"> det høyeste antallet noen gang. Dette utgjorde </w:t>
      </w:r>
      <w:r w:rsidR="00364B66" w:rsidRPr="00422245">
        <w:t>44 prosent av alle doktorgrader i 2023</w:t>
      </w:r>
      <w:r w:rsidR="00250779" w:rsidRPr="00422245">
        <w:t>. A</w:t>
      </w:r>
      <w:r w:rsidR="00364B66" w:rsidRPr="00422245">
        <w:t xml:space="preserve">ndelen har aldri vært høyere, </w:t>
      </w:r>
      <w:r w:rsidR="00FB2DDC" w:rsidRPr="00422245">
        <w:t>men var like høy i 2021. I tiårsperioden</w:t>
      </w:r>
      <w:r w:rsidR="000E44E5" w:rsidRPr="00422245">
        <w:t xml:space="preserve"> rapporten dekker </w:t>
      </w:r>
      <w:r w:rsidR="00FB2DDC" w:rsidRPr="00422245">
        <w:t>har andelen utlendinger blant doktorandene</w:t>
      </w:r>
      <w:r w:rsidR="007A2688" w:rsidRPr="00422245">
        <w:t xml:space="preserve"> økt </w:t>
      </w:r>
      <w:r w:rsidR="00844949" w:rsidRPr="00422245">
        <w:t xml:space="preserve">med 9 prosentpoeng, fra </w:t>
      </w:r>
      <w:r w:rsidR="000E44E5" w:rsidRPr="00422245">
        <w:t>35 prosent i 2014.</w:t>
      </w:r>
    </w:p>
    <w:p w14:paraId="53F85A69" w14:textId="3355F8BB" w:rsidR="001D138F" w:rsidRPr="00422245" w:rsidRDefault="0027489C" w:rsidP="00440A5B">
      <w:r w:rsidRPr="00422245">
        <w:fldChar w:fldCharType="begin"/>
      </w:r>
      <w:r w:rsidRPr="00422245">
        <w:instrText xml:space="preserve"> REF _Ref162091841 \h </w:instrText>
      </w:r>
      <w:r w:rsidRPr="00422245">
        <w:fldChar w:fldCharType="separate"/>
      </w:r>
      <w:r w:rsidRPr="00422245">
        <w:t xml:space="preserve">Figur </w:t>
      </w:r>
      <w:r w:rsidR="00880615">
        <w:rPr>
          <w:noProof/>
        </w:rPr>
        <w:t>7</w:t>
      </w:r>
      <w:r w:rsidR="005B096E">
        <w:noBreakHyphen/>
      </w:r>
      <w:r w:rsidRPr="00422245">
        <w:t>5</w:t>
      </w:r>
      <w:r w:rsidRPr="00422245">
        <w:fldChar w:fldCharType="end"/>
      </w:r>
      <w:r w:rsidR="00867837" w:rsidRPr="00422245">
        <w:t xml:space="preserve"> viste at det er store skiller mellom fagområdene </w:t>
      </w:r>
      <w:r w:rsidR="006E430A" w:rsidRPr="00422245">
        <w:t xml:space="preserve">i </w:t>
      </w:r>
      <w:r w:rsidR="002364BB" w:rsidRPr="00422245">
        <w:t xml:space="preserve">hvor stor andel de utenlandske </w:t>
      </w:r>
      <w:r w:rsidR="004110DA" w:rsidRPr="00422245">
        <w:t xml:space="preserve">doktorandene utgjør. </w:t>
      </w:r>
      <w:r w:rsidR="005E68C5" w:rsidRPr="00422245">
        <w:t>D</w:t>
      </w:r>
      <w:r w:rsidR="00FB2FB2" w:rsidRPr="00422245">
        <w:t xml:space="preserve">isse skillene reflekteres også i noen grad når vi ser på </w:t>
      </w:r>
      <w:r w:rsidR="0095712F" w:rsidRPr="00422245">
        <w:t xml:space="preserve">forskjellene mellom institusjoner, som i </w:t>
      </w:r>
      <w:r w:rsidR="007A4114" w:rsidRPr="00422245">
        <w:fldChar w:fldCharType="begin"/>
      </w:r>
      <w:r w:rsidR="007A4114" w:rsidRPr="00422245">
        <w:instrText xml:space="preserve"> REF _Ref162095480 \h </w:instrText>
      </w:r>
      <w:r w:rsidR="007A4114" w:rsidRPr="00422245">
        <w:fldChar w:fldCharType="separate"/>
      </w:r>
      <w:r w:rsidR="007A4114" w:rsidRPr="00422245">
        <w:t xml:space="preserve">Figur </w:t>
      </w:r>
      <w:r w:rsidR="00880615">
        <w:rPr>
          <w:noProof/>
        </w:rPr>
        <w:t>7</w:t>
      </w:r>
      <w:r w:rsidR="005B096E">
        <w:noBreakHyphen/>
      </w:r>
      <w:r w:rsidR="007A4114" w:rsidRPr="00422245">
        <w:t>6</w:t>
      </w:r>
      <w:r w:rsidR="007A4114" w:rsidRPr="00422245">
        <w:fldChar w:fldCharType="end"/>
      </w:r>
      <w:r w:rsidR="005D459D" w:rsidRPr="00422245">
        <w:t>.</w:t>
      </w:r>
    </w:p>
    <w:p w14:paraId="3D8A2B3C" w14:textId="77777777" w:rsidR="00D17D82" w:rsidRPr="00422245" w:rsidRDefault="00D17D82" w:rsidP="00440A5B"/>
    <w:p w14:paraId="39449B36" w14:textId="41A29274" w:rsidR="001D3797" w:rsidRPr="00422245" w:rsidRDefault="001D3797" w:rsidP="001D3797">
      <w:pPr>
        <w:pStyle w:val="Bildetekst"/>
        <w:keepNext/>
      </w:pPr>
      <w:bookmarkStart w:id="149" w:name="_Ref162095480"/>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6</w:t>
      </w:r>
      <w:r w:rsidR="006E1D94">
        <w:fldChar w:fldCharType="end"/>
      </w:r>
      <w:bookmarkEnd w:id="149"/>
      <w:r w:rsidRPr="00422245">
        <w:t xml:space="preserve"> Avlagte doktorgrader 2018-23 per institusjon. Andel utenlandske statsborgere</w:t>
      </w:r>
    </w:p>
    <w:p w14:paraId="04D34605" w14:textId="34C969F7" w:rsidR="00A34D7B" w:rsidRPr="00422245" w:rsidRDefault="001F3AD0" w:rsidP="00440A5B">
      <w:r w:rsidRPr="00422245">
        <w:rPr>
          <w:noProof/>
        </w:rPr>
        <w:drawing>
          <wp:inline distT="0" distB="0" distL="0" distR="0" wp14:anchorId="2DF2FB14" wp14:editId="6936C307">
            <wp:extent cx="5711588" cy="2743200"/>
            <wp:effectExtent l="0" t="0" r="3810" b="0"/>
            <wp:docPr id="530726391" name="Diagram 1">
              <a:extLst xmlns:a="http://schemas.openxmlformats.org/drawingml/2006/main">
                <a:ext uri="{FF2B5EF4-FFF2-40B4-BE49-F238E27FC236}">
                  <a16:creationId xmlns:a16="http://schemas.microsoft.com/office/drawing/2014/main" id="{5B07C731-638A-A792-89E2-2F7580D38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2BDBB56" w14:textId="77777777" w:rsidR="00B617ED" w:rsidRPr="00422245" w:rsidRDefault="00B617ED" w:rsidP="00B617ED">
      <w:pPr>
        <w:pStyle w:val="Kilde"/>
      </w:pPr>
      <w:r w:rsidRPr="004E373E">
        <w:rPr>
          <w:b/>
        </w:rPr>
        <w:t>Kilde</w:t>
      </w:r>
      <w:r w:rsidRPr="00422245">
        <w:t>: Statistisk sentralbyrå, FoU-statistikk</w:t>
      </w:r>
    </w:p>
    <w:p w14:paraId="2FDEC7F4" w14:textId="004A1E15" w:rsidR="000D69D4" w:rsidRPr="00422245" w:rsidRDefault="00334709" w:rsidP="00440A5B">
      <w:r w:rsidRPr="00422245">
        <w:t xml:space="preserve">Halvparten av de utenlandske doktorandene </w:t>
      </w:r>
      <w:r w:rsidR="00297391" w:rsidRPr="00422245">
        <w:t>i 2023 kom fra land i Europa</w:t>
      </w:r>
      <w:r w:rsidR="00464526" w:rsidRPr="00422245">
        <w:t xml:space="preserve">, se </w:t>
      </w:r>
      <w:r w:rsidR="00464526" w:rsidRPr="00422245">
        <w:fldChar w:fldCharType="begin"/>
      </w:r>
      <w:r w:rsidR="00464526" w:rsidRPr="00422245">
        <w:instrText xml:space="preserve"> REF _Ref162096106 \h </w:instrText>
      </w:r>
      <w:r w:rsidR="00464526" w:rsidRPr="00422245">
        <w:fldChar w:fldCharType="separate"/>
      </w:r>
      <w:r w:rsidR="00C219C1" w:rsidRPr="00422245">
        <w:rPr>
          <w:iCs/>
        </w:rPr>
        <w:t xml:space="preserve">Figur </w:t>
      </w:r>
      <w:r w:rsidR="00C219C1">
        <w:rPr>
          <w:iCs/>
          <w:noProof/>
        </w:rPr>
        <w:t>7</w:t>
      </w:r>
      <w:r w:rsidR="00C219C1">
        <w:rPr>
          <w:iCs/>
        </w:rPr>
        <w:noBreakHyphen/>
      </w:r>
      <w:r w:rsidR="00C219C1">
        <w:rPr>
          <w:iCs/>
          <w:noProof/>
        </w:rPr>
        <w:t>7</w:t>
      </w:r>
      <w:r w:rsidR="00464526" w:rsidRPr="00422245">
        <w:fldChar w:fldCharType="end"/>
      </w:r>
      <w:r w:rsidR="00464526" w:rsidRPr="00422245">
        <w:t>.</w:t>
      </w:r>
      <w:r w:rsidR="00297391" w:rsidRPr="00422245">
        <w:t xml:space="preserve"> </w:t>
      </w:r>
      <w:r w:rsidR="003F0321" w:rsidRPr="00422245">
        <w:t>Åtte</w:t>
      </w:r>
      <w:r w:rsidR="00FF521D" w:rsidRPr="00422245">
        <w:t xml:space="preserve"> prosent kom fra andre nordiske land og 41 prosent fra </w:t>
      </w:r>
      <w:r w:rsidR="00464526" w:rsidRPr="00422245">
        <w:t xml:space="preserve">Europa utenom Norden. </w:t>
      </w:r>
      <w:r w:rsidR="009D0BD1" w:rsidRPr="00422245">
        <w:t xml:space="preserve">Nesten en tredel av doktorandene kom fra </w:t>
      </w:r>
      <w:r w:rsidR="005C3DF9" w:rsidRPr="00422245">
        <w:t>land i Asia</w:t>
      </w:r>
      <w:r w:rsidR="005919FD" w:rsidRPr="00422245">
        <w:t xml:space="preserve">. </w:t>
      </w:r>
      <w:r w:rsidR="00137664" w:rsidRPr="00422245">
        <w:t xml:space="preserve">Andre </w:t>
      </w:r>
      <w:r w:rsidR="00554DC8" w:rsidRPr="00422245">
        <w:t>verdensdeler og regioner utenom Europa og Asia utgj</w:t>
      </w:r>
      <w:r w:rsidR="00AA1FD7" w:rsidRPr="00422245">
        <w:t>orde</w:t>
      </w:r>
      <w:r w:rsidR="00554DC8" w:rsidRPr="00422245">
        <w:t xml:space="preserve"> til sammen </w:t>
      </w:r>
      <w:r w:rsidR="00BF10BF" w:rsidRPr="00422245">
        <w:t>20 prosent av de utenlandske doktorandene i 2023</w:t>
      </w:r>
      <w:r w:rsidR="00F26F07" w:rsidRPr="00422245">
        <w:t xml:space="preserve">, med Afrika som den største opphavsregionen med 9 prosent. </w:t>
      </w:r>
    </w:p>
    <w:p w14:paraId="637EF89A" w14:textId="1EDFBAD0" w:rsidR="0028083D" w:rsidRPr="00422245" w:rsidRDefault="0028083D" w:rsidP="00D64E75">
      <w:pPr>
        <w:keepNext/>
        <w:rPr>
          <w:iCs/>
        </w:rPr>
      </w:pPr>
      <w:bookmarkStart w:id="150" w:name="_Ref162096106"/>
      <w:r w:rsidRPr="00422245">
        <w:rPr>
          <w:iCs/>
        </w:rPr>
        <w:lastRenderedPageBreak/>
        <w:t xml:space="preserve">Figur </w:t>
      </w:r>
      <w:r w:rsidR="006E1D94">
        <w:rPr>
          <w:iCs/>
        </w:rPr>
        <w:fldChar w:fldCharType="begin"/>
      </w:r>
      <w:r w:rsidR="006E1D94">
        <w:rPr>
          <w:iCs/>
        </w:rPr>
        <w:instrText xml:space="preserve"> STYLEREF 1 \s </w:instrText>
      </w:r>
      <w:r w:rsidR="006E1D94">
        <w:rPr>
          <w:iCs/>
        </w:rPr>
        <w:fldChar w:fldCharType="separate"/>
      </w:r>
      <w:r w:rsidR="006E1D94">
        <w:rPr>
          <w:iCs/>
          <w:noProof/>
        </w:rPr>
        <w:t>7</w:t>
      </w:r>
      <w:r w:rsidR="006E1D94">
        <w:rPr>
          <w:iCs/>
        </w:rPr>
        <w:fldChar w:fldCharType="end"/>
      </w:r>
      <w:r w:rsidR="006E1D94">
        <w:rPr>
          <w:iCs/>
        </w:rPr>
        <w:noBreakHyphen/>
      </w:r>
      <w:r w:rsidR="006E1D94">
        <w:rPr>
          <w:iCs/>
        </w:rPr>
        <w:fldChar w:fldCharType="begin"/>
      </w:r>
      <w:r w:rsidR="006E1D94">
        <w:rPr>
          <w:iCs/>
        </w:rPr>
        <w:instrText xml:space="preserve"> SEQ Figur \* ARABIC \s 1 </w:instrText>
      </w:r>
      <w:r w:rsidR="006E1D94">
        <w:rPr>
          <w:iCs/>
        </w:rPr>
        <w:fldChar w:fldCharType="separate"/>
      </w:r>
      <w:r w:rsidR="006E1D94">
        <w:rPr>
          <w:iCs/>
          <w:noProof/>
        </w:rPr>
        <w:t>7</w:t>
      </w:r>
      <w:r w:rsidR="006E1D94">
        <w:rPr>
          <w:iCs/>
        </w:rPr>
        <w:fldChar w:fldCharType="end"/>
      </w:r>
      <w:bookmarkEnd w:id="150"/>
      <w:r w:rsidRPr="00422245">
        <w:rPr>
          <w:iCs/>
        </w:rPr>
        <w:t xml:space="preserve"> Doktorander med </w:t>
      </w:r>
      <w:r w:rsidR="00D64E75" w:rsidRPr="00422245">
        <w:rPr>
          <w:iCs/>
        </w:rPr>
        <w:t>utenlandsk</w:t>
      </w:r>
      <w:r w:rsidRPr="00422245">
        <w:rPr>
          <w:iCs/>
        </w:rPr>
        <w:t xml:space="preserve"> statsborgerskap 2014–2023 etter verdensregion</w:t>
      </w:r>
    </w:p>
    <w:p w14:paraId="19141E24" w14:textId="77777777" w:rsidR="0028083D" w:rsidRPr="00422245" w:rsidRDefault="0028083D" w:rsidP="00D64E75">
      <w:pPr>
        <w:keepNext/>
      </w:pPr>
      <w:r w:rsidRPr="00422245">
        <w:rPr>
          <w:noProof/>
        </w:rPr>
        <w:drawing>
          <wp:inline distT="0" distB="0" distL="0" distR="0" wp14:anchorId="0C2DEB29" wp14:editId="1532D618">
            <wp:extent cx="5505450" cy="3370263"/>
            <wp:effectExtent l="0" t="0" r="0" b="1905"/>
            <wp:docPr id="351139737" name="Diagram 1">
              <a:extLst xmlns:a="http://schemas.openxmlformats.org/drawingml/2006/main">
                <a:ext uri="{FF2B5EF4-FFF2-40B4-BE49-F238E27FC236}">
                  <a16:creationId xmlns:a16="http://schemas.microsoft.com/office/drawing/2014/main" id="{A04EBC63-90C6-F4C2-58EE-D21FBF981D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8A5D97D" w14:textId="77777777" w:rsidR="00B617ED" w:rsidRPr="00422245" w:rsidRDefault="00B617ED" w:rsidP="00B617ED">
      <w:pPr>
        <w:pStyle w:val="Kilde"/>
      </w:pPr>
      <w:r w:rsidRPr="004E373E">
        <w:rPr>
          <w:b/>
        </w:rPr>
        <w:t>Kilde</w:t>
      </w:r>
      <w:r w:rsidRPr="00422245">
        <w:t>: Statistisk sentralbyrå, FoU-statistikk</w:t>
      </w:r>
    </w:p>
    <w:p w14:paraId="33D4F7A9" w14:textId="2CE3617F" w:rsidR="0028083D" w:rsidRPr="00422245" w:rsidRDefault="001A0B86" w:rsidP="0028083D">
      <w:pPr>
        <w:rPr>
          <w:b/>
          <w:bCs/>
        </w:rPr>
      </w:pPr>
      <w:r w:rsidRPr="00422245">
        <w:rPr>
          <w:b/>
          <w:bCs/>
        </w:rPr>
        <w:t xml:space="preserve">Utenlandske doktorander </w:t>
      </w:r>
      <w:r w:rsidR="002C0B98" w:rsidRPr="00422245">
        <w:rPr>
          <w:b/>
          <w:bCs/>
        </w:rPr>
        <w:t>holder kjønnsbalansen oppe</w:t>
      </w:r>
    </w:p>
    <w:p w14:paraId="072E38F4" w14:textId="41115F16" w:rsidR="00CB2126" w:rsidRPr="00422245" w:rsidRDefault="009B1C3F" w:rsidP="00CB2126">
      <w:r w:rsidRPr="00422245">
        <w:t xml:space="preserve">I kapittel </w:t>
      </w:r>
      <w:r w:rsidR="000D2477" w:rsidRPr="00422245">
        <w:fldChar w:fldCharType="begin"/>
      </w:r>
      <w:r w:rsidR="000D2477" w:rsidRPr="00422245">
        <w:instrText xml:space="preserve"> REF _Ref162098906 \r \h </w:instrText>
      </w:r>
      <w:r w:rsidR="000D2477" w:rsidRPr="00422245">
        <w:fldChar w:fldCharType="separate"/>
      </w:r>
      <w:r w:rsidR="00D56F5E">
        <w:t>7</w:t>
      </w:r>
      <w:r w:rsidR="000D2477" w:rsidRPr="00422245">
        <w:t>.2</w:t>
      </w:r>
      <w:r w:rsidR="000D2477" w:rsidRPr="00422245">
        <w:fldChar w:fldCharType="end"/>
      </w:r>
      <w:r w:rsidR="000D2477" w:rsidRPr="00422245">
        <w:t xml:space="preserve"> så vi at </w:t>
      </w:r>
      <w:r w:rsidR="00714C32" w:rsidRPr="00422245">
        <w:t xml:space="preserve">blant norske statsborgere </w:t>
      </w:r>
      <w:r w:rsidR="00196F69" w:rsidRPr="00422245">
        <w:t xml:space="preserve">som avla doktorgrad i 2023, </w:t>
      </w:r>
      <w:r w:rsidR="00714C32" w:rsidRPr="00422245">
        <w:t xml:space="preserve">er kvinner </w:t>
      </w:r>
      <w:r w:rsidR="006E715E" w:rsidRPr="00422245">
        <w:t>like</w:t>
      </w:r>
      <w:r w:rsidR="00714C32" w:rsidRPr="00422245">
        <w:t xml:space="preserve"> overrepresentert </w:t>
      </w:r>
      <w:r w:rsidR="006E715E" w:rsidRPr="00422245">
        <w:t>som</w:t>
      </w:r>
      <w:r w:rsidR="00714C32" w:rsidRPr="00422245">
        <w:t xml:space="preserve"> </w:t>
      </w:r>
      <w:r w:rsidR="00196F69" w:rsidRPr="00422245">
        <w:t xml:space="preserve">i studentpopulasjonen. </w:t>
      </w:r>
      <w:r w:rsidR="00A5227E" w:rsidRPr="00422245">
        <w:fldChar w:fldCharType="begin"/>
      </w:r>
      <w:r w:rsidR="00A5227E" w:rsidRPr="00422245">
        <w:instrText xml:space="preserve"> REF _Ref162099084 \h </w:instrText>
      </w:r>
      <w:r w:rsidR="00A5227E" w:rsidRPr="00422245">
        <w:fldChar w:fldCharType="separate"/>
      </w:r>
      <w:r w:rsidR="00A5227E" w:rsidRPr="00422245">
        <w:t xml:space="preserve">Figur </w:t>
      </w:r>
      <w:r w:rsidR="00D56F5E">
        <w:rPr>
          <w:noProof/>
        </w:rPr>
        <w:t>7</w:t>
      </w:r>
      <w:r w:rsidR="005B096E">
        <w:noBreakHyphen/>
      </w:r>
      <w:r w:rsidR="00A5227E" w:rsidRPr="00422245">
        <w:t>8</w:t>
      </w:r>
      <w:r w:rsidR="00A5227E" w:rsidRPr="00422245">
        <w:fldChar w:fldCharType="end"/>
      </w:r>
      <w:r w:rsidR="00A5227E" w:rsidRPr="00422245">
        <w:t xml:space="preserve"> viser </w:t>
      </w:r>
      <w:r w:rsidR="003153B5" w:rsidRPr="00422245">
        <w:t xml:space="preserve">at </w:t>
      </w:r>
      <w:r w:rsidR="00481BB6" w:rsidRPr="00422245">
        <w:t xml:space="preserve">kjønnsbalansen er </w:t>
      </w:r>
      <w:r w:rsidR="004C5023" w:rsidRPr="00422245">
        <w:t xml:space="preserve">ulik for norske og utenlandske doktorander, og at det er utenlandske kvinner som har stått for den største veksten i </w:t>
      </w:r>
      <w:r w:rsidR="00A02F03" w:rsidRPr="00422245">
        <w:t>perioden 2014–2023</w:t>
      </w:r>
      <w:r w:rsidR="00921B3F" w:rsidRPr="00422245">
        <w:t>. Også utenlandske menn har bidratt til veksten i antall doktorgrader</w:t>
      </w:r>
      <w:r w:rsidR="00276013" w:rsidRPr="00422245">
        <w:t xml:space="preserve">. For norske kvinner er antallet doktorgrader i 2023 omtrent det samme som i 2014, mens antallet </w:t>
      </w:r>
      <w:r w:rsidR="00993AEA" w:rsidRPr="00422245">
        <w:t>doktorgrader avlagt av norske menn i 2023 sank for tredje år på rad</w:t>
      </w:r>
      <w:r w:rsidR="00532432" w:rsidRPr="00422245">
        <w:t xml:space="preserve">, og var </w:t>
      </w:r>
      <w:r w:rsidR="00B7743A" w:rsidRPr="00422245">
        <w:t>13 prosent lavere enn i 2014. I 2014 stod denne gruppen for 28 prosent av alle doktorgrader</w:t>
      </w:r>
      <w:r w:rsidR="00826A26" w:rsidRPr="00422245">
        <w:t>,</w:t>
      </w:r>
      <w:r w:rsidR="00B7743A" w:rsidRPr="00422245">
        <w:t xml:space="preserve"> og i 2023 bare 22 prosent. </w:t>
      </w:r>
    </w:p>
    <w:p w14:paraId="27517D7E" w14:textId="13810568" w:rsidR="00835519" w:rsidRPr="00422245" w:rsidRDefault="00835519" w:rsidP="00835519">
      <w:pPr>
        <w:pStyle w:val="Bildetekst"/>
        <w:keepNext/>
      </w:pPr>
      <w:bookmarkStart w:id="151" w:name="_Ref162099084"/>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8</w:t>
      </w:r>
      <w:r w:rsidR="006E1D94">
        <w:fldChar w:fldCharType="end"/>
      </w:r>
      <w:bookmarkEnd w:id="151"/>
      <w:r w:rsidRPr="00422245">
        <w:t xml:space="preserve"> Avlagte doktorgrader etter statsborgerskap og kjønn, 2014-2023. Antall</w:t>
      </w:r>
    </w:p>
    <w:p w14:paraId="153347AF" w14:textId="3AEE8448" w:rsidR="0028083D" w:rsidRPr="00422245" w:rsidRDefault="00056EFD" w:rsidP="00440A5B">
      <w:r w:rsidRPr="00422245">
        <w:rPr>
          <w:noProof/>
        </w:rPr>
        <w:drawing>
          <wp:inline distT="0" distB="0" distL="0" distR="0" wp14:anchorId="6B559273" wp14:editId="20472510">
            <wp:extent cx="5697940" cy="2749550"/>
            <wp:effectExtent l="0" t="0" r="17145" b="12700"/>
            <wp:docPr id="1618527680" name="Diagram 1">
              <a:extLst xmlns:a="http://schemas.openxmlformats.org/drawingml/2006/main">
                <a:ext uri="{FF2B5EF4-FFF2-40B4-BE49-F238E27FC236}">
                  <a16:creationId xmlns:a16="http://schemas.microsoft.com/office/drawing/2014/main" id="{4638B741-3EF0-6651-A396-700447C86C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C007769" w14:textId="14099B49" w:rsidR="006727C1" w:rsidRPr="00422245" w:rsidRDefault="006727C1" w:rsidP="006727C1">
      <w:pPr>
        <w:pStyle w:val="Kilde"/>
      </w:pPr>
      <w:r w:rsidRPr="004E373E">
        <w:rPr>
          <w:b/>
        </w:rPr>
        <w:t>Kilde</w:t>
      </w:r>
      <w:r w:rsidRPr="00422245">
        <w:t>: Statistisk sentralbyrå, FoU-statistikk</w:t>
      </w:r>
    </w:p>
    <w:p w14:paraId="3CE73FA8" w14:textId="77777777" w:rsidR="005D459D" w:rsidRPr="00422245" w:rsidRDefault="005D459D" w:rsidP="00440A5B"/>
    <w:p w14:paraId="6C829275" w14:textId="088579A1" w:rsidR="00AB7828" w:rsidRPr="00422245" w:rsidRDefault="00D85EFA" w:rsidP="005551BE">
      <w:pPr>
        <w:pStyle w:val="Overskrift2"/>
      </w:pPr>
      <w:bookmarkStart w:id="152" w:name="_Toc163488442"/>
      <w:r w:rsidRPr="00422245">
        <w:t>Norge i nordisk perspektiv</w:t>
      </w:r>
      <w:bookmarkEnd w:id="152"/>
    </w:p>
    <w:p w14:paraId="3B328511" w14:textId="737CEBC2" w:rsidR="005551BE" w:rsidRPr="00422245" w:rsidRDefault="00086D9E" w:rsidP="005551BE">
      <w:r w:rsidRPr="00422245">
        <w:t>Når</w:t>
      </w:r>
      <w:r w:rsidR="0017298B" w:rsidRPr="00422245">
        <w:t xml:space="preserve"> vi sammenlikner </w:t>
      </w:r>
      <w:r w:rsidR="00BC0C3E" w:rsidRPr="00422245">
        <w:t>doktorgradsutdanningen i Norge med våre nordiske naboland</w:t>
      </w:r>
      <w:r w:rsidRPr="00422245">
        <w:t>,</w:t>
      </w:r>
      <w:r w:rsidR="00BC0C3E" w:rsidRPr="00422245">
        <w:t xml:space="preserve"> finner vi både likheter og noen iøyne</w:t>
      </w:r>
      <w:r w:rsidR="006E0F91" w:rsidRPr="00422245">
        <w:t xml:space="preserve">fallende forskjeller. </w:t>
      </w:r>
      <w:r w:rsidRPr="00422245">
        <w:fldChar w:fldCharType="begin"/>
      </w:r>
      <w:r w:rsidRPr="00422245">
        <w:instrText xml:space="preserve"> REF _Ref162772193 \h </w:instrText>
      </w:r>
      <w:r w:rsidRPr="00422245">
        <w:fldChar w:fldCharType="separate"/>
      </w:r>
      <w:r w:rsidR="007F00D2" w:rsidRPr="00422245">
        <w:t xml:space="preserve">Tabell </w:t>
      </w:r>
      <w:r w:rsidR="007F00D2">
        <w:rPr>
          <w:noProof/>
        </w:rPr>
        <w:t>7</w:t>
      </w:r>
      <w:r w:rsidR="007F00D2">
        <w:t>.</w:t>
      </w:r>
      <w:r w:rsidR="007F00D2">
        <w:rPr>
          <w:noProof/>
        </w:rPr>
        <w:t>2</w:t>
      </w:r>
      <w:r w:rsidRPr="00422245">
        <w:fldChar w:fldCharType="end"/>
      </w:r>
      <w:r w:rsidR="006E0F91" w:rsidRPr="00422245">
        <w:t xml:space="preserve"> viser </w:t>
      </w:r>
      <w:r w:rsidR="00F152A3" w:rsidRPr="00422245">
        <w:t>avlagte doktorgrader per land sett i forhold til folketallet (</w:t>
      </w:r>
      <w:r w:rsidR="002569F7" w:rsidRPr="00422245">
        <w:t>2022-tall for begge)</w:t>
      </w:r>
      <w:r w:rsidR="000213D0" w:rsidRPr="00422245">
        <w:t xml:space="preserve">, </w:t>
      </w:r>
      <w:r w:rsidR="002569F7" w:rsidRPr="00422245">
        <w:t>kjønnsfordelingen blant doktorandene</w:t>
      </w:r>
      <w:r w:rsidR="000213D0" w:rsidRPr="00422245">
        <w:t xml:space="preserve"> og andelen doktorgrader avlagt av </w:t>
      </w:r>
      <w:r w:rsidR="003F755E" w:rsidRPr="00422245">
        <w:t xml:space="preserve">utenlandske statsborgere. </w:t>
      </w:r>
      <w:r w:rsidR="00F80D72" w:rsidRPr="00422245">
        <w:t>Målt etter antall avlagte doktorgrader per 1000 innbygger</w:t>
      </w:r>
      <w:r w:rsidR="0028535A" w:rsidRPr="00422245">
        <w:t>e har Danmark den høyeste doktorgradsproduksjonen av de nordiske landene, noe over Norge og Finland</w:t>
      </w:r>
      <w:r w:rsidR="00674727" w:rsidRPr="00422245">
        <w:t xml:space="preserve">, </w:t>
      </w:r>
      <w:r w:rsidR="00EA66F9" w:rsidRPr="00422245">
        <w:t xml:space="preserve">som ligger likt, </w:t>
      </w:r>
      <w:r w:rsidR="00674727" w:rsidRPr="00422245">
        <w:t>og betydelig over Sverige.</w:t>
      </w:r>
      <w:r w:rsidR="00EA66F9" w:rsidRPr="00422245">
        <w:t xml:space="preserve"> </w:t>
      </w:r>
      <w:r w:rsidR="00D36F71" w:rsidRPr="00422245">
        <w:t xml:space="preserve">Doktorgradenes fordeling på kjønn er temmelig lik i alle landene, </w:t>
      </w:r>
      <w:r w:rsidR="005B4555" w:rsidRPr="00422245">
        <w:t>med omtrent like mange m</w:t>
      </w:r>
      <w:r w:rsidR="004336D4" w:rsidRPr="00422245">
        <w:t xml:space="preserve">enn som </w:t>
      </w:r>
      <w:r w:rsidR="005B4555" w:rsidRPr="00422245">
        <w:t>kvinner</w:t>
      </w:r>
      <w:r w:rsidR="004336D4" w:rsidRPr="00422245">
        <w:t xml:space="preserve">. Sverige har som eneste land en liten overvekt av mannlige doktorander.  </w:t>
      </w:r>
    </w:p>
    <w:p w14:paraId="4D3DCECE" w14:textId="43C1AE36" w:rsidR="00082288" w:rsidRPr="00422245" w:rsidRDefault="008D482C" w:rsidP="006B1C3D">
      <w:pPr>
        <w:pStyle w:val="Bildetekst"/>
        <w:keepNext/>
      </w:pPr>
      <w:r>
        <w:lastRenderedPageBreak/>
        <w:t xml:space="preserve">Tabell </w:t>
      </w:r>
      <w:r w:rsidR="00826DA7">
        <w:fldChar w:fldCharType="begin"/>
      </w:r>
      <w:r w:rsidR="00826DA7">
        <w:instrText xml:space="preserve"> STYLEREF 1 \s </w:instrText>
      </w:r>
      <w:r w:rsidR="00826DA7">
        <w:fldChar w:fldCharType="separate"/>
      </w:r>
      <w:r w:rsidR="00826DA7">
        <w:rPr>
          <w:noProof/>
        </w:rPr>
        <w:t>7</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2</w:t>
      </w:r>
      <w:r w:rsidR="00826DA7">
        <w:fldChar w:fldCharType="end"/>
      </w:r>
      <w:r>
        <w:t xml:space="preserve"> </w:t>
      </w:r>
      <w:r w:rsidRPr="008B441C">
        <w:t>Avlagte doktorgrader i nordiske land 2022, per 10 000 innbygger og prosentvis fordeling mellom kvinner og menn.</w:t>
      </w:r>
    </w:p>
    <w:tbl>
      <w:tblPr>
        <w:tblStyle w:val="Rutenettabell1lys"/>
        <w:tblW w:w="0" w:type="auto"/>
        <w:tblLook w:val="04A0" w:firstRow="1" w:lastRow="0" w:firstColumn="1" w:lastColumn="0" w:noHBand="0" w:noVBand="1"/>
      </w:tblPr>
      <w:tblGrid>
        <w:gridCol w:w="4640"/>
        <w:gridCol w:w="639"/>
        <w:gridCol w:w="915"/>
        <w:gridCol w:w="751"/>
        <w:gridCol w:w="756"/>
      </w:tblGrid>
      <w:tr w:rsidR="00F3604F" w:rsidRPr="00422245" w14:paraId="5239D455" w14:textId="77777777" w:rsidTr="0021279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759C8CD7" w14:textId="77777777" w:rsidR="00F3604F" w:rsidRPr="00422245" w:rsidRDefault="00F3604F" w:rsidP="006B1C3D">
            <w:pPr>
              <w:keepNext/>
            </w:pPr>
            <w:r w:rsidRPr="00422245">
              <w:t> </w:t>
            </w:r>
          </w:p>
        </w:tc>
        <w:tc>
          <w:tcPr>
            <w:tcW w:w="0" w:type="auto"/>
            <w:noWrap/>
            <w:hideMark/>
          </w:tcPr>
          <w:p w14:paraId="11D40ACC" w14:textId="77777777" w:rsidR="00F3604F" w:rsidRPr="00422245" w:rsidRDefault="00F3604F" w:rsidP="006B1C3D">
            <w:pPr>
              <w:keepNext/>
              <w:cnfStyle w:val="100000000000" w:firstRow="1" w:lastRow="0" w:firstColumn="0" w:lastColumn="0" w:oddVBand="0" w:evenVBand="0" w:oddHBand="0" w:evenHBand="0" w:firstRowFirstColumn="0" w:firstRowLastColumn="0" w:lastRowFirstColumn="0" w:lastRowLastColumn="0"/>
            </w:pPr>
            <w:r w:rsidRPr="00422245">
              <w:t>Norge</w:t>
            </w:r>
          </w:p>
        </w:tc>
        <w:tc>
          <w:tcPr>
            <w:tcW w:w="0" w:type="auto"/>
            <w:noWrap/>
            <w:hideMark/>
          </w:tcPr>
          <w:p w14:paraId="0EAEDCCC" w14:textId="77777777" w:rsidR="00F3604F" w:rsidRPr="00422245" w:rsidRDefault="00F3604F" w:rsidP="006B1C3D">
            <w:pPr>
              <w:keepNext/>
              <w:cnfStyle w:val="100000000000" w:firstRow="1" w:lastRow="0" w:firstColumn="0" w:lastColumn="0" w:oddVBand="0" w:evenVBand="0" w:oddHBand="0" w:evenHBand="0" w:firstRowFirstColumn="0" w:firstRowLastColumn="0" w:lastRowFirstColumn="0" w:lastRowLastColumn="0"/>
            </w:pPr>
            <w:r w:rsidRPr="00422245">
              <w:t>Danmark</w:t>
            </w:r>
          </w:p>
        </w:tc>
        <w:tc>
          <w:tcPr>
            <w:tcW w:w="0" w:type="auto"/>
            <w:noWrap/>
            <w:hideMark/>
          </w:tcPr>
          <w:p w14:paraId="655949C9" w14:textId="77777777" w:rsidR="00F3604F" w:rsidRPr="00422245" w:rsidRDefault="00F3604F" w:rsidP="006B1C3D">
            <w:pPr>
              <w:keepNext/>
              <w:cnfStyle w:val="100000000000" w:firstRow="1" w:lastRow="0" w:firstColumn="0" w:lastColumn="0" w:oddVBand="0" w:evenVBand="0" w:oddHBand="0" w:evenHBand="0" w:firstRowFirstColumn="0" w:firstRowLastColumn="0" w:lastRowFirstColumn="0" w:lastRowLastColumn="0"/>
            </w:pPr>
            <w:r w:rsidRPr="00422245">
              <w:t>Finland</w:t>
            </w:r>
          </w:p>
        </w:tc>
        <w:tc>
          <w:tcPr>
            <w:tcW w:w="0" w:type="auto"/>
            <w:noWrap/>
            <w:hideMark/>
          </w:tcPr>
          <w:p w14:paraId="2D708F65" w14:textId="77777777" w:rsidR="00F3604F" w:rsidRPr="00422245" w:rsidRDefault="00F3604F" w:rsidP="006B1C3D">
            <w:pPr>
              <w:keepNext/>
              <w:cnfStyle w:val="100000000000" w:firstRow="1" w:lastRow="0" w:firstColumn="0" w:lastColumn="0" w:oddVBand="0" w:evenVBand="0" w:oddHBand="0" w:evenHBand="0" w:firstRowFirstColumn="0" w:firstRowLastColumn="0" w:lastRowFirstColumn="0" w:lastRowLastColumn="0"/>
            </w:pPr>
            <w:r w:rsidRPr="00422245">
              <w:t>Sverige</w:t>
            </w:r>
          </w:p>
        </w:tc>
      </w:tr>
      <w:tr w:rsidR="00933026" w:rsidRPr="00422245" w14:paraId="11930082" w14:textId="77777777" w:rsidTr="00212792">
        <w:trPr>
          <w:trHeight w:val="290"/>
        </w:trPr>
        <w:tc>
          <w:tcPr>
            <w:cnfStyle w:val="001000000000" w:firstRow="0" w:lastRow="0" w:firstColumn="1" w:lastColumn="0" w:oddVBand="0" w:evenVBand="0" w:oddHBand="0" w:evenHBand="0" w:firstRowFirstColumn="0" w:firstRowLastColumn="0" w:lastRowFirstColumn="0" w:lastRowLastColumn="0"/>
            <w:tcW w:w="0" w:type="auto"/>
            <w:noWrap/>
          </w:tcPr>
          <w:p w14:paraId="06933EAA" w14:textId="4221D3F0" w:rsidR="00933026" w:rsidRPr="00422245" w:rsidRDefault="00933026" w:rsidP="006B1C3D">
            <w:pPr>
              <w:keepNext/>
            </w:pPr>
            <w:r w:rsidRPr="00422245">
              <w:rPr>
                <w:b w:val="0"/>
                <w:bCs w:val="0"/>
                <w:sz w:val="22"/>
              </w:rPr>
              <w:t>Avlagte doktorgrader per 1000 innbygger</w:t>
            </w:r>
          </w:p>
        </w:tc>
        <w:tc>
          <w:tcPr>
            <w:tcW w:w="0" w:type="auto"/>
            <w:noWrap/>
          </w:tcPr>
          <w:p w14:paraId="59D7C511" w14:textId="26CC6D8A"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pPr>
            <w:r w:rsidRPr="00422245">
              <w:rPr>
                <w:sz w:val="22"/>
              </w:rPr>
              <w:t>2.9</w:t>
            </w:r>
          </w:p>
        </w:tc>
        <w:tc>
          <w:tcPr>
            <w:tcW w:w="0" w:type="auto"/>
            <w:noWrap/>
          </w:tcPr>
          <w:p w14:paraId="45AFF7B0" w14:textId="0B930853"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pPr>
            <w:r w:rsidRPr="00422245">
              <w:rPr>
                <w:sz w:val="22"/>
              </w:rPr>
              <w:t>3,3</w:t>
            </w:r>
          </w:p>
        </w:tc>
        <w:tc>
          <w:tcPr>
            <w:tcW w:w="0" w:type="auto"/>
            <w:noWrap/>
          </w:tcPr>
          <w:p w14:paraId="0ABE04F7" w14:textId="22B30CAE"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pPr>
            <w:r w:rsidRPr="00422245">
              <w:rPr>
                <w:sz w:val="22"/>
              </w:rPr>
              <w:t>2,9</w:t>
            </w:r>
          </w:p>
        </w:tc>
        <w:tc>
          <w:tcPr>
            <w:tcW w:w="0" w:type="auto"/>
            <w:noWrap/>
          </w:tcPr>
          <w:p w14:paraId="36D12C08" w14:textId="49FA2F59"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pPr>
            <w:r w:rsidRPr="00422245">
              <w:rPr>
                <w:sz w:val="22"/>
              </w:rPr>
              <w:t>2,6</w:t>
            </w:r>
          </w:p>
        </w:tc>
      </w:tr>
      <w:tr w:rsidR="00933026" w:rsidRPr="00422245" w14:paraId="4CC933E8" w14:textId="77777777" w:rsidTr="00212792">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61987A" w14:textId="77777777" w:rsidR="00933026" w:rsidRPr="00422245" w:rsidRDefault="00933026" w:rsidP="006B1C3D">
            <w:pPr>
              <w:keepNext/>
              <w:rPr>
                <w:b w:val="0"/>
                <w:bCs w:val="0"/>
                <w:sz w:val="22"/>
              </w:rPr>
            </w:pPr>
            <w:r w:rsidRPr="00422245">
              <w:rPr>
                <w:b w:val="0"/>
                <w:bCs w:val="0"/>
                <w:sz w:val="22"/>
              </w:rPr>
              <w:t xml:space="preserve">Andel kvinner </w:t>
            </w:r>
          </w:p>
        </w:tc>
        <w:tc>
          <w:tcPr>
            <w:tcW w:w="0" w:type="auto"/>
            <w:noWrap/>
            <w:hideMark/>
          </w:tcPr>
          <w:p w14:paraId="39235058" w14:textId="131A82E6" w:rsidR="00933026" w:rsidRPr="00422245" w:rsidRDefault="00942A49"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52</w:t>
            </w:r>
            <w:r w:rsidR="000E2B0B" w:rsidRPr="00422245">
              <w:rPr>
                <w:sz w:val="22"/>
              </w:rPr>
              <w:t xml:space="preserve"> %</w:t>
            </w:r>
          </w:p>
        </w:tc>
        <w:tc>
          <w:tcPr>
            <w:tcW w:w="0" w:type="auto"/>
            <w:noWrap/>
            <w:hideMark/>
          </w:tcPr>
          <w:p w14:paraId="1ACE1983" w14:textId="77777777"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51 %</w:t>
            </w:r>
          </w:p>
        </w:tc>
        <w:tc>
          <w:tcPr>
            <w:tcW w:w="0" w:type="auto"/>
            <w:noWrap/>
            <w:hideMark/>
          </w:tcPr>
          <w:p w14:paraId="6FB56C63" w14:textId="32B8CC4C"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5</w:t>
            </w:r>
            <w:r w:rsidR="000213D0" w:rsidRPr="00422245">
              <w:rPr>
                <w:sz w:val="22"/>
              </w:rPr>
              <w:t>3</w:t>
            </w:r>
            <w:r w:rsidRPr="00422245">
              <w:rPr>
                <w:sz w:val="22"/>
              </w:rPr>
              <w:t xml:space="preserve"> %</w:t>
            </w:r>
          </w:p>
        </w:tc>
        <w:tc>
          <w:tcPr>
            <w:tcW w:w="0" w:type="auto"/>
            <w:noWrap/>
            <w:hideMark/>
          </w:tcPr>
          <w:p w14:paraId="1E0BFBD7" w14:textId="77777777"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48 %</w:t>
            </w:r>
          </w:p>
        </w:tc>
      </w:tr>
      <w:tr w:rsidR="00933026" w:rsidRPr="00422245" w14:paraId="7A6B38C8" w14:textId="77777777" w:rsidTr="00212792">
        <w:trPr>
          <w:trHeight w:val="290"/>
        </w:trPr>
        <w:tc>
          <w:tcPr>
            <w:cnfStyle w:val="001000000000" w:firstRow="0" w:lastRow="0" w:firstColumn="1" w:lastColumn="0" w:oddVBand="0" w:evenVBand="0" w:oddHBand="0" w:evenHBand="0" w:firstRowFirstColumn="0" w:firstRowLastColumn="0" w:lastRowFirstColumn="0" w:lastRowLastColumn="0"/>
            <w:tcW w:w="0" w:type="auto"/>
            <w:noWrap/>
            <w:hideMark/>
          </w:tcPr>
          <w:p w14:paraId="5DD92C16" w14:textId="77777777" w:rsidR="00933026" w:rsidRPr="00422245" w:rsidRDefault="00933026" w:rsidP="006B1C3D">
            <w:pPr>
              <w:keepNext/>
              <w:rPr>
                <w:b w:val="0"/>
                <w:bCs w:val="0"/>
                <w:sz w:val="22"/>
              </w:rPr>
            </w:pPr>
            <w:r w:rsidRPr="00422245">
              <w:rPr>
                <w:b w:val="0"/>
                <w:bCs w:val="0"/>
                <w:sz w:val="22"/>
              </w:rPr>
              <w:t xml:space="preserve">Andel menn </w:t>
            </w:r>
          </w:p>
        </w:tc>
        <w:tc>
          <w:tcPr>
            <w:tcW w:w="0" w:type="auto"/>
            <w:noWrap/>
            <w:hideMark/>
          </w:tcPr>
          <w:p w14:paraId="6F7D3BE7" w14:textId="4B9617E4" w:rsidR="00933026" w:rsidRPr="00422245" w:rsidRDefault="000E2B0B"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48</w:t>
            </w:r>
            <w:r w:rsidR="00933026" w:rsidRPr="00422245">
              <w:rPr>
                <w:sz w:val="22"/>
              </w:rPr>
              <w:t xml:space="preserve"> %</w:t>
            </w:r>
          </w:p>
        </w:tc>
        <w:tc>
          <w:tcPr>
            <w:tcW w:w="0" w:type="auto"/>
            <w:noWrap/>
            <w:hideMark/>
          </w:tcPr>
          <w:p w14:paraId="32700D0C" w14:textId="77777777"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49 %</w:t>
            </w:r>
          </w:p>
        </w:tc>
        <w:tc>
          <w:tcPr>
            <w:tcW w:w="0" w:type="auto"/>
            <w:noWrap/>
            <w:hideMark/>
          </w:tcPr>
          <w:p w14:paraId="0FB15037" w14:textId="0174E50A"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4</w:t>
            </w:r>
            <w:r w:rsidR="000213D0" w:rsidRPr="00422245">
              <w:rPr>
                <w:sz w:val="22"/>
              </w:rPr>
              <w:t>7</w:t>
            </w:r>
            <w:r w:rsidRPr="00422245">
              <w:rPr>
                <w:sz w:val="22"/>
              </w:rPr>
              <w:t xml:space="preserve"> %</w:t>
            </w:r>
          </w:p>
        </w:tc>
        <w:tc>
          <w:tcPr>
            <w:tcW w:w="0" w:type="auto"/>
            <w:noWrap/>
            <w:hideMark/>
          </w:tcPr>
          <w:p w14:paraId="205F1311" w14:textId="77777777"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52 %</w:t>
            </w:r>
          </w:p>
        </w:tc>
      </w:tr>
      <w:tr w:rsidR="00933026" w:rsidRPr="00422245" w14:paraId="152FA6E4" w14:textId="77777777" w:rsidTr="00212792">
        <w:trPr>
          <w:trHeight w:val="290"/>
        </w:trPr>
        <w:tc>
          <w:tcPr>
            <w:cnfStyle w:val="001000000000" w:firstRow="0" w:lastRow="0" w:firstColumn="1" w:lastColumn="0" w:oddVBand="0" w:evenVBand="0" w:oddHBand="0" w:evenHBand="0" w:firstRowFirstColumn="0" w:firstRowLastColumn="0" w:lastRowFirstColumn="0" w:lastRowLastColumn="0"/>
            <w:tcW w:w="0" w:type="auto"/>
            <w:noWrap/>
          </w:tcPr>
          <w:p w14:paraId="6A97B962" w14:textId="682B4799" w:rsidR="00933026" w:rsidRPr="00422245" w:rsidRDefault="00933026" w:rsidP="006B1C3D">
            <w:pPr>
              <w:keepNext/>
            </w:pPr>
            <w:r w:rsidRPr="00422245">
              <w:rPr>
                <w:b w:val="0"/>
                <w:bCs w:val="0"/>
                <w:sz w:val="22"/>
              </w:rPr>
              <w:t>Utenlandske statsborgere, andel</w:t>
            </w:r>
          </w:p>
        </w:tc>
        <w:tc>
          <w:tcPr>
            <w:tcW w:w="0" w:type="auto"/>
            <w:noWrap/>
          </w:tcPr>
          <w:p w14:paraId="59AFD837" w14:textId="0FB423D7"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40 %</w:t>
            </w:r>
          </w:p>
        </w:tc>
        <w:tc>
          <w:tcPr>
            <w:tcW w:w="0" w:type="auto"/>
            <w:noWrap/>
          </w:tcPr>
          <w:p w14:paraId="4A069A3C" w14:textId="444A5039"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42 %</w:t>
            </w:r>
          </w:p>
        </w:tc>
        <w:tc>
          <w:tcPr>
            <w:tcW w:w="0" w:type="auto"/>
            <w:noWrap/>
          </w:tcPr>
          <w:p w14:paraId="7A57CAFB" w14:textId="3956EFFD"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28 %</w:t>
            </w:r>
          </w:p>
        </w:tc>
        <w:tc>
          <w:tcPr>
            <w:tcW w:w="0" w:type="auto"/>
            <w:noWrap/>
          </w:tcPr>
          <w:p w14:paraId="15130190" w14:textId="10CC94E2" w:rsidR="00933026" w:rsidRPr="00422245" w:rsidRDefault="00933026" w:rsidP="006B1C3D">
            <w:pPr>
              <w:keepNext/>
              <w:cnfStyle w:val="000000000000" w:firstRow="0" w:lastRow="0" w:firstColumn="0" w:lastColumn="0" w:oddVBand="0" w:evenVBand="0" w:oddHBand="0" w:evenHBand="0" w:firstRowFirstColumn="0" w:firstRowLastColumn="0" w:lastRowFirstColumn="0" w:lastRowLastColumn="0"/>
              <w:rPr>
                <w:sz w:val="22"/>
              </w:rPr>
            </w:pPr>
            <w:r w:rsidRPr="00422245">
              <w:rPr>
                <w:sz w:val="22"/>
              </w:rPr>
              <w:t>34 %</w:t>
            </w:r>
          </w:p>
        </w:tc>
      </w:tr>
    </w:tbl>
    <w:p w14:paraId="7FF03A3C" w14:textId="69654F39" w:rsidR="00223BDE" w:rsidRPr="00422245" w:rsidRDefault="00223BDE" w:rsidP="006B1C3D">
      <w:pPr>
        <w:pStyle w:val="Kilde"/>
      </w:pPr>
      <w:r w:rsidRPr="004E373E">
        <w:rPr>
          <w:b/>
        </w:rPr>
        <w:t>Kilder</w:t>
      </w:r>
      <w:r w:rsidRPr="00422245">
        <w:t xml:space="preserve">: </w:t>
      </w:r>
      <w:bookmarkStart w:id="153" w:name="_Hlk162525569"/>
      <w:r w:rsidR="00C61A69" w:rsidRPr="00422245">
        <w:t>Statistisk sentral</w:t>
      </w:r>
      <w:r w:rsidR="001D0912" w:rsidRPr="00422245">
        <w:t xml:space="preserve">byrå, </w:t>
      </w:r>
      <w:r w:rsidR="00B7442E">
        <w:t>FoU-statistikk,</w:t>
      </w:r>
      <w:r w:rsidR="001D0912" w:rsidRPr="00422245">
        <w:t xml:space="preserve"> </w:t>
      </w:r>
      <w:r w:rsidR="00877177" w:rsidRPr="00422245">
        <w:t xml:space="preserve">Statistics Finland, </w:t>
      </w:r>
      <w:r w:rsidR="00EA6732" w:rsidRPr="00422245">
        <w:t>Danmarks statisti</w:t>
      </w:r>
      <w:r w:rsidR="003B5EE9" w:rsidRPr="00422245">
        <w:t>k, Statistikmyn</w:t>
      </w:r>
      <w:r w:rsidR="00340344" w:rsidRPr="00422245">
        <w:t>digheten</w:t>
      </w:r>
      <w:bookmarkEnd w:id="153"/>
    </w:p>
    <w:p w14:paraId="6F4E3014" w14:textId="306EE285" w:rsidR="002569F7" w:rsidRPr="00422245" w:rsidRDefault="00950DB4" w:rsidP="005551BE">
      <w:r w:rsidRPr="00422245">
        <w:t xml:space="preserve">Mens det er relativt små forskjeller mellom landene </w:t>
      </w:r>
      <w:r w:rsidR="00E80E02" w:rsidRPr="00422245">
        <w:t xml:space="preserve">når vi ser på </w:t>
      </w:r>
      <w:r w:rsidR="00E80E02" w:rsidRPr="00422245">
        <w:rPr>
          <w:i/>
          <w:iCs/>
        </w:rPr>
        <w:t>hvem</w:t>
      </w:r>
      <w:r w:rsidR="00256075" w:rsidRPr="00422245">
        <w:t xml:space="preserve"> som tar doktorgrad, er det større forskjeller i </w:t>
      </w:r>
      <w:r w:rsidR="00256075" w:rsidRPr="00422245">
        <w:rPr>
          <w:i/>
          <w:iCs/>
        </w:rPr>
        <w:t>fagområdet</w:t>
      </w:r>
      <w:r w:rsidR="00256075" w:rsidRPr="00422245">
        <w:t xml:space="preserve"> for </w:t>
      </w:r>
      <w:r w:rsidR="00081F14" w:rsidRPr="00422245">
        <w:t xml:space="preserve">doktorgradene, se </w:t>
      </w:r>
      <w:r w:rsidR="009417C8" w:rsidRPr="00422245">
        <w:fldChar w:fldCharType="begin"/>
      </w:r>
      <w:r w:rsidR="009417C8" w:rsidRPr="00422245">
        <w:instrText xml:space="preserve"> REF _Ref162525205 \h </w:instrText>
      </w:r>
      <w:r w:rsidR="009417C8" w:rsidRPr="00422245">
        <w:fldChar w:fldCharType="separate"/>
      </w:r>
      <w:r w:rsidR="009417C8" w:rsidRPr="00422245">
        <w:t xml:space="preserve">Figur </w:t>
      </w:r>
      <w:r w:rsidR="00242160">
        <w:rPr>
          <w:noProof/>
        </w:rPr>
        <w:t>7</w:t>
      </w:r>
      <w:r w:rsidR="005B096E">
        <w:noBreakHyphen/>
      </w:r>
      <w:r w:rsidR="009417C8" w:rsidRPr="00422245">
        <w:t>9</w:t>
      </w:r>
      <w:r w:rsidR="009417C8" w:rsidRPr="00422245">
        <w:fldChar w:fldCharType="end"/>
      </w:r>
      <w:r w:rsidR="009417C8" w:rsidRPr="00422245">
        <w:t xml:space="preserve">. </w:t>
      </w:r>
    </w:p>
    <w:p w14:paraId="31BB559A" w14:textId="003B76BB" w:rsidR="003C130B" w:rsidRPr="00422245" w:rsidRDefault="003C130B" w:rsidP="003C130B">
      <w:pPr>
        <w:pStyle w:val="Bildetekst"/>
        <w:keepNext/>
      </w:pPr>
      <w:bookmarkStart w:id="154" w:name="_Ref162525205"/>
      <w:r w:rsidRPr="00422245">
        <w:t xml:space="preserve">Figur </w:t>
      </w:r>
      <w:r w:rsidR="006E1D94">
        <w:fldChar w:fldCharType="begin"/>
      </w:r>
      <w:r w:rsidR="006E1D94">
        <w:instrText xml:space="preserve"> STYLEREF 1 \s </w:instrText>
      </w:r>
      <w:r w:rsidR="006E1D94">
        <w:fldChar w:fldCharType="separate"/>
      </w:r>
      <w:r w:rsidR="006E1D94">
        <w:rPr>
          <w:noProof/>
        </w:rPr>
        <w:t>7</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9</w:t>
      </w:r>
      <w:r w:rsidR="006E1D94">
        <w:fldChar w:fldCharType="end"/>
      </w:r>
      <w:bookmarkEnd w:id="154"/>
      <w:r w:rsidRPr="00422245">
        <w:t xml:space="preserve"> Avlagte doktorgrader i Norge, Danmark, Fin</w:t>
      </w:r>
      <w:r w:rsidR="000F294D" w:rsidRPr="00422245">
        <w:t>l</w:t>
      </w:r>
      <w:r w:rsidR="00586BDC" w:rsidRPr="00422245">
        <w:t>a</w:t>
      </w:r>
      <w:r w:rsidRPr="00422245">
        <w:t>nd og Sverige 2022 fordelt på fagområder. Prosent</w:t>
      </w:r>
    </w:p>
    <w:p w14:paraId="235F5D48" w14:textId="27113788" w:rsidR="0038253E" w:rsidRPr="00422245" w:rsidRDefault="005A09B4" w:rsidP="005551BE">
      <w:r w:rsidRPr="00422245">
        <w:rPr>
          <w:noProof/>
        </w:rPr>
        <w:drawing>
          <wp:inline distT="0" distB="0" distL="0" distR="0" wp14:anchorId="5A8C25C2" wp14:editId="5A78A689">
            <wp:extent cx="5731510" cy="2969260"/>
            <wp:effectExtent l="0" t="0" r="2540" b="2540"/>
            <wp:docPr id="1957672522" name="Diagram 1">
              <a:extLst xmlns:a="http://schemas.openxmlformats.org/drawingml/2006/main">
                <a:ext uri="{FF2B5EF4-FFF2-40B4-BE49-F238E27FC236}">
                  <a16:creationId xmlns:a16="http://schemas.microsoft.com/office/drawing/2014/main" id="{3F2A80FE-CC65-6A7D-9648-D699662A62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C67BCC7" w14:textId="3F44C1AC" w:rsidR="00C61A69" w:rsidRPr="00422245" w:rsidRDefault="00C61A69" w:rsidP="00242160">
      <w:pPr>
        <w:pStyle w:val="Kilde"/>
      </w:pPr>
      <w:r w:rsidRPr="004E373E">
        <w:rPr>
          <w:b/>
          <w:bCs/>
        </w:rPr>
        <w:t>Kilde</w:t>
      </w:r>
      <w:r w:rsidRPr="00422245">
        <w:t xml:space="preserve">: </w:t>
      </w:r>
      <w:r w:rsidR="001D0912" w:rsidRPr="00422245">
        <w:t>Statistisk sentralbyrå</w:t>
      </w:r>
    </w:p>
    <w:p w14:paraId="2DFA915E" w14:textId="2B2631A4" w:rsidR="00C61A69" w:rsidRPr="00422245" w:rsidRDefault="00A9542B" w:rsidP="00754EAE">
      <w:r w:rsidRPr="00422245">
        <w:t>I de</w:t>
      </w:r>
      <w:r w:rsidR="005F7397" w:rsidRPr="00422245">
        <w:t xml:space="preserve"> tre andre nordiske l</w:t>
      </w:r>
      <w:r w:rsidRPr="00422245">
        <w:t xml:space="preserve">andene </w:t>
      </w:r>
      <w:r w:rsidR="00CA6101" w:rsidRPr="00422245">
        <w:t>u</w:t>
      </w:r>
      <w:r w:rsidR="007C46F5" w:rsidRPr="00422245">
        <w:t xml:space="preserve">tgjorde doktorgrader i matematikk, naturvitenskap og teknologi </w:t>
      </w:r>
      <w:r w:rsidR="00557456" w:rsidRPr="00422245">
        <w:t>til sammen 4</w:t>
      </w:r>
      <w:r w:rsidR="002D405B" w:rsidRPr="00422245">
        <w:t>2-43</w:t>
      </w:r>
      <w:r w:rsidR="00557456" w:rsidRPr="00422245">
        <w:t xml:space="preserve"> prosent av alle doktorgrader i 2022. </w:t>
      </w:r>
      <w:r w:rsidR="008D1A89" w:rsidRPr="00422245">
        <w:t xml:space="preserve">For Norges del er andelen en god del lavere, med 35 prosent. </w:t>
      </w:r>
      <w:r w:rsidR="000909F5">
        <w:t>Derimot har</w:t>
      </w:r>
      <w:r w:rsidR="00DD7A88" w:rsidRPr="00422245">
        <w:t xml:space="preserve"> Norge </w:t>
      </w:r>
      <w:r w:rsidR="00DC6B5D">
        <w:t>en klart høyere andel</w:t>
      </w:r>
      <w:r w:rsidR="00DD7A88" w:rsidRPr="00422245">
        <w:t xml:space="preserve"> doktorgrader innenfor samfunnsvitenskapelige fag</w:t>
      </w:r>
      <w:r w:rsidR="00DC6B5D">
        <w:t xml:space="preserve"> sammenliknet med andre nordiske land</w:t>
      </w:r>
      <w:r w:rsidR="00DD7A88" w:rsidRPr="00422245">
        <w:t xml:space="preserve">. For </w:t>
      </w:r>
      <w:r w:rsidR="000E2C12" w:rsidRPr="00422245">
        <w:t xml:space="preserve">Danmark, Sverige og Finland er denne andelen henholdsvis </w:t>
      </w:r>
      <w:r w:rsidR="00220A2B" w:rsidRPr="00422245">
        <w:t>10, 14 og 16 prosent, mens den for Norge er 24</w:t>
      </w:r>
      <w:r w:rsidR="005758FB" w:rsidRPr="00422245">
        <w:t xml:space="preserve"> prosent. Om vi slår sammen samfunnsfag og humanistisk</w:t>
      </w:r>
      <w:r w:rsidR="0065359E" w:rsidRPr="00422245">
        <w:t xml:space="preserve">e fag, blir den samlede andelen </w:t>
      </w:r>
      <w:r w:rsidR="009A7374" w:rsidRPr="00422245">
        <w:t>33</w:t>
      </w:r>
      <w:r w:rsidR="00170DA6" w:rsidRPr="00422245">
        <w:t xml:space="preserve"> prosent for Norge og 17, 20 og 26 prosent for Danmark, Sverige og Finland.</w:t>
      </w:r>
    </w:p>
    <w:p w14:paraId="39978753" w14:textId="6522AD9A" w:rsidR="00F745DC" w:rsidRPr="00422245" w:rsidRDefault="00F745DC" w:rsidP="008F4E20">
      <w:pPr>
        <w:pStyle w:val="Overskrift1"/>
        <w:spacing w:after="168"/>
      </w:pPr>
      <w:bookmarkStart w:id="155" w:name="_Ref158191115"/>
      <w:bookmarkStart w:id="156" w:name="_Toc158968345"/>
      <w:bookmarkStart w:id="157" w:name="_Toc163488443"/>
      <w:r w:rsidRPr="00422245">
        <w:lastRenderedPageBreak/>
        <w:t>Forskning</w:t>
      </w:r>
      <w:bookmarkEnd w:id="155"/>
      <w:bookmarkEnd w:id="156"/>
      <w:bookmarkEnd w:id="157"/>
    </w:p>
    <w:p w14:paraId="0F3A6794" w14:textId="51966B2E" w:rsidR="00446ED8" w:rsidRPr="00422245" w:rsidRDefault="00446ED8" w:rsidP="00446ED8"/>
    <w:p w14:paraId="4EF90241" w14:textId="77777777" w:rsidR="00F15018" w:rsidRPr="00422245" w:rsidRDefault="001C5D19">
      <w:r w:rsidRPr="00422245">
        <w:t>I</w:t>
      </w:r>
      <w:r w:rsidR="00A46F6F" w:rsidRPr="00422245">
        <w:t xml:space="preserve"> dette kapittelet tar vi for oss </w:t>
      </w:r>
      <w:r w:rsidR="00D348F2" w:rsidRPr="00422245">
        <w:t xml:space="preserve">statistikk og indikatorer </w:t>
      </w:r>
      <w:r w:rsidR="000922BE" w:rsidRPr="00422245">
        <w:t>om forskningsvirksomheten ved universiteter og høyskoler.</w:t>
      </w:r>
      <w:r w:rsidR="00D165BE" w:rsidRPr="00422245">
        <w:t xml:space="preserve"> </w:t>
      </w:r>
      <w:r w:rsidR="000E5DEA" w:rsidRPr="00422245">
        <w:t>Kapittelet omhandler</w:t>
      </w:r>
      <w:r w:rsidR="00D165BE" w:rsidRPr="00422245">
        <w:t xml:space="preserve"> publisering, </w:t>
      </w:r>
      <w:r w:rsidR="0002258B" w:rsidRPr="00422245">
        <w:t>ressursfordeling per fagområde</w:t>
      </w:r>
      <w:r w:rsidR="00A47B28" w:rsidRPr="00422245">
        <w:t xml:space="preserve"> samt institusjonenes inntekter fra </w:t>
      </w:r>
      <w:r w:rsidR="00110B68" w:rsidRPr="00422245">
        <w:t>nasjonale og europeiske programmer for forskning og innovasjon.</w:t>
      </w:r>
    </w:p>
    <w:p w14:paraId="2603DAEC" w14:textId="77777777" w:rsidR="00F15018" w:rsidRPr="00422245" w:rsidRDefault="00F15018"/>
    <w:p w14:paraId="0F2BE44A" w14:textId="59F819DD" w:rsidR="001C5D19" w:rsidRPr="00422245" w:rsidRDefault="001C5D19" w:rsidP="001C5D19">
      <w:pPr>
        <w:pStyle w:val="Overskrift2"/>
      </w:pPr>
      <w:bookmarkStart w:id="158" w:name="_Toc158968346"/>
      <w:bookmarkStart w:id="159" w:name="_Toc163488444"/>
      <w:r w:rsidRPr="00422245">
        <w:t>Vitenskapelig publisering</w:t>
      </w:r>
      <w:r w:rsidR="00D468A1" w:rsidRPr="00422245">
        <w:t xml:space="preserve"> (</w:t>
      </w:r>
      <w:r w:rsidR="00A217C7" w:rsidRPr="00422245">
        <w:t xml:space="preserve">publiseringspoeng og </w:t>
      </w:r>
      <w:r w:rsidR="00D468A1" w:rsidRPr="00422245">
        <w:t>åpen tilgang)</w:t>
      </w:r>
      <w:bookmarkEnd w:id="158"/>
      <w:bookmarkEnd w:id="159"/>
    </w:p>
    <w:p w14:paraId="56ED668A" w14:textId="303115C8" w:rsidR="008457EC" w:rsidRPr="00422245" w:rsidRDefault="00420229" w:rsidP="001324EF">
      <w:r w:rsidRPr="00422245">
        <w:t>V</w:t>
      </w:r>
      <w:r w:rsidR="00D83E30" w:rsidRPr="00422245">
        <w:t>itenskapelig publisering</w:t>
      </w:r>
      <w:r w:rsidR="003F66E3" w:rsidRPr="00422245">
        <w:t xml:space="preserve"> </w:t>
      </w:r>
      <w:r w:rsidRPr="00422245">
        <w:t xml:space="preserve">står overfor store </w:t>
      </w:r>
      <w:r w:rsidR="00822D7C" w:rsidRPr="00422245">
        <w:t xml:space="preserve">utfordringer. </w:t>
      </w:r>
      <w:r w:rsidR="00DE3A37" w:rsidRPr="00422245">
        <w:t xml:space="preserve">Arbeidet for åpen tilgang til </w:t>
      </w:r>
      <w:r w:rsidR="002123A8" w:rsidRPr="00422245">
        <w:t>forskningslitteratur har påg</w:t>
      </w:r>
      <w:r w:rsidR="00F73C77" w:rsidRPr="00422245">
        <w:t xml:space="preserve">ått over lengre tid, </w:t>
      </w:r>
      <w:r w:rsidR="00D8108F" w:rsidRPr="00422245">
        <w:t xml:space="preserve">men </w:t>
      </w:r>
      <w:r w:rsidR="000A2513" w:rsidRPr="00422245">
        <w:t xml:space="preserve">det har ikke vært noen </w:t>
      </w:r>
      <w:r w:rsidR="0030710E" w:rsidRPr="00422245">
        <w:t xml:space="preserve">enkel </w:t>
      </w:r>
      <w:r w:rsidR="00F47306" w:rsidRPr="00422245">
        <w:t>eller</w:t>
      </w:r>
      <w:r w:rsidR="0030710E" w:rsidRPr="00422245">
        <w:t xml:space="preserve"> rettlinjet vei fram </w:t>
      </w:r>
      <w:r w:rsidR="002A3CDA" w:rsidRPr="00422245">
        <w:t xml:space="preserve">mot målet. </w:t>
      </w:r>
      <w:r w:rsidR="00A77768" w:rsidRPr="00422245">
        <w:t xml:space="preserve">Uventede utslag av gjennomførte tiltak gjør at </w:t>
      </w:r>
      <w:r w:rsidR="00751F30" w:rsidRPr="00422245">
        <w:t>cOAlition</w:t>
      </w:r>
      <w:r w:rsidR="00CF0EFB" w:rsidRPr="00422245">
        <w:t xml:space="preserve"> S, en hovedaktør i dette arbeidet, </w:t>
      </w:r>
      <w:r w:rsidR="00726950" w:rsidRPr="00422245">
        <w:t xml:space="preserve">staker ut en ny kurs i 2024. </w:t>
      </w:r>
      <w:r w:rsidR="00BF2724" w:rsidRPr="00422245">
        <w:t xml:space="preserve">I tillegg har </w:t>
      </w:r>
      <w:r w:rsidR="00C92CE9" w:rsidRPr="00422245">
        <w:t xml:space="preserve">spørsmålet om kvaliteten og påliteligheten </w:t>
      </w:r>
      <w:r w:rsidR="008457EC" w:rsidRPr="00422245">
        <w:t xml:space="preserve">til det som publiseres, fått en annen tyngde. </w:t>
      </w:r>
      <w:r w:rsidR="00B63C36" w:rsidRPr="00422245">
        <w:t>Teknologien gjør det lettere å lage falske artikler</w:t>
      </w:r>
      <w:r w:rsidR="000342A8" w:rsidRPr="00422245">
        <w:t xml:space="preserve">, og i </w:t>
      </w:r>
      <w:r w:rsidR="00F24102" w:rsidRPr="00422245">
        <w:t xml:space="preserve">den store mengden publiseringer og publikasjoner er det </w:t>
      </w:r>
      <w:r w:rsidR="003E5B46" w:rsidRPr="00422245">
        <w:t xml:space="preserve">en større utfordring enn tidligere å skille mellom </w:t>
      </w:r>
      <w:r w:rsidR="00884261" w:rsidRPr="00422245">
        <w:t xml:space="preserve">gode og </w:t>
      </w:r>
      <w:r w:rsidR="00FD3570" w:rsidRPr="00422245">
        <w:t>mindre gode</w:t>
      </w:r>
      <w:r w:rsidR="00884261" w:rsidRPr="00422245">
        <w:t xml:space="preserve"> publiseringskanaler.</w:t>
      </w:r>
      <w:r w:rsidR="00FA6B53" w:rsidRPr="00422245">
        <w:t xml:space="preserve"> For Norges vedkommende</w:t>
      </w:r>
      <w:r w:rsidR="001E2D02" w:rsidRPr="00422245">
        <w:t xml:space="preserve"> er </w:t>
      </w:r>
      <w:r w:rsidR="00474B23" w:rsidRPr="00422245">
        <w:t xml:space="preserve">publiseringsfeltet i tillegg </w:t>
      </w:r>
      <w:r w:rsidR="003C54D9" w:rsidRPr="00422245">
        <w:t xml:space="preserve">påvirket av at </w:t>
      </w:r>
      <w:r w:rsidR="00193DDA" w:rsidRPr="00422245">
        <w:t xml:space="preserve">det i </w:t>
      </w:r>
      <w:r w:rsidR="002E7D33" w:rsidRPr="00422245">
        <w:t>finansieringssystemet for høyere utdanning ikke lenger</w:t>
      </w:r>
      <w:r w:rsidR="002A3985" w:rsidRPr="00422245">
        <w:t xml:space="preserve"> </w:t>
      </w:r>
      <w:r w:rsidR="00193DDA" w:rsidRPr="00422245">
        <w:t>er in</w:t>
      </w:r>
      <w:r w:rsidR="00F47306" w:rsidRPr="00422245">
        <w:t>s</w:t>
      </w:r>
      <w:r w:rsidR="00193DDA" w:rsidRPr="00422245">
        <w:t>entiver for publisering.</w:t>
      </w:r>
      <w:r w:rsidR="00EF109F" w:rsidRPr="00422245">
        <w:t xml:space="preserve"> </w:t>
      </w:r>
    </w:p>
    <w:p w14:paraId="647324E3" w14:textId="594CC8DD" w:rsidR="00A62F37" w:rsidRPr="00422245" w:rsidRDefault="00DE4E53" w:rsidP="00960435">
      <w:pPr>
        <w:pStyle w:val="Overskrift3"/>
        <w:spacing w:before="288"/>
      </w:pPr>
      <w:bookmarkStart w:id="160" w:name="_Toc163488445"/>
      <w:r w:rsidRPr="00422245">
        <w:t>Publiseringspoeng</w:t>
      </w:r>
      <w:r w:rsidR="006C179A">
        <w:t xml:space="preserve"> (GENRELL INTRO, IKKE OPPDATERT INNHOLD 2023)</w:t>
      </w:r>
      <w:bookmarkEnd w:id="160"/>
    </w:p>
    <w:p w14:paraId="234AF7A7" w14:textId="3CC85FC5" w:rsidR="00960435" w:rsidRPr="00422245" w:rsidRDefault="00FE35DF" w:rsidP="00FE35DF">
      <w:pPr>
        <w:pStyle w:val="Overskrift3"/>
        <w:spacing w:before="288"/>
      </w:pPr>
      <w:bookmarkStart w:id="161" w:name="_Toc163488446"/>
      <w:r w:rsidRPr="00422245">
        <w:t>Åpen publisering</w:t>
      </w:r>
      <w:bookmarkEnd w:id="161"/>
    </w:p>
    <w:p w14:paraId="5D3A3589" w14:textId="06FF1768" w:rsidR="00960435" w:rsidRPr="00422245" w:rsidRDefault="005508E8" w:rsidP="00DE3D37">
      <w:r w:rsidRPr="00422245">
        <w:t>VENTER TEKST FRA SIKT</w:t>
      </w:r>
    </w:p>
    <w:p w14:paraId="2AAD13AA" w14:textId="160EA978" w:rsidR="00D468A1" w:rsidRPr="00422245" w:rsidRDefault="005B687A" w:rsidP="00DE3D37">
      <w:pPr>
        <w:pStyle w:val="Overskrift2"/>
      </w:pPr>
      <w:bookmarkStart w:id="162" w:name="_Toc158968347"/>
      <w:bookmarkStart w:id="163" w:name="_Toc163488447"/>
      <w:r w:rsidRPr="00422245">
        <w:t>Forskning og fagområder</w:t>
      </w:r>
      <w:bookmarkEnd w:id="162"/>
      <w:bookmarkEnd w:id="163"/>
    </w:p>
    <w:p w14:paraId="25490CB7" w14:textId="130C3DAF" w:rsidR="00042B0D" w:rsidRPr="00422245" w:rsidRDefault="00B9269F" w:rsidP="00052A97">
      <w:r w:rsidRPr="00422245">
        <w:t xml:space="preserve">Dette kapittelet viser </w:t>
      </w:r>
      <w:r w:rsidR="009A2111" w:rsidRPr="00422245">
        <w:t xml:space="preserve">hvordan </w:t>
      </w:r>
      <w:r w:rsidR="00B442F7" w:rsidRPr="00422245">
        <w:t>universitetenes og høyskolenes drif</w:t>
      </w:r>
      <w:r w:rsidR="002E3952" w:rsidRPr="00422245">
        <w:t>tsutgifter til FoU-arbeid er fordelt på fagområder.</w:t>
      </w:r>
      <w:r w:rsidR="002C40C7" w:rsidRPr="00422245">
        <w:t xml:space="preserve"> </w:t>
      </w:r>
      <w:r w:rsidR="00B53595" w:rsidRPr="00422245">
        <w:t xml:space="preserve">Målt etter utgifter til FoU er </w:t>
      </w:r>
      <w:r w:rsidR="00B92A2C" w:rsidRPr="00422245">
        <w:t>næringslivet den største sektoren</w:t>
      </w:r>
      <w:r w:rsidR="00536CDB" w:rsidRPr="00422245">
        <w:t>,</w:t>
      </w:r>
      <w:r w:rsidR="00C855CA" w:rsidRPr="00422245">
        <w:t xml:space="preserve"> med 47 prosent av alle FoU-utgifter </w:t>
      </w:r>
      <w:r w:rsidR="00DD6466" w:rsidRPr="00422245">
        <w:t>i 2021.</w:t>
      </w:r>
      <w:r w:rsidR="009D33B1" w:rsidRPr="00422245">
        <w:t xml:space="preserve"> </w:t>
      </w:r>
      <w:r w:rsidR="00D52C5A" w:rsidRPr="00422245">
        <w:t xml:space="preserve">For næringslivet er </w:t>
      </w:r>
      <w:r w:rsidR="00881147" w:rsidRPr="00422245">
        <w:t xml:space="preserve">imidlertid </w:t>
      </w:r>
      <w:r w:rsidR="00D52C5A" w:rsidRPr="00422245">
        <w:t xml:space="preserve">FoU </w:t>
      </w:r>
      <w:r w:rsidR="00F7598A" w:rsidRPr="00422245">
        <w:t xml:space="preserve">mer utvikling enn forskning, </w:t>
      </w:r>
      <w:r w:rsidR="00F93FD5" w:rsidRPr="00422245">
        <w:t>dvs. arbeid for å utvikl</w:t>
      </w:r>
      <w:r w:rsidR="00C63948" w:rsidRPr="00422245">
        <w:t xml:space="preserve">e nye eller forbedre </w:t>
      </w:r>
      <w:r w:rsidR="00CE130A" w:rsidRPr="00422245">
        <w:t>produkter og prosesser</w:t>
      </w:r>
      <w:r w:rsidR="001350F9">
        <w:t xml:space="preserve"> </w:t>
      </w:r>
      <w:r w:rsidR="00521EBC">
        <w:fldChar w:fldCharType="begin"/>
      </w:r>
      <w:r w:rsidR="00521EBC">
        <w:instrText xml:space="preserve"> ADDIN EN.CITE &lt;EndNote&gt;&lt;Cite&gt;&lt;Author&gt;Forskningsrådet&lt;/Author&gt;&lt;Year&gt;2023&lt;/Year&gt;&lt;RecNum&gt;2205&lt;/RecNum&gt;&lt;DisplayText&gt;(Forskningsrådet, 2023)&lt;/DisplayText&gt;&lt;record&gt;&lt;rec-number&gt;2205&lt;/rec-number&gt;&lt;foreign-keys&gt;&lt;key app="EN" db-id="p2et5feaxrpe5zew2eavt29z05fv09aa5s0w" timestamp="1712306746" guid="1cf41ad2-47aa-4f62-801c-cfadd440fe1d"&gt;2205&lt;/key&gt;&lt;/foreign-keys&gt;&lt;ref-type name="Report"&gt;27&lt;/ref-type&gt;&lt;contributors&gt;&lt;authors&gt;&lt;author&gt;Forskningsrådet&lt;/author&gt;&lt;/authors&gt;&lt;/contributors&gt;&lt;titles&gt;&lt;title&gt;Indikatorrapporten 2023&lt;/title&gt;&lt;/titles&gt;&lt;dates&gt;&lt;year&gt;2023&lt;/year&gt;&lt;/dates&gt;&lt;urls&gt;&lt;related-urls&gt;&lt;url&gt;https://www.forskningsradet.no/indikatorrapporten/indikatorrapporten-dokument/&lt;/url&gt;&lt;/related-urls&gt;&lt;/urls&gt;&lt;/record&gt;&lt;/Cite&gt;&lt;/EndNote&gt;</w:instrText>
      </w:r>
      <w:r w:rsidR="00521EBC">
        <w:fldChar w:fldCharType="separate"/>
      </w:r>
      <w:r w:rsidR="00521EBC">
        <w:rPr>
          <w:noProof/>
        </w:rPr>
        <w:t>(Forskningsrådet, 2023)</w:t>
      </w:r>
      <w:r w:rsidR="00521EBC">
        <w:fldChar w:fldCharType="end"/>
      </w:r>
      <w:r w:rsidR="00CE130A" w:rsidRPr="00422245">
        <w:t>.</w:t>
      </w:r>
      <w:r w:rsidR="00DD6466" w:rsidRPr="00422245">
        <w:t xml:space="preserve"> De resterend</w:t>
      </w:r>
      <w:r w:rsidR="00195EAB" w:rsidRPr="00422245">
        <w:t>e FoU-utgiftene i landet</w:t>
      </w:r>
      <w:r w:rsidR="00DD6466" w:rsidRPr="00422245">
        <w:t xml:space="preserve"> er delt mellom universiteter og hø</w:t>
      </w:r>
      <w:r w:rsidR="004D3E00" w:rsidRPr="00422245">
        <w:t xml:space="preserve">yskoler med </w:t>
      </w:r>
      <w:r w:rsidR="00A47DD8" w:rsidRPr="00422245">
        <w:t>33 prosent og instituttsektoren med 20 prosent.</w:t>
      </w:r>
      <w:r w:rsidR="0080691B" w:rsidRPr="00422245">
        <w:t xml:space="preserve"> </w:t>
      </w:r>
    </w:p>
    <w:p w14:paraId="575C6A27" w14:textId="603E8E38" w:rsidR="00CC732E" w:rsidRPr="00422245" w:rsidRDefault="00AD2552" w:rsidP="003B23AE">
      <w:r w:rsidRPr="00422245">
        <w:lastRenderedPageBreak/>
        <w:t xml:space="preserve">I et 20-årsperspektiv har </w:t>
      </w:r>
      <w:r w:rsidR="00A06102" w:rsidRPr="00422245">
        <w:t xml:space="preserve">fordelingen </w:t>
      </w:r>
      <w:r w:rsidR="00661E2A" w:rsidRPr="00422245">
        <w:t xml:space="preserve">mellom fagområder i universitets- og høyskolesektoren holdt seg </w:t>
      </w:r>
      <w:r w:rsidR="00A06102" w:rsidRPr="00422245">
        <w:t>relativt stabil</w:t>
      </w:r>
      <w:r w:rsidR="008E2E10" w:rsidRPr="00422245">
        <w:t>.</w:t>
      </w:r>
      <w:r w:rsidR="008E2E10" w:rsidRPr="00422245">
        <w:rPr>
          <w:rStyle w:val="Fotnotereferanse"/>
        </w:rPr>
        <w:footnoteReference w:id="38"/>
      </w:r>
      <w:r w:rsidR="008E2E10" w:rsidRPr="00422245">
        <w:t xml:space="preserve"> </w:t>
      </w:r>
      <w:r w:rsidR="000A43DC" w:rsidRPr="00422245">
        <w:t xml:space="preserve">Datagrunnlaget for statistikken er FoU-undersøkelsen SSB gjennomfører hvert annet år. Foreløpig siste tilgjengelige statistikk er basert på data fra undersøkelsen i 2021. </w:t>
      </w:r>
      <w:r w:rsidR="008E2E10" w:rsidRPr="00422245">
        <w:fldChar w:fldCharType="begin"/>
      </w:r>
      <w:r w:rsidR="008E2E10" w:rsidRPr="00422245">
        <w:instrText xml:space="preserve"> REF _Ref161307202 \h </w:instrText>
      </w:r>
      <w:r w:rsidR="008E2E10" w:rsidRPr="00422245">
        <w:fldChar w:fldCharType="separate"/>
      </w:r>
      <w:r w:rsidR="00DD6E3E" w:rsidRPr="00CB2A08">
        <w:t xml:space="preserve">Figur </w:t>
      </w:r>
      <w:r w:rsidR="00AC28A8" w:rsidRPr="00CB2A08">
        <w:rPr>
          <w:noProof/>
        </w:rPr>
        <w:t>8</w:t>
      </w:r>
      <w:r w:rsidR="005B096E" w:rsidRPr="00CB2A08">
        <w:noBreakHyphen/>
      </w:r>
      <w:r w:rsidR="00DD6E3E" w:rsidRPr="00CB2A08">
        <w:t>1</w:t>
      </w:r>
      <w:r w:rsidR="008E2E10" w:rsidRPr="00422245">
        <w:fldChar w:fldCharType="end"/>
      </w:r>
      <w:r w:rsidR="008E2E10" w:rsidRPr="00422245">
        <w:t xml:space="preserve"> viser imidlertid en </w:t>
      </w:r>
      <w:r w:rsidR="000372DD" w:rsidRPr="00422245">
        <w:t xml:space="preserve">endring mellom 2011 og 2021. </w:t>
      </w:r>
      <w:r w:rsidR="00AE4D96" w:rsidRPr="00422245">
        <w:t xml:space="preserve">Som i 2011 var medisin- og helsefag også i </w:t>
      </w:r>
      <w:r w:rsidR="00FA339F" w:rsidRPr="00422245">
        <w:t>2021 største fagområde målt etter driftsut</w:t>
      </w:r>
      <w:r w:rsidR="00383433" w:rsidRPr="00422245">
        <w:t xml:space="preserve">gifter til FoU, men avstanden til </w:t>
      </w:r>
      <w:r w:rsidR="00DF5DE8" w:rsidRPr="00422245">
        <w:t>nest største fagområde,</w:t>
      </w:r>
      <w:r w:rsidR="00B80793" w:rsidRPr="00422245">
        <w:t xml:space="preserve"> samfunns</w:t>
      </w:r>
      <w:r w:rsidR="005448B9" w:rsidRPr="00422245">
        <w:t>vitenskap,</w:t>
      </w:r>
      <w:r w:rsidR="00B80793" w:rsidRPr="00422245">
        <w:t xml:space="preserve"> var halvert.</w:t>
      </w:r>
    </w:p>
    <w:p w14:paraId="7D9C8E55" w14:textId="47958BED" w:rsidR="003B23AE" w:rsidRPr="00422245" w:rsidRDefault="00CC732E" w:rsidP="003B23AE">
      <w:r w:rsidRPr="00422245">
        <w:t>Det er e</w:t>
      </w:r>
      <w:r w:rsidR="003D1FF3" w:rsidRPr="00422245">
        <w:t>t</w:t>
      </w:r>
      <w:r w:rsidRPr="00422245">
        <w:t xml:space="preserve"> langsiktig kunnskapspolitis</w:t>
      </w:r>
      <w:r w:rsidR="003D1FF3" w:rsidRPr="00422245">
        <w:t xml:space="preserve">k mål å </w:t>
      </w:r>
      <w:r w:rsidR="00430649" w:rsidRPr="00422245">
        <w:t>øke forskningsinnsatsen i de såkalte MNT-fagene (</w:t>
      </w:r>
      <w:r w:rsidR="00CA4EC9" w:rsidRPr="00422245">
        <w:t>m</w:t>
      </w:r>
      <w:r w:rsidR="005448B9" w:rsidRPr="00422245">
        <w:t>atematikk</w:t>
      </w:r>
      <w:r w:rsidR="00CA4EC9" w:rsidRPr="00422245">
        <w:t xml:space="preserve">, </w:t>
      </w:r>
      <w:r w:rsidR="005448B9" w:rsidRPr="00422245">
        <w:t xml:space="preserve">naturvitenskap </w:t>
      </w:r>
      <w:r w:rsidR="00CA4EC9" w:rsidRPr="00422245">
        <w:t>og teknologi</w:t>
      </w:r>
      <w:r w:rsidR="00621689" w:rsidRPr="00422245">
        <w:t>)</w:t>
      </w:r>
      <w:r w:rsidR="00CA4EC9" w:rsidRPr="00422245">
        <w:t xml:space="preserve">. Naturvitenskap </w:t>
      </w:r>
      <w:r w:rsidR="005448B9" w:rsidRPr="00422245">
        <w:t xml:space="preserve">hadde samme andel i 2021 som i 2011, mens andelen </w:t>
      </w:r>
      <w:r w:rsidR="00611B32" w:rsidRPr="00422245">
        <w:t xml:space="preserve">for teknologifag var </w:t>
      </w:r>
      <w:r w:rsidR="003B323A" w:rsidRPr="00422245">
        <w:t>gått noe ned.</w:t>
      </w:r>
      <w:r w:rsidR="009F0E61" w:rsidRPr="00422245">
        <w:t xml:space="preserve"> </w:t>
      </w:r>
      <w:r w:rsidR="00F65024" w:rsidRPr="00422245">
        <w:t xml:space="preserve">Samlet gikk 31 prosent av FoU-utgiftene ved universiteter og høyskoler til </w:t>
      </w:r>
      <w:r w:rsidR="00C3050F" w:rsidRPr="00422245">
        <w:t xml:space="preserve">MNT-fag </w:t>
      </w:r>
      <w:r w:rsidR="00B819BC" w:rsidRPr="00422245">
        <w:t xml:space="preserve">i 2011 og </w:t>
      </w:r>
      <w:r w:rsidR="00FA646D" w:rsidRPr="00422245">
        <w:t xml:space="preserve">30 prosent i 2023. </w:t>
      </w:r>
      <w:r w:rsidR="003B23AE" w:rsidRPr="00422245">
        <w:t xml:space="preserve">Humaniora sina andel </w:t>
      </w:r>
      <w:r w:rsidR="00891826" w:rsidRPr="00422245">
        <w:t xml:space="preserve">har sunket fra 10 til </w:t>
      </w:r>
      <w:r w:rsidR="004E7AFF" w:rsidRPr="00422245">
        <w:t>8 pros</w:t>
      </w:r>
      <w:r w:rsidR="00D24A02" w:rsidRPr="00422245">
        <w:t xml:space="preserve">ent i perioden, mens andelen for </w:t>
      </w:r>
      <w:r w:rsidR="00E078F4" w:rsidRPr="00422245">
        <w:t xml:space="preserve">landbruks-, fiskerifag og </w:t>
      </w:r>
      <w:r w:rsidR="00BF03F7" w:rsidRPr="00422245">
        <w:t>veterinærmedisin var den samme i 2021 som ti år tidligere</w:t>
      </w:r>
      <w:r w:rsidR="00F57615" w:rsidRPr="00422245">
        <w:t>.</w:t>
      </w:r>
    </w:p>
    <w:p w14:paraId="642A6541" w14:textId="1ED1DA43" w:rsidR="002D4D46" w:rsidRPr="00422245" w:rsidRDefault="002D4D46" w:rsidP="002D4D46">
      <w:pPr>
        <w:pStyle w:val="Bildetekst"/>
        <w:keepNext/>
      </w:pPr>
      <w:bookmarkStart w:id="164" w:name="_Ref161307202"/>
      <w:r w:rsidRPr="00735DC5">
        <w:rPr>
          <w:lang w:val="nn-NO"/>
        </w:rPr>
        <w:t xml:space="preserve">Figur </w:t>
      </w:r>
      <w:r w:rsidR="006E1D94">
        <w:rPr>
          <w:lang w:val="nn-NO"/>
        </w:rPr>
        <w:fldChar w:fldCharType="begin"/>
      </w:r>
      <w:r w:rsidR="006E1D94">
        <w:rPr>
          <w:lang w:val="nn-NO"/>
        </w:rPr>
        <w:instrText xml:space="preserve"> STYLEREF 1 \s </w:instrText>
      </w:r>
      <w:r w:rsidR="006E1D94">
        <w:rPr>
          <w:lang w:val="nn-NO"/>
        </w:rPr>
        <w:fldChar w:fldCharType="separate"/>
      </w:r>
      <w:r w:rsidR="006E1D94">
        <w:rPr>
          <w:noProof/>
          <w:lang w:val="nn-NO"/>
        </w:rPr>
        <w:t>8</w:t>
      </w:r>
      <w:r w:rsidR="006E1D94">
        <w:rPr>
          <w:lang w:val="nn-NO"/>
        </w:rPr>
        <w:fldChar w:fldCharType="end"/>
      </w:r>
      <w:r w:rsidR="006E1D94">
        <w:rPr>
          <w:lang w:val="nn-NO"/>
        </w:rPr>
        <w:noBreakHyphen/>
      </w:r>
      <w:r w:rsidR="006E1D94">
        <w:rPr>
          <w:lang w:val="nn-NO"/>
        </w:rPr>
        <w:fldChar w:fldCharType="begin"/>
      </w:r>
      <w:r w:rsidR="006E1D94">
        <w:rPr>
          <w:lang w:val="nn-NO"/>
        </w:rPr>
        <w:instrText xml:space="preserve"> SEQ Figur \* ARABIC \s 1 </w:instrText>
      </w:r>
      <w:r w:rsidR="006E1D94">
        <w:rPr>
          <w:lang w:val="nn-NO"/>
        </w:rPr>
        <w:fldChar w:fldCharType="separate"/>
      </w:r>
      <w:r w:rsidR="006E1D94">
        <w:rPr>
          <w:noProof/>
          <w:lang w:val="nn-NO"/>
        </w:rPr>
        <w:t>1</w:t>
      </w:r>
      <w:r w:rsidR="006E1D94">
        <w:rPr>
          <w:lang w:val="nn-NO"/>
        </w:rPr>
        <w:fldChar w:fldCharType="end"/>
      </w:r>
      <w:bookmarkEnd w:id="164"/>
      <w:r w:rsidRPr="00735DC5">
        <w:rPr>
          <w:lang w:val="nn-NO"/>
        </w:rPr>
        <w:t xml:space="preserve"> Driftsutgifter til FoU i universitets- og høgskolesektoren (mill. kr</w:t>
      </w:r>
      <w:r w:rsidR="005740D0" w:rsidRPr="00735DC5">
        <w:rPr>
          <w:lang w:val="nn-NO"/>
        </w:rPr>
        <w:t>.</w:t>
      </w:r>
      <w:r w:rsidRPr="00735DC5">
        <w:rPr>
          <w:lang w:val="nn-NO"/>
        </w:rPr>
        <w:t xml:space="preserve">), etter fagområde og år. </w:t>
      </w:r>
      <w:r w:rsidR="00A56B18" w:rsidRPr="00422245">
        <w:t>Andel</w:t>
      </w:r>
      <w:r w:rsidR="003173C7" w:rsidRPr="00422245">
        <w:t>. Prosent</w:t>
      </w:r>
    </w:p>
    <w:p w14:paraId="4D1307E3" w14:textId="6474BDF5" w:rsidR="00666071" w:rsidRPr="00422245" w:rsidRDefault="007C1692" w:rsidP="00052A97">
      <w:r w:rsidRPr="00422245">
        <w:rPr>
          <w:noProof/>
        </w:rPr>
        <w:drawing>
          <wp:inline distT="0" distB="0" distL="0" distR="0" wp14:anchorId="6DA8465A" wp14:editId="609EA8FA">
            <wp:extent cx="5591175" cy="3409950"/>
            <wp:effectExtent l="0" t="0" r="9525" b="0"/>
            <wp:docPr id="964273713" name="Diagram 1">
              <a:extLst xmlns:a="http://schemas.openxmlformats.org/drawingml/2006/main">
                <a:ext uri="{FF2B5EF4-FFF2-40B4-BE49-F238E27FC236}">
                  <a16:creationId xmlns:a16="http://schemas.microsoft.com/office/drawing/2014/main" id="{E295DE95-C275-2361-517D-C52B11870C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D9A17C4" w14:textId="77777777" w:rsidR="00A22AC6" w:rsidRPr="00422245" w:rsidRDefault="00A22AC6" w:rsidP="00A22AC6">
      <w:pPr>
        <w:pStyle w:val="Kilde"/>
      </w:pPr>
      <w:r w:rsidRPr="004E373E">
        <w:rPr>
          <w:b/>
        </w:rPr>
        <w:lastRenderedPageBreak/>
        <w:t>Kilde</w:t>
      </w:r>
      <w:r w:rsidRPr="00422245">
        <w:t>: Statistisk sentralbyrå, FoU-statistikk</w:t>
      </w:r>
    </w:p>
    <w:p w14:paraId="4A0A5C84" w14:textId="741968ED" w:rsidR="00A502A6" w:rsidRPr="00422245" w:rsidRDefault="00F24BBF" w:rsidP="00052A97">
      <w:r w:rsidRPr="00422245">
        <w:fldChar w:fldCharType="begin"/>
      </w:r>
      <w:r w:rsidRPr="00422245">
        <w:instrText xml:space="preserve"> REF _Ref161666302 \h </w:instrText>
      </w:r>
      <w:r w:rsidRPr="00422245">
        <w:fldChar w:fldCharType="separate"/>
      </w:r>
      <w:r w:rsidRPr="00422245">
        <w:t xml:space="preserve">Figur </w:t>
      </w:r>
      <w:r w:rsidR="00AC28A8">
        <w:rPr>
          <w:noProof/>
        </w:rPr>
        <w:t>8</w:t>
      </w:r>
      <w:r w:rsidR="005B096E">
        <w:noBreakHyphen/>
      </w:r>
      <w:r w:rsidRPr="00422245">
        <w:t>2</w:t>
      </w:r>
      <w:r w:rsidRPr="00422245">
        <w:fldChar w:fldCharType="end"/>
      </w:r>
      <w:r w:rsidRPr="00422245">
        <w:t xml:space="preserve"> viser </w:t>
      </w:r>
      <w:r w:rsidR="009A7153" w:rsidRPr="00422245">
        <w:t xml:space="preserve">driftsutgiftene til FoU </w:t>
      </w:r>
      <w:r w:rsidR="008E7633" w:rsidRPr="00422245">
        <w:t xml:space="preserve">i </w:t>
      </w:r>
      <w:r w:rsidR="009A7153" w:rsidRPr="00422245">
        <w:t xml:space="preserve">prisjusterte 2023-kroner. </w:t>
      </w:r>
      <w:r w:rsidR="00BD2C5C" w:rsidRPr="00422245">
        <w:t xml:space="preserve">Samlet var driftsutgiftene </w:t>
      </w:r>
      <w:r w:rsidR="00BB6065" w:rsidRPr="00422245">
        <w:t xml:space="preserve">i 2011 46 </w:t>
      </w:r>
      <w:r w:rsidR="003D0069" w:rsidRPr="00422245">
        <w:t xml:space="preserve">prosent høyere i </w:t>
      </w:r>
      <w:r w:rsidR="00BD693E" w:rsidRPr="00422245">
        <w:t>20</w:t>
      </w:r>
      <w:r w:rsidR="00674439" w:rsidRPr="00422245">
        <w:t xml:space="preserve">21 enn i 2011. </w:t>
      </w:r>
      <w:r w:rsidR="00031FFF" w:rsidRPr="00422245">
        <w:t xml:space="preserve">Høyest prosentvis vekst hadde </w:t>
      </w:r>
      <w:r w:rsidR="003C1B54" w:rsidRPr="00422245">
        <w:t>fagområdet «landbruks</w:t>
      </w:r>
      <w:r w:rsidR="00A8070B" w:rsidRPr="00422245">
        <w:t>- og fiskerifag og veterinærmedisin»</w:t>
      </w:r>
      <w:r w:rsidR="00855564" w:rsidRPr="00422245">
        <w:t xml:space="preserve">, med </w:t>
      </w:r>
      <w:r w:rsidR="004D430A" w:rsidRPr="00422245">
        <w:t>86 prosent fra et lavt utgangspunkt.</w:t>
      </w:r>
      <w:r w:rsidR="00A656E4" w:rsidRPr="00422245">
        <w:t xml:space="preserve"> </w:t>
      </w:r>
      <w:r w:rsidR="00B44CFF" w:rsidRPr="00422245">
        <w:t xml:space="preserve">Deretter fulgte samfunnsfag med en økning fra 2011 til 2023 på </w:t>
      </w:r>
      <w:r w:rsidR="00646069" w:rsidRPr="00422245">
        <w:t>74 prosent</w:t>
      </w:r>
      <w:r w:rsidR="00F37250" w:rsidRPr="00422245">
        <w:t xml:space="preserve">. </w:t>
      </w:r>
      <w:r w:rsidR="00147B0D" w:rsidRPr="00422245">
        <w:t xml:space="preserve">Klart lavest var veksten for humaniora og samfunnsfag, men også </w:t>
      </w:r>
      <w:r w:rsidR="00FE491E" w:rsidRPr="00422245">
        <w:t xml:space="preserve">for dette fagområdet </w:t>
      </w:r>
      <w:r w:rsidR="00B22C45" w:rsidRPr="00422245">
        <w:t xml:space="preserve">økte </w:t>
      </w:r>
      <w:r w:rsidR="000A3D77" w:rsidRPr="00422245">
        <w:t xml:space="preserve">driftsutgiftene </w:t>
      </w:r>
      <w:r w:rsidR="001A2C8C" w:rsidRPr="00422245">
        <w:t>mellom 2011 og 2021</w:t>
      </w:r>
      <w:r w:rsidR="00DF71A1" w:rsidRPr="00422245">
        <w:t>, med 19 prosent.</w:t>
      </w:r>
    </w:p>
    <w:p w14:paraId="5228E773" w14:textId="77777777" w:rsidR="009B752E" w:rsidRPr="00422245" w:rsidRDefault="009B752E" w:rsidP="00DE3D37"/>
    <w:p w14:paraId="69B1C760" w14:textId="3445F3CB" w:rsidR="00A52DEF" w:rsidRPr="00422245" w:rsidRDefault="00A52DEF" w:rsidP="00A52DEF">
      <w:pPr>
        <w:pStyle w:val="Bildetekst"/>
        <w:keepNext/>
      </w:pPr>
      <w:bookmarkStart w:id="165" w:name="_Ref161666302"/>
      <w:r w:rsidRPr="00422245">
        <w:t xml:space="preserve">Figur </w:t>
      </w:r>
      <w:r w:rsidR="006E1D94">
        <w:fldChar w:fldCharType="begin"/>
      </w:r>
      <w:r w:rsidR="006E1D94">
        <w:instrText xml:space="preserve"> STYLEREF 1 \s </w:instrText>
      </w:r>
      <w:r w:rsidR="006E1D94">
        <w:fldChar w:fldCharType="separate"/>
      </w:r>
      <w:r w:rsidR="006E1D94">
        <w:rPr>
          <w:noProof/>
        </w:rPr>
        <w:t>8</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165"/>
      <w:r w:rsidRPr="00C7078C">
        <w:t xml:space="preserve"> Driftsutgifter til FoU i universitets- og høgskolesektoren (mill. kr.), etter fagområde og år. </w:t>
      </w:r>
      <w:r w:rsidRPr="00422245">
        <w:t>Justere priser (2023)</w:t>
      </w:r>
    </w:p>
    <w:p w14:paraId="220C7B69" w14:textId="464F1591" w:rsidR="00DA43F8" w:rsidRPr="00422245" w:rsidRDefault="00DA43F8" w:rsidP="00DE3D37">
      <w:r w:rsidRPr="00422245">
        <w:rPr>
          <w:noProof/>
        </w:rPr>
        <w:drawing>
          <wp:inline distT="0" distB="0" distL="0" distR="0" wp14:anchorId="62FB4459" wp14:editId="14D999FF">
            <wp:extent cx="5807710" cy="4038600"/>
            <wp:effectExtent l="0" t="0" r="2540" b="0"/>
            <wp:docPr id="1907339101" name="Diagram 1">
              <a:extLst xmlns:a="http://schemas.openxmlformats.org/drawingml/2006/main">
                <a:ext uri="{FF2B5EF4-FFF2-40B4-BE49-F238E27FC236}">
                  <a16:creationId xmlns:a16="http://schemas.microsoft.com/office/drawing/2014/main" id="{C3E6C8CA-D2F1-23B1-AE6B-CBE9C0E59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1FE7C3B" w14:textId="77777777" w:rsidR="00A22AC6" w:rsidRPr="00422245" w:rsidRDefault="00A22AC6" w:rsidP="00A22AC6">
      <w:pPr>
        <w:pStyle w:val="Kilde"/>
      </w:pPr>
      <w:r w:rsidRPr="004E373E">
        <w:rPr>
          <w:b/>
        </w:rPr>
        <w:t>Kilde</w:t>
      </w:r>
      <w:r w:rsidRPr="00422245">
        <w:t>: Statistisk sentralbyrå, FoU-statistikk</w:t>
      </w:r>
    </w:p>
    <w:p w14:paraId="0D8661F0" w14:textId="1A3BA6B3" w:rsidR="00DE3D37" w:rsidRPr="00422245" w:rsidRDefault="0010051E" w:rsidP="00DE3D37">
      <w:r w:rsidRPr="00422245">
        <w:t>Ressursfordelingen mellom fagområdene varierer sterkt fra</w:t>
      </w:r>
      <w:r w:rsidR="00237960" w:rsidRPr="00422245">
        <w:t xml:space="preserve"> institusjon til institusjon. </w:t>
      </w:r>
      <w:r w:rsidR="004703B3" w:rsidRPr="00422245">
        <w:fldChar w:fldCharType="begin"/>
      </w:r>
      <w:r w:rsidR="004703B3" w:rsidRPr="00422245">
        <w:instrText xml:space="preserve"> REF _Ref161319831 \h </w:instrText>
      </w:r>
      <w:r w:rsidR="004703B3" w:rsidRPr="00422245">
        <w:fldChar w:fldCharType="separate"/>
      </w:r>
      <w:r w:rsidR="00DD6E3E" w:rsidRPr="00422245">
        <w:t xml:space="preserve">Figur </w:t>
      </w:r>
      <w:r w:rsidR="00C50219">
        <w:rPr>
          <w:noProof/>
        </w:rPr>
        <w:t>8</w:t>
      </w:r>
      <w:r w:rsidR="005B096E">
        <w:noBreakHyphen/>
      </w:r>
      <w:r w:rsidR="005B096E">
        <w:rPr>
          <w:noProof/>
        </w:rPr>
        <w:t>3</w:t>
      </w:r>
      <w:r w:rsidR="004703B3" w:rsidRPr="00422245">
        <w:fldChar w:fldCharType="end"/>
      </w:r>
      <w:r w:rsidR="004703B3" w:rsidRPr="00422245">
        <w:t xml:space="preserve"> viser </w:t>
      </w:r>
      <w:r w:rsidR="003E6AC5" w:rsidRPr="00422245">
        <w:t>fordelingen mellom fagområder ved fem av de mest forskningstunge institusjonene, mens</w:t>
      </w:r>
      <w:r w:rsidR="00576DA7" w:rsidRPr="00422245">
        <w:t xml:space="preserve"> øvrige universiteter og høyskoler</w:t>
      </w:r>
      <w:r w:rsidR="00895654" w:rsidRPr="00422245">
        <w:t xml:space="preserve"> er </w:t>
      </w:r>
      <w:r w:rsidR="006D247D" w:rsidRPr="00422245">
        <w:t xml:space="preserve">slått </w:t>
      </w:r>
      <w:r w:rsidR="006D247D" w:rsidRPr="00422245">
        <w:lastRenderedPageBreak/>
        <w:t>samme</w:t>
      </w:r>
      <w:r w:rsidR="00FC1422" w:rsidRPr="00422245">
        <w:t>n</w:t>
      </w:r>
      <w:r w:rsidR="00895654" w:rsidRPr="00422245">
        <w:t xml:space="preserve">. </w:t>
      </w:r>
      <w:r w:rsidR="00655D36" w:rsidRPr="00422245">
        <w:t xml:space="preserve">For disse </w:t>
      </w:r>
      <w:r w:rsidR="00626A7B" w:rsidRPr="00422245">
        <w:t xml:space="preserve">siste </w:t>
      </w:r>
      <w:r w:rsidR="00655D36" w:rsidRPr="00422245">
        <w:t xml:space="preserve">institusjonene samlet </w:t>
      </w:r>
      <w:r w:rsidR="00CF55D2" w:rsidRPr="00422245">
        <w:t xml:space="preserve">gikk 52 prosent av </w:t>
      </w:r>
      <w:r w:rsidR="002B1A12" w:rsidRPr="00422245">
        <w:t>driftsutgiftene</w:t>
      </w:r>
      <w:r w:rsidR="00A314E6" w:rsidRPr="00422245">
        <w:t xml:space="preserve"> </w:t>
      </w:r>
      <w:r w:rsidR="004F793B" w:rsidRPr="00422245">
        <w:t>til FoU i 2021 t</w:t>
      </w:r>
      <w:r w:rsidR="00A314E6" w:rsidRPr="00422245">
        <w:t xml:space="preserve">il </w:t>
      </w:r>
      <w:r w:rsidR="00BD3B97" w:rsidRPr="00422245">
        <w:t xml:space="preserve">samfunnsvitenskap, </w:t>
      </w:r>
      <w:r w:rsidR="00C14F1E" w:rsidRPr="00422245">
        <w:t xml:space="preserve">mer enn dobbelt så mye som ved noen av de andre institusjonene. </w:t>
      </w:r>
      <w:r w:rsidR="00F50D8F" w:rsidRPr="00422245">
        <w:t>Når FoU-andelen til samfunnsvitenskap har økt såpass tydelig de siste årene, handler det</w:t>
      </w:r>
      <w:r w:rsidR="0083125C" w:rsidRPr="00422245">
        <w:t xml:space="preserve"> derfor også om </w:t>
      </w:r>
      <w:r w:rsidR="00BD1A58" w:rsidRPr="00422245">
        <w:t xml:space="preserve">de store endringene i institusjonslandskapet </w:t>
      </w:r>
      <w:r w:rsidR="00D13F32" w:rsidRPr="00422245">
        <w:t xml:space="preserve">i perioden og </w:t>
      </w:r>
      <w:r w:rsidR="00CA15DF" w:rsidRPr="00422245">
        <w:t xml:space="preserve">styrking av forskningsvirksomheten i </w:t>
      </w:r>
      <w:r w:rsidR="008B6DFA" w:rsidRPr="00422245">
        <w:t>deler av sektoren</w:t>
      </w:r>
      <w:r w:rsidR="00610F38" w:rsidRPr="00422245">
        <w:t>.</w:t>
      </w:r>
    </w:p>
    <w:p w14:paraId="2681935C" w14:textId="23F7B964" w:rsidR="002F48EE" w:rsidRPr="00422245" w:rsidRDefault="002F48EE" w:rsidP="002F48EE">
      <w:pPr>
        <w:pStyle w:val="Bildetekst"/>
        <w:keepNext/>
      </w:pPr>
      <w:bookmarkStart w:id="166" w:name="_Ref161319831"/>
      <w:r w:rsidRPr="00422245">
        <w:t xml:space="preserve">Figur </w:t>
      </w:r>
      <w:r w:rsidR="006E1D94">
        <w:fldChar w:fldCharType="begin"/>
      </w:r>
      <w:r w:rsidR="006E1D94">
        <w:instrText xml:space="preserve"> STYLEREF 1 \s </w:instrText>
      </w:r>
      <w:r w:rsidR="006E1D94">
        <w:fldChar w:fldCharType="separate"/>
      </w:r>
      <w:r w:rsidR="006E1D94">
        <w:rPr>
          <w:noProof/>
        </w:rPr>
        <w:t>8</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bookmarkEnd w:id="166"/>
      <w:r w:rsidRPr="00422245">
        <w:t xml:space="preserve"> Fordeling av dri</w:t>
      </w:r>
      <w:r w:rsidR="008F1453" w:rsidRPr="00422245">
        <w:t>f</w:t>
      </w:r>
      <w:r w:rsidRPr="00422245">
        <w:t>tsutgifter på fagområde i universitets- og høgskolesektoren, 2021. Andel.</w:t>
      </w:r>
    </w:p>
    <w:p w14:paraId="2641C123" w14:textId="0337FA1A" w:rsidR="003713EE" w:rsidRPr="00422245" w:rsidRDefault="003713EE" w:rsidP="00DE3D37">
      <w:r w:rsidRPr="00422245">
        <w:rPr>
          <w:noProof/>
        </w:rPr>
        <w:drawing>
          <wp:inline distT="0" distB="0" distL="0" distR="0" wp14:anchorId="1582763D" wp14:editId="3D919064">
            <wp:extent cx="5614670" cy="3533775"/>
            <wp:effectExtent l="0" t="0" r="5080" b="9525"/>
            <wp:docPr id="1752065685" name="Diagram 1">
              <a:extLst xmlns:a="http://schemas.openxmlformats.org/drawingml/2006/main">
                <a:ext uri="{FF2B5EF4-FFF2-40B4-BE49-F238E27FC236}">
                  <a16:creationId xmlns:a16="http://schemas.microsoft.com/office/drawing/2014/main" id="{1AB864D6-4781-4902-8316-795C33852F0C}"/>
                </a:ext>
                <a:ext uri="{147F2762-F138-4A5C-976F-8EAC2B608ADB}">
                  <a16:predDERef xmlns:a16="http://schemas.microsoft.com/office/drawing/2014/main" pred="{C5E915E2-6D6B-3F18-427A-4BD640C096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1B7E1F9" w14:textId="77777777" w:rsidR="00A22AC6" w:rsidRDefault="00A22AC6" w:rsidP="00A22AC6">
      <w:pPr>
        <w:pStyle w:val="Kilde"/>
      </w:pPr>
      <w:r w:rsidRPr="004E373E">
        <w:rPr>
          <w:b/>
        </w:rPr>
        <w:t>Kilde</w:t>
      </w:r>
      <w:r w:rsidRPr="00422245">
        <w:t>: Statistisk sentralbyrå, FoU-statistikk</w:t>
      </w:r>
    </w:p>
    <w:p w14:paraId="419D5EE0" w14:textId="77777777" w:rsidR="003713EE" w:rsidRPr="00422245" w:rsidRDefault="003713EE" w:rsidP="00DE3D37"/>
    <w:p w14:paraId="226B8EAF" w14:textId="6F4C06F2" w:rsidR="00DE3D37" w:rsidRPr="00422245" w:rsidRDefault="00DE3D37" w:rsidP="00DE3D37">
      <w:pPr>
        <w:pStyle w:val="Overskrift2"/>
      </w:pPr>
      <w:bookmarkStart w:id="167" w:name="_Toc158968348"/>
      <w:bookmarkStart w:id="168" w:name="_Toc163488448"/>
      <w:r w:rsidRPr="00422245">
        <w:t>Institusjonenes inntekter fra Forskningsrådet</w:t>
      </w:r>
      <w:bookmarkEnd w:id="167"/>
      <w:bookmarkEnd w:id="168"/>
    </w:p>
    <w:p w14:paraId="70BE46A0" w14:textId="01875198" w:rsidR="00E30382" w:rsidRPr="00422245" w:rsidRDefault="00CA6431" w:rsidP="008C7A50">
      <w:r w:rsidRPr="00422245">
        <w:t xml:space="preserve">I kapittel </w:t>
      </w:r>
      <w:r w:rsidR="001109DE">
        <w:fldChar w:fldCharType="begin"/>
      </w:r>
      <w:r w:rsidR="001109DE">
        <w:instrText xml:space="preserve"> REF _Ref163386556 \r \h </w:instrText>
      </w:r>
      <w:r w:rsidR="001109DE">
        <w:fldChar w:fldCharType="separate"/>
      </w:r>
      <w:r w:rsidR="001109DE">
        <w:t>9</w:t>
      </w:r>
      <w:r w:rsidR="001109DE">
        <w:fldChar w:fldCharType="end"/>
      </w:r>
      <w:r w:rsidR="00827F6D" w:rsidRPr="00422245">
        <w:t xml:space="preserve"> </w:t>
      </w:r>
      <w:r w:rsidR="0095323D" w:rsidRPr="00422245">
        <w:t xml:space="preserve">ser vi samlet på </w:t>
      </w:r>
      <w:r w:rsidR="003C04FA" w:rsidRPr="00422245">
        <w:t>de ulike finansierings- og inntektskildene til universiteter og høyskoler.</w:t>
      </w:r>
      <w:r w:rsidR="00A974C2" w:rsidRPr="00422245">
        <w:t xml:space="preserve"> Bevilgninger og statstilskudd utgjør hovedtyngden av institusjonenes finansiering,</w:t>
      </w:r>
      <w:r w:rsidR="003022CC" w:rsidRPr="00422245">
        <w:t xml:space="preserve"> </w:t>
      </w:r>
      <w:r w:rsidR="00E30C35" w:rsidRPr="00422245">
        <w:t xml:space="preserve">77 prosent </w:t>
      </w:r>
      <w:r w:rsidR="00E42A0E" w:rsidRPr="00422245">
        <w:t xml:space="preserve">for statlige institusjoner i 2023. </w:t>
      </w:r>
      <w:r w:rsidR="003F6A84" w:rsidRPr="00422245">
        <w:t>F</w:t>
      </w:r>
      <w:r w:rsidR="00A974C2" w:rsidRPr="00422245">
        <w:t xml:space="preserve">inansiering fra eksterne kilder som Forskningsrådet og EU har økt noe i </w:t>
      </w:r>
      <w:r w:rsidR="003F6A84" w:rsidRPr="00422245">
        <w:t>tiårsperioden</w:t>
      </w:r>
      <w:r w:rsidR="00E67D75" w:rsidRPr="00422245">
        <w:t xml:space="preserve">. </w:t>
      </w:r>
      <w:r w:rsidR="00F77B98" w:rsidRPr="00422245">
        <w:t xml:space="preserve">Økonomisk sett er </w:t>
      </w:r>
      <w:r w:rsidR="006A7FF8" w:rsidRPr="00422245">
        <w:t xml:space="preserve">finansieringen fra Forskningsrådet den viktigste av de to. </w:t>
      </w:r>
      <w:r w:rsidR="004D650B" w:rsidRPr="00422245">
        <w:t>Samle</w:t>
      </w:r>
      <w:r w:rsidR="00414523" w:rsidRPr="00422245">
        <w:t>t sett mottok norske institusjoner</w:t>
      </w:r>
      <w:r w:rsidR="00EC103F" w:rsidRPr="00422245">
        <w:t xml:space="preserve"> 4,3 milliarder kroner fra Forskningsrådet i </w:t>
      </w:r>
      <w:r w:rsidR="00EC103F" w:rsidRPr="00422245">
        <w:lastRenderedPageBreak/>
        <w:t>2023</w:t>
      </w:r>
      <w:r w:rsidR="00CA006B" w:rsidRPr="00422245">
        <w:t xml:space="preserve">. </w:t>
      </w:r>
      <w:r w:rsidR="008726CB" w:rsidRPr="00422245">
        <w:t xml:space="preserve">Det var 8 prosent av institusjonenes samlede driftsinntekter, og </w:t>
      </w:r>
      <w:r w:rsidR="00D61A13" w:rsidRPr="00422245">
        <w:t>om lag</w:t>
      </w:r>
      <w:r w:rsidR="00853B56" w:rsidRPr="00422245">
        <w:t xml:space="preserve"> 3,5 ganger så </w:t>
      </w:r>
      <w:r w:rsidR="003B3593" w:rsidRPr="00422245">
        <w:t xml:space="preserve">mye </w:t>
      </w:r>
      <w:r w:rsidR="00D61A13" w:rsidRPr="00422245">
        <w:t>som de mottak fra EU.</w:t>
      </w:r>
    </w:p>
    <w:p w14:paraId="5D226D59" w14:textId="2D327F54" w:rsidR="000D7ADC" w:rsidRPr="00422245" w:rsidRDefault="00063825" w:rsidP="008C7A50">
      <w:r w:rsidRPr="00422245">
        <w:t>Ser vi på sektorens</w:t>
      </w:r>
      <w:r w:rsidR="00B675A7" w:rsidRPr="00422245">
        <w:t xml:space="preserve"> utgifter til FoU alene, </w:t>
      </w:r>
      <w:r w:rsidR="00B51687" w:rsidRPr="00422245">
        <w:t xml:space="preserve">utgjør inntektene fra Forskningsrådet en </w:t>
      </w:r>
      <w:r w:rsidR="00125A10" w:rsidRPr="00422245">
        <w:t>større</w:t>
      </w:r>
      <w:r w:rsidR="003A1F33" w:rsidRPr="00422245">
        <w:t xml:space="preserve"> andel</w:t>
      </w:r>
      <w:r w:rsidR="00B51687" w:rsidRPr="00422245">
        <w:t>. Ifølge FoU-statistikk</w:t>
      </w:r>
      <w:r w:rsidR="00357D63" w:rsidRPr="00422245">
        <w:t>en til Statistisk sentralbyrå</w:t>
      </w:r>
      <w:r w:rsidR="00B51687" w:rsidRPr="00422245">
        <w:t xml:space="preserve"> utgjorde </w:t>
      </w:r>
      <w:r w:rsidR="006C2E7B" w:rsidRPr="00422245">
        <w:t xml:space="preserve">driftsutgifter finansiert av Forskningsrådet </w:t>
      </w:r>
      <w:r w:rsidR="00C30987" w:rsidRPr="00422245">
        <w:t>i 2021</w:t>
      </w:r>
      <w:r w:rsidR="00344A9B" w:rsidRPr="00422245">
        <w:rPr>
          <w:rStyle w:val="Fotnotereferanse"/>
        </w:rPr>
        <w:footnoteReference w:id="39"/>
      </w:r>
      <w:r w:rsidR="00C30987" w:rsidRPr="00422245">
        <w:t xml:space="preserve"> 16 prosent av sektorens samlede driftsutgifter til </w:t>
      </w:r>
      <w:r w:rsidR="0008677A" w:rsidRPr="00422245">
        <w:t>FoU.</w:t>
      </w:r>
      <w:r w:rsidR="00C66CFA">
        <w:rPr>
          <w:rStyle w:val="Fotnotereferanse"/>
        </w:rPr>
        <w:footnoteReference w:id="40"/>
      </w:r>
      <w:r w:rsidR="0008677A" w:rsidRPr="00422245">
        <w:t xml:space="preserve"> </w:t>
      </w:r>
      <w:r w:rsidR="007E304E" w:rsidRPr="00422245">
        <w:t xml:space="preserve">Bak gjennomsnittet </w:t>
      </w:r>
      <w:r w:rsidR="00F30CCD" w:rsidRPr="00422245">
        <w:t>finner vi stor variasjon innad i sektoren</w:t>
      </w:r>
      <w:r w:rsidR="004405A2">
        <w:t xml:space="preserve">, se </w:t>
      </w:r>
      <w:r w:rsidR="004405A2">
        <w:fldChar w:fldCharType="begin"/>
      </w:r>
      <w:r w:rsidR="004405A2">
        <w:instrText xml:space="preserve"> REF _Ref163386691 \h </w:instrText>
      </w:r>
      <w:r w:rsidR="004405A2">
        <w:fldChar w:fldCharType="separate"/>
      </w:r>
      <w:r w:rsidR="004405A2" w:rsidRPr="00422245">
        <w:t xml:space="preserve">Figur </w:t>
      </w:r>
      <w:r w:rsidR="004405A2">
        <w:rPr>
          <w:noProof/>
        </w:rPr>
        <w:t>8</w:t>
      </w:r>
      <w:r w:rsidR="004405A2">
        <w:noBreakHyphen/>
      </w:r>
      <w:r w:rsidR="004405A2">
        <w:rPr>
          <w:noProof/>
        </w:rPr>
        <w:t>4</w:t>
      </w:r>
      <w:r w:rsidR="004405A2">
        <w:fldChar w:fldCharType="end"/>
      </w:r>
      <w:r w:rsidR="004405A2">
        <w:t>.</w:t>
      </w:r>
      <w:r w:rsidR="00B86B52" w:rsidRPr="00422245">
        <w:t xml:space="preserve"> </w:t>
      </w:r>
      <w:r w:rsidR="00F7251F" w:rsidRPr="00422245">
        <w:t xml:space="preserve">Mens </w:t>
      </w:r>
      <w:r w:rsidR="00A66F56" w:rsidRPr="00422245">
        <w:t xml:space="preserve">FOU-midler fra Forskningsrådet for </w:t>
      </w:r>
      <w:r w:rsidR="003B0794" w:rsidRPr="00422245">
        <w:t xml:space="preserve">UiO, NTNU og NMBU </w:t>
      </w:r>
      <w:r w:rsidR="00A66F56" w:rsidRPr="00422245">
        <w:t>i 202</w:t>
      </w:r>
      <w:r w:rsidR="0074563F" w:rsidRPr="00422245">
        <w:t>1</w:t>
      </w:r>
      <w:r w:rsidR="00A66F56" w:rsidRPr="00422245">
        <w:t xml:space="preserve"> utgjorde 22 eller 23 prosent</w:t>
      </w:r>
      <w:r w:rsidR="002D0C4A" w:rsidRPr="00422245">
        <w:t xml:space="preserve"> av alle driftsmidler til FoU-virksomhet</w:t>
      </w:r>
      <w:r w:rsidR="009C01EB" w:rsidRPr="00422245">
        <w:t xml:space="preserve">, </w:t>
      </w:r>
      <w:r w:rsidR="0074563F" w:rsidRPr="00422245">
        <w:t>var andelen for</w:t>
      </w:r>
      <w:r w:rsidR="00F27741" w:rsidRPr="00422245">
        <w:t xml:space="preserve"> </w:t>
      </w:r>
      <w:r w:rsidR="00DA4621" w:rsidRPr="00422245">
        <w:t>BI</w:t>
      </w:r>
      <w:r w:rsidR="0074563F" w:rsidRPr="00422245">
        <w:t>,</w:t>
      </w:r>
      <w:r w:rsidR="00DA4621" w:rsidRPr="00422245">
        <w:t xml:space="preserve"> USN, HINN</w:t>
      </w:r>
      <w:r w:rsidR="0074563F" w:rsidRPr="00422245">
        <w:t xml:space="preserve"> og NU bare </w:t>
      </w:r>
      <w:r w:rsidR="00FA664A" w:rsidRPr="00422245">
        <w:t>5</w:t>
      </w:r>
      <w:r w:rsidR="0074563F" w:rsidRPr="00422245">
        <w:t xml:space="preserve"> prosent. </w:t>
      </w:r>
      <w:r w:rsidR="00A46D47" w:rsidRPr="00422245">
        <w:t>Av de nyere universitetene plasserer UiS seg øverst</w:t>
      </w:r>
      <w:r w:rsidR="00BD53A6" w:rsidRPr="00422245">
        <w:t xml:space="preserve">, </w:t>
      </w:r>
      <w:r w:rsidR="00023C6A" w:rsidRPr="00422245">
        <w:t>mellom UiT og UiB</w:t>
      </w:r>
      <w:r w:rsidR="00FA664A" w:rsidRPr="00422245">
        <w:t>, med 17 prosent</w:t>
      </w:r>
      <w:r w:rsidR="004405A2">
        <w:t>.</w:t>
      </w:r>
    </w:p>
    <w:p w14:paraId="0E79EAFB" w14:textId="22E6AE92" w:rsidR="00CF090C" w:rsidRPr="00422245" w:rsidRDefault="00CF090C" w:rsidP="00CF090C">
      <w:pPr>
        <w:pStyle w:val="Bildetekst"/>
        <w:keepNext/>
      </w:pPr>
      <w:bookmarkStart w:id="169" w:name="_Ref163386691"/>
      <w:r w:rsidRPr="00422245">
        <w:t xml:space="preserve">Figur </w:t>
      </w:r>
      <w:r w:rsidR="006E1D94">
        <w:fldChar w:fldCharType="begin"/>
      </w:r>
      <w:r w:rsidR="006E1D94">
        <w:instrText xml:space="preserve"> STYLEREF 1 \s </w:instrText>
      </w:r>
      <w:r w:rsidR="006E1D94">
        <w:fldChar w:fldCharType="separate"/>
      </w:r>
      <w:r w:rsidR="006E1D94">
        <w:rPr>
          <w:noProof/>
        </w:rPr>
        <w:t>8</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169"/>
      <w:r w:rsidRPr="00422245">
        <w:t xml:space="preserve"> Finansiering av FoU-virksomhet. Driftsutgifter finansiert av Forskningsrådet som andel av alle driftsutgifter. 202</w:t>
      </w:r>
      <w:r w:rsidR="007E304E" w:rsidRPr="00422245">
        <w:t>1</w:t>
      </w:r>
      <w:r w:rsidRPr="00422245">
        <w:t>. Prosent.</w:t>
      </w:r>
    </w:p>
    <w:p w14:paraId="35746BF1" w14:textId="054613D9" w:rsidR="006763B9" w:rsidRPr="00422245" w:rsidRDefault="00367B2F" w:rsidP="008C7A50">
      <w:r w:rsidRPr="00422245">
        <w:rPr>
          <w:noProof/>
        </w:rPr>
        <w:drawing>
          <wp:inline distT="0" distB="0" distL="0" distR="0" wp14:anchorId="6C741C75" wp14:editId="3D74B049">
            <wp:extent cx="4343400" cy="2895600"/>
            <wp:effectExtent l="0" t="0" r="0" b="0"/>
            <wp:docPr id="1595557357" name="Diagram 1">
              <a:extLst xmlns:a="http://schemas.openxmlformats.org/drawingml/2006/main">
                <a:ext uri="{FF2B5EF4-FFF2-40B4-BE49-F238E27FC236}">
                  <a16:creationId xmlns:a16="http://schemas.microsoft.com/office/drawing/2014/main" id="{30A15100-3877-5837-43CF-EB124EFB80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3A2E2C8" w14:textId="27B0699A" w:rsidR="006763B9" w:rsidRPr="00422245" w:rsidRDefault="003B6EFF" w:rsidP="00A22AC6">
      <w:pPr>
        <w:pStyle w:val="Kilde"/>
      </w:pPr>
      <w:r w:rsidRPr="004E373E">
        <w:rPr>
          <w:b/>
        </w:rPr>
        <w:t>Kilde</w:t>
      </w:r>
      <w:r w:rsidRPr="00422245">
        <w:t>: SSB FoU-statistikk</w:t>
      </w:r>
    </w:p>
    <w:p w14:paraId="7BD4F4BD" w14:textId="536DC249" w:rsidR="00B64635" w:rsidRPr="00422245" w:rsidRDefault="00E84C6A" w:rsidP="008C7A50">
      <w:r w:rsidRPr="00422245">
        <w:fldChar w:fldCharType="begin"/>
      </w:r>
      <w:r w:rsidRPr="00422245">
        <w:instrText xml:space="preserve"> REF _Ref160996717 \h </w:instrText>
      </w:r>
      <w:r w:rsidRPr="00422245">
        <w:fldChar w:fldCharType="separate"/>
      </w:r>
      <w:r w:rsidRPr="00422245">
        <w:t xml:space="preserve">Figur </w:t>
      </w:r>
      <w:r w:rsidR="00B143C7">
        <w:rPr>
          <w:noProof/>
        </w:rPr>
        <w:t>8</w:t>
      </w:r>
      <w:r w:rsidR="005B096E">
        <w:noBreakHyphen/>
      </w:r>
      <w:r w:rsidR="005B096E">
        <w:rPr>
          <w:noProof/>
        </w:rPr>
        <w:t>5</w:t>
      </w:r>
      <w:r w:rsidRPr="00422245">
        <w:fldChar w:fldCharType="end"/>
      </w:r>
      <w:r w:rsidRPr="00422245">
        <w:t xml:space="preserve"> viser </w:t>
      </w:r>
      <w:r w:rsidR="0095558F" w:rsidRPr="00422245">
        <w:t xml:space="preserve">omfanget av institusjonenes tildelinger fra Forskningsrådet </w:t>
      </w:r>
      <w:r w:rsidR="00BC6B23" w:rsidRPr="00422245">
        <w:t xml:space="preserve">fordelt på antall faglige årsverk ved institusjonen. </w:t>
      </w:r>
      <w:r w:rsidR="006B1206" w:rsidRPr="00422245">
        <w:t xml:space="preserve">Noen institusjoner, som </w:t>
      </w:r>
      <w:r w:rsidR="00A60636" w:rsidRPr="00422245">
        <w:t xml:space="preserve">kunstfaglige institusjoner, </w:t>
      </w:r>
      <w:r w:rsidR="007963FC" w:rsidRPr="00422245">
        <w:t>har ingen eller nesten ingen slik finansiering. F</w:t>
      </w:r>
      <w:r w:rsidR="00824E92" w:rsidRPr="00422245">
        <w:t>or andre institusjoner varierer</w:t>
      </w:r>
      <w:r w:rsidR="002232C3" w:rsidRPr="00422245">
        <w:t xml:space="preserve"> inntektene fra Forskningsrådet i 2023 fra under 10 000 kroner </w:t>
      </w:r>
      <w:r w:rsidR="005C38EC" w:rsidRPr="00422245">
        <w:t xml:space="preserve">ved HVO </w:t>
      </w:r>
      <w:r w:rsidR="002232C3" w:rsidRPr="00422245">
        <w:t xml:space="preserve">til </w:t>
      </w:r>
      <w:r w:rsidR="00A111CC" w:rsidRPr="00422245">
        <w:t xml:space="preserve">333 000 kroner </w:t>
      </w:r>
      <w:r w:rsidR="005C38EC" w:rsidRPr="00422245">
        <w:t xml:space="preserve">ved NMBU. </w:t>
      </w:r>
      <w:r w:rsidR="0091686A" w:rsidRPr="00422245">
        <w:t xml:space="preserve">Tabell V3.23 viser tildelingen fra </w:t>
      </w:r>
      <w:r w:rsidR="006477AE" w:rsidRPr="00422245">
        <w:t>Forskningsrådet</w:t>
      </w:r>
      <w:r w:rsidR="0091686A" w:rsidRPr="00422245">
        <w:t xml:space="preserve"> per </w:t>
      </w:r>
      <w:r w:rsidR="0091686A" w:rsidRPr="00422245">
        <w:lastRenderedPageBreak/>
        <w:t>faglig årsverk 2014</w:t>
      </w:r>
      <w:r w:rsidR="006477AE" w:rsidRPr="00422245">
        <w:t>–2023</w:t>
      </w:r>
      <w:r w:rsidR="00442505" w:rsidRPr="00422245">
        <w:t xml:space="preserve"> for statlige og private institusjoner</w:t>
      </w:r>
      <w:r w:rsidR="001B7492" w:rsidRPr="00422245">
        <w:t xml:space="preserve">. </w:t>
      </w:r>
      <w:r w:rsidR="008051DD" w:rsidRPr="00422245">
        <w:t xml:space="preserve">Både i </w:t>
      </w:r>
      <w:r w:rsidR="009B3EF3" w:rsidRPr="00422245">
        <w:t xml:space="preserve">2014 </w:t>
      </w:r>
      <w:r w:rsidR="00C24D52" w:rsidRPr="00422245">
        <w:t xml:space="preserve">og i 2023 var det de historisk forskningstunge institusjonene som </w:t>
      </w:r>
      <w:r w:rsidR="00A00F79" w:rsidRPr="00422245">
        <w:t>hadde høyest tildeling per faglig årsverk</w:t>
      </w:r>
      <w:r w:rsidR="00B03F0A" w:rsidRPr="00422245">
        <w:t>.</w:t>
      </w:r>
      <w:r w:rsidR="00A00F79" w:rsidRPr="00422245">
        <w:t xml:space="preserve"> </w:t>
      </w:r>
      <w:r w:rsidR="00775FC3" w:rsidRPr="00422245">
        <w:t xml:space="preserve">Ser vi på forholdet mellom disse fire og andre institusjoner samlet, har det endret seg lite, i tiårsperioden. </w:t>
      </w:r>
      <w:r w:rsidR="00FD2769" w:rsidRPr="00422245">
        <w:t xml:space="preserve">I 2014 </w:t>
      </w:r>
      <w:r w:rsidR="006604D4" w:rsidRPr="00422245">
        <w:t xml:space="preserve">var </w:t>
      </w:r>
      <w:r w:rsidR="00B1512F" w:rsidRPr="00422245">
        <w:t xml:space="preserve">gjennomsnittstildeling </w:t>
      </w:r>
      <w:r w:rsidR="001F78EA" w:rsidRPr="00422245">
        <w:t xml:space="preserve">for de </w:t>
      </w:r>
      <w:r w:rsidR="00F27646" w:rsidRPr="00422245">
        <w:t xml:space="preserve">fire </w:t>
      </w:r>
      <w:r w:rsidR="00115F5D" w:rsidRPr="00422245">
        <w:t>institusjonene 2,9 ganger</w:t>
      </w:r>
      <w:r w:rsidR="00E017D0" w:rsidRPr="00422245">
        <w:t xml:space="preserve"> større enn </w:t>
      </w:r>
      <w:r w:rsidR="004A7272" w:rsidRPr="00422245">
        <w:t>gjennomsnitts tildeling</w:t>
      </w:r>
      <w:r w:rsidR="00AB7752" w:rsidRPr="00422245">
        <w:t xml:space="preserve"> for </w:t>
      </w:r>
      <w:r w:rsidR="0064127F" w:rsidRPr="00422245">
        <w:t xml:space="preserve">de 10 neste </w:t>
      </w:r>
      <w:r w:rsidR="00C557F3" w:rsidRPr="00422245">
        <w:t>in</w:t>
      </w:r>
      <w:r w:rsidR="002D1CED" w:rsidRPr="00422245">
        <w:t xml:space="preserve">stitusjonene. I 2023 </w:t>
      </w:r>
      <w:r w:rsidR="00D83319" w:rsidRPr="00422245">
        <w:t xml:space="preserve">var </w:t>
      </w:r>
      <w:r w:rsidR="004A7272" w:rsidRPr="00422245">
        <w:t>tilsvarende tall 2,8.</w:t>
      </w:r>
    </w:p>
    <w:p w14:paraId="40F757BD" w14:textId="3F1EC2C9" w:rsidR="00743923" w:rsidRPr="00422245" w:rsidRDefault="00743923" w:rsidP="00743923">
      <w:pPr>
        <w:pStyle w:val="Bildetekst"/>
        <w:keepNext/>
      </w:pPr>
      <w:bookmarkStart w:id="170" w:name="_Ref160996717"/>
      <w:r w:rsidRPr="00422245">
        <w:t xml:space="preserve">Figur </w:t>
      </w:r>
      <w:r w:rsidR="006E1D94">
        <w:fldChar w:fldCharType="begin"/>
      </w:r>
      <w:r w:rsidR="006E1D94">
        <w:instrText xml:space="preserve"> STYLEREF 1 \s </w:instrText>
      </w:r>
      <w:r w:rsidR="006E1D94">
        <w:fldChar w:fldCharType="separate"/>
      </w:r>
      <w:r w:rsidR="006E1D94">
        <w:rPr>
          <w:noProof/>
        </w:rPr>
        <w:t>8</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5</w:t>
      </w:r>
      <w:r w:rsidR="006E1D94">
        <w:fldChar w:fldCharType="end"/>
      </w:r>
      <w:bookmarkEnd w:id="170"/>
      <w:r w:rsidRPr="00422245">
        <w:t xml:space="preserve"> Tildeling fra Forskningsrådet per faglig årsverk 2023. 1000 kr</w:t>
      </w:r>
    </w:p>
    <w:p w14:paraId="18DC8717" w14:textId="7E2B53EF" w:rsidR="00CC3073" w:rsidRPr="00422245" w:rsidRDefault="00470548" w:rsidP="00CC3073">
      <w:r w:rsidRPr="00422245">
        <w:rPr>
          <w:noProof/>
        </w:rPr>
        <w:drawing>
          <wp:inline distT="0" distB="0" distL="0" distR="0" wp14:anchorId="5F3FEB23" wp14:editId="5D757F2B">
            <wp:extent cx="5629275" cy="5800725"/>
            <wp:effectExtent l="0" t="0" r="9525" b="9525"/>
            <wp:docPr id="1326616793" name="Diagram 1">
              <a:extLst xmlns:a="http://schemas.openxmlformats.org/drawingml/2006/main">
                <a:ext uri="{FF2B5EF4-FFF2-40B4-BE49-F238E27FC236}">
                  <a16:creationId xmlns:a16="http://schemas.microsoft.com/office/drawing/2014/main" id="{00000000-0008-0000-1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A633DFD" w14:textId="516F21E4" w:rsidR="00A22AC6" w:rsidRPr="00422245" w:rsidRDefault="00A22AC6" w:rsidP="00A22AC6">
      <w:pPr>
        <w:pStyle w:val="Kilde"/>
      </w:pPr>
      <w:r w:rsidRPr="004E373E">
        <w:rPr>
          <w:b/>
        </w:rPr>
        <w:t>Kilde</w:t>
      </w:r>
      <w:r>
        <w:t>: DBH</w:t>
      </w:r>
    </w:p>
    <w:p w14:paraId="4F1A4142" w14:textId="77777777" w:rsidR="00345D96" w:rsidRPr="00422245" w:rsidRDefault="00345D96" w:rsidP="00CC3073"/>
    <w:p w14:paraId="22F5B700" w14:textId="118D8374" w:rsidR="00CC3073" w:rsidRPr="00422245" w:rsidRDefault="00A95D09" w:rsidP="00532905">
      <w:pPr>
        <w:pStyle w:val="Overskrift2"/>
      </w:pPr>
      <w:bookmarkStart w:id="171" w:name="_Toc158968349"/>
      <w:bookmarkStart w:id="172" w:name="_Ref161145823"/>
      <w:bookmarkStart w:id="173" w:name="_Ref161145859"/>
      <w:bookmarkStart w:id="174" w:name="_Toc163488449"/>
      <w:r w:rsidRPr="00422245">
        <w:lastRenderedPageBreak/>
        <w:t>Euro</w:t>
      </w:r>
      <w:r w:rsidR="00A928AD" w:rsidRPr="00422245">
        <w:t>peisk samarbei</w:t>
      </w:r>
      <w:bookmarkEnd w:id="171"/>
      <w:bookmarkEnd w:id="172"/>
      <w:bookmarkEnd w:id="173"/>
      <w:r w:rsidR="00293722" w:rsidRPr="00422245">
        <w:t>d</w:t>
      </w:r>
      <w:r w:rsidR="00E57A5D" w:rsidRPr="00422245">
        <w:t xml:space="preserve"> og finansiering fra </w:t>
      </w:r>
      <w:r w:rsidR="009A1F7C" w:rsidRPr="00422245">
        <w:t>EUs rammeprogram</w:t>
      </w:r>
      <w:bookmarkEnd w:id="174"/>
    </w:p>
    <w:p w14:paraId="71B269B6" w14:textId="43944F94" w:rsidR="00F86DEF" w:rsidRPr="00422245" w:rsidRDefault="00F53FC4" w:rsidP="00532905">
      <w:r w:rsidRPr="00422245">
        <w:t>Horisont Europa</w:t>
      </w:r>
      <w:r w:rsidR="00035DDF" w:rsidRPr="00422245">
        <w:t>,</w:t>
      </w:r>
      <w:r w:rsidR="00C5243E" w:rsidRPr="00422245">
        <w:t xml:space="preserve"> EUs program for forskning og innovasjon</w:t>
      </w:r>
      <w:r w:rsidR="003A3FD3" w:rsidRPr="00422245">
        <w:t>,</w:t>
      </w:r>
      <w:r w:rsidR="00C5243E" w:rsidRPr="00422245">
        <w:t xml:space="preserve"> er en viktig arena for norske universiteter og høyskoler. </w:t>
      </w:r>
      <w:r w:rsidR="004F5BED" w:rsidRPr="00422245">
        <w:t>For sekt</w:t>
      </w:r>
      <w:r w:rsidR="00BD3321" w:rsidRPr="00422245">
        <w:t xml:space="preserve">oren som helhet spiller </w:t>
      </w:r>
      <w:r w:rsidR="00FB714A" w:rsidRPr="00422245">
        <w:t xml:space="preserve">programmet en relativt </w:t>
      </w:r>
      <w:r w:rsidR="005F74F2" w:rsidRPr="00422245">
        <w:t>liten rolle</w:t>
      </w:r>
      <w:r w:rsidR="00525286" w:rsidRPr="00422245">
        <w:t xml:space="preserve"> økonomisk sett</w:t>
      </w:r>
      <w:r w:rsidR="005F74F2" w:rsidRPr="00422245">
        <w:t xml:space="preserve">, </w:t>
      </w:r>
      <w:r w:rsidR="00DA3179" w:rsidRPr="00422245">
        <w:t>men som samarbeids</w:t>
      </w:r>
      <w:r w:rsidR="000B2EAA" w:rsidRPr="00422245">
        <w:t xml:space="preserve">- og konkurransearena </w:t>
      </w:r>
      <w:r w:rsidR="001846F8" w:rsidRPr="00422245">
        <w:t xml:space="preserve">har programmet stor betydning for norske </w:t>
      </w:r>
      <w:r w:rsidR="006320C5" w:rsidRPr="00422245">
        <w:t>forskere og institusjoner.</w:t>
      </w:r>
      <w:r w:rsidR="00BD3FB0" w:rsidRPr="00422245">
        <w:t xml:space="preserve"> </w:t>
      </w:r>
      <w:r w:rsidR="00D80CED">
        <w:t>I i</w:t>
      </w:r>
      <w:r w:rsidR="00F13789">
        <w:t xml:space="preserve">nstitusjonenes regnskapstall </w:t>
      </w:r>
      <w:r w:rsidR="00D80CED">
        <w:t>for</w:t>
      </w:r>
      <w:r w:rsidR="00CD6F81" w:rsidRPr="00422245">
        <w:t xml:space="preserve"> 2023 </w:t>
      </w:r>
      <w:r w:rsidR="00EA2BB1">
        <w:t xml:space="preserve">beløper </w:t>
      </w:r>
      <w:r w:rsidR="00B31E4E">
        <w:t xml:space="preserve">sektorens samlede inntekter fra EU seg til </w:t>
      </w:r>
      <w:r w:rsidR="00646E40" w:rsidRPr="00422245">
        <w:t>1,24 milliarder kroner</w:t>
      </w:r>
      <w:r w:rsidR="00682E4E" w:rsidRPr="00422245">
        <w:t>,</w:t>
      </w:r>
      <w:r w:rsidR="007B6FA7" w:rsidRPr="00422245">
        <w:t xml:space="preserve"> </w:t>
      </w:r>
      <w:r w:rsidR="00A87ADB" w:rsidRPr="00422245">
        <w:t xml:space="preserve">og det utgjorde </w:t>
      </w:r>
      <w:r w:rsidR="005E29B5" w:rsidRPr="00422245">
        <w:t xml:space="preserve">2 prosent av </w:t>
      </w:r>
      <w:r w:rsidR="0049386A">
        <w:t>institusjonenes</w:t>
      </w:r>
      <w:r w:rsidR="005E29B5" w:rsidRPr="00422245">
        <w:t xml:space="preserve"> samlede driftsinntekter</w:t>
      </w:r>
      <w:r w:rsidR="00B9470F" w:rsidRPr="00422245">
        <w:t xml:space="preserve">. </w:t>
      </w:r>
      <w:r w:rsidR="002402AB" w:rsidRPr="00422245">
        <w:t xml:space="preserve">Av dette var </w:t>
      </w:r>
      <w:r w:rsidR="00C725A3" w:rsidRPr="00422245">
        <w:t>1 milliard kroner finansering</w:t>
      </w:r>
      <w:r w:rsidR="005D2BCA" w:rsidRPr="00422245">
        <w:t xml:space="preserve"> fra rammeprogrammet</w:t>
      </w:r>
      <w:r w:rsidR="00462791" w:rsidRPr="00422245">
        <w:t xml:space="preserve">, og </w:t>
      </w:r>
      <w:r w:rsidR="006172EE" w:rsidRPr="00422245">
        <w:t>inn</w:t>
      </w:r>
      <w:r w:rsidR="00723CEE" w:rsidRPr="00422245">
        <w:t>tektene herfra</w:t>
      </w:r>
      <w:r w:rsidR="00640E17" w:rsidRPr="00422245">
        <w:t xml:space="preserve"> har</w:t>
      </w:r>
      <w:r w:rsidR="00723CEE" w:rsidRPr="00422245">
        <w:t xml:space="preserve"> økt </w:t>
      </w:r>
      <w:r w:rsidR="009C0FD9" w:rsidRPr="00422245">
        <w:t>en del siste ti å</w:t>
      </w:r>
      <w:r w:rsidR="003077B5" w:rsidRPr="00422245">
        <w:t xml:space="preserve">r, se </w:t>
      </w:r>
      <w:r w:rsidR="00107A06" w:rsidRPr="00422245">
        <w:t xml:space="preserve">tabell </w:t>
      </w:r>
      <w:r w:rsidR="003077B5" w:rsidRPr="00422245">
        <w:t>V4.1.</w:t>
      </w:r>
      <w:r w:rsidR="0056423E" w:rsidRPr="00422245">
        <w:t xml:space="preserve"> </w:t>
      </w:r>
      <w:r w:rsidR="00F558B1" w:rsidRPr="00422245">
        <w:fldChar w:fldCharType="begin"/>
      </w:r>
      <w:r w:rsidR="00F558B1" w:rsidRPr="00422245">
        <w:instrText xml:space="preserve"> REF _Ref161756276 \h </w:instrText>
      </w:r>
      <w:r w:rsidR="00F558B1" w:rsidRPr="00422245">
        <w:fldChar w:fldCharType="separate"/>
      </w:r>
      <w:r w:rsidR="00F558B1" w:rsidRPr="00422245">
        <w:t xml:space="preserve">Figur </w:t>
      </w:r>
      <w:r w:rsidR="00353523">
        <w:rPr>
          <w:noProof/>
        </w:rPr>
        <w:t>8</w:t>
      </w:r>
      <w:r w:rsidR="005B096E">
        <w:noBreakHyphen/>
      </w:r>
      <w:r w:rsidR="00F558B1" w:rsidRPr="00422245">
        <w:t>6</w:t>
      </w:r>
      <w:r w:rsidR="00F558B1" w:rsidRPr="00422245">
        <w:fldChar w:fldCharType="end"/>
      </w:r>
      <w:r w:rsidR="00F558B1" w:rsidRPr="00422245">
        <w:t xml:space="preserve"> viser utviklingen</w:t>
      </w:r>
      <w:r w:rsidR="00C26544" w:rsidRPr="00422245">
        <w:t xml:space="preserve"> i EU-inntekter siden 2014 fordelt på forskningsmidler og øvrige midle</w:t>
      </w:r>
      <w:r w:rsidR="00107A06" w:rsidRPr="00422245">
        <w:t>r. Målt i 2023-priser var beløpet i 2023 2,3 ganger så høyt som i 2014.</w:t>
      </w:r>
    </w:p>
    <w:p w14:paraId="4B2D5A80" w14:textId="66A1A4D6" w:rsidR="00566719" w:rsidRPr="00422245" w:rsidRDefault="00566719" w:rsidP="00566719">
      <w:pPr>
        <w:pStyle w:val="Bildetekst"/>
        <w:keepNext/>
      </w:pPr>
    </w:p>
    <w:p w14:paraId="2EF10F2A" w14:textId="75AFE94A" w:rsidR="00566719" w:rsidRPr="00422245" w:rsidRDefault="00566719" w:rsidP="00566719">
      <w:pPr>
        <w:pStyle w:val="Bildetekst"/>
        <w:keepNext/>
      </w:pPr>
      <w:bookmarkStart w:id="175" w:name="_Ref161756276"/>
      <w:bookmarkStart w:id="176" w:name="_Ref161756265"/>
      <w:r w:rsidRPr="00422245">
        <w:t xml:space="preserve">Figur </w:t>
      </w:r>
      <w:r w:rsidR="006E1D94">
        <w:fldChar w:fldCharType="begin"/>
      </w:r>
      <w:r w:rsidR="006E1D94">
        <w:instrText xml:space="preserve"> STYLEREF 1 \s </w:instrText>
      </w:r>
      <w:r w:rsidR="006E1D94">
        <w:fldChar w:fldCharType="separate"/>
      </w:r>
      <w:r w:rsidR="006E1D94">
        <w:rPr>
          <w:noProof/>
        </w:rPr>
        <w:t>8</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6</w:t>
      </w:r>
      <w:r w:rsidR="006E1D94">
        <w:fldChar w:fldCharType="end"/>
      </w:r>
      <w:bookmarkEnd w:id="175"/>
      <w:r w:rsidRPr="00422245">
        <w:t xml:space="preserve"> Midler fra EU 2014–23. 1000 kr</w:t>
      </w:r>
      <w:bookmarkEnd w:id="176"/>
    </w:p>
    <w:p w14:paraId="0BDEDE48" w14:textId="0D48AF86" w:rsidR="008259E8" w:rsidRPr="00422245" w:rsidRDefault="008259E8" w:rsidP="00532905">
      <w:r w:rsidRPr="00422245">
        <w:rPr>
          <w:noProof/>
        </w:rPr>
        <w:drawing>
          <wp:inline distT="0" distB="0" distL="0" distR="0" wp14:anchorId="38824E32" wp14:editId="1CDF0990">
            <wp:extent cx="5731510" cy="3670935"/>
            <wp:effectExtent l="0" t="0" r="2540" b="5715"/>
            <wp:docPr id="305877008" name="Diagram 1">
              <a:extLst xmlns:a="http://schemas.openxmlformats.org/drawingml/2006/main">
                <a:ext uri="{FF2B5EF4-FFF2-40B4-BE49-F238E27FC236}">
                  <a16:creationId xmlns:a16="http://schemas.microsoft.com/office/drawing/2014/main" id="{00000000-0008-0000-1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01B2CF8" w14:textId="5EC097C6" w:rsidR="004E25DB" w:rsidRPr="00422245" w:rsidRDefault="004E25DB" w:rsidP="00A021C3">
      <w:pPr>
        <w:pStyle w:val="Kilde"/>
      </w:pPr>
      <w:r w:rsidRPr="004E373E">
        <w:rPr>
          <w:b/>
        </w:rPr>
        <w:t>Kilde</w:t>
      </w:r>
      <w:r>
        <w:t>: DBH</w:t>
      </w:r>
    </w:p>
    <w:p w14:paraId="7ACECC0A" w14:textId="64308557" w:rsidR="00904C03" w:rsidRPr="00422245" w:rsidRDefault="00904C03" w:rsidP="00904C03">
      <w:r w:rsidRPr="00422245">
        <w:t xml:space="preserve">Tabell V3.27 viser institusjonenes tildelinger fra EU siste ti år fordelt på faglige årsverk. Fire institusjoner skiller seg ut med stabilt høye verdier over tid, UiO, UiB, </w:t>
      </w:r>
      <w:r w:rsidRPr="00422245">
        <w:lastRenderedPageBreak/>
        <w:t xml:space="preserve">NTNU og NMBU. I 2023 mottok disse fire mellom 66 000 og 89 000 kroner fra EU per faglig årsverk. Deretter følger NHH, UiT og UiS med mellom 29 000 og 39 000 per faglig årsverk. </w:t>
      </w:r>
      <w:r w:rsidR="009952C0" w:rsidRPr="00422245">
        <w:t xml:space="preserve">Målt på denne måten har forskjellene mellom institusjonene jevnet seg ut </w:t>
      </w:r>
      <w:r w:rsidR="00BA6A19" w:rsidRPr="00422245">
        <w:t>over tid, i 2014 var det langt flere institusjoner som hadde ingen eller tilnærmet ingen inntekter fra EU.</w:t>
      </w:r>
      <w:r w:rsidR="00642681" w:rsidRPr="00422245">
        <w:t xml:space="preserve"> For institusjoner med relativt små inntekter herfra, </w:t>
      </w:r>
      <w:r w:rsidR="00FB7151" w:rsidRPr="00422245">
        <w:t xml:space="preserve">kan </w:t>
      </w:r>
      <w:r w:rsidR="009A79AF" w:rsidRPr="00422245">
        <w:t xml:space="preserve">imidlertid </w:t>
      </w:r>
      <w:r w:rsidR="00FB7151" w:rsidRPr="00422245">
        <w:t>beløpene variere mye fra år til år</w:t>
      </w:r>
      <w:r w:rsidR="000A23BF" w:rsidRPr="00422245">
        <w:t xml:space="preserve">, og det kan være vanskelig å </w:t>
      </w:r>
      <w:r w:rsidR="009A79AF" w:rsidRPr="00422245">
        <w:t>identifisere</w:t>
      </w:r>
      <w:r w:rsidR="00667945" w:rsidRPr="00422245">
        <w:t xml:space="preserve"> trender.</w:t>
      </w:r>
    </w:p>
    <w:p w14:paraId="39CD4627" w14:textId="1E5841E9" w:rsidR="00F12BAF" w:rsidRPr="00422245" w:rsidRDefault="00057BAC" w:rsidP="00532905">
      <w:r w:rsidRPr="00422245">
        <w:t>Tabell V</w:t>
      </w:r>
      <w:r w:rsidR="00B6305D" w:rsidRPr="00422245">
        <w:t>3.27 viser at o</w:t>
      </w:r>
      <w:r w:rsidR="009B77D8" w:rsidRPr="00422245">
        <w:t xml:space="preserve">gså noen av de private institusjonene </w:t>
      </w:r>
      <w:r w:rsidR="00D20BFB" w:rsidRPr="00422245">
        <w:t xml:space="preserve">har begynt </w:t>
      </w:r>
      <w:r w:rsidR="00B6305D" w:rsidRPr="00422245">
        <w:t xml:space="preserve">å hente </w:t>
      </w:r>
      <w:r w:rsidR="009B77D8" w:rsidRPr="00422245">
        <w:t>midler fra EU.</w:t>
      </w:r>
      <w:r w:rsidR="0016407A" w:rsidRPr="00422245">
        <w:t xml:space="preserve"> </w:t>
      </w:r>
      <w:r w:rsidR="00B215C3" w:rsidRPr="00422245">
        <w:t xml:space="preserve">Av de store private institusjonene </w:t>
      </w:r>
      <w:r w:rsidR="00D51127" w:rsidRPr="00422245">
        <w:t>har MF den største og mest stabile EU-inntekten over tid,</w:t>
      </w:r>
      <w:r w:rsidR="00062EA2" w:rsidRPr="00422245">
        <w:t xml:space="preserve"> med 34 000 kroner per faglig årsverk i 2023. </w:t>
      </w:r>
      <w:r w:rsidR="002A6C24" w:rsidRPr="00422245">
        <w:t xml:space="preserve">For HK og BI var tallene henholdsvis </w:t>
      </w:r>
      <w:r w:rsidR="00AD62B4" w:rsidRPr="00422245">
        <w:t xml:space="preserve">14 000 og 20 000 kroner i 2023. </w:t>
      </w:r>
    </w:p>
    <w:p w14:paraId="37D694DB" w14:textId="28071DE0" w:rsidR="00BD3FB0" w:rsidRPr="00422245" w:rsidRDefault="008A02CA" w:rsidP="00532905">
      <w:pPr>
        <w:rPr>
          <w:b/>
          <w:bCs/>
        </w:rPr>
      </w:pPr>
      <w:r w:rsidRPr="00422245">
        <w:rPr>
          <w:b/>
          <w:bCs/>
        </w:rPr>
        <w:t xml:space="preserve">Vekst i Horisont Europa </w:t>
      </w:r>
    </w:p>
    <w:p w14:paraId="013C7C78" w14:textId="056586FD" w:rsidR="008A02CA" w:rsidRPr="00422245" w:rsidRDefault="000D4374" w:rsidP="00532905">
      <w:r>
        <w:t>Aggregerte r</w:t>
      </w:r>
      <w:r w:rsidR="005145CC" w:rsidRPr="00422245">
        <w:t xml:space="preserve">esultater fra Horisont Europa per desember 2023 </w:t>
      </w:r>
      <w:r w:rsidR="0079100E" w:rsidRPr="00422245">
        <w:t xml:space="preserve">viser at norske aktører totalt </w:t>
      </w:r>
      <w:r w:rsidR="00CF1F33" w:rsidRPr="00422245">
        <w:t>er tilde</w:t>
      </w:r>
      <w:r w:rsidR="00FA2137" w:rsidRPr="00422245">
        <w:t xml:space="preserve">lt en milliard </w:t>
      </w:r>
      <w:r w:rsidR="0052380F" w:rsidRPr="00422245">
        <w:t>euro</w:t>
      </w:r>
      <w:r w:rsidR="00FA2137" w:rsidRPr="00422245">
        <w:t xml:space="preserve">, når vi legger til grunn prosjekter som er innstilt </w:t>
      </w:r>
      <w:r w:rsidR="00737E9F" w:rsidRPr="00422245">
        <w:t>for støtt</w:t>
      </w:r>
      <w:r w:rsidR="00B33BF3" w:rsidRPr="00422245">
        <w:t>e. Om lag en tredel av dette</w:t>
      </w:r>
      <w:r w:rsidR="00592718">
        <w:t xml:space="preserve"> går til univer</w:t>
      </w:r>
      <w:r w:rsidR="00687224">
        <w:t>siteter og høyskoler.</w:t>
      </w:r>
      <w:r w:rsidR="00615CA0">
        <w:t xml:space="preserve"> Per april 2024 mangler fortsatt </w:t>
      </w:r>
      <w:r w:rsidR="001B0BBD">
        <w:t>data fra noen utlysninger i 2023.</w:t>
      </w:r>
    </w:p>
    <w:p w14:paraId="2876FFC6" w14:textId="163CD4B5" w:rsidR="00952B50" w:rsidRPr="00422245" w:rsidRDefault="003E0194" w:rsidP="00532905">
      <w:r w:rsidRPr="00422245">
        <w:t xml:space="preserve">Begrepet </w:t>
      </w:r>
      <w:r w:rsidR="0073065A" w:rsidRPr="00422245">
        <w:t>«</w:t>
      </w:r>
      <w:r w:rsidRPr="00422245">
        <w:t>r</w:t>
      </w:r>
      <w:r w:rsidR="0073065A" w:rsidRPr="00422245">
        <w:t>etu</w:t>
      </w:r>
      <w:r w:rsidRPr="00422245">
        <w:t xml:space="preserve">randel» brukes i forbindelse </w:t>
      </w:r>
      <w:r w:rsidR="00774F82" w:rsidRPr="00422245">
        <w:t xml:space="preserve">med Horisont Europa som et uttrykk for </w:t>
      </w:r>
      <w:r w:rsidR="00822D9A" w:rsidRPr="00422245">
        <w:t>hvor stor andel av utlyste midler som går til norske aktører.</w:t>
      </w:r>
      <w:r w:rsidR="00E02E9E" w:rsidRPr="00422245">
        <w:t xml:space="preserve"> </w:t>
      </w:r>
      <w:r w:rsidR="000D5B25" w:rsidRPr="00422245">
        <w:t xml:space="preserve">Regjeringens ambisjon </w:t>
      </w:r>
      <w:r w:rsidR="005004C4" w:rsidRPr="00422245">
        <w:t xml:space="preserve">for de konkurranseutsatte midlene i Horisont Europa, er en norsk returandel på </w:t>
      </w:r>
      <w:r w:rsidR="000D5B25" w:rsidRPr="00422245">
        <w:t xml:space="preserve">2,8 </w:t>
      </w:r>
      <w:r w:rsidR="005004C4" w:rsidRPr="00422245">
        <w:t xml:space="preserve">prosent. Så langt </w:t>
      </w:r>
      <w:r w:rsidR="006C6574" w:rsidRPr="00422245">
        <w:t>ut i programperioden er den norske returandelen på 3,23 prosent.</w:t>
      </w:r>
      <w:r w:rsidR="00952B50" w:rsidRPr="00422245">
        <w:t xml:space="preserve"> </w:t>
      </w:r>
      <w:r w:rsidR="00985B68" w:rsidRPr="00422245">
        <w:fldChar w:fldCharType="begin"/>
      </w:r>
      <w:r w:rsidR="00985B68" w:rsidRPr="00422245">
        <w:instrText xml:space="preserve"> REF _Ref161759682 \h </w:instrText>
      </w:r>
      <w:r w:rsidR="00985B68" w:rsidRPr="00422245">
        <w:fldChar w:fldCharType="separate"/>
      </w:r>
      <w:r w:rsidR="00985B68" w:rsidRPr="00422245">
        <w:t xml:space="preserve">Tabell </w:t>
      </w:r>
      <w:r w:rsidR="00F6461B">
        <w:rPr>
          <w:noProof/>
        </w:rPr>
        <w:t>8</w:t>
      </w:r>
      <w:r w:rsidR="00985B68" w:rsidRPr="00422245">
        <w:t>.1</w:t>
      </w:r>
      <w:r w:rsidR="00985B68" w:rsidRPr="00422245">
        <w:fldChar w:fldCharType="end"/>
      </w:r>
      <w:r w:rsidR="00985B68" w:rsidRPr="00422245">
        <w:t xml:space="preserve"> viser returandelen for norske universiteter og høyskoler</w:t>
      </w:r>
      <w:r w:rsidR="004D760B" w:rsidRPr="00422245">
        <w:t xml:space="preserve"> til og med 2022.</w:t>
      </w:r>
      <w:r w:rsidR="00905DE8" w:rsidRPr="00422245">
        <w:t xml:space="preserve"> </w:t>
      </w:r>
      <w:r w:rsidR="00E61F3E" w:rsidRPr="00422245">
        <w:t xml:space="preserve">Med unntak for et spesielt høyt nivå i 2021, har andelen vært relativt stabil siden 2018. </w:t>
      </w:r>
      <w:r w:rsidR="00412692" w:rsidRPr="00422245">
        <w:t>Fordi det tar tid å oppdatere data, går tabellen ikke lenger fram enn til 2022.</w:t>
      </w:r>
    </w:p>
    <w:p w14:paraId="382CA2CE" w14:textId="78D663E3" w:rsidR="00952B50" w:rsidRPr="00422245" w:rsidRDefault="00952B50" w:rsidP="00952B50">
      <w:pPr>
        <w:pStyle w:val="Bildetekst"/>
        <w:keepNext/>
      </w:pPr>
      <w:bookmarkStart w:id="177" w:name="_Ref161759682"/>
      <w:bookmarkStart w:id="178" w:name="_Ref161759650"/>
      <w:r w:rsidRPr="00422245">
        <w:t xml:space="preserve">Tabell </w:t>
      </w:r>
      <w:r w:rsidR="00826DA7">
        <w:fldChar w:fldCharType="begin"/>
      </w:r>
      <w:r w:rsidR="00826DA7">
        <w:instrText xml:space="preserve"> STYLEREF 1 \s </w:instrText>
      </w:r>
      <w:r w:rsidR="00826DA7">
        <w:fldChar w:fldCharType="separate"/>
      </w:r>
      <w:r w:rsidR="00826DA7">
        <w:rPr>
          <w:noProof/>
        </w:rPr>
        <w:t>8</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1</w:t>
      </w:r>
      <w:r w:rsidR="00826DA7">
        <w:fldChar w:fldCharType="end"/>
      </w:r>
      <w:bookmarkEnd w:id="177"/>
      <w:r w:rsidRPr="00422245">
        <w:t xml:space="preserve"> Norske universiteters og høyskolers returandel i EUs rammeprogram for forskning og innovasjon.</w:t>
      </w:r>
      <w:bookmarkEnd w:id="178"/>
    </w:p>
    <w:tbl>
      <w:tblPr>
        <w:tblW w:w="8880" w:type="dxa"/>
        <w:tblCellMar>
          <w:left w:w="70" w:type="dxa"/>
          <w:right w:w="70" w:type="dxa"/>
        </w:tblCellMar>
        <w:tblLook w:val="04A0" w:firstRow="1" w:lastRow="0" w:firstColumn="1" w:lastColumn="0" w:noHBand="0" w:noVBand="1"/>
      </w:tblPr>
      <w:tblGrid>
        <w:gridCol w:w="1120"/>
        <w:gridCol w:w="940"/>
        <w:gridCol w:w="940"/>
        <w:gridCol w:w="940"/>
        <w:gridCol w:w="940"/>
        <w:gridCol w:w="940"/>
        <w:gridCol w:w="940"/>
        <w:gridCol w:w="1120"/>
        <w:gridCol w:w="1000"/>
      </w:tblGrid>
      <w:tr w:rsidR="009D2B8C" w:rsidRPr="00422245" w14:paraId="615DEDD3" w14:textId="77777777">
        <w:trPr>
          <w:trHeight w:val="255"/>
        </w:trPr>
        <w:tc>
          <w:tcPr>
            <w:tcW w:w="1120" w:type="dxa"/>
            <w:tcBorders>
              <w:top w:val="single" w:sz="4" w:space="0" w:color="3877A6"/>
              <w:left w:val="single" w:sz="4" w:space="0" w:color="3877A6"/>
              <w:bottom w:val="single" w:sz="4" w:space="0" w:color="A5A5B1"/>
              <w:right w:val="single" w:sz="4" w:space="0" w:color="3877A6"/>
            </w:tcBorders>
            <w:shd w:val="clear" w:color="auto" w:fill="0B64A0"/>
            <w:vAlign w:val="bottom"/>
            <w:hideMark/>
          </w:tcPr>
          <w:p w14:paraId="456CC420"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themeColor="background1"/>
                <w:sz w:val="20"/>
                <w:szCs w:val="20"/>
                <w:lang w:eastAsia="nb-NO"/>
              </w:rPr>
              <w:t>2014</w:t>
            </w:r>
          </w:p>
        </w:tc>
        <w:tc>
          <w:tcPr>
            <w:tcW w:w="940" w:type="dxa"/>
            <w:tcBorders>
              <w:top w:val="single" w:sz="4" w:space="0" w:color="3877A6"/>
              <w:left w:val="nil"/>
              <w:bottom w:val="single" w:sz="4" w:space="0" w:color="A5A5B1"/>
              <w:right w:val="single" w:sz="4" w:space="0" w:color="3877A6"/>
            </w:tcBorders>
            <w:shd w:val="clear" w:color="auto" w:fill="0B64A0"/>
            <w:vAlign w:val="bottom"/>
            <w:hideMark/>
          </w:tcPr>
          <w:p w14:paraId="78ACCD06"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2015</w:t>
            </w:r>
          </w:p>
        </w:tc>
        <w:tc>
          <w:tcPr>
            <w:tcW w:w="940" w:type="dxa"/>
            <w:tcBorders>
              <w:top w:val="single" w:sz="4" w:space="0" w:color="3877A6"/>
              <w:left w:val="nil"/>
              <w:bottom w:val="single" w:sz="4" w:space="0" w:color="A5A5B1"/>
              <w:right w:val="single" w:sz="4" w:space="0" w:color="3877A6"/>
            </w:tcBorders>
            <w:shd w:val="clear" w:color="auto" w:fill="0B64A0"/>
            <w:vAlign w:val="bottom"/>
            <w:hideMark/>
          </w:tcPr>
          <w:p w14:paraId="18425160"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2016</w:t>
            </w:r>
          </w:p>
        </w:tc>
        <w:tc>
          <w:tcPr>
            <w:tcW w:w="940" w:type="dxa"/>
            <w:tcBorders>
              <w:top w:val="single" w:sz="4" w:space="0" w:color="3877A6"/>
              <w:left w:val="nil"/>
              <w:bottom w:val="single" w:sz="4" w:space="0" w:color="A5A5B1"/>
              <w:right w:val="single" w:sz="4" w:space="0" w:color="3877A6"/>
            </w:tcBorders>
            <w:shd w:val="clear" w:color="auto" w:fill="0B64A0"/>
            <w:vAlign w:val="bottom"/>
            <w:hideMark/>
          </w:tcPr>
          <w:p w14:paraId="43387C75"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2017</w:t>
            </w:r>
          </w:p>
        </w:tc>
        <w:tc>
          <w:tcPr>
            <w:tcW w:w="940" w:type="dxa"/>
            <w:tcBorders>
              <w:top w:val="single" w:sz="4" w:space="0" w:color="3877A6"/>
              <w:left w:val="nil"/>
              <w:bottom w:val="single" w:sz="4" w:space="0" w:color="A5A5B1"/>
              <w:right w:val="single" w:sz="4" w:space="0" w:color="3877A6"/>
            </w:tcBorders>
            <w:shd w:val="clear" w:color="auto" w:fill="0B64A0"/>
            <w:vAlign w:val="bottom"/>
            <w:hideMark/>
          </w:tcPr>
          <w:p w14:paraId="690B7143"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2018</w:t>
            </w:r>
          </w:p>
        </w:tc>
        <w:tc>
          <w:tcPr>
            <w:tcW w:w="940" w:type="dxa"/>
            <w:tcBorders>
              <w:top w:val="single" w:sz="4" w:space="0" w:color="3877A6"/>
              <w:left w:val="nil"/>
              <w:bottom w:val="single" w:sz="4" w:space="0" w:color="A5A5B1"/>
              <w:right w:val="single" w:sz="4" w:space="0" w:color="3877A6"/>
            </w:tcBorders>
            <w:shd w:val="clear" w:color="auto" w:fill="0B64A0"/>
            <w:vAlign w:val="bottom"/>
            <w:hideMark/>
          </w:tcPr>
          <w:p w14:paraId="77051298"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2019</w:t>
            </w:r>
          </w:p>
        </w:tc>
        <w:tc>
          <w:tcPr>
            <w:tcW w:w="940" w:type="dxa"/>
            <w:tcBorders>
              <w:top w:val="single" w:sz="4" w:space="0" w:color="3877A6"/>
              <w:left w:val="nil"/>
              <w:bottom w:val="single" w:sz="4" w:space="0" w:color="A5A5B1"/>
              <w:right w:val="single" w:sz="4" w:space="0" w:color="3877A6"/>
            </w:tcBorders>
            <w:shd w:val="clear" w:color="auto" w:fill="0B64A0"/>
            <w:vAlign w:val="bottom"/>
            <w:hideMark/>
          </w:tcPr>
          <w:p w14:paraId="18A749B5"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2020</w:t>
            </w:r>
          </w:p>
        </w:tc>
        <w:tc>
          <w:tcPr>
            <w:tcW w:w="1120" w:type="dxa"/>
            <w:tcBorders>
              <w:top w:val="single" w:sz="4" w:space="0" w:color="3877A6"/>
              <w:left w:val="nil"/>
              <w:bottom w:val="single" w:sz="4" w:space="0" w:color="A5A5B1"/>
              <w:right w:val="single" w:sz="4" w:space="0" w:color="3877A6"/>
            </w:tcBorders>
            <w:shd w:val="clear" w:color="auto" w:fill="0B64A0"/>
            <w:vAlign w:val="bottom"/>
            <w:hideMark/>
          </w:tcPr>
          <w:p w14:paraId="64C35B3A"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2021</w:t>
            </w:r>
          </w:p>
        </w:tc>
        <w:tc>
          <w:tcPr>
            <w:tcW w:w="1000" w:type="dxa"/>
            <w:tcBorders>
              <w:top w:val="single" w:sz="4" w:space="0" w:color="3877A6"/>
              <w:left w:val="nil"/>
              <w:bottom w:val="single" w:sz="4" w:space="0" w:color="A5A5B1"/>
              <w:right w:val="single" w:sz="4" w:space="0" w:color="3877A6"/>
            </w:tcBorders>
            <w:shd w:val="clear" w:color="auto" w:fill="0B64A0"/>
            <w:vAlign w:val="bottom"/>
            <w:hideMark/>
          </w:tcPr>
          <w:p w14:paraId="358F9BEF" w14:textId="77777777" w:rsidR="009D2B8C" w:rsidRPr="00422245" w:rsidRDefault="009D2B8C">
            <w:pPr>
              <w:spacing w:after="0" w:line="240" w:lineRule="auto"/>
              <w:jc w:val="center"/>
              <w:rPr>
                <w:rFonts w:ascii="Arial" w:eastAsia="Times New Roman" w:hAnsi="Arial" w:cs="Arial"/>
                <w:b/>
                <w:bCs/>
                <w:color w:val="FFFFFF"/>
                <w:sz w:val="20"/>
                <w:szCs w:val="20"/>
                <w:lang w:eastAsia="nb-NO"/>
              </w:rPr>
            </w:pPr>
            <w:r w:rsidRPr="00422245">
              <w:rPr>
                <w:rFonts w:ascii="Arial" w:eastAsia="Times New Roman" w:hAnsi="Arial" w:cs="Arial"/>
                <w:b/>
                <w:bCs/>
                <w:color w:val="FFFFFF"/>
                <w:sz w:val="20"/>
                <w:szCs w:val="20"/>
                <w:lang w:eastAsia="nb-NO"/>
              </w:rPr>
              <w:t>2022</w:t>
            </w:r>
          </w:p>
        </w:tc>
      </w:tr>
      <w:tr w:rsidR="009D2B8C" w:rsidRPr="00422245" w14:paraId="5C79CD84" w14:textId="77777777">
        <w:trPr>
          <w:trHeight w:val="255"/>
        </w:trPr>
        <w:tc>
          <w:tcPr>
            <w:tcW w:w="1120" w:type="dxa"/>
            <w:tcBorders>
              <w:top w:val="nil"/>
              <w:left w:val="nil"/>
              <w:bottom w:val="nil"/>
              <w:right w:val="nil"/>
            </w:tcBorders>
            <w:shd w:val="clear" w:color="auto" w:fill="auto"/>
            <w:noWrap/>
            <w:vAlign w:val="bottom"/>
            <w:hideMark/>
          </w:tcPr>
          <w:p w14:paraId="6B7994DC"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0,35 %</w:t>
            </w:r>
          </w:p>
        </w:tc>
        <w:tc>
          <w:tcPr>
            <w:tcW w:w="940" w:type="dxa"/>
            <w:tcBorders>
              <w:top w:val="nil"/>
              <w:left w:val="nil"/>
              <w:bottom w:val="nil"/>
              <w:right w:val="nil"/>
            </w:tcBorders>
            <w:shd w:val="clear" w:color="auto" w:fill="auto"/>
            <w:noWrap/>
            <w:vAlign w:val="bottom"/>
            <w:hideMark/>
          </w:tcPr>
          <w:p w14:paraId="3250BAA0"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0,65 %</w:t>
            </w:r>
          </w:p>
        </w:tc>
        <w:tc>
          <w:tcPr>
            <w:tcW w:w="940" w:type="dxa"/>
            <w:tcBorders>
              <w:top w:val="nil"/>
              <w:left w:val="nil"/>
              <w:bottom w:val="nil"/>
              <w:right w:val="nil"/>
            </w:tcBorders>
            <w:shd w:val="clear" w:color="auto" w:fill="auto"/>
            <w:noWrap/>
            <w:vAlign w:val="bottom"/>
            <w:hideMark/>
          </w:tcPr>
          <w:p w14:paraId="5E146BF5"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0,57 %</w:t>
            </w:r>
          </w:p>
        </w:tc>
        <w:tc>
          <w:tcPr>
            <w:tcW w:w="940" w:type="dxa"/>
            <w:tcBorders>
              <w:top w:val="nil"/>
              <w:left w:val="nil"/>
              <w:bottom w:val="nil"/>
              <w:right w:val="nil"/>
            </w:tcBorders>
            <w:shd w:val="clear" w:color="auto" w:fill="auto"/>
            <w:noWrap/>
            <w:vAlign w:val="bottom"/>
            <w:hideMark/>
          </w:tcPr>
          <w:p w14:paraId="507E7C0E"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0,61 %</w:t>
            </w:r>
          </w:p>
        </w:tc>
        <w:tc>
          <w:tcPr>
            <w:tcW w:w="940" w:type="dxa"/>
            <w:tcBorders>
              <w:top w:val="nil"/>
              <w:left w:val="nil"/>
              <w:bottom w:val="nil"/>
              <w:right w:val="nil"/>
            </w:tcBorders>
            <w:shd w:val="clear" w:color="auto" w:fill="auto"/>
            <w:noWrap/>
            <w:vAlign w:val="bottom"/>
            <w:hideMark/>
          </w:tcPr>
          <w:p w14:paraId="1F6A0E10"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0,94 %</w:t>
            </w:r>
          </w:p>
        </w:tc>
        <w:tc>
          <w:tcPr>
            <w:tcW w:w="940" w:type="dxa"/>
            <w:tcBorders>
              <w:top w:val="nil"/>
              <w:left w:val="nil"/>
              <w:bottom w:val="nil"/>
              <w:right w:val="nil"/>
            </w:tcBorders>
            <w:shd w:val="clear" w:color="auto" w:fill="auto"/>
            <w:noWrap/>
            <w:vAlign w:val="bottom"/>
            <w:hideMark/>
          </w:tcPr>
          <w:p w14:paraId="42AA41A5"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0,83 %</w:t>
            </w:r>
          </w:p>
        </w:tc>
        <w:tc>
          <w:tcPr>
            <w:tcW w:w="940" w:type="dxa"/>
            <w:tcBorders>
              <w:top w:val="nil"/>
              <w:left w:val="nil"/>
              <w:bottom w:val="nil"/>
              <w:right w:val="nil"/>
            </w:tcBorders>
            <w:shd w:val="clear" w:color="auto" w:fill="auto"/>
            <w:noWrap/>
            <w:vAlign w:val="bottom"/>
            <w:hideMark/>
          </w:tcPr>
          <w:p w14:paraId="18A53BDF"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0,85 %</w:t>
            </w:r>
          </w:p>
        </w:tc>
        <w:tc>
          <w:tcPr>
            <w:tcW w:w="1120" w:type="dxa"/>
            <w:tcBorders>
              <w:top w:val="nil"/>
              <w:left w:val="nil"/>
              <w:bottom w:val="nil"/>
              <w:right w:val="nil"/>
            </w:tcBorders>
            <w:shd w:val="clear" w:color="auto" w:fill="auto"/>
            <w:noWrap/>
            <w:vAlign w:val="bottom"/>
            <w:hideMark/>
          </w:tcPr>
          <w:p w14:paraId="15F6A731"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1,26 %</w:t>
            </w:r>
          </w:p>
        </w:tc>
        <w:tc>
          <w:tcPr>
            <w:tcW w:w="1000" w:type="dxa"/>
            <w:tcBorders>
              <w:top w:val="nil"/>
              <w:left w:val="nil"/>
              <w:bottom w:val="nil"/>
              <w:right w:val="nil"/>
            </w:tcBorders>
            <w:shd w:val="clear" w:color="auto" w:fill="auto"/>
            <w:noWrap/>
            <w:vAlign w:val="bottom"/>
            <w:hideMark/>
          </w:tcPr>
          <w:p w14:paraId="3278B9B9" w14:textId="77777777" w:rsidR="009D2B8C" w:rsidRPr="00422245" w:rsidRDefault="009D2B8C">
            <w:pPr>
              <w:spacing w:after="0" w:line="240" w:lineRule="auto"/>
              <w:jc w:val="center"/>
              <w:rPr>
                <w:rFonts w:ascii="Arial" w:eastAsia="Times New Roman" w:hAnsi="Arial" w:cs="Arial"/>
                <w:color w:val="000000"/>
                <w:sz w:val="20"/>
                <w:szCs w:val="20"/>
                <w:lang w:eastAsia="nb-NO"/>
              </w:rPr>
            </w:pPr>
            <w:r w:rsidRPr="00422245">
              <w:rPr>
                <w:rFonts w:ascii="Arial" w:eastAsia="Times New Roman" w:hAnsi="Arial" w:cs="Arial"/>
                <w:color w:val="000000"/>
                <w:sz w:val="20"/>
                <w:szCs w:val="20"/>
                <w:lang w:eastAsia="nb-NO"/>
              </w:rPr>
              <w:t>0,92</w:t>
            </w:r>
            <w:r w:rsidRPr="00422245">
              <w:rPr>
                <w:rFonts w:ascii="Arial" w:eastAsia="Times New Roman" w:hAnsi="Arial" w:cs="Arial"/>
                <w:sz w:val="20"/>
                <w:szCs w:val="20"/>
                <w:lang w:eastAsia="nb-NO"/>
              </w:rPr>
              <w:t xml:space="preserve"> %</w:t>
            </w:r>
          </w:p>
        </w:tc>
      </w:tr>
      <w:tr w:rsidR="00B77272" w:rsidRPr="00422245" w14:paraId="25103560" w14:textId="77777777">
        <w:trPr>
          <w:trHeight w:val="255"/>
        </w:trPr>
        <w:tc>
          <w:tcPr>
            <w:tcW w:w="1120" w:type="dxa"/>
            <w:tcBorders>
              <w:top w:val="nil"/>
              <w:left w:val="nil"/>
              <w:bottom w:val="nil"/>
              <w:right w:val="nil"/>
            </w:tcBorders>
            <w:shd w:val="clear" w:color="auto" w:fill="auto"/>
            <w:noWrap/>
            <w:vAlign w:val="bottom"/>
          </w:tcPr>
          <w:p w14:paraId="09058FB7"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940" w:type="dxa"/>
            <w:tcBorders>
              <w:top w:val="nil"/>
              <w:left w:val="nil"/>
              <w:bottom w:val="nil"/>
              <w:right w:val="nil"/>
            </w:tcBorders>
            <w:shd w:val="clear" w:color="auto" w:fill="auto"/>
            <w:noWrap/>
            <w:vAlign w:val="bottom"/>
          </w:tcPr>
          <w:p w14:paraId="356709D1"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940" w:type="dxa"/>
            <w:tcBorders>
              <w:top w:val="nil"/>
              <w:left w:val="nil"/>
              <w:bottom w:val="nil"/>
              <w:right w:val="nil"/>
            </w:tcBorders>
            <w:shd w:val="clear" w:color="auto" w:fill="auto"/>
            <w:noWrap/>
            <w:vAlign w:val="bottom"/>
          </w:tcPr>
          <w:p w14:paraId="4CF06274"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940" w:type="dxa"/>
            <w:tcBorders>
              <w:top w:val="nil"/>
              <w:left w:val="nil"/>
              <w:bottom w:val="nil"/>
              <w:right w:val="nil"/>
            </w:tcBorders>
            <w:shd w:val="clear" w:color="auto" w:fill="auto"/>
            <w:noWrap/>
            <w:vAlign w:val="bottom"/>
          </w:tcPr>
          <w:p w14:paraId="3CFDD994"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940" w:type="dxa"/>
            <w:tcBorders>
              <w:top w:val="nil"/>
              <w:left w:val="nil"/>
              <w:bottom w:val="nil"/>
              <w:right w:val="nil"/>
            </w:tcBorders>
            <w:shd w:val="clear" w:color="auto" w:fill="auto"/>
            <w:noWrap/>
            <w:vAlign w:val="bottom"/>
          </w:tcPr>
          <w:p w14:paraId="7190C9A5"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940" w:type="dxa"/>
            <w:tcBorders>
              <w:top w:val="nil"/>
              <w:left w:val="nil"/>
              <w:bottom w:val="nil"/>
              <w:right w:val="nil"/>
            </w:tcBorders>
            <w:shd w:val="clear" w:color="auto" w:fill="auto"/>
            <w:noWrap/>
            <w:vAlign w:val="bottom"/>
          </w:tcPr>
          <w:p w14:paraId="5A94B8B3"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940" w:type="dxa"/>
            <w:tcBorders>
              <w:top w:val="nil"/>
              <w:left w:val="nil"/>
              <w:bottom w:val="nil"/>
              <w:right w:val="nil"/>
            </w:tcBorders>
            <w:shd w:val="clear" w:color="auto" w:fill="auto"/>
            <w:noWrap/>
            <w:vAlign w:val="bottom"/>
          </w:tcPr>
          <w:p w14:paraId="167E8B50"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1120" w:type="dxa"/>
            <w:tcBorders>
              <w:top w:val="nil"/>
              <w:left w:val="nil"/>
              <w:bottom w:val="nil"/>
              <w:right w:val="nil"/>
            </w:tcBorders>
            <w:shd w:val="clear" w:color="auto" w:fill="auto"/>
            <w:noWrap/>
            <w:vAlign w:val="bottom"/>
          </w:tcPr>
          <w:p w14:paraId="0FB33F34"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c>
          <w:tcPr>
            <w:tcW w:w="1000" w:type="dxa"/>
            <w:tcBorders>
              <w:top w:val="nil"/>
              <w:left w:val="nil"/>
              <w:bottom w:val="nil"/>
              <w:right w:val="nil"/>
            </w:tcBorders>
            <w:shd w:val="clear" w:color="auto" w:fill="auto"/>
            <w:noWrap/>
            <w:vAlign w:val="bottom"/>
          </w:tcPr>
          <w:p w14:paraId="6A8C57C6" w14:textId="77777777" w:rsidR="00B77272" w:rsidRPr="00422245" w:rsidRDefault="00B77272">
            <w:pPr>
              <w:spacing w:after="0" w:line="240" w:lineRule="auto"/>
              <w:jc w:val="center"/>
              <w:rPr>
                <w:rFonts w:ascii="Arial" w:eastAsia="Times New Roman" w:hAnsi="Arial" w:cs="Arial"/>
                <w:color w:val="000000"/>
                <w:sz w:val="20"/>
                <w:szCs w:val="20"/>
                <w:lang w:eastAsia="nb-NO"/>
              </w:rPr>
            </w:pPr>
          </w:p>
        </w:tc>
      </w:tr>
    </w:tbl>
    <w:p w14:paraId="74CEF8D1" w14:textId="2706D523" w:rsidR="009D2B8C" w:rsidRPr="00422245" w:rsidRDefault="00B77272" w:rsidP="00504021">
      <w:pPr>
        <w:pStyle w:val="Kilde"/>
      </w:pPr>
      <w:r w:rsidRPr="004E373E">
        <w:rPr>
          <w:b/>
        </w:rPr>
        <w:t>Kilde</w:t>
      </w:r>
      <w:r>
        <w:t>:</w:t>
      </w:r>
      <w:r w:rsidR="00504021">
        <w:t xml:space="preserve"> </w:t>
      </w:r>
      <w:r w:rsidR="00504021" w:rsidRPr="00504021">
        <w:t>eCordas søknadsdatabase (Europakommisjonen)</w:t>
      </w:r>
    </w:p>
    <w:p w14:paraId="564B95CF" w14:textId="20604D36" w:rsidR="00025442" w:rsidRPr="00422245" w:rsidRDefault="00BA0E61" w:rsidP="00BE5563">
      <w:pPr>
        <w:spacing w:after="200" w:line="276" w:lineRule="auto"/>
      </w:pPr>
      <w:r w:rsidRPr="00422245">
        <w:fldChar w:fldCharType="begin"/>
      </w:r>
      <w:r w:rsidRPr="00422245">
        <w:instrText xml:space="preserve"> REF _Ref161761804 \h </w:instrText>
      </w:r>
      <w:r w:rsidRPr="00422245">
        <w:fldChar w:fldCharType="separate"/>
      </w:r>
      <w:r w:rsidR="005B096E" w:rsidRPr="00422245">
        <w:t xml:space="preserve">Figur </w:t>
      </w:r>
      <w:r w:rsidR="00CD619A">
        <w:rPr>
          <w:noProof/>
        </w:rPr>
        <w:t>8</w:t>
      </w:r>
      <w:r w:rsidR="005B096E">
        <w:noBreakHyphen/>
      </w:r>
      <w:r w:rsidR="005B096E">
        <w:rPr>
          <w:noProof/>
        </w:rPr>
        <w:t>7</w:t>
      </w:r>
      <w:r w:rsidRPr="00422245">
        <w:fldChar w:fldCharType="end"/>
      </w:r>
      <w:r w:rsidRPr="00422245">
        <w:t xml:space="preserve"> </w:t>
      </w:r>
      <w:r w:rsidR="000214A4" w:rsidRPr="00422245">
        <w:t xml:space="preserve">viser </w:t>
      </w:r>
      <w:bookmarkStart w:id="179" w:name="_Hlk161761686"/>
      <w:r w:rsidR="000214A4" w:rsidRPr="00422245">
        <w:t xml:space="preserve">tildelinger til norske universiteter og høyskoler </w:t>
      </w:r>
      <w:bookmarkEnd w:id="179"/>
      <w:r w:rsidR="00C77167" w:rsidRPr="00422245">
        <w:t>i de ulike delene av Horisont Europa</w:t>
      </w:r>
      <w:r w:rsidR="000214A4" w:rsidRPr="00422245">
        <w:t xml:space="preserve">. 60 prosent av tildelingene er innenfor delprogrammene i </w:t>
      </w:r>
      <w:r w:rsidR="00730FD7" w:rsidRPr="00422245">
        <w:t>de</w:t>
      </w:r>
      <w:r w:rsidR="00483EDA" w:rsidRPr="00422245">
        <w:t xml:space="preserve">t som kalles </w:t>
      </w:r>
      <w:r w:rsidR="00730FD7" w:rsidRPr="00422245">
        <w:t xml:space="preserve">«søyle 1», </w:t>
      </w:r>
      <w:r w:rsidR="000214A4" w:rsidRPr="00422245">
        <w:t>Fremragende forskning. Størst er tildelingen innenfor ERC</w:t>
      </w:r>
      <w:r w:rsidR="00465492" w:rsidRPr="00422245">
        <w:t xml:space="preserve">, det </w:t>
      </w:r>
      <w:r w:rsidR="00465492" w:rsidRPr="00422245">
        <w:lastRenderedPageBreak/>
        <w:t xml:space="preserve">europeiske </w:t>
      </w:r>
      <w:r w:rsidR="002B4B24" w:rsidRPr="00422245">
        <w:t>forskningsrådet</w:t>
      </w:r>
      <w:r w:rsidR="00465492" w:rsidRPr="00422245">
        <w:t>,</w:t>
      </w:r>
      <w:r w:rsidR="000214A4" w:rsidRPr="00422245">
        <w:t xml:space="preserve"> med 129 millioner euro.</w:t>
      </w:r>
      <w:r w:rsidR="00025442" w:rsidRPr="00422245">
        <w:t xml:space="preserve"> ERC har 17 prosent av budsjettet i Horisont Europa, og er en av de mest krevende konkurransearenaene norske forskere deltar på. </w:t>
      </w:r>
      <w:r w:rsidR="00954176" w:rsidRPr="00422245">
        <w:t xml:space="preserve">Utlysningene har ingen tematiske føringer og søknadene vurderes kun på vitenskapelig kvalitet. </w:t>
      </w:r>
      <w:r w:rsidR="00CB5282" w:rsidRPr="00422245">
        <w:t>Andelen søknader som får gjennomslag er omtrent det samme for søknader med norsk deltakelse som fo</w:t>
      </w:r>
      <w:r w:rsidR="00954176" w:rsidRPr="00422245">
        <w:t>r ordningen samlet sett.</w:t>
      </w:r>
    </w:p>
    <w:p w14:paraId="4CD0686C" w14:textId="48172C4C" w:rsidR="00C1251D" w:rsidRPr="00422245" w:rsidRDefault="00C1251D" w:rsidP="00BE5563">
      <w:pPr>
        <w:spacing w:after="200" w:line="276" w:lineRule="auto"/>
      </w:pPr>
      <w:r w:rsidRPr="00422245">
        <w:t>41 prosent av de innvilgede ERC-prosjektene med norsk deltakelse er koordinert av UiO, og 18 prosent hver av henholdsvis UiB og NTNU. Øvrige universitets- og høyskoleaktører med koordinatorroller er UiT (3), NMBU (2) samt BI, OsloMet, MF, NU og NHH, som alle koordinerer ett prosjekt hver. Rundt femti prosent av prosjektene hører til humaniora og samfunnsvitenskap, de resterende er noenlunde likt fordelt mellom livsvitenskap, og naturvitenskap og teknologi.</w:t>
      </w:r>
    </w:p>
    <w:p w14:paraId="72335162" w14:textId="098728E9" w:rsidR="006F3C47" w:rsidRPr="00422245" w:rsidRDefault="006F3C47" w:rsidP="006F3C47">
      <w:pPr>
        <w:pStyle w:val="Bildetekst"/>
        <w:keepNext/>
      </w:pPr>
      <w:bookmarkStart w:id="180" w:name="_Ref161761804"/>
      <w:r w:rsidRPr="00422245">
        <w:t xml:space="preserve">Figur </w:t>
      </w:r>
      <w:r w:rsidR="006E1D94">
        <w:fldChar w:fldCharType="begin"/>
      </w:r>
      <w:r w:rsidR="006E1D94">
        <w:instrText xml:space="preserve"> STYLEREF 1 \s </w:instrText>
      </w:r>
      <w:r w:rsidR="006E1D94">
        <w:fldChar w:fldCharType="separate"/>
      </w:r>
      <w:r w:rsidR="006E1D94">
        <w:rPr>
          <w:noProof/>
        </w:rPr>
        <w:t>8</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7</w:t>
      </w:r>
      <w:r w:rsidR="006E1D94">
        <w:fldChar w:fldCharType="end"/>
      </w:r>
      <w:bookmarkEnd w:id="180"/>
      <w:r w:rsidRPr="00422245">
        <w:t xml:space="preserve"> </w:t>
      </w:r>
      <w:r w:rsidR="00BA0E61" w:rsidRPr="00422245">
        <w:t>Horisont Europa, tildelinger til norske universiteter og høyskoler fordelt på delprogram</w:t>
      </w:r>
      <w:r w:rsidR="00B84CDB">
        <w:t>, aggregerte tall for programperioden.</w:t>
      </w:r>
      <w:r w:rsidR="00D02CFC" w:rsidRPr="00422245">
        <w:t xml:space="preserve"> Millioner </w:t>
      </w:r>
      <w:r w:rsidR="005F34CA">
        <w:t>e</w:t>
      </w:r>
      <w:r w:rsidR="00D02CFC" w:rsidRPr="00422245">
        <w:t>uro</w:t>
      </w:r>
    </w:p>
    <w:p w14:paraId="62CA5A8F" w14:textId="2DC98793" w:rsidR="00CB0D7B" w:rsidRPr="00422245" w:rsidRDefault="00907D46" w:rsidP="00235BBD">
      <w:r w:rsidRPr="00422245">
        <w:rPr>
          <w:noProof/>
        </w:rPr>
        <w:drawing>
          <wp:inline distT="0" distB="0" distL="0" distR="0" wp14:anchorId="2762D3D1" wp14:editId="7B05CF93">
            <wp:extent cx="5731510" cy="3328952"/>
            <wp:effectExtent l="0" t="0" r="2540" b="5080"/>
            <wp:docPr id="4" name="Chart 4">
              <a:extLst xmlns:a="http://schemas.openxmlformats.org/drawingml/2006/main">
                <a:ext uri="{FF2B5EF4-FFF2-40B4-BE49-F238E27FC236}">
                  <a16:creationId xmlns:a16="http://schemas.microsoft.com/office/drawing/2014/main" id="{88D37DF6-3583-4636-B69F-9A86CCAAAE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2AB7A5" w14:textId="048F0B69" w:rsidR="00B50A1C" w:rsidRPr="00422245" w:rsidRDefault="00B50A1C" w:rsidP="00B50A1C">
      <w:pPr>
        <w:pStyle w:val="Kilde"/>
      </w:pPr>
      <w:r w:rsidRPr="004E373E">
        <w:rPr>
          <w:b/>
        </w:rPr>
        <w:t>Kilde</w:t>
      </w:r>
      <w:r>
        <w:t>: eCordas søknadsdatabase (Europakommisjonen)</w:t>
      </w:r>
    </w:p>
    <w:p w14:paraId="1169D12E" w14:textId="2DDB237F" w:rsidR="00954176" w:rsidRPr="00422245" w:rsidRDefault="00954176" w:rsidP="00954176">
      <w:r w:rsidRPr="00422245">
        <w:t>Nest mest</w:t>
      </w:r>
      <w:r w:rsidR="007354B8" w:rsidRPr="00422245">
        <w:t xml:space="preserve"> støtte innhenter norske universiteter og høyskoler gjennom s</w:t>
      </w:r>
      <w:r w:rsidRPr="00422245">
        <w:t xml:space="preserve">tipendprogrammet MSCA, som gir finansiering til fremragende forskere som har 0-8 års forskningserfaring etter doktorgraden, med 53 millioner euro. Det som i </w:t>
      </w:r>
      <w:r w:rsidRPr="00422245">
        <w:lastRenderedPageBreak/>
        <w:t>Horisont Europa heter «Klynge 5» og som handler om klima, energi og mobilitet, har så langt gitt 31 millioner euro for norske universiteter og høyskoler.</w:t>
      </w:r>
      <w:r w:rsidR="007354B8" w:rsidRPr="00422245">
        <w:t xml:space="preserve"> </w:t>
      </w:r>
    </w:p>
    <w:p w14:paraId="775EB14A" w14:textId="36B3AD2A" w:rsidR="00C86B2C" w:rsidRPr="00422245" w:rsidRDefault="004770BD" w:rsidP="00532905">
      <w:r w:rsidRPr="00422245">
        <w:t xml:space="preserve">Den norske deltakelsen i rammeprogrammet er dominert av de største, forskningstunge institusjonene.  </w:t>
      </w:r>
      <w:r w:rsidR="00CA0635" w:rsidRPr="00422245">
        <w:t xml:space="preserve">Til nå i programperioden har NTNU mottatt 88 millioner euro, </w:t>
      </w:r>
      <w:r w:rsidR="00CE5824" w:rsidRPr="00422245">
        <w:t xml:space="preserve">UiO 86 millioner euro og </w:t>
      </w:r>
      <w:r w:rsidR="008F3246" w:rsidRPr="00422245">
        <w:t>UiB 37 millioner euro. Det utgjør 73 prosent av midlene tildelt norske universiteter og høyskoler.</w:t>
      </w:r>
    </w:p>
    <w:p w14:paraId="72D29AA8" w14:textId="70797A72" w:rsidR="002B36DE" w:rsidRPr="00422245" w:rsidRDefault="00B01F75" w:rsidP="00532905">
      <w:r w:rsidRPr="00422245">
        <w:t xml:space="preserve">Norske </w:t>
      </w:r>
      <w:r w:rsidR="00A57F2E" w:rsidRPr="00422245">
        <w:t>ins</w:t>
      </w:r>
      <w:r w:rsidR="00A8501B">
        <w:t>t</w:t>
      </w:r>
      <w:r w:rsidR="00A57F2E" w:rsidRPr="00422245">
        <w:t>itusjoner</w:t>
      </w:r>
      <w:r w:rsidRPr="00422245">
        <w:t xml:space="preserve"> er koordinator i 43 av de 270 samarbeidsprosjektene de deltar i, og NTNU koordinerer hele 17 av disse. Nesten halvparten av samarbeidsprosjektene til universitetene og høyskolene omfatter også aktører fra andre FoU-sektorer i Norge, med omtrent like mange deltakelser fra næringslivet som fra instituttsektoren.</w:t>
      </w:r>
    </w:p>
    <w:p w14:paraId="2C97D272" w14:textId="48E597EB" w:rsidR="00280490" w:rsidRPr="00422245" w:rsidRDefault="00280490" w:rsidP="00280490">
      <w:r w:rsidRPr="00422245">
        <w:t>For en mer inngående presentasjon av Horisont Europa og norsk deltakelse i programmet, se Forskningsrådets Indikatorrap</w:t>
      </w:r>
      <w:r w:rsidR="00BD4F80" w:rsidRPr="00422245">
        <w:t>p</w:t>
      </w:r>
      <w:r w:rsidRPr="00422245">
        <w:t>orten</w:t>
      </w:r>
      <w:r w:rsidR="00DD433F">
        <w:t xml:space="preserve"> </w:t>
      </w:r>
      <w:r w:rsidR="002D61C1">
        <w:fldChar w:fldCharType="begin"/>
      </w:r>
      <w:r w:rsidR="002D61C1">
        <w:instrText xml:space="preserve"> ADDIN EN.CITE &lt;EndNote&gt;&lt;Cite&gt;&lt;Author&gt;Forskningsrådet&lt;/Author&gt;&lt;Year&gt;2023&lt;/Year&gt;&lt;RecNum&gt;2205&lt;/RecNum&gt;&lt;DisplayText&gt;(Forskningsrådet, 2023)&lt;/DisplayText&gt;&lt;record&gt;&lt;rec-number&gt;2205&lt;/rec-number&gt;&lt;foreign-keys&gt;&lt;key app="EN" db-id="p2et5feaxrpe5zew2eavt29z05fv09aa5s0w" timestamp="1712306746" guid="1cf41ad2-47aa-4f62-801c-cfadd440fe1d"&gt;2205&lt;/key&gt;&lt;/foreign-keys&gt;&lt;ref-type name="Report"&gt;27&lt;/ref-type&gt;&lt;contributors&gt;&lt;authors&gt;&lt;author&gt;Forskningsrådet&lt;/author&gt;&lt;/authors&gt;&lt;/contributors&gt;&lt;titles&gt;&lt;title&gt;Indikatorrapporten 2023&lt;/title&gt;&lt;/titles&gt;&lt;dates&gt;&lt;year&gt;2023&lt;/year&gt;&lt;/dates&gt;&lt;urls&gt;&lt;related-urls&gt;&lt;url&gt;https://www.forskningsradet.no/indikatorrapporten/indikatorrapporten-dokument/&lt;/url&gt;&lt;/related-urls&gt;&lt;/urls&gt;&lt;/record&gt;&lt;/Cite&gt;&lt;/EndNote&gt;</w:instrText>
      </w:r>
      <w:r w:rsidR="002D61C1">
        <w:fldChar w:fldCharType="separate"/>
      </w:r>
      <w:r w:rsidR="002D61C1">
        <w:rPr>
          <w:noProof/>
        </w:rPr>
        <w:t>(Forskningsrådet, 2023)</w:t>
      </w:r>
      <w:r w:rsidR="002D61C1">
        <w:fldChar w:fldCharType="end"/>
      </w:r>
      <w:r w:rsidR="002D61C1">
        <w:t>.</w:t>
      </w:r>
    </w:p>
    <w:p w14:paraId="3C3179F8" w14:textId="598BFE38" w:rsidR="00CC3073" w:rsidRPr="00422245" w:rsidRDefault="00A81773" w:rsidP="00515E4E">
      <w:pPr>
        <w:pStyle w:val="Overskrift2"/>
      </w:pPr>
      <w:bookmarkStart w:id="181" w:name="_Toc163488450"/>
      <w:r w:rsidRPr="00422245">
        <w:t>Institusjonsprofiler – forskning og forskerutdanning</w:t>
      </w:r>
      <w:bookmarkEnd w:id="181"/>
    </w:p>
    <w:p w14:paraId="779FE141" w14:textId="24C04139" w:rsidR="00F15018" w:rsidRPr="00422245" w:rsidRDefault="00F15018" w:rsidP="00F15018">
      <w:r w:rsidRPr="00422245">
        <w:t xml:space="preserve">Doktorgradsutdanning og stipendiater utgjør en vesentlig del av utdanningsinstitusjonenes forskningsprofil. </w:t>
      </w:r>
      <w:r w:rsidR="00A920BD" w:rsidRPr="00422245">
        <w:t xml:space="preserve">Når vi her ønsker å vise institusjonenes profil på forskningsområdet, </w:t>
      </w:r>
      <w:r w:rsidR="004C03C5" w:rsidRPr="00422245">
        <w:t>har vi derfor samlet indikatorer fra det forrige og dette kapitte</w:t>
      </w:r>
      <w:r w:rsidR="00411DCF" w:rsidRPr="00422245">
        <w:t xml:space="preserve">let. </w:t>
      </w:r>
      <w:r w:rsidR="00553C8D" w:rsidRPr="00422245">
        <w:t>Figuren</w:t>
      </w:r>
      <w:r w:rsidR="006B0701">
        <w:t>e</w:t>
      </w:r>
      <w:r w:rsidR="008B4F91" w:rsidRPr="00422245">
        <w:t xml:space="preserve"> under</w:t>
      </w:r>
      <w:r w:rsidRPr="00422245">
        <w:t xml:space="preserve"> viser </w:t>
      </w:r>
      <w:r w:rsidR="00795ACC" w:rsidRPr="00422245">
        <w:t>samlet</w:t>
      </w:r>
      <w:r w:rsidRPr="00422245">
        <w:t xml:space="preserve"> de store forskjellene mellom institusjonene </w:t>
      </w:r>
      <w:r w:rsidR="001B2164" w:rsidRPr="00422245">
        <w:t>vi har sett</w:t>
      </w:r>
      <w:r w:rsidR="00553C8D" w:rsidRPr="00422245">
        <w:t xml:space="preserve"> </w:t>
      </w:r>
      <w:r w:rsidR="00FB00D9" w:rsidRPr="00422245">
        <w:t>i dette og foregående kapittel.</w:t>
      </w:r>
    </w:p>
    <w:p w14:paraId="28F81357" w14:textId="6DB3E79A" w:rsidR="009519BD" w:rsidRPr="00422245" w:rsidRDefault="009519BD" w:rsidP="009519BD">
      <w:r w:rsidRPr="00422245">
        <w:t xml:space="preserve">Varmekartet i </w:t>
      </w:r>
      <w:r w:rsidR="00FD5D99">
        <w:fldChar w:fldCharType="begin"/>
      </w:r>
      <w:r w:rsidR="00FD5D99">
        <w:instrText xml:space="preserve"> REF _Ref163387166 \h </w:instrText>
      </w:r>
      <w:r w:rsidR="00FD5D99">
        <w:fldChar w:fldCharType="separate"/>
      </w:r>
      <w:r w:rsidR="00FD5D99">
        <w:t xml:space="preserve">Tabell </w:t>
      </w:r>
      <w:r w:rsidR="00FD5D99">
        <w:rPr>
          <w:noProof/>
        </w:rPr>
        <w:t>8</w:t>
      </w:r>
      <w:r w:rsidR="00FD5D99">
        <w:t>.</w:t>
      </w:r>
      <w:r w:rsidR="00FD5D99">
        <w:rPr>
          <w:noProof/>
        </w:rPr>
        <w:t>2</w:t>
      </w:r>
      <w:r w:rsidR="00FD5D99">
        <w:fldChar w:fldCharType="end"/>
      </w:r>
      <w:r w:rsidRPr="00422245">
        <w:t xml:space="preserve"> viser institusjonenes forskningsprofil basert på absolutte tall for gjennomførte doktorgrader, antall stipendiatårsverk, institusjonens publiseringspoeng og ekstern finansiering fra henholdsvis Forskningsrådet og EU. MÅ VENTE TIL DEN ER KOMPLETT.</w:t>
      </w:r>
      <w:r w:rsidR="00AF4507" w:rsidRPr="00422245">
        <w:t xml:space="preserve"> Utkast: UiO plasserer seg øverst på alle indikatorene, etterfulgt av NTNU. Til sammen står de to institusjonene for A prosent av alle doktorgrader i sektoren, B prosent av alle publiseringspoeng, C prosent av midler for Forskningsrådet og D prosent av sektorens mottatte midler fra EU. UiB har en klar tredjeplass i denne sammenstillingen</w:t>
      </w:r>
      <w:r w:rsidR="00A65DA7" w:rsidRPr="00422245">
        <w:t>.</w:t>
      </w:r>
      <w:r w:rsidR="00C33801" w:rsidRPr="00422245">
        <w:t xml:space="preserve"> </w:t>
      </w:r>
      <w:r w:rsidR="007D4654" w:rsidRPr="00422245">
        <w:t>KORT NOEM OM DE NESTE NÅR FERDIG?</w:t>
      </w:r>
    </w:p>
    <w:p w14:paraId="26A3D592" w14:textId="77777777" w:rsidR="003A0CCB" w:rsidRPr="00422245" w:rsidRDefault="003A0CCB">
      <w:pPr>
        <w:rPr>
          <w:iCs/>
          <w:color w:val="000000" w:themeColor="text1"/>
          <w:szCs w:val="18"/>
        </w:rPr>
      </w:pPr>
      <w:r w:rsidRPr="00422245">
        <w:br w:type="page"/>
      </w:r>
    </w:p>
    <w:p w14:paraId="5D3B4451" w14:textId="62A337CB" w:rsidR="006812E7" w:rsidRPr="00422245" w:rsidRDefault="006812E7" w:rsidP="006812E7">
      <w:pPr>
        <w:pStyle w:val="Bildetekst"/>
        <w:keepNext/>
      </w:pPr>
      <w:bookmarkStart w:id="182" w:name="_Ref163387166"/>
      <w:r w:rsidRPr="00422245">
        <w:lastRenderedPageBreak/>
        <w:t xml:space="preserve">Tabell </w:t>
      </w:r>
      <w:r w:rsidR="00826DA7">
        <w:fldChar w:fldCharType="begin"/>
      </w:r>
      <w:r w:rsidR="00826DA7">
        <w:instrText xml:space="preserve"> STYLEREF 1 \s </w:instrText>
      </w:r>
      <w:r w:rsidR="00826DA7">
        <w:fldChar w:fldCharType="separate"/>
      </w:r>
      <w:r w:rsidR="00826DA7">
        <w:rPr>
          <w:noProof/>
        </w:rPr>
        <w:t>8</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2</w:t>
      </w:r>
      <w:r w:rsidR="00826DA7">
        <w:fldChar w:fldCharType="end"/>
      </w:r>
      <w:bookmarkEnd w:id="182"/>
      <w:r w:rsidRPr="00422245">
        <w:t xml:space="preserve"> Institusjonsprofil forskning 1. Doktorgrader (antall), publiseringspoeng (antall), finansiering fra Forskningsrådet og EUs rammeprogram (1000 kr). Alle tall 2023</w:t>
      </w:r>
    </w:p>
    <w:tbl>
      <w:tblPr>
        <w:tblW w:w="6000" w:type="dxa"/>
        <w:tblCellMar>
          <w:left w:w="70" w:type="dxa"/>
          <w:right w:w="70" w:type="dxa"/>
        </w:tblCellMar>
        <w:tblLook w:val="04A0" w:firstRow="1" w:lastRow="0" w:firstColumn="1" w:lastColumn="0" w:noHBand="0" w:noVBand="1"/>
      </w:tblPr>
      <w:tblGrid>
        <w:gridCol w:w="1200"/>
        <w:gridCol w:w="1200"/>
        <w:gridCol w:w="1200"/>
        <w:gridCol w:w="1200"/>
        <w:gridCol w:w="1200"/>
      </w:tblGrid>
      <w:tr w:rsidR="001061A8" w:rsidRPr="00422245" w14:paraId="06541C86" w14:textId="77777777" w:rsidTr="001061A8">
        <w:trPr>
          <w:trHeight w:val="600"/>
        </w:trPr>
        <w:tc>
          <w:tcPr>
            <w:tcW w:w="1200" w:type="dxa"/>
            <w:tcBorders>
              <w:top w:val="nil"/>
              <w:left w:val="nil"/>
              <w:bottom w:val="nil"/>
              <w:right w:val="nil"/>
            </w:tcBorders>
            <w:shd w:val="clear" w:color="auto" w:fill="auto"/>
            <w:vAlign w:val="bottom"/>
            <w:hideMark/>
          </w:tcPr>
          <w:p w14:paraId="16F9ACB1"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Institusjon</w:t>
            </w:r>
          </w:p>
        </w:tc>
        <w:tc>
          <w:tcPr>
            <w:tcW w:w="1200" w:type="dxa"/>
            <w:tcBorders>
              <w:top w:val="nil"/>
              <w:left w:val="nil"/>
              <w:bottom w:val="nil"/>
              <w:right w:val="nil"/>
            </w:tcBorders>
            <w:shd w:val="clear" w:color="auto" w:fill="auto"/>
            <w:vAlign w:val="bottom"/>
            <w:hideMark/>
          </w:tcPr>
          <w:p w14:paraId="0362AD8A"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Doktor-grader</w:t>
            </w:r>
          </w:p>
        </w:tc>
        <w:tc>
          <w:tcPr>
            <w:tcW w:w="1200" w:type="dxa"/>
            <w:tcBorders>
              <w:top w:val="nil"/>
              <w:left w:val="nil"/>
              <w:bottom w:val="nil"/>
              <w:right w:val="nil"/>
            </w:tcBorders>
            <w:shd w:val="clear" w:color="auto" w:fill="auto"/>
            <w:noWrap/>
            <w:vAlign w:val="bottom"/>
            <w:hideMark/>
          </w:tcPr>
          <w:p w14:paraId="7BA83330"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Finans EU</w:t>
            </w:r>
          </w:p>
        </w:tc>
        <w:tc>
          <w:tcPr>
            <w:tcW w:w="1200" w:type="dxa"/>
            <w:tcBorders>
              <w:top w:val="nil"/>
              <w:left w:val="nil"/>
              <w:bottom w:val="nil"/>
              <w:right w:val="nil"/>
            </w:tcBorders>
            <w:shd w:val="clear" w:color="auto" w:fill="auto"/>
            <w:noWrap/>
            <w:vAlign w:val="bottom"/>
            <w:hideMark/>
          </w:tcPr>
          <w:p w14:paraId="7EC0B125"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Finans NFR</w:t>
            </w:r>
          </w:p>
        </w:tc>
        <w:tc>
          <w:tcPr>
            <w:tcW w:w="1200" w:type="dxa"/>
            <w:tcBorders>
              <w:top w:val="nil"/>
              <w:left w:val="nil"/>
              <w:bottom w:val="nil"/>
              <w:right w:val="nil"/>
            </w:tcBorders>
            <w:shd w:val="clear" w:color="auto" w:fill="auto"/>
            <w:noWrap/>
            <w:vAlign w:val="bottom"/>
            <w:hideMark/>
          </w:tcPr>
          <w:p w14:paraId="4158CA42"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Publ. poeng</w:t>
            </w:r>
          </w:p>
        </w:tc>
      </w:tr>
      <w:tr w:rsidR="001061A8" w:rsidRPr="00422245" w14:paraId="0FE7ED03" w14:textId="77777777" w:rsidTr="001061A8">
        <w:trPr>
          <w:trHeight w:val="300"/>
        </w:trPr>
        <w:tc>
          <w:tcPr>
            <w:tcW w:w="1200" w:type="dxa"/>
            <w:tcBorders>
              <w:top w:val="nil"/>
              <w:left w:val="nil"/>
              <w:bottom w:val="nil"/>
              <w:right w:val="nil"/>
            </w:tcBorders>
            <w:shd w:val="clear" w:color="auto" w:fill="auto"/>
            <w:noWrap/>
            <w:vAlign w:val="bottom"/>
            <w:hideMark/>
          </w:tcPr>
          <w:p w14:paraId="63D6EC49"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UiO </w:t>
            </w:r>
          </w:p>
        </w:tc>
        <w:tc>
          <w:tcPr>
            <w:tcW w:w="1200" w:type="dxa"/>
            <w:tcBorders>
              <w:top w:val="nil"/>
              <w:left w:val="nil"/>
              <w:bottom w:val="nil"/>
              <w:right w:val="nil"/>
            </w:tcBorders>
            <w:shd w:val="clear" w:color="000000" w:fill="5C9CD6"/>
            <w:noWrap/>
            <w:vAlign w:val="bottom"/>
            <w:hideMark/>
          </w:tcPr>
          <w:p w14:paraId="4733A1C8"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427</w:t>
            </w:r>
          </w:p>
        </w:tc>
        <w:tc>
          <w:tcPr>
            <w:tcW w:w="1200" w:type="dxa"/>
            <w:tcBorders>
              <w:top w:val="nil"/>
              <w:left w:val="nil"/>
              <w:bottom w:val="nil"/>
              <w:right w:val="nil"/>
            </w:tcBorders>
            <w:shd w:val="clear" w:color="000000" w:fill="5B9BD5"/>
            <w:noWrap/>
            <w:vAlign w:val="bottom"/>
            <w:hideMark/>
          </w:tcPr>
          <w:p w14:paraId="22D259C3" w14:textId="6750DE30"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315</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060</w:t>
            </w:r>
          </w:p>
        </w:tc>
        <w:tc>
          <w:tcPr>
            <w:tcW w:w="1200" w:type="dxa"/>
            <w:tcBorders>
              <w:top w:val="nil"/>
              <w:left w:val="nil"/>
              <w:bottom w:val="nil"/>
              <w:right w:val="nil"/>
            </w:tcBorders>
            <w:shd w:val="clear" w:color="000000" w:fill="5B9BD5"/>
            <w:noWrap/>
            <w:vAlign w:val="bottom"/>
            <w:hideMark/>
          </w:tcPr>
          <w:p w14:paraId="7ACA5B16" w14:textId="5547DC9B"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23</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5178</w:t>
            </w:r>
          </w:p>
        </w:tc>
        <w:tc>
          <w:tcPr>
            <w:tcW w:w="1200" w:type="dxa"/>
            <w:tcBorders>
              <w:top w:val="nil"/>
              <w:left w:val="nil"/>
              <w:bottom w:val="nil"/>
              <w:right w:val="nil"/>
            </w:tcBorders>
            <w:shd w:val="clear" w:color="auto" w:fill="auto"/>
            <w:noWrap/>
            <w:vAlign w:val="bottom"/>
            <w:hideMark/>
          </w:tcPr>
          <w:p w14:paraId="4015659C"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05817B48" w14:textId="77777777" w:rsidTr="001061A8">
        <w:trPr>
          <w:trHeight w:val="300"/>
        </w:trPr>
        <w:tc>
          <w:tcPr>
            <w:tcW w:w="1200" w:type="dxa"/>
            <w:tcBorders>
              <w:top w:val="nil"/>
              <w:left w:val="nil"/>
              <w:bottom w:val="nil"/>
              <w:right w:val="nil"/>
            </w:tcBorders>
            <w:shd w:val="clear" w:color="auto" w:fill="auto"/>
            <w:noWrap/>
            <w:vAlign w:val="bottom"/>
            <w:hideMark/>
          </w:tcPr>
          <w:p w14:paraId="4F7C4FAD"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NTNU </w:t>
            </w:r>
          </w:p>
        </w:tc>
        <w:tc>
          <w:tcPr>
            <w:tcW w:w="1200" w:type="dxa"/>
            <w:tcBorders>
              <w:top w:val="nil"/>
              <w:left w:val="nil"/>
              <w:bottom w:val="nil"/>
              <w:right w:val="nil"/>
            </w:tcBorders>
            <w:shd w:val="clear" w:color="000000" w:fill="5B9BD5"/>
            <w:noWrap/>
            <w:vAlign w:val="bottom"/>
            <w:hideMark/>
          </w:tcPr>
          <w:p w14:paraId="6F09738A"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429</w:t>
            </w:r>
          </w:p>
        </w:tc>
        <w:tc>
          <w:tcPr>
            <w:tcW w:w="1200" w:type="dxa"/>
            <w:tcBorders>
              <w:top w:val="nil"/>
              <w:left w:val="nil"/>
              <w:bottom w:val="nil"/>
              <w:right w:val="nil"/>
            </w:tcBorders>
            <w:shd w:val="clear" w:color="000000" w:fill="63A0D7"/>
            <w:noWrap/>
            <w:vAlign w:val="bottom"/>
            <w:hideMark/>
          </w:tcPr>
          <w:p w14:paraId="58A27136" w14:textId="2468B493"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301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402</w:t>
            </w:r>
          </w:p>
        </w:tc>
        <w:tc>
          <w:tcPr>
            <w:tcW w:w="1200" w:type="dxa"/>
            <w:tcBorders>
              <w:top w:val="nil"/>
              <w:left w:val="nil"/>
              <w:bottom w:val="nil"/>
              <w:right w:val="nil"/>
            </w:tcBorders>
            <w:shd w:val="clear" w:color="000000" w:fill="63A0D7"/>
            <w:noWrap/>
            <w:vAlign w:val="bottom"/>
            <w:hideMark/>
          </w:tcPr>
          <w:p w14:paraId="6ADE1D06" w14:textId="313A96A2"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w:t>
            </w:r>
            <w:r w:rsidR="00B50A1C">
              <w:rPr>
                <w:rFonts w:ascii="Calibri" w:eastAsia="Times New Roman" w:hAnsi="Calibri" w:cs="Calibri"/>
                <w:color w:val="000000"/>
                <w:lang w:eastAsia="nb-NO"/>
              </w:rPr>
              <w:t> </w:t>
            </w:r>
            <w:r w:rsidRPr="00422245">
              <w:rPr>
                <w:rFonts w:ascii="Calibri" w:eastAsia="Times New Roman" w:hAnsi="Calibri" w:cs="Calibri"/>
                <w:color w:val="000000"/>
                <w:lang w:eastAsia="nb-NO"/>
              </w:rPr>
              <w:t>181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852</w:t>
            </w:r>
          </w:p>
        </w:tc>
        <w:tc>
          <w:tcPr>
            <w:tcW w:w="1200" w:type="dxa"/>
            <w:tcBorders>
              <w:top w:val="nil"/>
              <w:left w:val="nil"/>
              <w:bottom w:val="nil"/>
              <w:right w:val="nil"/>
            </w:tcBorders>
            <w:shd w:val="clear" w:color="auto" w:fill="auto"/>
            <w:noWrap/>
            <w:vAlign w:val="bottom"/>
            <w:hideMark/>
          </w:tcPr>
          <w:p w14:paraId="660C6B69"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5E3F41D4" w14:textId="77777777" w:rsidTr="001061A8">
        <w:trPr>
          <w:trHeight w:val="300"/>
        </w:trPr>
        <w:tc>
          <w:tcPr>
            <w:tcW w:w="1200" w:type="dxa"/>
            <w:tcBorders>
              <w:top w:val="nil"/>
              <w:left w:val="nil"/>
              <w:bottom w:val="nil"/>
              <w:right w:val="nil"/>
            </w:tcBorders>
            <w:shd w:val="clear" w:color="auto" w:fill="auto"/>
            <w:noWrap/>
            <w:vAlign w:val="bottom"/>
            <w:hideMark/>
          </w:tcPr>
          <w:p w14:paraId="53632E5B"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UiB </w:t>
            </w:r>
          </w:p>
        </w:tc>
        <w:tc>
          <w:tcPr>
            <w:tcW w:w="1200" w:type="dxa"/>
            <w:tcBorders>
              <w:top w:val="nil"/>
              <w:left w:val="nil"/>
              <w:bottom w:val="nil"/>
              <w:right w:val="nil"/>
            </w:tcBorders>
            <w:shd w:val="clear" w:color="000000" w:fill="ADCDEA"/>
            <w:noWrap/>
            <w:vAlign w:val="bottom"/>
            <w:hideMark/>
          </w:tcPr>
          <w:p w14:paraId="1EF6318D"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215</w:t>
            </w:r>
          </w:p>
        </w:tc>
        <w:tc>
          <w:tcPr>
            <w:tcW w:w="1200" w:type="dxa"/>
            <w:tcBorders>
              <w:top w:val="nil"/>
              <w:left w:val="nil"/>
              <w:bottom w:val="nil"/>
              <w:right w:val="nil"/>
            </w:tcBorders>
            <w:shd w:val="clear" w:color="000000" w:fill="ABCCEA"/>
            <w:noWrap/>
            <w:vAlign w:val="bottom"/>
            <w:hideMark/>
          </w:tcPr>
          <w:p w14:paraId="65D7B58D" w14:textId="5FE43CC6"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162</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576</w:t>
            </w:r>
          </w:p>
        </w:tc>
        <w:tc>
          <w:tcPr>
            <w:tcW w:w="1200" w:type="dxa"/>
            <w:tcBorders>
              <w:top w:val="nil"/>
              <w:left w:val="nil"/>
              <w:bottom w:val="nil"/>
              <w:right w:val="nil"/>
            </w:tcBorders>
            <w:shd w:val="clear" w:color="000000" w:fill="B1D0EB"/>
            <w:noWrap/>
            <w:vAlign w:val="bottom"/>
            <w:hideMark/>
          </w:tcPr>
          <w:p w14:paraId="1F5CDF6E" w14:textId="2FB180A5"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592</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217</w:t>
            </w:r>
          </w:p>
        </w:tc>
        <w:tc>
          <w:tcPr>
            <w:tcW w:w="1200" w:type="dxa"/>
            <w:tcBorders>
              <w:top w:val="nil"/>
              <w:left w:val="nil"/>
              <w:bottom w:val="nil"/>
              <w:right w:val="nil"/>
            </w:tcBorders>
            <w:shd w:val="clear" w:color="auto" w:fill="auto"/>
            <w:noWrap/>
            <w:vAlign w:val="bottom"/>
            <w:hideMark/>
          </w:tcPr>
          <w:p w14:paraId="48F44671"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22E23B10" w14:textId="77777777" w:rsidTr="001061A8">
        <w:trPr>
          <w:trHeight w:val="300"/>
        </w:trPr>
        <w:tc>
          <w:tcPr>
            <w:tcW w:w="1200" w:type="dxa"/>
            <w:tcBorders>
              <w:top w:val="nil"/>
              <w:left w:val="nil"/>
              <w:bottom w:val="nil"/>
              <w:right w:val="nil"/>
            </w:tcBorders>
            <w:shd w:val="clear" w:color="auto" w:fill="auto"/>
            <w:noWrap/>
            <w:vAlign w:val="bottom"/>
            <w:hideMark/>
          </w:tcPr>
          <w:p w14:paraId="3BCD479E"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UiT </w:t>
            </w:r>
          </w:p>
        </w:tc>
        <w:tc>
          <w:tcPr>
            <w:tcW w:w="1200" w:type="dxa"/>
            <w:tcBorders>
              <w:top w:val="nil"/>
              <w:left w:val="nil"/>
              <w:bottom w:val="nil"/>
              <w:right w:val="nil"/>
            </w:tcBorders>
            <w:shd w:val="clear" w:color="000000" w:fill="D3E4F4"/>
            <w:noWrap/>
            <w:vAlign w:val="bottom"/>
            <w:hideMark/>
          </w:tcPr>
          <w:p w14:paraId="4D415DED"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117</w:t>
            </w:r>
          </w:p>
        </w:tc>
        <w:tc>
          <w:tcPr>
            <w:tcW w:w="1200" w:type="dxa"/>
            <w:tcBorders>
              <w:top w:val="nil"/>
              <w:left w:val="nil"/>
              <w:bottom w:val="nil"/>
              <w:right w:val="nil"/>
            </w:tcBorders>
            <w:shd w:val="clear" w:color="000000" w:fill="DFECF7"/>
            <w:noWrap/>
            <w:vAlign w:val="bottom"/>
            <w:hideMark/>
          </w:tcPr>
          <w:p w14:paraId="5FBD2BA8" w14:textId="51FC5BCF"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62</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437</w:t>
            </w:r>
          </w:p>
        </w:tc>
        <w:tc>
          <w:tcPr>
            <w:tcW w:w="1200" w:type="dxa"/>
            <w:tcBorders>
              <w:top w:val="nil"/>
              <w:left w:val="nil"/>
              <w:bottom w:val="nil"/>
              <w:right w:val="nil"/>
            </w:tcBorders>
            <w:shd w:val="clear" w:color="000000" w:fill="D8E8F5"/>
            <w:noWrap/>
            <w:vAlign w:val="bottom"/>
            <w:hideMark/>
          </w:tcPr>
          <w:p w14:paraId="7740AEB5" w14:textId="47A111D5"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295</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499</w:t>
            </w:r>
          </w:p>
        </w:tc>
        <w:tc>
          <w:tcPr>
            <w:tcW w:w="1200" w:type="dxa"/>
            <w:tcBorders>
              <w:top w:val="nil"/>
              <w:left w:val="nil"/>
              <w:bottom w:val="nil"/>
              <w:right w:val="nil"/>
            </w:tcBorders>
            <w:shd w:val="clear" w:color="auto" w:fill="auto"/>
            <w:noWrap/>
            <w:vAlign w:val="bottom"/>
            <w:hideMark/>
          </w:tcPr>
          <w:p w14:paraId="077B5E6D"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600309C2" w14:textId="77777777" w:rsidTr="001061A8">
        <w:trPr>
          <w:trHeight w:val="300"/>
        </w:trPr>
        <w:tc>
          <w:tcPr>
            <w:tcW w:w="1200" w:type="dxa"/>
            <w:tcBorders>
              <w:top w:val="nil"/>
              <w:left w:val="nil"/>
              <w:bottom w:val="nil"/>
              <w:right w:val="nil"/>
            </w:tcBorders>
            <w:shd w:val="clear" w:color="auto" w:fill="auto"/>
            <w:noWrap/>
            <w:vAlign w:val="bottom"/>
            <w:hideMark/>
          </w:tcPr>
          <w:p w14:paraId="5C00A8E1"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NMBU </w:t>
            </w:r>
          </w:p>
        </w:tc>
        <w:tc>
          <w:tcPr>
            <w:tcW w:w="1200" w:type="dxa"/>
            <w:tcBorders>
              <w:top w:val="nil"/>
              <w:left w:val="nil"/>
              <w:bottom w:val="nil"/>
              <w:right w:val="nil"/>
            </w:tcBorders>
            <w:shd w:val="clear" w:color="000000" w:fill="DFECF7"/>
            <w:noWrap/>
            <w:vAlign w:val="bottom"/>
            <w:hideMark/>
          </w:tcPr>
          <w:p w14:paraId="205BB84D"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84</w:t>
            </w:r>
          </w:p>
        </w:tc>
        <w:tc>
          <w:tcPr>
            <w:tcW w:w="1200" w:type="dxa"/>
            <w:tcBorders>
              <w:top w:val="nil"/>
              <w:left w:val="nil"/>
              <w:bottom w:val="nil"/>
              <w:right w:val="nil"/>
            </w:tcBorders>
            <w:shd w:val="clear" w:color="000000" w:fill="E5F0F9"/>
            <w:noWrap/>
            <w:vAlign w:val="bottom"/>
            <w:hideMark/>
          </w:tcPr>
          <w:p w14:paraId="79BA1F69" w14:textId="595AF2E8"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50</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167</w:t>
            </w:r>
          </w:p>
        </w:tc>
        <w:tc>
          <w:tcPr>
            <w:tcW w:w="1200" w:type="dxa"/>
            <w:tcBorders>
              <w:top w:val="nil"/>
              <w:left w:val="nil"/>
              <w:bottom w:val="nil"/>
              <w:right w:val="nil"/>
            </w:tcBorders>
            <w:shd w:val="clear" w:color="000000" w:fill="D7E7F5"/>
            <w:noWrap/>
            <w:vAlign w:val="bottom"/>
            <w:hideMark/>
          </w:tcPr>
          <w:p w14:paraId="7453FD3F" w14:textId="0935F4B2"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301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356</w:t>
            </w:r>
          </w:p>
        </w:tc>
        <w:tc>
          <w:tcPr>
            <w:tcW w:w="1200" w:type="dxa"/>
            <w:tcBorders>
              <w:top w:val="nil"/>
              <w:left w:val="nil"/>
              <w:bottom w:val="nil"/>
              <w:right w:val="nil"/>
            </w:tcBorders>
            <w:shd w:val="clear" w:color="auto" w:fill="auto"/>
            <w:noWrap/>
            <w:vAlign w:val="bottom"/>
            <w:hideMark/>
          </w:tcPr>
          <w:p w14:paraId="55274EB3"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228A0E57" w14:textId="77777777" w:rsidTr="001061A8">
        <w:trPr>
          <w:trHeight w:val="300"/>
        </w:trPr>
        <w:tc>
          <w:tcPr>
            <w:tcW w:w="1200" w:type="dxa"/>
            <w:tcBorders>
              <w:top w:val="nil"/>
              <w:left w:val="nil"/>
              <w:bottom w:val="nil"/>
              <w:right w:val="nil"/>
            </w:tcBorders>
            <w:shd w:val="clear" w:color="auto" w:fill="auto"/>
            <w:noWrap/>
            <w:vAlign w:val="bottom"/>
            <w:hideMark/>
          </w:tcPr>
          <w:p w14:paraId="6F9A446B"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UiS </w:t>
            </w:r>
          </w:p>
        </w:tc>
        <w:tc>
          <w:tcPr>
            <w:tcW w:w="1200" w:type="dxa"/>
            <w:tcBorders>
              <w:top w:val="nil"/>
              <w:left w:val="nil"/>
              <w:bottom w:val="nil"/>
              <w:right w:val="nil"/>
            </w:tcBorders>
            <w:shd w:val="clear" w:color="000000" w:fill="E8F1FA"/>
            <w:noWrap/>
            <w:vAlign w:val="bottom"/>
            <w:hideMark/>
          </w:tcPr>
          <w:p w14:paraId="0C3FC11F"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61</w:t>
            </w:r>
          </w:p>
        </w:tc>
        <w:tc>
          <w:tcPr>
            <w:tcW w:w="1200" w:type="dxa"/>
            <w:tcBorders>
              <w:top w:val="nil"/>
              <w:left w:val="nil"/>
              <w:bottom w:val="nil"/>
              <w:right w:val="nil"/>
            </w:tcBorders>
            <w:shd w:val="clear" w:color="000000" w:fill="F6F9FD"/>
            <w:noWrap/>
            <w:vAlign w:val="bottom"/>
            <w:hideMark/>
          </w:tcPr>
          <w:p w14:paraId="04E08CAB" w14:textId="11259EE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19</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031</w:t>
            </w:r>
          </w:p>
        </w:tc>
        <w:tc>
          <w:tcPr>
            <w:tcW w:w="1200" w:type="dxa"/>
            <w:tcBorders>
              <w:top w:val="nil"/>
              <w:left w:val="nil"/>
              <w:bottom w:val="nil"/>
              <w:right w:val="nil"/>
            </w:tcBorders>
            <w:shd w:val="clear" w:color="000000" w:fill="EAF2FA"/>
            <w:noWrap/>
            <w:vAlign w:val="bottom"/>
            <w:hideMark/>
          </w:tcPr>
          <w:p w14:paraId="35813DC2" w14:textId="75F8FBBF"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165</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447</w:t>
            </w:r>
          </w:p>
        </w:tc>
        <w:tc>
          <w:tcPr>
            <w:tcW w:w="1200" w:type="dxa"/>
            <w:tcBorders>
              <w:top w:val="nil"/>
              <w:left w:val="nil"/>
              <w:bottom w:val="nil"/>
              <w:right w:val="nil"/>
            </w:tcBorders>
            <w:shd w:val="clear" w:color="auto" w:fill="auto"/>
            <w:noWrap/>
            <w:vAlign w:val="bottom"/>
            <w:hideMark/>
          </w:tcPr>
          <w:p w14:paraId="3A2B19D0"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243F332E" w14:textId="77777777" w:rsidTr="001061A8">
        <w:trPr>
          <w:trHeight w:val="300"/>
        </w:trPr>
        <w:tc>
          <w:tcPr>
            <w:tcW w:w="1200" w:type="dxa"/>
            <w:tcBorders>
              <w:top w:val="nil"/>
              <w:left w:val="nil"/>
              <w:bottom w:val="nil"/>
              <w:right w:val="nil"/>
            </w:tcBorders>
            <w:shd w:val="clear" w:color="auto" w:fill="auto"/>
            <w:noWrap/>
            <w:vAlign w:val="bottom"/>
            <w:hideMark/>
          </w:tcPr>
          <w:p w14:paraId="2554E7EA"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OsloMet </w:t>
            </w:r>
          </w:p>
        </w:tc>
        <w:tc>
          <w:tcPr>
            <w:tcW w:w="1200" w:type="dxa"/>
            <w:tcBorders>
              <w:top w:val="nil"/>
              <w:left w:val="nil"/>
              <w:bottom w:val="nil"/>
              <w:right w:val="nil"/>
            </w:tcBorders>
            <w:shd w:val="clear" w:color="000000" w:fill="EEF5FB"/>
            <w:noWrap/>
            <w:vAlign w:val="bottom"/>
            <w:hideMark/>
          </w:tcPr>
          <w:p w14:paraId="4551BA59"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47</w:t>
            </w:r>
          </w:p>
        </w:tc>
        <w:tc>
          <w:tcPr>
            <w:tcW w:w="1200" w:type="dxa"/>
            <w:tcBorders>
              <w:top w:val="nil"/>
              <w:left w:val="nil"/>
              <w:bottom w:val="nil"/>
              <w:right w:val="nil"/>
            </w:tcBorders>
            <w:shd w:val="clear" w:color="000000" w:fill="F1F7FC"/>
            <w:noWrap/>
            <w:vAlign w:val="bottom"/>
            <w:hideMark/>
          </w:tcPr>
          <w:p w14:paraId="6B66C6F7" w14:textId="6B4DB79E"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28</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097</w:t>
            </w:r>
          </w:p>
        </w:tc>
        <w:tc>
          <w:tcPr>
            <w:tcW w:w="1200" w:type="dxa"/>
            <w:tcBorders>
              <w:top w:val="nil"/>
              <w:left w:val="nil"/>
              <w:bottom w:val="nil"/>
              <w:right w:val="nil"/>
            </w:tcBorders>
            <w:shd w:val="clear" w:color="000000" w:fill="ECF3FA"/>
            <w:noWrap/>
            <w:vAlign w:val="bottom"/>
            <w:hideMark/>
          </w:tcPr>
          <w:p w14:paraId="60EBDB61" w14:textId="6BDEB93B"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149</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072</w:t>
            </w:r>
          </w:p>
        </w:tc>
        <w:tc>
          <w:tcPr>
            <w:tcW w:w="1200" w:type="dxa"/>
            <w:tcBorders>
              <w:top w:val="nil"/>
              <w:left w:val="nil"/>
              <w:bottom w:val="nil"/>
              <w:right w:val="nil"/>
            </w:tcBorders>
            <w:shd w:val="clear" w:color="auto" w:fill="auto"/>
            <w:noWrap/>
            <w:vAlign w:val="bottom"/>
            <w:hideMark/>
          </w:tcPr>
          <w:p w14:paraId="534BF692"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748BBC6E" w14:textId="77777777" w:rsidTr="001061A8">
        <w:trPr>
          <w:trHeight w:val="300"/>
        </w:trPr>
        <w:tc>
          <w:tcPr>
            <w:tcW w:w="1200" w:type="dxa"/>
            <w:tcBorders>
              <w:top w:val="nil"/>
              <w:left w:val="nil"/>
              <w:bottom w:val="nil"/>
              <w:right w:val="nil"/>
            </w:tcBorders>
            <w:shd w:val="clear" w:color="auto" w:fill="auto"/>
            <w:noWrap/>
            <w:vAlign w:val="bottom"/>
            <w:hideMark/>
          </w:tcPr>
          <w:p w14:paraId="279B3405"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UiA </w:t>
            </w:r>
          </w:p>
        </w:tc>
        <w:tc>
          <w:tcPr>
            <w:tcW w:w="1200" w:type="dxa"/>
            <w:tcBorders>
              <w:top w:val="nil"/>
              <w:left w:val="nil"/>
              <w:bottom w:val="nil"/>
              <w:right w:val="nil"/>
            </w:tcBorders>
            <w:shd w:val="clear" w:color="000000" w:fill="E9F2FA"/>
            <w:noWrap/>
            <w:vAlign w:val="bottom"/>
            <w:hideMark/>
          </w:tcPr>
          <w:p w14:paraId="08276229"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58</w:t>
            </w:r>
          </w:p>
        </w:tc>
        <w:tc>
          <w:tcPr>
            <w:tcW w:w="1200" w:type="dxa"/>
            <w:tcBorders>
              <w:top w:val="nil"/>
              <w:left w:val="nil"/>
              <w:bottom w:val="nil"/>
              <w:right w:val="nil"/>
            </w:tcBorders>
            <w:shd w:val="clear" w:color="000000" w:fill="FBFDFE"/>
            <w:noWrap/>
            <w:vAlign w:val="bottom"/>
            <w:hideMark/>
          </w:tcPr>
          <w:p w14:paraId="69ED772A" w14:textId="1F8A0EFA"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9</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011</w:t>
            </w:r>
          </w:p>
        </w:tc>
        <w:tc>
          <w:tcPr>
            <w:tcW w:w="1200" w:type="dxa"/>
            <w:tcBorders>
              <w:top w:val="nil"/>
              <w:left w:val="nil"/>
              <w:bottom w:val="nil"/>
              <w:right w:val="nil"/>
            </w:tcBorders>
            <w:shd w:val="clear" w:color="000000" w:fill="F6FAFD"/>
            <w:noWrap/>
            <w:vAlign w:val="bottom"/>
            <w:hideMark/>
          </w:tcPr>
          <w:p w14:paraId="56016FE8" w14:textId="5A750D89"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70</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240</w:t>
            </w:r>
          </w:p>
        </w:tc>
        <w:tc>
          <w:tcPr>
            <w:tcW w:w="1200" w:type="dxa"/>
            <w:tcBorders>
              <w:top w:val="nil"/>
              <w:left w:val="nil"/>
              <w:bottom w:val="nil"/>
              <w:right w:val="nil"/>
            </w:tcBorders>
            <w:shd w:val="clear" w:color="auto" w:fill="auto"/>
            <w:noWrap/>
            <w:vAlign w:val="bottom"/>
            <w:hideMark/>
          </w:tcPr>
          <w:p w14:paraId="102EF578"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38E08ADC" w14:textId="77777777" w:rsidTr="001061A8">
        <w:trPr>
          <w:trHeight w:val="300"/>
        </w:trPr>
        <w:tc>
          <w:tcPr>
            <w:tcW w:w="1200" w:type="dxa"/>
            <w:tcBorders>
              <w:top w:val="nil"/>
              <w:left w:val="nil"/>
              <w:bottom w:val="nil"/>
              <w:right w:val="nil"/>
            </w:tcBorders>
            <w:shd w:val="clear" w:color="auto" w:fill="auto"/>
            <w:noWrap/>
            <w:vAlign w:val="bottom"/>
            <w:hideMark/>
          </w:tcPr>
          <w:p w14:paraId="2FC8BEE0"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USN </w:t>
            </w:r>
          </w:p>
        </w:tc>
        <w:tc>
          <w:tcPr>
            <w:tcW w:w="1200" w:type="dxa"/>
            <w:tcBorders>
              <w:top w:val="nil"/>
              <w:left w:val="nil"/>
              <w:bottom w:val="nil"/>
              <w:right w:val="nil"/>
            </w:tcBorders>
            <w:shd w:val="clear" w:color="000000" w:fill="F4F9FD"/>
            <w:noWrap/>
            <w:vAlign w:val="bottom"/>
            <w:hideMark/>
          </w:tcPr>
          <w:p w14:paraId="434F550B"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30</w:t>
            </w:r>
          </w:p>
        </w:tc>
        <w:tc>
          <w:tcPr>
            <w:tcW w:w="1200" w:type="dxa"/>
            <w:tcBorders>
              <w:top w:val="nil"/>
              <w:left w:val="nil"/>
              <w:bottom w:val="nil"/>
              <w:right w:val="nil"/>
            </w:tcBorders>
            <w:shd w:val="clear" w:color="000000" w:fill="FAFCFE"/>
            <w:noWrap/>
            <w:vAlign w:val="bottom"/>
            <w:hideMark/>
          </w:tcPr>
          <w:p w14:paraId="557E4D47" w14:textId="0E6D59ED"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798</w:t>
            </w:r>
          </w:p>
        </w:tc>
        <w:tc>
          <w:tcPr>
            <w:tcW w:w="1200" w:type="dxa"/>
            <w:tcBorders>
              <w:top w:val="nil"/>
              <w:left w:val="nil"/>
              <w:bottom w:val="nil"/>
              <w:right w:val="nil"/>
            </w:tcBorders>
            <w:shd w:val="clear" w:color="000000" w:fill="F4F8FD"/>
            <w:noWrap/>
            <w:vAlign w:val="bottom"/>
            <w:hideMark/>
          </w:tcPr>
          <w:p w14:paraId="6967852A" w14:textId="57951969"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86</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980</w:t>
            </w:r>
          </w:p>
        </w:tc>
        <w:tc>
          <w:tcPr>
            <w:tcW w:w="1200" w:type="dxa"/>
            <w:tcBorders>
              <w:top w:val="nil"/>
              <w:left w:val="nil"/>
              <w:bottom w:val="nil"/>
              <w:right w:val="nil"/>
            </w:tcBorders>
            <w:shd w:val="clear" w:color="auto" w:fill="auto"/>
            <w:noWrap/>
            <w:vAlign w:val="bottom"/>
            <w:hideMark/>
          </w:tcPr>
          <w:p w14:paraId="436C9D6F"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56ED3516" w14:textId="77777777" w:rsidTr="001061A8">
        <w:trPr>
          <w:trHeight w:val="300"/>
        </w:trPr>
        <w:tc>
          <w:tcPr>
            <w:tcW w:w="1200" w:type="dxa"/>
            <w:tcBorders>
              <w:top w:val="nil"/>
              <w:left w:val="nil"/>
              <w:bottom w:val="nil"/>
              <w:right w:val="nil"/>
            </w:tcBorders>
            <w:shd w:val="clear" w:color="auto" w:fill="auto"/>
            <w:noWrap/>
            <w:vAlign w:val="bottom"/>
            <w:hideMark/>
          </w:tcPr>
          <w:p w14:paraId="193BE41B"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NU </w:t>
            </w:r>
          </w:p>
        </w:tc>
        <w:tc>
          <w:tcPr>
            <w:tcW w:w="1200" w:type="dxa"/>
            <w:tcBorders>
              <w:top w:val="nil"/>
              <w:left w:val="nil"/>
              <w:bottom w:val="nil"/>
              <w:right w:val="nil"/>
            </w:tcBorders>
            <w:shd w:val="clear" w:color="000000" w:fill="F5F9FD"/>
            <w:noWrap/>
            <w:vAlign w:val="bottom"/>
            <w:hideMark/>
          </w:tcPr>
          <w:p w14:paraId="29AA8C8B"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28</w:t>
            </w:r>
          </w:p>
        </w:tc>
        <w:tc>
          <w:tcPr>
            <w:tcW w:w="1200" w:type="dxa"/>
            <w:tcBorders>
              <w:top w:val="nil"/>
              <w:left w:val="nil"/>
              <w:bottom w:val="nil"/>
              <w:right w:val="nil"/>
            </w:tcBorders>
            <w:shd w:val="clear" w:color="000000" w:fill="F8FBFD"/>
            <w:noWrap/>
            <w:vAlign w:val="bottom"/>
            <w:hideMark/>
          </w:tcPr>
          <w:p w14:paraId="0EDE74D6" w14:textId="141F890E"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14</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965</w:t>
            </w:r>
          </w:p>
        </w:tc>
        <w:tc>
          <w:tcPr>
            <w:tcW w:w="1200" w:type="dxa"/>
            <w:tcBorders>
              <w:top w:val="nil"/>
              <w:left w:val="nil"/>
              <w:bottom w:val="nil"/>
              <w:right w:val="nil"/>
            </w:tcBorders>
            <w:shd w:val="clear" w:color="000000" w:fill="F9FBFE"/>
            <w:noWrap/>
            <w:vAlign w:val="bottom"/>
            <w:hideMark/>
          </w:tcPr>
          <w:p w14:paraId="0734DC09" w14:textId="0DFCA66B"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49</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916</w:t>
            </w:r>
          </w:p>
        </w:tc>
        <w:tc>
          <w:tcPr>
            <w:tcW w:w="1200" w:type="dxa"/>
            <w:tcBorders>
              <w:top w:val="nil"/>
              <w:left w:val="nil"/>
              <w:bottom w:val="nil"/>
              <w:right w:val="nil"/>
            </w:tcBorders>
            <w:shd w:val="clear" w:color="auto" w:fill="auto"/>
            <w:noWrap/>
            <w:vAlign w:val="bottom"/>
            <w:hideMark/>
          </w:tcPr>
          <w:p w14:paraId="11E9F1C8"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37B2B43A" w14:textId="77777777" w:rsidTr="001061A8">
        <w:trPr>
          <w:trHeight w:val="300"/>
        </w:trPr>
        <w:tc>
          <w:tcPr>
            <w:tcW w:w="1200" w:type="dxa"/>
            <w:tcBorders>
              <w:top w:val="nil"/>
              <w:left w:val="nil"/>
              <w:bottom w:val="nil"/>
              <w:right w:val="nil"/>
            </w:tcBorders>
            <w:shd w:val="clear" w:color="auto" w:fill="auto"/>
            <w:noWrap/>
            <w:vAlign w:val="bottom"/>
            <w:hideMark/>
          </w:tcPr>
          <w:p w14:paraId="651A6601"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HVL </w:t>
            </w:r>
          </w:p>
        </w:tc>
        <w:tc>
          <w:tcPr>
            <w:tcW w:w="1200" w:type="dxa"/>
            <w:tcBorders>
              <w:top w:val="nil"/>
              <w:left w:val="nil"/>
              <w:bottom w:val="nil"/>
              <w:right w:val="nil"/>
            </w:tcBorders>
            <w:shd w:val="clear" w:color="000000" w:fill="FBFDFE"/>
            <w:noWrap/>
            <w:vAlign w:val="bottom"/>
            <w:hideMark/>
          </w:tcPr>
          <w:p w14:paraId="40C82C79"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12</w:t>
            </w:r>
          </w:p>
        </w:tc>
        <w:tc>
          <w:tcPr>
            <w:tcW w:w="1200" w:type="dxa"/>
            <w:tcBorders>
              <w:top w:val="nil"/>
              <w:left w:val="nil"/>
              <w:bottom w:val="nil"/>
              <w:right w:val="nil"/>
            </w:tcBorders>
            <w:shd w:val="clear" w:color="000000" w:fill="FAFCFE"/>
            <w:noWrap/>
            <w:vAlign w:val="bottom"/>
            <w:hideMark/>
          </w:tcPr>
          <w:p w14:paraId="5A5EFE50" w14:textId="18D99B28"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146</w:t>
            </w:r>
          </w:p>
        </w:tc>
        <w:tc>
          <w:tcPr>
            <w:tcW w:w="1200" w:type="dxa"/>
            <w:tcBorders>
              <w:top w:val="nil"/>
              <w:left w:val="nil"/>
              <w:bottom w:val="nil"/>
              <w:right w:val="nil"/>
            </w:tcBorders>
            <w:shd w:val="clear" w:color="000000" w:fill="F4F9FD"/>
            <w:noWrap/>
            <w:vAlign w:val="bottom"/>
            <w:hideMark/>
          </w:tcPr>
          <w:p w14:paraId="094F3389" w14:textId="3088FF1C"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86</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131</w:t>
            </w:r>
          </w:p>
        </w:tc>
        <w:tc>
          <w:tcPr>
            <w:tcW w:w="1200" w:type="dxa"/>
            <w:tcBorders>
              <w:top w:val="nil"/>
              <w:left w:val="nil"/>
              <w:bottom w:val="nil"/>
              <w:right w:val="nil"/>
            </w:tcBorders>
            <w:shd w:val="clear" w:color="auto" w:fill="auto"/>
            <w:noWrap/>
            <w:vAlign w:val="bottom"/>
            <w:hideMark/>
          </w:tcPr>
          <w:p w14:paraId="3E78B489"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4C14F0A5" w14:textId="77777777" w:rsidTr="001061A8">
        <w:trPr>
          <w:trHeight w:val="300"/>
        </w:trPr>
        <w:tc>
          <w:tcPr>
            <w:tcW w:w="1200" w:type="dxa"/>
            <w:tcBorders>
              <w:top w:val="nil"/>
              <w:left w:val="nil"/>
              <w:bottom w:val="nil"/>
              <w:right w:val="nil"/>
            </w:tcBorders>
            <w:shd w:val="clear" w:color="auto" w:fill="auto"/>
            <w:noWrap/>
            <w:vAlign w:val="bottom"/>
            <w:hideMark/>
          </w:tcPr>
          <w:p w14:paraId="5DB8E159"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NHH </w:t>
            </w:r>
          </w:p>
        </w:tc>
        <w:tc>
          <w:tcPr>
            <w:tcW w:w="1200" w:type="dxa"/>
            <w:tcBorders>
              <w:top w:val="nil"/>
              <w:left w:val="nil"/>
              <w:bottom w:val="nil"/>
              <w:right w:val="nil"/>
            </w:tcBorders>
            <w:shd w:val="clear" w:color="000000" w:fill="F8FBFE"/>
            <w:noWrap/>
            <w:vAlign w:val="bottom"/>
            <w:hideMark/>
          </w:tcPr>
          <w:p w14:paraId="18A9E9BA"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20</w:t>
            </w:r>
          </w:p>
        </w:tc>
        <w:tc>
          <w:tcPr>
            <w:tcW w:w="1200" w:type="dxa"/>
            <w:tcBorders>
              <w:top w:val="nil"/>
              <w:left w:val="nil"/>
              <w:bottom w:val="nil"/>
              <w:right w:val="nil"/>
            </w:tcBorders>
            <w:shd w:val="clear" w:color="000000" w:fill="FAFCFE"/>
            <w:noWrap/>
            <w:vAlign w:val="bottom"/>
            <w:hideMark/>
          </w:tcPr>
          <w:p w14:paraId="4978489B" w14:textId="6F22026E"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048</w:t>
            </w:r>
          </w:p>
        </w:tc>
        <w:tc>
          <w:tcPr>
            <w:tcW w:w="1200" w:type="dxa"/>
            <w:tcBorders>
              <w:top w:val="nil"/>
              <w:left w:val="nil"/>
              <w:bottom w:val="nil"/>
              <w:right w:val="nil"/>
            </w:tcBorders>
            <w:shd w:val="clear" w:color="000000" w:fill="F9FCFE"/>
            <w:noWrap/>
            <w:vAlign w:val="bottom"/>
            <w:hideMark/>
          </w:tcPr>
          <w:p w14:paraId="26863974" w14:textId="12AF9D68"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46</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470</w:t>
            </w:r>
          </w:p>
        </w:tc>
        <w:tc>
          <w:tcPr>
            <w:tcW w:w="1200" w:type="dxa"/>
            <w:tcBorders>
              <w:top w:val="nil"/>
              <w:left w:val="nil"/>
              <w:bottom w:val="nil"/>
              <w:right w:val="nil"/>
            </w:tcBorders>
            <w:shd w:val="clear" w:color="auto" w:fill="auto"/>
            <w:noWrap/>
            <w:vAlign w:val="bottom"/>
            <w:hideMark/>
          </w:tcPr>
          <w:p w14:paraId="0656D423"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015F377A" w14:textId="77777777" w:rsidTr="001061A8">
        <w:trPr>
          <w:trHeight w:val="300"/>
        </w:trPr>
        <w:tc>
          <w:tcPr>
            <w:tcW w:w="1200" w:type="dxa"/>
            <w:tcBorders>
              <w:top w:val="nil"/>
              <w:left w:val="nil"/>
              <w:bottom w:val="nil"/>
              <w:right w:val="nil"/>
            </w:tcBorders>
            <w:shd w:val="clear" w:color="auto" w:fill="auto"/>
            <w:noWrap/>
            <w:vAlign w:val="bottom"/>
            <w:hideMark/>
          </w:tcPr>
          <w:p w14:paraId="5A60D10B"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HINN </w:t>
            </w:r>
          </w:p>
        </w:tc>
        <w:tc>
          <w:tcPr>
            <w:tcW w:w="1200" w:type="dxa"/>
            <w:tcBorders>
              <w:top w:val="nil"/>
              <w:left w:val="nil"/>
              <w:bottom w:val="nil"/>
              <w:right w:val="nil"/>
            </w:tcBorders>
            <w:shd w:val="clear" w:color="000000" w:fill="F9FBFE"/>
            <w:noWrap/>
            <w:vAlign w:val="bottom"/>
            <w:hideMark/>
          </w:tcPr>
          <w:p w14:paraId="4F406A70"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18</w:t>
            </w:r>
          </w:p>
        </w:tc>
        <w:tc>
          <w:tcPr>
            <w:tcW w:w="1200" w:type="dxa"/>
            <w:tcBorders>
              <w:top w:val="nil"/>
              <w:left w:val="nil"/>
              <w:bottom w:val="nil"/>
              <w:right w:val="nil"/>
            </w:tcBorders>
            <w:shd w:val="clear" w:color="000000" w:fill="FEFFFF"/>
            <w:noWrap/>
            <w:vAlign w:val="bottom"/>
            <w:hideMark/>
          </w:tcPr>
          <w:p w14:paraId="7540238D" w14:textId="06C418F2"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790</w:t>
            </w:r>
          </w:p>
        </w:tc>
        <w:tc>
          <w:tcPr>
            <w:tcW w:w="1200" w:type="dxa"/>
            <w:tcBorders>
              <w:top w:val="nil"/>
              <w:left w:val="nil"/>
              <w:bottom w:val="nil"/>
              <w:right w:val="nil"/>
            </w:tcBorders>
            <w:shd w:val="clear" w:color="000000" w:fill="FBFDFE"/>
            <w:noWrap/>
            <w:vAlign w:val="bottom"/>
            <w:hideMark/>
          </w:tcPr>
          <w:p w14:paraId="38A0C266" w14:textId="76365626"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35</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127</w:t>
            </w:r>
          </w:p>
        </w:tc>
        <w:tc>
          <w:tcPr>
            <w:tcW w:w="1200" w:type="dxa"/>
            <w:tcBorders>
              <w:top w:val="nil"/>
              <w:left w:val="nil"/>
              <w:bottom w:val="nil"/>
              <w:right w:val="nil"/>
            </w:tcBorders>
            <w:shd w:val="clear" w:color="auto" w:fill="auto"/>
            <w:noWrap/>
            <w:vAlign w:val="bottom"/>
            <w:hideMark/>
          </w:tcPr>
          <w:p w14:paraId="0A4E855F"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583C6024" w14:textId="77777777" w:rsidTr="001061A8">
        <w:trPr>
          <w:trHeight w:val="300"/>
        </w:trPr>
        <w:tc>
          <w:tcPr>
            <w:tcW w:w="1200" w:type="dxa"/>
            <w:tcBorders>
              <w:top w:val="nil"/>
              <w:left w:val="nil"/>
              <w:bottom w:val="nil"/>
              <w:right w:val="nil"/>
            </w:tcBorders>
            <w:shd w:val="clear" w:color="auto" w:fill="auto"/>
            <w:noWrap/>
            <w:vAlign w:val="bottom"/>
            <w:hideMark/>
          </w:tcPr>
          <w:p w14:paraId="3CDFEC02"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BI </w:t>
            </w:r>
          </w:p>
        </w:tc>
        <w:tc>
          <w:tcPr>
            <w:tcW w:w="1200" w:type="dxa"/>
            <w:tcBorders>
              <w:top w:val="nil"/>
              <w:left w:val="nil"/>
              <w:bottom w:val="nil"/>
              <w:right w:val="nil"/>
            </w:tcBorders>
            <w:shd w:val="clear" w:color="000000" w:fill="F9FCFE"/>
            <w:noWrap/>
            <w:vAlign w:val="bottom"/>
            <w:hideMark/>
          </w:tcPr>
          <w:p w14:paraId="756DD467"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16</w:t>
            </w:r>
          </w:p>
        </w:tc>
        <w:tc>
          <w:tcPr>
            <w:tcW w:w="1200" w:type="dxa"/>
            <w:tcBorders>
              <w:top w:val="nil"/>
              <w:left w:val="nil"/>
              <w:bottom w:val="nil"/>
              <w:right w:val="nil"/>
            </w:tcBorders>
            <w:shd w:val="clear" w:color="000000" w:fill="FCFEFF"/>
            <w:noWrap/>
            <w:vAlign w:val="bottom"/>
            <w:hideMark/>
          </w:tcPr>
          <w:p w14:paraId="117A6A42" w14:textId="2BFDAD71"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6</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112</w:t>
            </w:r>
          </w:p>
        </w:tc>
        <w:tc>
          <w:tcPr>
            <w:tcW w:w="1200" w:type="dxa"/>
            <w:tcBorders>
              <w:top w:val="nil"/>
              <w:left w:val="nil"/>
              <w:bottom w:val="nil"/>
              <w:right w:val="nil"/>
            </w:tcBorders>
            <w:shd w:val="clear" w:color="000000" w:fill="FDFEFF"/>
            <w:noWrap/>
            <w:vAlign w:val="bottom"/>
            <w:hideMark/>
          </w:tcPr>
          <w:p w14:paraId="204B1CC0" w14:textId="1D93F8ED"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17</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448</w:t>
            </w:r>
          </w:p>
        </w:tc>
        <w:tc>
          <w:tcPr>
            <w:tcW w:w="1200" w:type="dxa"/>
            <w:tcBorders>
              <w:top w:val="nil"/>
              <w:left w:val="nil"/>
              <w:bottom w:val="nil"/>
              <w:right w:val="nil"/>
            </w:tcBorders>
            <w:shd w:val="clear" w:color="auto" w:fill="auto"/>
            <w:noWrap/>
            <w:vAlign w:val="bottom"/>
            <w:hideMark/>
          </w:tcPr>
          <w:p w14:paraId="7C9AC31E"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78716863" w14:textId="77777777" w:rsidTr="001061A8">
        <w:trPr>
          <w:trHeight w:val="300"/>
        </w:trPr>
        <w:tc>
          <w:tcPr>
            <w:tcW w:w="1200" w:type="dxa"/>
            <w:tcBorders>
              <w:top w:val="nil"/>
              <w:left w:val="nil"/>
              <w:bottom w:val="nil"/>
              <w:right w:val="nil"/>
            </w:tcBorders>
            <w:shd w:val="clear" w:color="auto" w:fill="auto"/>
            <w:noWrap/>
            <w:vAlign w:val="bottom"/>
            <w:hideMark/>
          </w:tcPr>
          <w:p w14:paraId="1F4123DD"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NIH </w:t>
            </w:r>
          </w:p>
        </w:tc>
        <w:tc>
          <w:tcPr>
            <w:tcW w:w="1200" w:type="dxa"/>
            <w:tcBorders>
              <w:top w:val="nil"/>
              <w:left w:val="nil"/>
              <w:bottom w:val="nil"/>
              <w:right w:val="nil"/>
            </w:tcBorders>
            <w:shd w:val="clear" w:color="000000" w:fill="FCFEFF"/>
            <w:noWrap/>
            <w:vAlign w:val="bottom"/>
            <w:hideMark/>
          </w:tcPr>
          <w:p w14:paraId="2109A682"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8</w:t>
            </w:r>
          </w:p>
        </w:tc>
        <w:tc>
          <w:tcPr>
            <w:tcW w:w="1200" w:type="dxa"/>
            <w:tcBorders>
              <w:top w:val="nil"/>
              <w:left w:val="nil"/>
              <w:bottom w:val="nil"/>
              <w:right w:val="nil"/>
            </w:tcBorders>
            <w:shd w:val="clear" w:color="000000" w:fill="FEFFFF"/>
            <w:noWrap/>
            <w:vAlign w:val="bottom"/>
            <w:hideMark/>
          </w:tcPr>
          <w:p w14:paraId="0A459F2C" w14:textId="3DF3A45D"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397</w:t>
            </w:r>
          </w:p>
        </w:tc>
        <w:tc>
          <w:tcPr>
            <w:tcW w:w="1200" w:type="dxa"/>
            <w:tcBorders>
              <w:top w:val="nil"/>
              <w:left w:val="nil"/>
              <w:bottom w:val="nil"/>
              <w:right w:val="nil"/>
            </w:tcBorders>
            <w:shd w:val="clear" w:color="000000" w:fill="FEFEFF"/>
            <w:noWrap/>
            <w:vAlign w:val="bottom"/>
            <w:hideMark/>
          </w:tcPr>
          <w:p w14:paraId="2BF81B93" w14:textId="50C15F28"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13</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027</w:t>
            </w:r>
          </w:p>
        </w:tc>
        <w:tc>
          <w:tcPr>
            <w:tcW w:w="1200" w:type="dxa"/>
            <w:tcBorders>
              <w:top w:val="nil"/>
              <w:left w:val="nil"/>
              <w:bottom w:val="nil"/>
              <w:right w:val="nil"/>
            </w:tcBorders>
            <w:shd w:val="clear" w:color="auto" w:fill="auto"/>
            <w:noWrap/>
            <w:vAlign w:val="bottom"/>
            <w:hideMark/>
          </w:tcPr>
          <w:p w14:paraId="68469FE8"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3CF42E68" w14:textId="77777777" w:rsidTr="001061A8">
        <w:trPr>
          <w:trHeight w:val="300"/>
        </w:trPr>
        <w:tc>
          <w:tcPr>
            <w:tcW w:w="1200" w:type="dxa"/>
            <w:tcBorders>
              <w:top w:val="nil"/>
              <w:left w:val="nil"/>
              <w:bottom w:val="nil"/>
              <w:right w:val="nil"/>
            </w:tcBorders>
            <w:shd w:val="clear" w:color="auto" w:fill="auto"/>
            <w:noWrap/>
            <w:vAlign w:val="bottom"/>
            <w:hideMark/>
          </w:tcPr>
          <w:p w14:paraId="31BE8764"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MF </w:t>
            </w:r>
          </w:p>
        </w:tc>
        <w:tc>
          <w:tcPr>
            <w:tcW w:w="1200" w:type="dxa"/>
            <w:tcBorders>
              <w:top w:val="nil"/>
              <w:left w:val="nil"/>
              <w:bottom w:val="nil"/>
              <w:right w:val="nil"/>
            </w:tcBorders>
            <w:shd w:val="clear" w:color="000000" w:fill="FDFEFF"/>
            <w:noWrap/>
            <w:vAlign w:val="bottom"/>
            <w:hideMark/>
          </w:tcPr>
          <w:p w14:paraId="755CD0AE"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7</w:t>
            </w:r>
          </w:p>
        </w:tc>
        <w:tc>
          <w:tcPr>
            <w:tcW w:w="1200" w:type="dxa"/>
            <w:tcBorders>
              <w:top w:val="nil"/>
              <w:left w:val="nil"/>
              <w:bottom w:val="nil"/>
              <w:right w:val="nil"/>
            </w:tcBorders>
            <w:shd w:val="clear" w:color="000000" w:fill="FEFFFF"/>
            <w:noWrap/>
            <w:vAlign w:val="bottom"/>
            <w:hideMark/>
          </w:tcPr>
          <w:p w14:paraId="04BE9CC0" w14:textId="46F5553B"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926</w:t>
            </w:r>
          </w:p>
        </w:tc>
        <w:tc>
          <w:tcPr>
            <w:tcW w:w="1200" w:type="dxa"/>
            <w:tcBorders>
              <w:top w:val="nil"/>
              <w:left w:val="nil"/>
              <w:bottom w:val="nil"/>
              <w:right w:val="nil"/>
            </w:tcBorders>
            <w:shd w:val="clear" w:color="000000" w:fill="FEFFFF"/>
            <w:noWrap/>
            <w:vAlign w:val="bottom"/>
            <w:hideMark/>
          </w:tcPr>
          <w:p w14:paraId="1F9016D8" w14:textId="256C712D"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9</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562</w:t>
            </w:r>
          </w:p>
        </w:tc>
        <w:tc>
          <w:tcPr>
            <w:tcW w:w="1200" w:type="dxa"/>
            <w:tcBorders>
              <w:top w:val="nil"/>
              <w:left w:val="nil"/>
              <w:bottom w:val="nil"/>
              <w:right w:val="nil"/>
            </w:tcBorders>
            <w:shd w:val="clear" w:color="auto" w:fill="auto"/>
            <w:noWrap/>
            <w:vAlign w:val="bottom"/>
            <w:hideMark/>
          </w:tcPr>
          <w:p w14:paraId="75C90C92"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60FF079F" w14:textId="77777777" w:rsidTr="001061A8">
        <w:trPr>
          <w:trHeight w:val="300"/>
        </w:trPr>
        <w:tc>
          <w:tcPr>
            <w:tcW w:w="1200" w:type="dxa"/>
            <w:tcBorders>
              <w:top w:val="nil"/>
              <w:left w:val="nil"/>
              <w:bottom w:val="nil"/>
              <w:right w:val="nil"/>
            </w:tcBorders>
            <w:shd w:val="clear" w:color="auto" w:fill="auto"/>
            <w:noWrap/>
            <w:vAlign w:val="bottom"/>
            <w:hideMark/>
          </w:tcPr>
          <w:p w14:paraId="7EA51EE0"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VID </w:t>
            </w:r>
          </w:p>
        </w:tc>
        <w:tc>
          <w:tcPr>
            <w:tcW w:w="1200" w:type="dxa"/>
            <w:tcBorders>
              <w:top w:val="nil"/>
              <w:left w:val="nil"/>
              <w:bottom w:val="nil"/>
              <w:right w:val="nil"/>
            </w:tcBorders>
            <w:shd w:val="clear" w:color="000000" w:fill="FCFDFF"/>
            <w:noWrap/>
            <w:vAlign w:val="bottom"/>
            <w:hideMark/>
          </w:tcPr>
          <w:p w14:paraId="1F9E6213"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9</w:t>
            </w:r>
          </w:p>
        </w:tc>
        <w:tc>
          <w:tcPr>
            <w:tcW w:w="1200" w:type="dxa"/>
            <w:tcBorders>
              <w:top w:val="nil"/>
              <w:left w:val="nil"/>
              <w:bottom w:val="nil"/>
              <w:right w:val="nil"/>
            </w:tcBorders>
            <w:shd w:val="clear" w:color="000000" w:fill="FFFFFF"/>
            <w:noWrap/>
            <w:vAlign w:val="bottom"/>
            <w:hideMark/>
          </w:tcPr>
          <w:p w14:paraId="1A253F8E" w14:textId="4CD3A348"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750</w:t>
            </w:r>
          </w:p>
        </w:tc>
        <w:tc>
          <w:tcPr>
            <w:tcW w:w="1200" w:type="dxa"/>
            <w:tcBorders>
              <w:top w:val="nil"/>
              <w:left w:val="nil"/>
              <w:bottom w:val="nil"/>
              <w:right w:val="nil"/>
            </w:tcBorders>
            <w:shd w:val="clear" w:color="000000" w:fill="FFFFFF"/>
            <w:noWrap/>
            <w:vAlign w:val="bottom"/>
            <w:hideMark/>
          </w:tcPr>
          <w:p w14:paraId="2203FD75" w14:textId="4C3E978D"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980</w:t>
            </w:r>
          </w:p>
        </w:tc>
        <w:tc>
          <w:tcPr>
            <w:tcW w:w="1200" w:type="dxa"/>
            <w:tcBorders>
              <w:top w:val="nil"/>
              <w:left w:val="nil"/>
              <w:bottom w:val="nil"/>
              <w:right w:val="nil"/>
            </w:tcBorders>
            <w:shd w:val="clear" w:color="auto" w:fill="auto"/>
            <w:noWrap/>
            <w:vAlign w:val="bottom"/>
            <w:hideMark/>
          </w:tcPr>
          <w:p w14:paraId="0E1F474D"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197309C8" w14:textId="77777777" w:rsidTr="001061A8">
        <w:trPr>
          <w:trHeight w:val="300"/>
        </w:trPr>
        <w:tc>
          <w:tcPr>
            <w:tcW w:w="1200" w:type="dxa"/>
            <w:tcBorders>
              <w:top w:val="nil"/>
              <w:left w:val="nil"/>
              <w:bottom w:val="nil"/>
              <w:right w:val="nil"/>
            </w:tcBorders>
            <w:shd w:val="clear" w:color="auto" w:fill="auto"/>
            <w:noWrap/>
            <w:vAlign w:val="bottom"/>
            <w:hideMark/>
          </w:tcPr>
          <w:p w14:paraId="32D456DF"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HiM </w:t>
            </w:r>
          </w:p>
        </w:tc>
        <w:tc>
          <w:tcPr>
            <w:tcW w:w="1200" w:type="dxa"/>
            <w:tcBorders>
              <w:top w:val="nil"/>
              <w:left w:val="nil"/>
              <w:bottom w:val="nil"/>
              <w:right w:val="nil"/>
            </w:tcBorders>
            <w:shd w:val="clear" w:color="000000" w:fill="FDFEFF"/>
            <w:noWrap/>
            <w:vAlign w:val="bottom"/>
            <w:hideMark/>
          </w:tcPr>
          <w:p w14:paraId="1715895F"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7</w:t>
            </w:r>
          </w:p>
        </w:tc>
        <w:tc>
          <w:tcPr>
            <w:tcW w:w="1200" w:type="dxa"/>
            <w:tcBorders>
              <w:top w:val="nil"/>
              <w:left w:val="nil"/>
              <w:bottom w:val="nil"/>
              <w:right w:val="nil"/>
            </w:tcBorders>
            <w:shd w:val="clear" w:color="000000" w:fill="FEFFFF"/>
            <w:noWrap/>
            <w:vAlign w:val="bottom"/>
            <w:hideMark/>
          </w:tcPr>
          <w:p w14:paraId="3043CB9E" w14:textId="6E2BDBBE"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2</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246</w:t>
            </w:r>
          </w:p>
        </w:tc>
        <w:tc>
          <w:tcPr>
            <w:tcW w:w="1200" w:type="dxa"/>
            <w:tcBorders>
              <w:top w:val="nil"/>
              <w:left w:val="nil"/>
              <w:bottom w:val="nil"/>
              <w:right w:val="nil"/>
            </w:tcBorders>
            <w:shd w:val="clear" w:color="000000" w:fill="FFFFFF"/>
            <w:noWrap/>
            <w:vAlign w:val="bottom"/>
            <w:hideMark/>
          </w:tcPr>
          <w:p w14:paraId="33E73887" w14:textId="1848CBA6"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3</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897</w:t>
            </w:r>
          </w:p>
        </w:tc>
        <w:tc>
          <w:tcPr>
            <w:tcW w:w="1200" w:type="dxa"/>
            <w:tcBorders>
              <w:top w:val="nil"/>
              <w:left w:val="nil"/>
              <w:bottom w:val="nil"/>
              <w:right w:val="nil"/>
            </w:tcBorders>
            <w:shd w:val="clear" w:color="auto" w:fill="auto"/>
            <w:noWrap/>
            <w:vAlign w:val="bottom"/>
            <w:hideMark/>
          </w:tcPr>
          <w:p w14:paraId="48705B80"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07D48DAE" w14:textId="77777777" w:rsidTr="001061A8">
        <w:trPr>
          <w:trHeight w:val="300"/>
        </w:trPr>
        <w:tc>
          <w:tcPr>
            <w:tcW w:w="1200" w:type="dxa"/>
            <w:tcBorders>
              <w:top w:val="nil"/>
              <w:left w:val="nil"/>
              <w:bottom w:val="nil"/>
              <w:right w:val="nil"/>
            </w:tcBorders>
            <w:shd w:val="clear" w:color="auto" w:fill="auto"/>
            <w:noWrap/>
            <w:vAlign w:val="bottom"/>
            <w:hideMark/>
          </w:tcPr>
          <w:p w14:paraId="6D4AEDAF"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 xml:space="preserve">NMH </w:t>
            </w:r>
          </w:p>
        </w:tc>
        <w:tc>
          <w:tcPr>
            <w:tcW w:w="1200" w:type="dxa"/>
            <w:tcBorders>
              <w:top w:val="nil"/>
              <w:left w:val="nil"/>
              <w:bottom w:val="nil"/>
              <w:right w:val="nil"/>
            </w:tcBorders>
            <w:shd w:val="clear" w:color="000000" w:fill="FCFDFF"/>
            <w:noWrap/>
            <w:vAlign w:val="bottom"/>
            <w:hideMark/>
          </w:tcPr>
          <w:p w14:paraId="6E8D3CF8"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w:t>
            </w:r>
          </w:p>
        </w:tc>
        <w:tc>
          <w:tcPr>
            <w:tcW w:w="1200" w:type="dxa"/>
            <w:tcBorders>
              <w:top w:val="nil"/>
              <w:left w:val="nil"/>
              <w:bottom w:val="nil"/>
              <w:right w:val="nil"/>
            </w:tcBorders>
            <w:shd w:val="clear" w:color="000000" w:fill="FFFFFF"/>
            <w:noWrap/>
            <w:vAlign w:val="bottom"/>
            <w:hideMark/>
          </w:tcPr>
          <w:p w14:paraId="3B68F399"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w:t>
            </w:r>
          </w:p>
        </w:tc>
        <w:tc>
          <w:tcPr>
            <w:tcW w:w="1200" w:type="dxa"/>
            <w:tcBorders>
              <w:top w:val="nil"/>
              <w:left w:val="nil"/>
              <w:bottom w:val="nil"/>
              <w:right w:val="nil"/>
            </w:tcBorders>
            <w:shd w:val="clear" w:color="000000" w:fill="FFFFFF"/>
            <w:noWrap/>
            <w:vAlign w:val="bottom"/>
            <w:hideMark/>
          </w:tcPr>
          <w:p w14:paraId="44561803"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602</w:t>
            </w:r>
          </w:p>
        </w:tc>
        <w:tc>
          <w:tcPr>
            <w:tcW w:w="1200" w:type="dxa"/>
            <w:tcBorders>
              <w:top w:val="nil"/>
              <w:left w:val="nil"/>
              <w:bottom w:val="nil"/>
              <w:right w:val="nil"/>
            </w:tcBorders>
            <w:shd w:val="clear" w:color="auto" w:fill="auto"/>
            <w:noWrap/>
            <w:vAlign w:val="bottom"/>
            <w:hideMark/>
          </w:tcPr>
          <w:p w14:paraId="35E4065A"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7F234779" w14:textId="77777777" w:rsidTr="001061A8">
        <w:trPr>
          <w:trHeight w:val="300"/>
        </w:trPr>
        <w:tc>
          <w:tcPr>
            <w:tcW w:w="1200" w:type="dxa"/>
            <w:tcBorders>
              <w:top w:val="nil"/>
              <w:left w:val="nil"/>
              <w:bottom w:val="nil"/>
              <w:right w:val="nil"/>
            </w:tcBorders>
            <w:shd w:val="clear" w:color="auto" w:fill="auto"/>
            <w:noWrap/>
            <w:vAlign w:val="bottom"/>
            <w:hideMark/>
          </w:tcPr>
          <w:p w14:paraId="004BFDAB"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HK</w:t>
            </w:r>
          </w:p>
        </w:tc>
        <w:tc>
          <w:tcPr>
            <w:tcW w:w="1200" w:type="dxa"/>
            <w:tcBorders>
              <w:top w:val="nil"/>
              <w:left w:val="nil"/>
              <w:bottom w:val="nil"/>
              <w:right w:val="nil"/>
            </w:tcBorders>
            <w:shd w:val="clear" w:color="000000" w:fill="FFFFFF"/>
            <w:noWrap/>
            <w:vAlign w:val="bottom"/>
            <w:hideMark/>
          </w:tcPr>
          <w:p w14:paraId="7E4F3819"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w:t>
            </w:r>
          </w:p>
        </w:tc>
        <w:tc>
          <w:tcPr>
            <w:tcW w:w="1200" w:type="dxa"/>
            <w:tcBorders>
              <w:top w:val="nil"/>
              <w:left w:val="nil"/>
              <w:bottom w:val="nil"/>
              <w:right w:val="nil"/>
            </w:tcBorders>
            <w:shd w:val="clear" w:color="000000" w:fill="FDFEFF"/>
            <w:noWrap/>
            <w:vAlign w:val="bottom"/>
            <w:hideMark/>
          </w:tcPr>
          <w:p w14:paraId="40281304" w14:textId="2399F904"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5</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245</w:t>
            </w:r>
          </w:p>
        </w:tc>
        <w:tc>
          <w:tcPr>
            <w:tcW w:w="1200" w:type="dxa"/>
            <w:tcBorders>
              <w:top w:val="nil"/>
              <w:left w:val="nil"/>
              <w:bottom w:val="nil"/>
              <w:right w:val="nil"/>
            </w:tcBorders>
            <w:shd w:val="clear" w:color="000000" w:fill="FFFFFF"/>
            <w:noWrap/>
            <w:vAlign w:val="bottom"/>
            <w:hideMark/>
          </w:tcPr>
          <w:p w14:paraId="5C6E52F3" w14:textId="3BB96776"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7</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064</w:t>
            </w:r>
          </w:p>
        </w:tc>
        <w:tc>
          <w:tcPr>
            <w:tcW w:w="1200" w:type="dxa"/>
            <w:tcBorders>
              <w:top w:val="nil"/>
              <w:left w:val="nil"/>
              <w:bottom w:val="nil"/>
              <w:right w:val="nil"/>
            </w:tcBorders>
            <w:shd w:val="clear" w:color="auto" w:fill="auto"/>
            <w:noWrap/>
            <w:vAlign w:val="bottom"/>
            <w:hideMark/>
          </w:tcPr>
          <w:p w14:paraId="0F710D98"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r w:rsidR="001061A8" w:rsidRPr="00422245" w14:paraId="5E658C24" w14:textId="77777777" w:rsidTr="001061A8">
        <w:trPr>
          <w:trHeight w:val="300"/>
        </w:trPr>
        <w:tc>
          <w:tcPr>
            <w:tcW w:w="1200" w:type="dxa"/>
            <w:tcBorders>
              <w:top w:val="nil"/>
              <w:left w:val="nil"/>
              <w:bottom w:val="nil"/>
              <w:right w:val="nil"/>
            </w:tcBorders>
            <w:shd w:val="clear" w:color="auto" w:fill="auto"/>
            <w:noWrap/>
            <w:vAlign w:val="bottom"/>
            <w:hideMark/>
          </w:tcPr>
          <w:p w14:paraId="0779E333" w14:textId="77777777" w:rsidR="001061A8" w:rsidRPr="00422245" w:rsidRDefault="001061A8" w:rsidP="001061A8">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HiØ</w:t>
            </w:r>
          </w:p>
        </w:tc>
        <w:tc>
          <w:tcPr>
            <w:tcW w:w="1200" w:type="dxa"/>
            <w:tcBorders>
              <w:top w:val="nil"/>
              <w:left w:val="nil"/>
              <w:bottom w:val="nil"/>
              <w:right w:val="nil"/>
            </w:tcBorders>
            <w:shd w:val="clear" w:color="000000" w:fill="FFFFFF"/>
            <w:noWrap/>
            <w:vAlign w:val="bottom"/>
            <w:hideMark/>
          </w:tcPr>
          <w:p w14:paraId="6A0DC0EA"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w:t>
            </w:r>
          </w:p>
        </w:tc>
        <w:tc>
          <w:tcPr>
            <w:tcW w:w="1200" w:type="dxa"/>
            <w:tcBorders>
              <w:top w:val="nil"/>
              <w:left w:val="nil"/>
              <w:bottom w:val="nil"/>
              <w:right w:val="nil"/>
            </w:tcBorders>
            <w:shd w:val="clear" w:color="000000" w:fill="FFFFFF"/>
            <w:noWrap/>
            <w:vAlign w:val="bottom"/>
            <w:hideMark/>
          </w:tcPr>
          <w:p w14:paraId="2CAEC35A" w14:textId="77777777"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176</w:t>
            </w:r>
          </w:p>
        </w:tc>
        <w:tc>
          <w:tcPr>
            <w:tcW w:w="1200" w:type="dxa"/>
            <w:tcBorders>
              <w:top w:val="nil"/>
              <w:left w:val="nil"/>
              <w:bottom w:val="nil"/>
              <w:right w:val="nil"/>
            </w:tcBorders>
            <w:shd w:val="clear" w:color="000000" w:fill="FEFEFF"/>
            <w:noWrap/>
            <w:vAlign w:val="bottom"/>
            <w:hideMark/>
          </w:tcPr>
          <w:p w14:paraId="47890E37" w14:textId="52C2F0A2" w:rsidR="001061A8" w:rsidRPr="00422245" w:rsidRDefault="001061A8" w:rsidP="001061A8">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13</w:t>
            </w:r>
            <w:r w:rsidR="00B50A1C">
              <w:rPr>
                <w:rFonts w:ascii="Calibri" w:eastAsia="Times New Roman" w:hAnsi="Calibri" w:cs="Calibri"/>
                <w:color w:val="000000"/>
                <w:lang w:eastAsia="nb-NO"/>
              </w:rPr>
              <w:t xml:space="preserve"> </w:t>
            </w:r>
            <w:r w:rsidRPr="00422245">
              <w:rPr>
                <w:rFonts w:ascii="Calibri" w:eastAsia="Times New Roman" w:hAnsi="Calibri" w:cs="Calibri"/>
                <w:color w:val="000000"/>
                <w:lang w:eastAsia="nb-NO"/>
              </w:rPr>
              <w:t>444</w:t>
            </w:r>
          </w:p>
        </w:tc>
        <w:tc>
          <w:tcPr>
            <w:tcW w:w="1200" w:type="dxa"/>
            <w:tcBorders>
              <w:top w:val="nil"/>
              <w:left w:val="nil"/>
              <w:bottom w:val="nil"/>
              <w:right w:val="nil"/>
            </w:tcBorders>
            <w:shd w:val="clear" w:color="auto" w:fill="auto"/>
            <w:noWrap/>
            <w:vAlign w:val="bottom"/>
            <w:hideMark/>
          </w:tcPr>
          <w:p w14:paraId="6FF3287F" w14:textId="77777777" w:rsidR="001061A8" w:rsidRPr="00422245" w:rsidRDefault="001061A8" w:rsidP="001061A8">
            <w:pPr>
              <w:spacing w:after="0" w:line="240" w:lineRule="auto"/>
              <w:jc w:val="right"/>
              <w:rPr>
                <w:rFonts w:ascii="Calibri" w:eastAsia="Times New Roman" w:hAnsi="Calibri" w:cs="Calibri"/>
                <w:color w:val="000000"/>
                <w:lang w:eastAsia="nb-NO"/>
              </w:rPr>
            </w:pPr>
          </w:p>
        </w:tc>
      </w:tr>
    </w:tbl>
    <w:p w14:paraId="0B6679AC" w14:textId="77777777" w:rsidR="001061A8" w:rsidRPr="00422245" w:rsidRDefault="001061A8" w:rsidP="001061A8"/>
    <w:p w14:paraId="2E8844B0" w14:textId="1A0295CF" w:rsidR="00177121" w:rsidRPr="00422245" w:rsidRDefault="005E3E6F" w:rsidP="00F15018">
      <w:r w:rsidRPr="00422245">
        <w:t>Varmekartet i</w:t>
      </w:r>
      <w:r w:rsidR="00890CA6" w:rsidRPr="00422245">
        <w:t xml:space="preserve"> </w:t>
      </w:r>
      <w:r w:rsidR="00890CA6" w:rsidRPr="00422245">
        <w:fldChar w:fldCharType="begin"/>
      </w:r>
      <w:r w:rsidR="00890CA6" w:rsidRPr="00422245">
        <w:instrText xml:space="preserve"> REF _Ref162263747 \h </w:instrText>
      </w:r>
      <w:r w:rsidR="00890CA6" w:rsidRPr="00422245">
        <w:fldChar w:fldCharType="separate"/>
      </w:r>
      <w:r w:rsidR="00890CA6" w:rsidRPr="00422245">
        <w:t xml:space="preserve">Tabell </w:t>
      </w:r>
      <w:r w:rsidR="00FD5D99">
        <w:rPr>
          <w:noProof/>
        </w:rPr>
        <w:t>8</w:t>
      </w:r>
      <w:r w:rsidR="00890CA6" w:rsidRPr="00422245">
        <w:t>.</w:t>
      </w:r>
      <w:r w:rsidR="005B096E">
        <w:rPr>
          <w:noProof/>
        </w:rPr>
        <w:t>3</w:t>
      </w:r>
      <w:r w:rsidR="00890CA6" w:rsidRPr="00422245">
        <w:fldChar w:fldCharType="end"/>
      </w:r>
      <w:r w:rsidRPr="00422245">
        <w:t xml:space="preserve"> er basert i hovedsak på samme </w:t>
      </w:r>
      <w:r w:rsidR="00D23218" w:rsidRPr="00422245">
        <w:t xml:space="preserve">indikatorer, men </w:t>
      </w:r>
      <w:r w:rsidR="00932491" w:rsidRPr="00422245">
        <w:t xml:space="preserve">her er </w:t>
      </w:r>
      <w:r w:rsidR="00D16D7D" w:rsidRPr="00422245">
        <w:t xml:space="preserve">verdiene </w:t>
      </w:r>
      <w:r w:rsidR="00951E84" w:rsidRPr="00422245">
        <w:t xml:space="preserve">gjort relative til </w:t>
      </w:r>
      <w:r w:rsidR="00352FCE" w:rsidRPr="00422245">
        <w:t xml:space="preserve">relevante størrelsesforhold for institusjonen. </w:t>
      </w:r>
      <w:r w:rsidR="00D558F2" w:rsidRPr="00422245">
        <w:t>Med denne metoden</w:t>
      </w:r>
      <w:r w:rsidR="00F15018" w:rsidRPr="00422245">
        <w:t xml:space="preserve"> får flere institusjoner høy score på forskni</w:t>
      </w:r>
      <w:r w:rsidR="007D4654" w:rsidRPr="00422245">
        <w:t>ng</w:t>
      </w:r>
      <w:r w:rsidR="00F15018" w:rsidRPr="00422245">
        <w:t xml:space="preserve">sindikatorene. UiO, </w:t>
      </w:r>
      <w:r w:rsidR="00163E98" w:rsidRPr="00422245">
        <w:t>NTNU</w:t>
      </w:r>
      <w:r w:rsidR="00F15018" w:rsidRPr="00422245">
        <w:t xml:space="preserve"> og UiB kommer høyest også her, men forskjellen til andre noen av de andre institusjonene er her langt mindre. Særlig de spesialiserte institusjonene som NMBU, NIH og NHH scorer forholdsvis høyt på de relativiserte forskningsindikatorene. De øvrige universitetene og statlige høyskolene kommer klart lavere ut også i relativ forstand, mens UiS og til dels UiA inntar en mellomposisjon. Resultatene bekrefter bildet Tilstandsrapport for høyere utdanning 2022 tegnet.</w:t>
      </w:r>
    </w:p>
    <w:p w14:paraId="2B67FE54" w14:textId="77777777" w:rsidR="00AC0124" w:rsidRPr="00422245" w:rsidRDefault="00AC0124" w:rsidP="00F15018"/>
    <w:p w14:paraId="62C01EAB" w14:textId="06B163D1" w:rsidR="00AC0124" w:rsidRPr="00422245" w:rsidRDefault="00AC0124" w:rsidP="00AC0124">
      <w:pPr>
        <w:pStyle w:val="Bildetekst"/>
        <w:keepNext/>
      </w:pPr>
      <w:bookmarkStart w:id="183" w:name="_Ref162263747"/>
      <w:r w:rsidRPr="00422245">
        <w:lastRenderedPageBreak/>
        <w:t xml:space="preserve">Tabell </w:t>
      </w:r>
      <w:r w:rsidR="00826DA7">
        <w:fldChar w:fldCharType="begin"/>
      </w:r>
      <w:r w:rsidR="00826DA7">
        <w:instrText xml:space="preserve"> STYLEREF 1 \s </w:instrText>
      </w:r>
      <w:r w:rsidR="00826DA7">
        <w:fldChar w:fldCharType="separate"/>
      </w:r>
      <w:r w:rsidR="00826DA7">
        <w:rPr>
          <w:noProof/>
        </w:rPr>
        <w:t>8</w:t>
      </w:r>
      <w:r w:rsidR="00826DA7">
        <w:fldChar w:fldCharType="end"/>
      </w:r>
      <w:r w:rsidR="00826DA7">
        <w:t>.</w:t>
      </w:r>
      <w:r w:rsidR="00826DA7">
        <w:fldChar w:fldCharType="begin"/>
      </w:r>
      <w:r w:rsidR="00826DA7">
        <w:instrText xml:space="preserve"> SEQ Tabell \* ARABIC \s 1 </w:instrText>
      </w:r>
      <w:r w:rsidR="00826DA7">
        <w:fldChar w:fldCharType="separate"/>
      </w:r>
      <w:r w:rsidR="00826DA7">
        <w:rPr>
          <w:noProof/>
        </w:rPr>
        <w:t>3</w:t>
      </w:r>
      <w:r w:rsidR="00826DA7">
        <w:fldChar w:fldCharType="end"/>
      </w:r>
      <w:bookmarkEnd w:id="183"/>
      <w:r w:rsidRPr="00422245">
        <w:t xml:space="preserve"> Institusjonsprofil forskning 2. Fire indikatorer relatert til størrelsesf</w:t>
      </w:r>
      <w:r w:rsidR="004942CB" w:rsidRPr="00422245">
        <w:t>aktorer ved institusjonen</w:t>
      </w:r>
      <w:r w:rsidR="007E4774" w:rsidRPr="00422245">
        <w:t>e</w:t>
      </w:r>
    </w:p>
    <w:tbl>
      <w:tblPr>
        <w:tblW w:w="6401" w:type="dxa"/>
        <w:tblCellMar>
          <w:left w:w="70" w:type="dxa"/>
          <w:right w:w="70" w:type="dxa"/>
        </w:tblCellMar>
        <w:tblLook w:val="04A0" w:firstRow="1" w:lastRow="0" w:firstColumn="1" w:lastColumn="0" w:noHBand="0" w:noVBand="1"/>
      </w:tblPr>
      <w:tblGrid>
        <w:gridCol w:w="1200"/>
        <w:gridCol w:w="1200"/>
        <w:gridCol w:w="1400"/>
        <w:gridCol w:w="1227"/>
        <w:gridCol w:w="1374"/>
      </w:tblGrid>
      <w:tr w:rsidR="00AC0124" w:rsidRPr="00422245" w14:paraId="0DFA0965" w14:textId="77777777" w:rsidTr="00AC0124">
        <w:trPr>
          <w:trHeight w:val="300"/>
        </w:trPr>
        <w:tc>
          <w:tcPr>
            <w:tcW w:w="1200" w:type="dxa"/>
            <w:tcBorders>
              <w:top w:val="nil"/>
              <w:left w:val="nil"/>
              <w:bottom w:val="nil"/>
              <w:right w:val="nil"/>
            </w:tcBorders>
            <w:shd w:val="clear" w:color="auto" w:fill="auto"/>
            <w:noWrap/>
            <w:vAlign w:val="bottom"/>
            <w:hideMark/>
          </w:tcPr>
          <w:p w14:paraId="36909155" w14:textId="77777777" w:rsidR="00AC0124" w:rsidRPr="00422245" w:rsidRDefault="00AC0124" w:rsidP="00AC0124">
            <w:pPr>
              <w:spacing w:after="0" w:line="240" w:lineRule="auto"/>
              <w:rPr>
                <w:rFonts w:ascii="Times New Roman" w:eastAsia="Times New Roman" w:hAnsi="Times New Roman" w:cs="Times New Roman"/>
                <w:sz w:val="24"/>
                <w:szCs w:val="24"/>
                <w:lang w:eastAsia="nb-NO"/>
              </w:rPr>
            </w:pPr>
          </w:p>
        </w:tc>
        <w:tc>
          <w:tcPr>
            <w:tcW w:w="1200" w:type="dxa"/>
            <w:tcBorders>
              <w:top w:val="nil"/>
              <w:left w:val="nil"/>
              <w:bottom w:val="nil"/>
              <w:right w:val="nil"/>
            </w:tcBorders>
            <w:shd w:val="clear" w:color="auto" w:fill="auto"/>
            <w:noWrap/>
            <w:vAlign w:val="bottom"/>
            <w:hideMark/>
          </w:tcPr>
          <w:p w14:paraId="63243914"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Stip/100 stud</w:t>
            </w:r>
          </w:p>
        </w:tc>
        <w:tc>
          <w:tcPr>
            <w:tcW w:w="1400" w:type="dxa"/>
            <w:tcBorders>
              <w:top w:val="nil"/>
              <w:left w:val="nil"/>
              <w:bottom w:val="nil"/>
              <w:right w:val="nil"/>
            </w:tcBorders>
            <w:shd w:val="clear" w:color="auto" w:fill="auto"/>
            <w:noWrap/>
            <w:vAlign w:val="bottom"/>
            <w:hideMark/>
          </w:tcPr>
          <w:p w14:paraId="7FAE8DE0"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NFR/fag_årsv</w:t>
            </w:r>
          </w:p>
        </w:tc>
        <w:tc>
          <w:tcPr>
            <w:tcW w:w="1227" w:type="dxa"/>
            <w:tcBorders>
              <w:top w:val="nil"/>
              <w:left w:val="nil"/>
              <w:bottom w:val="nil"/>
              <w:right w:val="nil"/>
            </w:tcBorders>
            <w:shd w:val="clear" w:color="auto" w:fill="auto"/>
            <w:noWrap/>
            <w:vAlign w:val="bottom"/>
            <w:hideMark/>
          </w:tcPr>
          <w:p w14:paraId="6685D3DE"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EU/fag_årsv</w:t>
            </w:r>
          </w:p>
        </w:tc>
        <w:tc>
          <w:tcPr>
            <w:tcW w:w="1374" w:type="dxa"/>
            <w:tcBorders>
              <w:top w:val="nil"/>
              <w:left w:val="nil"/>
              <w:bottom w:val="nil"/>
              <w:right w:val="nil"/>
            </w:tcBorders>
            <w:shd w:val="clear" w:color="auto" w:fill="auto"/>
            <w:noWrap/>
            <w:vAlign w:val="bottom"/>
            <w:hideMark/>
          </w:tcPr>
          <w:p w14:paraId="371DD17A"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Publ/fag_årsv</w:t>
            </w:r>
          </w:p>
        </w:tc>
      </w:tr>
      <w:tr w:rsidR="00AC0124" w:rsidRPr="00422245" w14:paraId="3C9F076F" w14:textId="77777777" w:rsidTr="00AC0124">
        <w:trPr>
          <w:trHeight w:val="300"/>
        </w:trPr>
        <w:tc>
          <w:tcPr>
            <w:tcW w:w="1200" w:type="dxa"/>
            <w:tcBorders>
              <w:top w:val="nil"/>
              <w:left w:val="nil"/>
              <w:bottom w:val="nil"/>
              <w:right w:val="nil"/>
            </w:tcBorders>
            <w:shd w:val="clear" w:color="auto" w:fill="auto"/>
            <w:noWrap/>
            <w:vAlign w:val="bottom"/>
            <w:hideMark/>
          </w:tcPr>
          <w:p w14:paraId="4C471386"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UiO</w:t>
            </w:r>
          </w:p>
        </w:tc>
        <w:tc>
          <w:tcPr>
            <w:tcW w:w="1200" w:type="dxa"/>
            <w:tcBorders>
              <w:top w:val="nil"/>
              <w:left w:val="nil"/>
              <w:bottom w:val="nil"/>
              <w:right w:val="nil"/>
            </w:tcBorders>
            <w:shd w:val="clear" w:color="000000" w:fill="5B9BD5"/>
            <w:noWrap/>
            <w:vAlign w:val="bottom"/>
            <w:hideMark/>
          </w:tcPr>
          <w:p w14:paraId="5DC4DF7C"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1,00</w:t>
            </w:r>
          </w:p>
        </w:tc>
        <w:tc>
          <w:tcPr>
            <w:tcW w:w="1400" w:type="dxa"/>
            <w:tcBorders>
              <w:top w:val="nil"/>
              <w:left w:val="nil"/>
              <w:bottom w:val="nil"/>
              <w:right w:val="nil"/>
            </w:tcBorders>
            <w:shd w:val="clear" w:color="000000" w:fill="67A3D9"/>
            <w:noWrap/>
            <w:vAlign w:val="bottom"/>
            <w:hideMark/>
          </w:tcPr>
          <w:p w14:paraId="64BE6FC9"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0,93</w:t>
            </w:r>
          </w:p>
        </w:tc>
        <w:tc>
          <w:tcPr>
            <w:tcW w:w="1227" w:type="dxa"/>
            <w:tcBorders>
              <w:top w:val="nil"/>
              <w:left w:val="nil"/>
              <w:bottom w:val="nil"/>
              <w:right w:val="nil"/>
            </w:tcBorders>
            <w:shd w:val="clear" w:color="000000" w:fill="5B9BD5"/>
            <w:noWrap/>
            <w:vAlign w:val="bottom"/>
            <w:hideMark/>
          </w:tcPr>
          <w:p w14:paraId="78D366C1"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1,00</w:t>
            </w:r>
          </w:p>
        </w:tc>
        <w:tc>
          <w:tcPr>
            <w:tcW w:w="1374" w:type="dxa"/>
            <w:tcBorders>
              <w:top w:val="nil"/>
              <w:left w:val="nil"/>
              <w:bottom w:val="nil"/>
              <w:right w:val="nil"/>
            </w:tcBorders>
            <w:shd w:val="clear" w:color="auto" w:fill="auto"/>
            <w:noWrap/>
            <w:vAlign w:val="bottom"/>
            <w:hideMark/>
          </w:tcPr>
          <w:p w14:paraId="6119FA2A"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5BC61B5C" w14:textId="77777777" w:rsidTr="00AC0124">
        <w:trPr>
          <w:trHeight w:val="300"/>
        </w:trPr>
        <w:tc>
          <w:tcPr>
            <w:tcW w:w="1200" w:type="dxa"/>
            <w:tcBorders>
              <w:top w:val="nil"/>
              <w:left w:val="nil"/>
              <w:bottom w:val="nil"/>
              <w:right w:val="nil"/>
            </w:tcBorders>
            <w:shd w:val="clear" w:color="auto" w:fill="auto"/>
            <w:noWrap/>
            <w:vAlign w:val="bottom"/>
            <w:hideMark/>
          </w:tcPr>
          <w:p w14:paraId="3BECEF90"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NMBU</w:t>
            </w:r>
          </w:p>
        </w:tc>
        <w:tc>
          <w:tcPr>
            <w:tcW w:w="1200" w:type="dxa"/>
            <w:tcBorders>
              <w:top w:val="nil"/>
              <w:left w:val="nil"/>
              <w:bottom w:val="nil"/>
              <w:right w:val="nil"/>
            </w:tcBorders>
            <w:shd w:val="clear" w:color="000000" w:fill="8AB8E1"/>
            <w:noWrap/>
            <w:vAlign w:val="bottom"/>
            <w:hideMark/>
          </w:tcPr>
          <w:p w14:paraId="0BAF30AC"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0,71</w:t>
            </w:r>
          </w:p>
        </w:tc>
        <w:tc>
          <w:tcPr>
            <w:tcW w:w="1400" w:type="dxa"/>
            <w:tcBorders>
              <w:top w:val="nil"/>
              <w:left w:val="nil"/>
              <w:bottom w:val="nil"/>
              <w:right w:val="nil"/>
            </w:tcBorders>
            <w:shd w:val="clear" w:color="000000" w:fill="5B9BD5"/>
            <w:noWrap/>
            <w:vAlign w:val="bottom"/>
            <w:hideMark/>
          </w:tcPr>
          <w:p w14:paraId="5AEAE34A"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1,00</w:t>
            </w:r>
          </w:p>
        </w:tc>
        <w:tc>
          <w:tcPr>
            <w:tcW w:w="1227" w:type="dxa"/>
            <w:tcBorders>
              <w:top w:val="nil"/>
              <w:left w:val="nil"/>
              <w:bottom w:val="nil"/>
              <w:right w:val="nil"/>
            </w:tcBorders>
            <w:shd w:val="clear" w:color="000000" w:fill="87B6E1"/>
            <w:noWrap/>
            <w:vAlign w:val="bottom"/>
            <w:hideMark/>
          </w:tcPr>
          <w:p w14:paraId="001E7F8E"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0,73</w:t>
            </w:r>
          </w:p>
        </w:tc>
        <w:tc>
          <w:tcPr>
            <w:tcW w:w="1374" w:type="dxa"/>
            <w:tcBorders>
              <w:top w:val="nil"/>
              <w:left w:val="nil"/>
              <w:bottom w:val="nil"/>
              <w:right w:val="nil"/>
            </w:tcBorders>
            <w:shd w:val="clear" w:color="auto" w:fill="auto"/>
            <w:noWrap/>
            <w:vAlign w:val="bottom"/>
            <w:hideMark/>
          </w:tcPr>
          <w:p w14:paraId="2D100CC1"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2F16B985" w14:textId="77777777" w:rsidTr="00AC0124">
        <w:trPr>
          <w:trHeight w:val="300"/>
        </w:trPr>
        <w:tc>
          <w:tcPr>
            <w:tcW w:w="1200" w:type="dxa"/>
            <w:tcBorders>
              <w:top w:val="nil"/>
              <w:left w:val="nil"/>
              <w:bottom w:val="nil"/>
              <w:right w:val="nil"/>
            </w:tcBorders>
            <w:shd w:val="clear" w:color="auto" w:fill="auto"/>
            <w:noWrap/>
            <w:vAlign w:val="bottom"/>
            <w:hideMark/>
          </w:tcPr>
          <w:p w14:paraId="5A147914"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UiB</w:t>
            </w:r>
          </w:p>
        </w:tc>
        <w:tc>
          <w:tcPr>
            <w:tcW w:w="1200" w:type="dxa"/>
            <w:tcBorders>
              <w:top w:val="nil"/>
              <w:left w:val="nil"/>
              <w:bottom w:val="nil"/>
              <w:right w:val="nil"/>
            </w:tcBorders>
            <w:shd w:val="clear" w:color="000000" w:fill="8CB9E2"/>
            <w:noWrap/>
            <w:vAlign w:val="bottom"/>
            <w:hideMark/>
          </w:tcPr>
          <w:p w14:paraId="5E75DA3E"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0,70</w:t>
            </w:r>
          </w:p>
        </w:tc>
        <w:tc>
          <w:tcPr>
            <w:tcW w:w="1400" w:type="dxa"/>
            <w:tcBorders>
              <w:top w:val="nil"/>
              <w:left w:val="nil"/>
              <w:bottom w:val="nil"/>
              <w:right w:val="nil"/>
            </w:tcBorders>
            <w:shd w:val="clear" w:color="000000" w:fill="84B4E0"/>
            <w:noWrap/>
            <w:vAlign w:val="bottom"/>
            <w:hideMark/>
          </w:tcPr>
          <w:p w14:paraId="6A425E87"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0,76</w:t>
            </w:r>
          </w:p>
        </w:tc>
        <w:tc>
          <w:tcPr>
            <w:tcW w:w="1227" w:type="dxa"/>
            <w:tcBorders>
              <w:top w:val="nil"/>
              <w:left w:val="nil"/>
              <w:bottom w:val="nil"/>
              <w:right w:val="nil"/>
            </w:tcBorders>
            <w:shd w:val="clear" w:color="000000" w:fill="6EA7DA"/>
            <w:noWrap/>
            <w:vAlign w:val="bottom"/>
            <w:hideMark/>
          </w:tcPr>
          <w:p w14:paraId="0F31515D"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0,89</w:t>
            </w:r>
          </w:p>
        </w:tc>
        <w:tc>
          <w:tcPr>
            <w:tcW w:w="1374" w:type="dxa"/>
            <w:tcBorders>
              <w:top w:val="nil"/>
              <w:left w:val="nil"/>
              <w:bottom w:val="nil"/>
              <w:right w:val="nil"/>
            </w:tcBorders>
            <w:shd w:val="clear" w:color="auto" w:fill="auto"/>
            <w:noWrap/>
            <w:vAlign w:val="bottom"/>
            <w:hideMark/>
          </w:tcPr>
          <w:p w14:paraId="720B1AF9"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31850AD0" w14:textId="77777777" w:rsidTr="00AC0124">
        <w:trPr>
          <w:trHeight w:val="300"/>
        </w:trPr>
        <w:tc>
          <w:tcPr>
            <w:tcW w:w="1200" w:type="dxa"/>
            <w:tcBorders>
              <w:top w:val="nil"/>
              <w:left w:val="nil"/>
              <w:bottom w:val="nil"/>
              <w:right w:val="nil"/>
            </w:tcBorders>
            <w:shd w:val="clear" w:color="auto" w:fill="auto"/>
            <w:noWrap/>
            <w:vAlign w:val="bottom"/>
            <w:hideMark/>
          </w:tcPr>
          <w:p w14:paraId="15D7EEEC"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NTNU</w:t>
            </w:r>
          </w:p>
        </w:tc>
        <w:tc>
          <w:tcPr>
            <w:tcW w:w="1200" w:type="dxa"/>
            <w:tcBorders>
              <w:top w:val="nil"/>
              <w:left w:val="nil"/>
              <w:bottom w:val="nil"/>
              <w:right w:val="nil"/>
            </w:tcBorders>
            <w:shd w:val="clear" w:color="000000" w:fill="77ACDC"/>
            <w:noWrap/>
            <w:vAlign w:val="bottom"/>
            <w:hideMark/>
          </w:tcPr>
          <w:p w14:paraId="17F591C7"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0,83</w:t>
            </w:r>
          </w:p>
        </w:tc>
        <w:tc>
          <w:tcPr>
            <w:tcW w:w="1400" w:type="dxa"/>
            <w:tcBorders>
              <w:top w:val="nil"/>
              <w:left w:val="nil"/>
              <w:bottom w:val="nil"/>
              <w:right w:val="nil"/>
            </w:tcBorders>
            <w:shd w:val="clear" w:color="000000" w:fill="8EBBE3"/>
            <w:noWrap/>
            <w:vAlign w:val="bottom"/>
            <w:hideMark/>
          </w:tcPr>
          <w:p w14:paraId="42E6420E"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0,69</w:t>
            </w:r>
          </w:p>
        </w:tc>
        <w:tc>
          <w:tcPr>
            <w:tcW w:w="1227" w:type="dxa"/>
            <w:tcBorders>
              <w:top w:val="nil"/>
              <w:left w:val="nil"/>
              <w:bottom w:val="nil"/>
              <w:right w:val="nil"/>
            </w:tcBorders>
            <w:shd w:val="clear" w:color="000000" w:fill="79AEDD"/>
            <w:noWrap/>
            <w:vAlign w:val="bottom"/>
            <w:hideMark/>
          </w:tcPr>
          <w:p w14:paraId="1680E6DC"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0,82</w:t>
            </w:r>
          </w:p>
        </w:tc>
        <w:tc>
          <w:tcPr>
            <w:tcW w:w="1374" w:type="dxa"/>
            <w:tcBorders>
              <w:top w:val="nil"/>
              <w:left w:val="nil"/>
              <w:bottom w:val="nil"/>
              <w:right w:val="nil"/>
            </w:tcBorders>
            <w:shd w:val="clear" w:color="auto" w:fill="auto"/>
            <w:noWrap/>
            <w:vAlign w:val="bottom"/>
            <w:hideMark/>
          </w:tcPr>
          <w:p w14:paraId="6A253C3E"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390807DA" w14:textId="77777777" w:rsidTr="00AC0124">
        <w:trPr>
          <w:trHeight w:val="300"/>
        </w:trPr>
        <w:tc>
          <w:tcPr>
            <w:tcW w:w="1200" w:type="dxa"/>
            <w:tcBorders>
              <w:top w:val="nil"/>
              <w:left w:val="nil"/>
              <w:bottom w:val="nil"/>
              <w:right w:val="nil"/>
            </w:tcBorders>
            <w:shd w:val="clear" w:color="auto" w:fill="auto"/>
            <w:noWrap/>
            <w:vAlign w:val="bottom"/>
            <w:hideMark/>
          </w:tcPr>
          <w:p w14:paraId="57FCA3CE"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UiT</w:t>
            </w:r>
          </w:p>
        </w:tc>
        <w:tc>
          <w:tcPr>
            <w:tcW w:w="1200" w:type="dxa"/>
            <w:tcBorders>
              <w:top w:val="nil"/>
              <w:left w:val="nil"/>
              <w:bottom w:val="nil"/>
              <w:right w:val="nil"/>
            </w:tcBorders>
            <w:shd w:val="clear" w:color="000000" w:fill="95BFE4"/>
            <w:noWrap/>
            <w:vAlign w:val="bottom"/>
            <w:hideMark/>
          </w:tcPr>
          <w:p w14:paraId="1224F24D"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0,65</w:t>
            </w:r>
          </w:p>
        </w:tc>
        <w:tc>
          <w:tcPr>
            <w:tcW w:w="1400" w:type="dxa"/>
            <w:tcBorders>
              <w:top w:val="nil"/>
              <w:left w:val="nil"/>
              <w:bottom w:val="nil"/>
              <w:right w:val="nil"/>
            </w:tcBorders>
            <w:shd w:val="clear" w:color="000000" w:fill="C2DAF0"/>
            <w:noWrap/>
            <w:vAlign w:val="bottom"/>
            <w:hideMark/>
          </w:tcPr>
          <w:p w14:paraId="2E702CFF"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0,38</w:t>
            </w:r>
          </w:p>
        </w:tc>
        <w:tc>
          <w:tcPr>
            <w:tcW w:w="1227" w:type="dxa"/>
            <w:tcBorders>
              <w:top w:val="nil"/>
              <w:left w:val="nil"/>
              <w:bottom w:val="nil"/>
              <w:right w:val="nil"/>
            </w:tcBorders>
            <w:shd w:val="clear" w:color="000000" w:fill="C1D9F0"/>
            <w:noWrap/>
            <w:vAlign w:val="bottom"/>
            <w:hideMark/>
          </w:tcPr>
          <w:p w14:paraId="207AEEE2"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0,38</w:t>
            </w:r>
          </w:p>
        </w:tc>
        <w:tc>
          <w:tcPr>
            <w:tcW w:w="1374" w:type="dxa"/>
            <w:tcBorders>
              <w:top w:val="nil"/>
              <w:left w:val="nil"/>
              <w:bottom w:val="nil"/>
              <w:right w:val="nil"/>
            </w:tcBorders>
            <w:shd w:val="clear" w:color="auto" w:fill="auto"/>
            <w:noWrap/>
            <w:vAlign w:val="bottom"/>
            <w:hideMark/>
          </w:tcPr>
          <w:p w14:paraId="272B0914"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3307FB02" w14:textId="77777777" w:rsidTr="00AC0124">
        <w:trPr>
          <w:trHeight w:val="300"/>
        </w:trPr>
        <w:tc>
          <w:tcPr>
            <w:tcW w:w="1200" w:type="dxa"/>
            <w:tcBorders>
              <w:top w:val="nil"/>
              <w:left w:val="nil"/>
              <w:bottom w:val="nil"/>
              <w:right w:val="nil"/>
            </w:tcBorders>
            <w:shd w:val="clear" w:color="auto" w:fill="auto"/>
            <w:noWrap/>
            <w:vAlign w:val="bottom"/>
            <w:hideMark/>
          </w:tcPr>
          <w:p w14:paraId="042209E5"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NHH</w:t>
            </w:r>
          </w:p>
        </w:tc>
        <w:tc>
          <w:tcPr>
            <w:tcW w:w="1200" w:type="dxa"/>
            <w:tcBorders>
              <w:top w:val="nil"/>
              <w:left w:val="nil"/>
              <w:bottom w:val="nil"/>
              <w:right w:val="nil"/>
            </w:tcBorders>
            <w:shd w:val="clear" w:color="000000" w:fill="B8D4ED"/>
            <w:noWrap/>
            <w:vAlign w:val="bottom"/>
            <w:hideMark/>
          </w:tcPr>
          <w:p w14:paraId="28E2458C"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0,44</w:t>
            </w:r>
          </w:p>
        </w:tc>
        <w:tc>
          <w:tcPr>
            <w:tcW w:w="1400" w:type="dxa"/>
            <w:tcBorders>
              <w:top w:val="nil"/>
              <w:left w:val="nil"/>
              <w:bottom w:val="nil"/>
              <w:right w:val="nil"/>
            </w:tcBorders>
            <w:shd w:val="clear" w:color="000000" w:fill="B2D0EC"/>
            <w:noWrap/>
            <w:vAlign w:val="bottom"/>
            <w:hideMark/>
          </w:tcPr>
          <w:p w14:paraId="0B92DDE9"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0,47</w:t>
            </w:r>
          </w:p>
        </w:tc>
        <w:tc>
          <w:tcPr>
            <w:tcW w:w="1227" w:type="dxa"/>
            <w:tcBorders>
              <w:top w:val="nil"/>
              <w:left w:val="nil"/>
              <w:bottom w:val="nil"/>
              <w:right w:val="nil"/>
            </w:tcBorders>
            <w:shd w:val="clear" w:color="000000" w:fill="B8D4ED"/>
            <w:noWrap/>
            <w:vAlign w:val="bottom"/>
            <w:hideMark/>
          </w:tcPr>
          <w:p w14:paraId="1C57E327"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0,43</w:t>
            </w:r>
          </w:p>
        </w:tc>
        <w:tc>
          <w:tcPr>
            <w:tcW w:w="1374" w:type="dxa"/>
            <w:tcBorders>
              <w:top w:val="nil"/>
              <w:left w:val="nil"/>
              <w:bottom w:val="nil"/>
              <w:right w:val="nil"/>
            </w:tcBorders>
            <w:shd w:val="clear" w:color="auto" w:fill="auto"/>
            <w:noWrap/>
            <w:vAlign w:val="bottom"/>
            <w:hideMark/>
          </w:tcPr>
          <w:p w14:paraId="72B208C9"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7BE0B3A2" w14:textId="77777777" w:rsidTr="00AC0124">
        <w:trPr>
          <w:trHeight w:val="300"/>
        </w:trPr>
        <w:tc>
          <w:tcPr>
            <w:tcW w:w="1200" w:type="dxa"/>
            <w:tcBorders>
              <w:top w:val="nil"/>
              <w:left w:val="nil"/>
              <w:bottom w:val="nil"/>
              <w:right w:val="nil"/>
            </w:tcBorders>
            <w:shd w:val="clear" w:color="auto" w:fill="auto"/>
            <w:noWrap/>
            <w:vAlign w:val="bottom"/>
            <w:hideMark/>
          </w:tcPr>
          <w:p w14:paraId="54355C75"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UiS</w:t>
            </w:r>
          </w:p>
        </w:tc>
        <w:tc>
          <w:tcPr>
            <w:tcW w:w="1200" w:type="dxa"/>
            <w:tcBorders>
              <w:top w:val="nil"/>
              <w:left w:val="nil"/>
              <w:bottom w:val="nil"/>
              <w:right w:val="nil"/>
            </w:tcBorders>
            <w:shd w:val="clear" w:color="000000" w:fill="A4C8E8"/>
            <w:noWrap/>
            <w:vAlign w:val="bottom"/>
            <w:hideMark/>
          </w:tcPr>
          <w:p w14:paraId="1E28E174"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0,56</w:t>
            </w:r>
          </w:p>
        </w:tc>
        <w:tc>
          <w:tcPr>
            <w:tcW w:w="1400" w:type="dxa"/>
            <w:tcBorders>
              <w:top w:val="nil"/>
              <w:left w:val="nil"/>
              <w:bottom w:val="nil"/>
              <w:right w:val="nil"/>
            </w:tcBorders>
            <w:shd w:val="clear" w:color="000000" w:fill="BFD8EF"/>
            <w:noWrap/>
            <w:vAlign w:val="bottom"/>
            <w:hideMark/>
          </w:tcPr>
          <w:p w14:paraId="215DD6AA"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0,39</w:t>
            </w:r>
          </w:p>
        </w:tc>
        <w:tc>
          <w:tcPr>
            <w:tcW w:w="1227" w:type="dxa"/>
            <w:tcBorders>
              <w:top w:val="nil"/>
              <w:left w:val="nil"/>
              <w:bottom w:val="nil"/>
              <w:right w:val="nil"/>
            </w:tcBorders>
            <w:shd w:val="clear" w:color="000000" w:fill="CADFF2"/>
            <w:noWrap/>
            <w:vAlign w:val="bottom"/>
            <w:hideMark/>
          </w:tcPr>
          <w:p w14:paraId="28010217"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0,33</w:t>
            </w:r>
          </w:p>
        </w:tc>
        <w:tc>
          <w:tcPr>
            <w:tcW w:w="1374" w:type="dxa"/>
            <w:tcBorders>
              <w:top w:val="nil"/>
              <w:left w:val="nil"/>
              <w:bottom w:val="nil"/>
              <w:right w:val="nil"/>
            </w:tcBorders>
            <w:shd w:val="clear" w:color="auto" w:fill="auto"/>
            <w:noWrap/>
            <w:vAlign w:val="bottom"/>
            <w:hideMark/>
          </w:tcPr>
          <w:p w14:paraId="49B9E706"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79904524" w14:textId="77777777" w:rsidTr="00AC0124">
        <w:trPr>
          <w:trHeight w:val="300"/>
        </w:trPr>
        <w:tc>
          <w:tcPr>
            <w:tcW w:w="1200" w:type="dxa"/>
            <w:tcBorders>
              <w:top w:val="nil"/>
              <w:left w:val="nil"/>
              <w:bottom w:val="nil"/>
              <w:right w:val="nil"/>
            </w:tcBorders>
            <w:shd w:val="clear" w:color="auto" w:fill="auto"/>
            <w:noWrap/>
            <w:vAlign w:val="bottom"/>
            <w:hideMark/>
          </w:tcPr>
          <w:p w14:paraId="7658419D"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NIH</w:t>
            </w:r>
          </w:p>
        </w:tc>
        <w:tc>
          <w:tcPr>
            <w:tcW w:w="1200" w:type="dxa"/>
            <w:tcBorders>
              <w:top w:val="nil"/>
              <w:left w:val="nil"/>
              <w:bottom w:val="nil"/>
              <w:right w:val="nil"/>
            </w:tcBorders>
            <w:shd w:val="clear" w:color="000000" w:fill="A3C7E8"/>
            <w:noWrap/>
            <w:vAlign w:val="bottom"/>
            <w:hideMark/>
          </w:tcPr>
          <w:p w14:paraId="32DA164D"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0,56</w:t>
            </w:r>
          </w:p>
        </w:tc>
        <w:tc>
          <w:tcPr>
            <w:tcW w:w="1400" w:type="dxa"/>
            <w:tcBorders>
              <w:top w:val="nil"/>
              <w:left w:val="nil"/>
              <w:bottom w:val="nil"/>
              <w:right w:val="nil"/>
            </w:tcBorders>
            <w:shd w:val="clear" w:color="000000" w:fill="D4E5F4"/>
            <w:noWrap/>
            <w:vAlign w:val="bottom"/>
            <w:hideMark/>
          </w:tcPr>
          <w:p w14:paraId="739661F5"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0,27</w:t>
            </w:r>
          </w:p>
        </w:tc>
        <w:tc>
          <w:tcPr>
            <w:tcW w:w="1227" w:type="dxa"/>
            <w:tcBorders>
              <w:top w:val="nil"/>
              <w:left w:val="nil"/>
              <w:bottom w:val="nil"/>
              <w:right w:val="nil"/>
            </w:tcBorders>
            <w:shd w:val="clear" w:color="000000" w:fill="D4E5F4"/>
            <w:noWrap/>
            <w:vAlign w:val="bottom"/>
            <w:hideMark/>
          </w:tcPr>
          <w:p w14:paraId="6B38F9F9"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0,27</w:t>
            </w:r>
          </w:p>
        </w:tc>
        <w:tc>
          <w:tcPr>
            <w:tcW w:w="1374" w:type="dxa"/>
            <w:tcBorders>
              <w:top w:val="nil"/>
              <w:left w:val="nil"/>
              <w:bottom w:val="nil"/>
              <w:right w:val="nil"/>
            </w:tcBorders>
            <w:shd w:val="clear" w:color="auto" w:fill="auto"/>
            <w:noWrap/>
            <w:vAlign w:val="bottom"/>
            <w:hideMark/>
          </w:tcPr>
          <w:p w14:paraId="03DABCF9"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189D9F16" w14:textId="77777777" w:rsidTr="00AC0124">
        <w:trPr>
          <w:trHeight w:val="300"/>
        </w:trPr>
        <w:tc>
          <w:tcPr>
            <w:tcW w:w="1200" w:type="dxa"/>
            <w:tcBorders>
              <w:top w:val="nil"/>
              <w:left w:val="nil"/>
              <w:bottom w:val="nil"/>
              <w:right w:val="nil"/>
            </w:tcBorders>
            <w:shd w:val="clear" w:color="auto" w:fill="auto"/>
            <w:noWrap/>
            <w:vAlign w:val="bottom"/>
            <w:hideMark/>
          </w:tcPr>
          <w:p w14:paraId="2EB9681F"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UiA</w:t>
            </w:r>
          </w:p>
        </w:tc>
        <w:tc>
          <w:tcPr>
            <w:tcW w:w="1200" w:type="dxa"/>
            <w:tcBorders>
              <w:top w:val="nil"/>
              <w:left w:val="nil"/>
              <w:bottom w:val="nil"/>
              <w:right w:val="nil"/>
            </w:tcBorders>
            <w:shd w:val="clear" w:color="000000" w:fill="D0E2F3"/>
            <w:noWrap/>
            <w:vAlign w:val="bottom"/>
            <w:hideMark/>
          </w:tcPr>
          <w:p w14:paraId="19DC326C"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0,29</w:t>
            </w:r>
          </w:p>
        </w:tc>
        <w:tc>
          <w:tcPr>
            <w:tcW w:w="1400" w:type="dxa"/>
            <w:tcBorders>
              <w:top w:val="nil"/>
              <w:left w:val="nil"/>
              <w:bottom w:val="nil"/>
              <w:right w:val="nil"/>
            </w:tcBorders>
            <w:shd w:val="clear" w:color="000000" w:fill="DCEAF6"/>
            <w:noWrap/>
            <w:vAlign w:val="bottom"/>
            <w:hideMark/>
          </w:tcPr>
          <w:p w14:paraId="2F8725D0"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0,22</w:t>
            </w:r>
          </w:p>
        </w:tc>
        <w:tc>
          <w:tcPr>
            <w:tcW w:w="1227" w:type="dxa"/>
            <w:tcBorders>
              <w:top w:val="nil"/>
              <w:left w:val="nil"/>
              <w:bottom w:val="nil"/>
              <w:right w:val="nil"/>
            </w:tcBorders>
            <w:shd w:val="clear" w:color="000000" w:fill="D9E8F6"/>
            <w:noWrap/>
            <w:vAlign w:val="bottom"/>
            <w:hideMark/>
          </w:tcPr>
          <w:p w14:paraId="6EC26876"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0,24</w:t>
            </w:r>
          </w:p>
        </w:tc>
        <w:tc>
          <w:tcPr>
            <w:tcW w:w="1374" w:type="dxa"/>
            <w:tcBorders>
              <w:top w:val="nil"/>
              <w:left w:val="nil"/>
              <w:bottom w:val="nil"/>
              <w:right w:val="nil"/>
            </w:tcBorders>
            <w:shd w:val="clear" w:color="auto" w:fill="auto"/>
            <w:noWrap/>
            <w:vAlign w:val="bottom"/>
            <w:hideMark/>
          </w:tcPr>
          <w:p w14:paraId="332E7725"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1CDA7D03" w14:textId="77777777" w:rsidTr="00AC0124">
        <w:trPr>
          <w:trHeight w:val="300"/>
        </w:trPr>
        <w:tc>
          <w:tcPr>
            <w:tcW w:w="1200" w:type="dxa"/>
            <w:tcBorders>
              <w:top w:val="nil"/>
              <w:left w:val="nil"/>
              <w:bottom w:val="nil"/>
              <w:right w:val="nil"/>
            </w:tcBorders>
            <w:shd w:val="clear" w:color="auto" w:fill="auto"/>
            <w:noWrap/>
            <w:vAlign w:val="bottom"/>
            <w:hideMark/>
          </w:tcPr>
          <w:p w14:paraId="71ECBDE5"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OsloMet</w:t>
            </w:r>
          </w:p>
        </w:tc>
        <w:tc>
          <w:tcPr>
            <w:tcW w:w="1200" w:type="dxa"/>
            <w:tcBorders>
              <w:top w:val="nil"/>
              <w:left w:val="nil"/>
              <w:bottom w:val="nil"/>
              <w:right w:val="nil"/>
            </w:tcBorders>
            <w:shd w:val="clear" w:color="000000" w:fill="DFECF7"/>
            <w:noWrap/>
            <w:vAlign w:val="bottom"/>
            <w:hideMark/>
          </w:tcPr>
          <w:p w14:paraId="223DEF28"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0,20</w:t>
            </w:r>
          </w:p>
        </w:tc>
        <w:tc>
          <w:tcPr>
            <w:tcW w:w="1400" w:type="dxa"/>
            <w:tcBorders>
              <w:top w:val="nil"/>
              <w:left w:val="nil"/>
              <w:bottom w:val="nil"/>
              <w:right w:val="nil"/>
            </w:tcBorders>
            <w:shd w:val="clear" w:color="000000" w:fill="D2E4F4"/>
            <w:noWrap/>
            <w:vAlign w:val="bottom"/>
            <w:hideMark/>
          </w:tcPr>
          <w:p w14:paraId="3D0C99D6"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0,28</w:t>
            </w:r>
          </w:p>
        </w:tc>
        <w:tc>
          <w:tcPr>
            <w:tcW w:w="1227" w:type="dxa"/>
            <w:tcBorders>
              <w:top w:val="nil"/>
              <w:left w:val="nil"/>
              <w:bottom w:val="nil"/>
              <w:right w:val="nil"/>
            </w:tcBorders>
            <w:shd w:val="clear" w:color="000000" w:fill="D9E8F6"/>
            <w:noWrap/>
            <w:vAlign w:val="bottom"/>
            <w:hideMark/>
          </w:tcPr>
          <w:p w14:paraId="27768B73"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0,24</w:t>
            </w:r>
          </w:p>
        </w:tc>
        <w:tc>
          <w:tcPr>
            <w:tcW w:w="1374" w:type="dxa"/>
            <w:tcBorders>
              <w:top w:val="nil"/>
              <w:left w:val="nil"/>
              <w:bottom w:val="nil"/>
              <w:right w:val="nil"/>
            </w:tcBorders>
            <w:shd w:val="clear" w:color="auto" w:fill="auto"/>
            <w:noWrap/>
            <w:vAlign w:val="bottom"/>
            <w:hideMark/>
          </w:tcPr>
          <w:p w14:paraId="09D0730D"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477A82D1" w14:textId="77777777" w:rsidTr="00AC0124">
        <w:trPr>
          <w:trHeight w:val="300"/>
        </w:trPr>
        <w:tc>
          <w:tcPr>
            <w:tcW w:w="1200" w:type="dxa"/>
            <w:tcBorders>
              <w:top w:val="nil"/>
              <w:left w:val="nil"/>
              <w:bottom w:val="nil"/>
              <w:right w:val="nil"/>
            </w:tcBorders>
            <w:shd w:val="clear" w:color="auto" w:fill="auto"/>
            <w:noWrap/>
            <w:vAlign w:val="bottom"/>
            <w:hideMark/>
          </w:tcPr>
          <w:p w14:paraId="04FA93EA"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NU</w:t>
            </w:r>
          </w:p>
        </w:tc>
        <w:tc>
          <w:tcPr>
            <w:tcW w:w="1200" w:type="dxa"/>
            <w:tcBorders>
              <w:top w:val="nil"/>
              <w:left w:val="nil"/>
              <w:bottom w:val="nil"/>
              <w:right w:val="nil"/>
            </w:tcBorders>
            <w:shd w:val="clear" w:color="000000" w:fill="CFE2F3"/>
            <w:noWrap/>
            <w:vAlign w:val="bottom"/>
            <w:hideMark/>
          </w:tcPr>
          <w:p w14:paraId="1C0937D9"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0,30</w:t>
            </w:r>
          </w:p>
        </w:tc>
        <w:tc>
          <w:tcPr>
            <w:tcW w:w="1400" w:type="dxa"/>
            <w:tcBorders>
              <w:top w:val="nil"/>
              <w:left w:val="nil"/>
              <w:bottom w:val="nil"/>
              <w:right w:val="nil"/>
            </w:tcBorders>
            <w:shd w:val="clear" w:color="000000" w:fill="E7F1F9"/>
            <w:noWrap/>
            <w:vAlign w:val="bottom"/>
            <w:hideMark/>
          </w:tcPr>
          <w:p w14:paraId="28B05062"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0,15</w:t>
            </w:r>
          </w:p>
        </w:tc>
        <w:tc>
          <w:tcPr>
            <w:tcW w:w="1227" w:type="dxa"/>
            <w:tcBorders>
              <w:top w:val="nil"/>
              <w:left w:val="nil"/>
              <w:bottom w:val="nil"/>
              <w:right w:val="nil"/>
            </w:tcBorders>
            <w:shd w:val="clear" w:color="000000" w:fill="D6E6F5"/>
            <w:noWrap/>
            <w:vAlign w:val="bottom"/>
            <w:hideMark/>
          </w:tcPr>
          <w:p w14:paraId="0F087D32"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0,25</w:t>
            </w:r>
          </w:p>
        </w:tc>
        <w:tc>
          <w:tcPr>
            <w:tcW w:w="1374" w:type="dxa"/>
            <w:tcBorders>
              <w:top w:val="nil"/>
              <w:left w:val="nil"/>
              <w:bottom w:val="nil"/>
              <w:right w:val="nil"/>
            </w:tcBorders>
            <w:shd w:val="clear" w:color="auto" w:fill="auto"/>
            <w:noWrap/>
            <w:vAlign w:val="bottom"/>
            <w:hideMark/>
          </w:tcPr>
          <w:p w14:paraId="53B7A67A"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4A6532B5" w14:textId="77777777" w:rsidTr="00AC0124">
        <w:trPr>
          <w:trHeight w:val="300"/>
        </w:trPr>
        <w:tc>
          <w:tcPr>
            <w:tcW w:w="1200" w:type="dxa"/>
            <w:tcBorders>
              <w:top w:val="nil"/>
              <w:left w:val="nil"/>
              <w:bottom w:val="nil"/>
              <w:right w:val="nil"/>
            </w:tcBorders>
            <w:shd w:val="clear" w:color="auto" w:fill="auto"/>
            <w:noWrap/>
            <w:vAlign w:val="bottom"/>
            <w:hideMark/>
          </w:tcPr>
          <w:p w14:paraId="41F9665D"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USN</w:t>
            </w:r>
          </w:p>
        </w:tc>
        <w:tc>
          <w:tcPr>
            <w:tcW w:w="1200" w:type="dxa"/>
            <w:tcBorders>
              <w:top w:val="nil"/>
              <w:left w:val="nil"/>
              <w:bottom w:val="nil"/>
              <w:right w:val="nil"/>
            </w:tcBorders>
            <w:shd w:val="clear" w:color="000000" w:fill="DFECF7"/>
            <w:noWrap/>
            <w:vAlign w:val="bottom"/>
            <w:hideMark/>
          </w:tcPr>
          <w:p w14:paraId="17D8E0D8"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0,20</w:t>
            </w:r>
          </w:p>
        </w:tc>
        <w:tc>
          <w:tcPr>
            <w:tcW w:w="1400" w:type="dxa"/>
            <w:tcBorders>
              <w:top w:val="nil"/>
              <w:left w:val="nil"/>
              <w:bottom w:val="nil"/>
              <w:right w:val="nil"/>
            </w:tcBorders>
            <w:shd w:val="clear" w:color="000000" w:fill="DEEBF7"/>
            <w:noWrap/>
            <w:vAlign w:val="bottom"/>
            <w:hideMark/>
          </w:tcPr>
          <w:p w14:paraId="763676E3"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0,20</w:t>
            </w:r>
          </w:p>
        </w:tc>
        <w:tc>
          <w:tcPr>
            <w:tcW w:w="1227" w:type="dxa"/>
            <w:tcBorders>
              <w:top w:val="nil"/>
              <w:left w:val="nil"/>
              <w:bottom w:val="nil"/>
              <w:right w:val="nil"/>
            </w:tcBorders>
            <w:shd w:val="clear" w:color="000000" w:fill="E1EDF8"/>
            <w:noWrap/>
            <w:vAlign w:val="bottom"/>
            <w:hideMark/>
          </w:tcPr>
          <w:p w14:paraId="227BDA0D"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0,19</w:t>
            </w:r>
          </w:p>
        </w:tc>
        <w:tc>
          <w:tcPr>
            <w:tcW w:w="1374" w:type="dxa"/>
            <w:tcBorders>
              <w:top w:val="nil"/>
              <w:left w:val="nil"/>
              <w:bottom w:val="nil"/>
              <w:right w:val="nil"/>
            </w:tcBorders>
            <w:shd w:val="clear" w:color="auto" w:fill="auto"/>
            <w:noWrap/>
            <w:vAlign w:val="bottom"/>
            <w:hideMark/>
          </w:tcPr>
          <w:p w14:paraId="0468FAAB"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35EC5F4B" w14:textId="77777777" w:rsidTr="00AC0124">
        <w:trPr>
          <w:trHeight w:val="300"/>
        </w:trPr>
        <w:tc>
          <w:tcPr>
            <w:tcW w:w="1200" w:type="dxa"/>
            <w:tcBorders>
              <w:top w:val="nil"/>
              <w:left w:val="nil"/>
              <w:bottom w:val="nil"/>
              <w:right w:val="nil"/>
            </w:tcBorders>
            <w:shd w:val="clear" w:color="auto" w:fill="auto"/>
            <w:noWrap/>
            <w:vAlign w:val="bottom"/>
            <w:hideMark/>
          </w:tcPr>
          <w:p w14:paraId="275739A0"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HVL</w:t>
            </w:r>
          </w:p>
        </w:tc>
        <w:tc>
          <w:tcPr>
            <w:tcW w:w="1200" w:type="dxa"/>
            <w:tcBorders>
              <w:top w:val="nil"/>
              <w:left w:val="nil"/>
              <w:bottom w:val="nil"/>
              <w:right w:val="nil"/>
            </w:tcBorders>
            <w:shd w:val="clear" w:color="000000" w:fill="E1EDF8"/>
            <w:noWrap/>
            <w:vAlign w:val="bottom"/>
            <w:hideMark/>
          </w:tcPr>
          <w:p w14:paraId="584A69DE"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0,18</w:t>
            </w:r>
          </w:p>
        </w:tc>
        <w:tc>
          <w:tcPr>
            <w:tcW w:w="1400" w:type="dxa"/>
            <w:tcBorders>
              <w:top w:val="nil"/>
              <w:left w:val="nil"/>
              <w:bottom w:val="nil"/>
              <w:right w:val="nil"/>
            </w:tcBorders>
            <w:shd w:val="clear" w:color="000000" w:fill="E1EDF8"/>
            <w:noWrap/>
            <w:vAlign w:val="bottom"/>
            <w:hideMark/>
          </w:tcPr>
          <w:p w14:paraId="39CC5313"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0,18</w:t>
            </w:r>
          </w:p>
        </w:tc>
        <w:tc>
          <w:tcPr>
            <w:tcW w:w="1227" w:type="dxa"/>
            <w:tcBorders>
              <w:top w:val="nil"/>
              <w:left w:val="nil"/>
              <w:bottom w:val="nil"/>
              <w:right w:val="nil"/>
            </w:tcBorders>
            <w:shd w:val="clear" w:color="000000" w:fill="E4EFF8"/>
            <w:noWrap/>
            <w:vAlign w:val="bottom"/>
            <w:hideMark/>
          </w:tcPr>
          <w:p w14:paraId="6E9BC92E"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0,17</w:t>
            </w:r>
          </w:p>
        </w:tc>
        <w:tc>
          <w:tcPr>
            <w:tcW w:w="1374" w:type="dxa"/>
            <w:tcBorders>
              <w:top w:val="nil"/>
              <w:left w:val="nil"/>
              <w:bottom w:val="nil"/>
              <w:right w:val="nil"/>
            </w:tcBorders>
            <w:shd w:val="clear" w:color="auto" w:fill="auto"/>
            <w:noWrap/>
            <w:vAlign w:val="bottom"/>
            <w:hideMark/>
          </w:tcPr>
          <w:p w14:paraId="6981DC46"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25BA43A0" w14:textId="77777777" w:rsidTr="00AC0124">
        <w:trPr>
          <w:trHeight w:val="300"/>
        </w:trPr>
        <w:tc>
          <w:tcPr>
            <w:tcW w:w="1200" w:type="dxa"/>
            <w:tcBorders>
              <w:top w:val="nil"/>
              <w:left w:val="nil"/>
              <w:bottom w:val="nil"/>
              <w:right w:val="nil"/>
            </w:tcBorders>
            <w:shd w:val="clear" w:color="auto" w:fill="auto"/>
            <w:noWrap/>
            <w:vAlign w:val="bottom"/>
            <w:hideMark/>
          </w:tcPr>
          <w:p w14:paraId="48108F5F"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HINN</w:t>
            </w:r>
          </w:p>
        </w:tc>
        <w:tc>
          <w:tcPr>
            <w:tcW w:w="1200" w:type="dxa"/>
            <w:tcBorders>
              <w:top w:val="nil"/>
              <w:left w:val="nil"/>
              <w:bottom w:val="nil"/>
              <w:right w:val="nil"/>
            </w:tcBorders>
            <w:shd w:val="clear" w:color="000000" w:fill="E3EEF8"/>
            <w:noWrap/>
            <w:vAlign w:val="bottom"/>
            <w:hideMark/>
          </w:tcPr>
          <w:p w14:paraId="3E590228"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0,18</w:t>
            </w:r>
          </w:p>
        </w:tc>
        <w:tc>
          <w:tcPr>
            <w:tcW w:w="1400" w:type="dxa"/>
            <w:tcBorders>
              <w:top w:val="nil"/>
              <w:left w:val="nil"/>
              <w:bottom w:val="nil"/>
              <w:right w:val="nil"/>
            </w:tcBorders>
            <w:shd w:val="clear" w:color="000000" w:fill="ECF4FB"/>
            <w:noWrap/>
            <w:vAlign w:val="bottom"/>
            <w:hideMark/>
          </w:tcPr>
          <w:p w14:paraId="77B49FC8"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0,12</w:t>
            </w:r>
          </w:p>
        </w:tc>
        <w:tc>
          <w:tcPr>
            <w:tcW w:w="1227" w:type="dxa"/>
            <w:tcBorders>
              <w:top w:val="nil"/>
              <w:left w:val="nil"/>
              <w:bottom w:val="nil"/>
              <w:right w:val="nil"/>
            </w:tcBorders>
            <w:shd w:val="clear" w:color="000000" w:fill="F6FAFD"/>
            <w:noWrap/>
            <w:vAlign w:val="bottom"/>
            <w:hideMark/>
          </w:tcPr>
          <w:p w14:paraId="6762A108"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0,06</w:t>
            </w:r>
          </w:p>
        </w:tc>
        <w:tc>
          <w:tcPr>
            <w:tcW w:w="1374" w:type="dxa"/>
            <w:tcBorders>
              <w:top w:val="nil"/>
              <w:left w:val="nil"/>
              <w:bottom w:val="nil"/>
              <w:right w:val="nil"/>
            </w:tcBorders>
            <w:shd w:val="clear" w:color="auto" w:fill="auto"/>
            <w:noWrap/>
            <w:vAlign w:val="bottom"/>
            <w:hideMark/>
          </w:tcPr>
          <w:p w14:paraId="4DC8A6F7"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74DF7B7D" w14:textId="77777777" w:rsidTr="00AC0124">
        <w:trPr>
          <w:trHeight w:val="300"/>
        </w:trPr>
        <w:tc>
          <w:tcPr>
            <w:tcW w:w="1200" w:type="dxa"/>
            <w:tcBorders>
              <w:top w:val="nil"/>
              <w:left w:val="nil"/>
              <w:bottom w:val="nil"/>
              <w:right w:val="nil"/>
            </w:tcBorders>
            <w:shd w:val="clear" w:color="auto" w:fill="auto"/>
            <w:noWrap/>
            <w:vAlign w:val="bottom"/>
            <w:hideMark/>
          </w:tcPr>
          <w:p w14:paraId="75C10832"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DMMH</w:t>
            </w:r>
          </w:p>
        </w:tc>
        <w:tc>
          <w:tcPr>
            <w:tcW w:w="1200" w:type="dxa"/>
            <w:tcBorders>
              <w:top w:val="nil"/>
              <w:left w:val="nil"/>
              <w:bottom w:val="nil"/>
              <w:right w:val="nil"/>
            </w:tcBorders>
            <w:shd w:val="clear" w:color="000000" w:fill="E5EFF9"/>
            <w:noWrap/>
            <w:vAlign w:val="bottom"/>
            <w:hideMark/>
          </w:tcPr>
          <w:p w14:paraId="0964536A"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0,16</w:t>
            </w:r>
          </w:p>
        </w:tc>
        <w:tc>
          <w:tcPr>
            <w:tcW w:w="1400" w:type="dxa"/>
            <w:tcBorders>
              <w:top w:val="nil"/>
              <w:left w:val="nil"/>
              <w:bottom w:val="nil"/>
              <w:right w:val="nil"/>
            </w:tcBorders>
            <w:shd w:val="clear" w:color="000000" w:fill="E2EEF8"/>
            <w:noWrap/>
            <w:vAlign w:val="bottom"/>
            <w:hideMark/>
          </w:tcPr>
          <w:p w14:paraId="68E0B6B0"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0,18</w:t>
            </w:r>
          </w:p>
        </w:tc>
        <w:tc>
          <w:tcPr>
            <w:tcW w:w="1227" w:type="dxa"/>
            <w:tcBorders>
              <w:top w:val="nil"/>
              <w:left w:val="nil"/>
              <w:bottom w:val="nil"/>
              <w:right w:val="nil"/>
            </w:tcBorders>
            <w:shd w:val="clear" w:color="000000" w:fill="FFFFFF"/>
            <w:noWrap/>
            <w:vAlign w:val="bottom"/>
            <w:hideMark/>
          </w:tcPr>
          <w:p w14:paraId="0FCD6C16"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c>
          <w:tcPr>
            <w:tcW w:w="1374" w:type="dxa"/>
            <w:tcBorders>
              <w:top w:val="nil"/>
              <w:left w:val="nil"/>
              <w:bottom w:val="nil"/>
              <w:right w:val="nil"/>
            </w:tcBorders>
            <w:shd w:val="clear" w:color="auto" w:fill="auto"/>
            <w:noWrap/>
            <w:vAlign w:val="bottom"/>
            <w:hideMark/>
          </w:tcPr>
          <w:p w14:paraId="56B83BEB"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0E65FB29" w14:textId="77777777" w:rsidTr="00AC0124">
        <w:trPr>
          <w:trHeight w:val="300"/>
        </w:trPr>
        <w:tc>
          <w:tcPr>
            <w:tcW w:w="1200" w:type="dxa"/>
            <w:tcBorders>
              <w:top w:val="nil"/>
              <w:left w:val="nil"/>
              <w:bottom w:val="nil"/>
              <w:right w:val="nil"/>
            </w:tcBorders>
            <w:shd w:val="clear" w:color="auto" w:fill="auto"/>
            <w:noWrap/>
            <w:vAlign w:val="bottom"/>
            <w:hideMark/>
          </w:tcPr>
          <w:p w14:paraId="3C915170"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HiM</w:t>
            </w:r>
          </w:p>
        </w:tc>
        <w:tc>
          <w:tcPr>
            <w:tcW w:w="1200" w:type="dxa"/>
            <w:tcBorders>
              <w:top w:val="nil"/>
              <w:left w:val="nil"/>
              <w:bottom w:val="nil"/>
              <w:right w:val="nil"/>
            </w:tcBorders>
            <w:shd w:val="clear" w:color="000000" w:fill="EDF4FB"/>
            <w:noWrap/>
            <w:vAlign w:val="bottom"/>
            <w:hideMark/>
          </w:tcPr>
          <w:p w14:paraId="2DEE063D"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0,12</w:t>
            </w:r>
          </w:p>
        </w:tc>
        <w:tc>
          <w:tcPr>
            <w:tcW w:w="1400" w:type="dxa"/>
            <w:tcBorders>
              <w:top w:val="nil"/>
              <w:left w:val="nil"/>
              <w:bottom w:val="nil"/>
              <w:right w:val="nil"/>
            </w:tcBorders>
            <w:shd w:val="clear" w:color="000000" w:fill="F9FBFE"/>
            <w:noWrap/>
            <w:vAlign w:val="bottom"/>
            <w:hideMark/>
          </w:tcPr>
          <w:p w14:paraId="1F720FC1"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0,04</w:t>
            </w:r>
          </w:p>
        </w:tc>
        <w:tc>
          <w:tcPr>
            <w:tcW w:w="1227" w:type="dxa"/>
            <w:tcBorders>
              <w:top w:val="nil"/>
              <w:left w:val="nil"/>
              <w:bottom w:val="nil"/>
              <w:right w:val="nil"/>
            </w:tcBorders>
            <w:shd w:val="clear" w:color="000000" w:fill="E7F1F9"/>
            <w:noWrap/>
            <w:vAlign w:val="bottom"/>
            <w:hideMark/>
          </w:tcPr>
          <w:p w14:paraId="75D31E6D"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0,15</w:t>
            </w:r>
          </w:p>
        </w:tc>
        <w:tc>
          <w:tcPr>
            <w:tcW w:w="1374" w:type="dxa"/>
            <w:tcBorders>
              <w:top w:val="nil"/>
              <w:left w:val="nil"/>
              <w:bottom w:val="nil"/>
              <w:right w:val="nil"/>
            </w:tcBorders>
            <w:shd w:val="clear" w:color="auto" w:fill="auto"/>
            <w:noWrap/>
            <w:vAlign w:val="bottom"/>
            <w:hideMark/>
          </w:tcPr>
          <w:p w14:paraId="3F432818"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6B9A01A6" w14:textId="77777777" w:rsidTr="00AC0124">
        <w:trPr>
          <w:trHeight w:val="300"/>
        </w:trPr>
        <w:tc>
          <w:tcPr>
            <w:tcW w:w="1200" w:type="dxa"/>
            <w:tcBorders>
              <w:top w:val="nil"/>
              <w:left w:val="nil"/>
              <w:bottom w:val="nil"/>
              <w:right w:val="nil"/>
            </w:tcBorders>
            <w:shd w:val="clear" w:color="auto" w:fill="auto"/>
            <w:noWrap/>
            <w:vAlign w:val="bottom"/>
            <w:hideMark/>
          </w:tcPr>
          <w:p w14:paraId="79611095"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BI</w:t>
            </w:r>
          </w:p>
        </w:tc>
        <w:tc>
          <w:tcPr>
            <w:tcW w:w="1200" w:type="dxa"/>
            <w:tcBorders>
              <w:top w:val="nil"/>
              <w:left w:val="nil"/>
              <w:bottom w:val="nil"/>
              <w:right w:val="nil"/>
            </w:tcBorders>
            <w:shd w:val="clear" w:color="000000" w:fill="FCFDFF"/>
            <w:noWrap/>
            <w:vAlign w:val="bottom"/>
            <w:hideMark/>
          </w:tcPr>
          <w:p w14:paraId="1BC62947"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0,02</w:t>
            </w:r>
          </w:p>
        </w:tc>
        <w:tc>
          <w:tcPr>
            <w:tcW w:w="1400" w:type="dxa"/>
            <w:tcBorders>
              <w:top w:val="nil"/>
              <w:left w:val="nil"/>
              <w:bottom w:val="nil"/>
              <w:right w:val="nil"/>
            </w:tcBorders>
            <w:shd w:val="clear" w:color="000000" w:fill="EFF6FB"/>
            <w:noWrap/>
            <w:vAlign w:val="bottom"/>
            <w:hideMark/>
          </w:tcPr>
          <w:p w14:paraId="1C2A5A18"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0,10</w:t>
            </w:r>
          </w:p>
        </w:tc>
        <w:tc>
          <w:tcPr>
            <w:tcW w:w="1227" w:type="dxa"/>
            <w:tcBorders>
              <w:top w:val="nil"/>
              <w:left w:val="nil"/>
              <w:bottom w:val="nil"/>
              <w:right w:val="nil"/>
            </w:tcBorders>
            <w:shd w:val="clear" w:color="000000" w:fill="E5EFF9"/>
            <w:noWrap/>
            <w:vAlign w:val="bottom"/>
            <w:hideMark/>
          </w:tcPr>
          <w:p w14:paraId="1FCF0145"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0,16</w:t>
            </w:r>
          </w:p>
        </w:tc>
        <w:tc>
          <w:tcPr>
            <w:tcW w:w="1374" w:type="dxa"/>
            <w:tcBorders>
              <w:top w:val="nil"/>
              <w:left w:val="nil"/>
              <w:bottom w:val="nil"/>
              <w:right w:val="nil"/>
            </w:tcBorders>
            <w:shd w:val="clear" w:color="auto" w:fill="auto"/>
            <w:noWrap/>
            <w:vAlign w:val="bottom"/>
            <w:hideMark/>
          </w:tcPr>
          <w:p w14:paraId="63707088"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709676F3" w14:textId="77777777" w:rsidTr="00AC0124">
        <w:trPr>
          <w:trHeight w:val="300"/>
        </w:trPr>
        <w:tc>
          <w:tcPr>
            <w:tcW w:w="1200" w:type="dxa"/>
            <w:tcBorders>
              <w:top w:val="nil"/>
              <w:left w:val="nil"/>
              <w:bottom w:val="nil"/>
              <w:right w:val="nil"/>
            </w:tcBorders>
            <w:shd w:val="clear" w:color="auto" w:fill="auto"/>
            <w:noWrap/>
            <w:vAlign w:val="bottom"/>
            <w:hideMark/>
          </w:tcPr>
          <w:p w14:paraId="0E3E1AE5"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HK</w:t>
            </w:r>
          </w:p>
        </w:tc>
        <w:tc>
          <w:tcPr>
            <w:tcW w:w="1200" w:type="dxa"/>
            <w:tcBorders>
              <w:top w:val="nil"/>
              <w:left w:val="nil"/>
              <w:bottom w:val="nil"/>
              <w:right w:val="nil"/>
            </w:tcBorders>
            <w:shd w:val="clear" w:color="000000" w:fill="FFFFFF"/>
            <w:noWrap/>
            <w:vAlign w:val="bottom"/>
            <w:hideMark/>
          </w:tcPr>
          <w:p w14:paraId="7F9A71B8"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c>
          <w:tcPr>
            <w:tcW w:w="1400" w:type="dxa"/>
            <w:tcBorders>
              <w:top w:val="nil"/>
              <w:left w:val="nil"/>
              <w:bottom w:val="nil"/>
              <w:right w:val="nil"/>
            </w:tcBorders>
            <w:shd w:val="clear" w:color="000000" w:fill="F9FBFE"/>
            <w:noWrap/>
            <w:vAlign w:val="bottom"/>
            <w:hideMark/>
          </w:tcPr>
          <w:p w14:paraId="63099854"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0,04</w:t>
            </w:r>
          </w:p>
        </w:tc>
        <w:tc>
          <w:tcPr>
            <w:tcW w:w="1227" w:type="dxa"/>
            <w:tcBorders>
              <w:top w:val="nil"/>
              <w:left w:val="nil"/>
              <w:bottom w:val="nil"/>
              <w:right w:val="nil"/>
            </w:tcBorders>
            <w:shd w:val="clear" w:color="000000" w:fill="DCEAF6"/>
            <w:noWrap/>
            <w:vAlign w:val="bottom"/>
            <w:hideMark/>
          </w:tcPr>
          <w:p w14:paraId="0225AB5B"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0,22</w:t>
            </w:r>
          </w:p>
        </w:tc>
        <w:tc>
          <w:tcPr>
            <w:tcW w:w="1374" w:type="dxa"/>
            <w:tcBorders>
              <w:top w:val="nil"/>
              <w:left w:val="nil"/>
              <w:bottom w:val="nil"/>
              <w:right w:val="nil"/>
            </w:tcBorders>
            <w:shd w:val="clear" w:color="auto" w:fill="auto"/>
            <w:noWrap/>
            <w:vAlign w:val="bottom"/>
            <w:hideMark/>
          </w:tcPr>
          <w:p w14:paraId="7A2B778E"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42306937" w14:textId="77777777" w:rsidTr="00AC0124">
        <w:trPr>
          <w:trHeight w:val="300"/>
        </w:trPr>
        <w:tc>
          <w:tcPr>
            <w:tcW w:w="1200" w:type="dxa"/>
            <w:tcBorders>
              <w:top w:val="nil"/>
              <w:left w:val="nil"/>
              <w:bottom w:val="nil"/>
              <w:right w:val="nil"/>
            </w:tcBorders>
            <w:shd w:val="clear" w:color="auto" w:fill="auto"/>
            <w:noWrap/>
            <w:vAlign w:val="bottom"/>
            <w:hideMark/>
          </w:tcPr>
          <w:p w14:paraId="575E3C7D"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HiØ</w:t>
            </w:r>
          </w:p>
        </w:tc>
        <w:tc>
          <w:tcPr>
            <w:tcW w:w="1200" w:type="dxa"/>
            <w:tcBorders>
              <w:top w:val="nil"/>
              <w:left w:val="nil"/>
              <w:bottom w:val="nil"/>
              <w:right w:val="nil"/>
            </w:tcBorders>
            <w:shd w:val="clear" w:color="000000" w:fill="F4F8FC"/>
            <w:noWrap/>
            <w:vAlign w:val="bottom"/>
            <w:hideMark/>
          </w:tcPr>
          <w:p w14:paraId="55437D1F"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0,07</w:t>
            </w:r>
          </w:p>
        </w:tc>
        <w:tc>
          <w:tcPr>
            <w:tcW w:w="1400" w:type="dxa"/>
            <w:tcBorders>
              <w:top w:val="nil"/>
              <w:left w:val="nil"/>
              <w:bottom w:val="nil"/>
              <w:right w:val="nil"/>
            </w:tcBorders>
            <w:shd w:val="clear" w:color="000000" w:fill="F2F8FC"/>
            <w:noWrap/>
            <w:vAlign w:val="bottom"/>
            <w:hideMark/>
          </w:tcPr>
          <w:p w14:paraId="1923F5D1"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0,08</w:t>
            </w:r>
          </w:p>
        </w:tc>
        <w:tc>
          <w:tcPr>
            <w:tcW w:w="1227" w:type="dxa"/>
            <w:tcBorders>
              <w:top w:val="nil"/>
              <w:left w:val="nil"/>
              <w:bottom w:val="nil"/>
              <w:right w:val="nil"/>
            </w:tcBorders>
            <w:shd w:val="clear" w:color="000000" w:fill="F2F8FC"/>
            <w:noWrap/>
            <w:vAlign w:val="bottom"/>
            <w:hideMark/>
          </w:tcPr>
          <w:p w14:paraId="139A0774"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0,08</w:t>
            </w:r>
          </w:p>
        </w:tc>
        <w:tc>
          <w:tcPr>
            <w:tcW w:w="1374" w:type="dxa"/>
            <w:tcBorders>
              <w:top w:val="nil"/>
              <w:left w:val="nil"/>
              <w:bottom w:val="nil"/>
              <w:right w:val="nil"/>
            </w:tcBorders>
            <w:shd w:val="clear" w:color="auto" w:fill="auto"/>
            <w:noWrap/>
            <w:vAlign w:val="bottom"/>
            <w:hideMark/>
          </w:tcPr>
          <w:p w14:paraId="171CAD48"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3F33445F" w14:textId="77777777" w:rsidTr="00AC0124">
        <w:trPr>
          <w:trHeight w:val="300"/>
        </w:trPr>
        <w:tc>
          <w:tcPr>
            <w:tcW w:w="1200" w:type="dxa"/>
            <w:tcBorders>
              <w:top w:val="nil"/>
              <w:left w:val="nil"/>
              <w:bottom w:val="nil"/>
              <w:right w:val="nil"/>
            </w:tcBorders>
            <w:shd w:val="clear" w:color="auto" w:fill="auto"/>
            <w:noWrap/>
            <w:vAlign w:val="bottom"/>
            <w:hideMark/>
          </w:tcPr>
          <w:p w14:paraId="56413673"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HVO</w:t>
            </w:r>
          </w:p>
        </w:tc>
        <w:tc>
          <w:tcPr>
            <w:tcW w:w="1200" w:type="dxa"/>
            <w:tcBorders>
              <w:top w:val="nil"/>
              <w:left w:val="nil"/>
              <w:bottom w:val="nil"/>
              <w:right w:val="nil"/>
            </w:tcBorders>
            <w:shd w:val="clear" w:color="000000" w:fill="E0EDF8"/>
            <w:noWrap/>
            <w:vAlign w:val="bottom"/>
            <w:hideMark/>
          </w:tcPr>
          <w:p w14:paraId="1ED2C0F5"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0,19</w:t>
            </w:r>
          </w:p>
        </w:tc>
        <w:tc>
          <w:tcPr>
            <w:tcW w:w="1400" w:type="dxa"/>
            <w:tcBorders>
              <w:top w:val="nil"/>
              <w:left w:val="nil"/>
              <w:bottom w:val="nil"/>
              <w:right w:val="nil"/>
            </w:tcBorders>
            <w:shd w:val="clear" w:color="000000" w:fill="FFFFFF"/>
            <w:noWrap/>
            <w:vAlign w:val="bottom"/>
            <w:hideMark/>
          </w:tcPr>
          <w:p w14:paraId="16412F0E"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c>
          <w:tcPr>
            <w:tcW w:w="1227" w:type="dxa"/>
            <w:tcBorders>
              <w:top w:val="nil"/>
              <w:left w:val="nil"/>
              <w:bottom w:val="nil"/>
              <w:right w:val="nil"/>
            </w:tcBorders>
            <w:shd w:val="clear" w:color="000000" w:fill="FAFCFE"/>
            <w:noWrap/>
            <w:vAlign w:val="bottom"/>
            <w:hideMark/>
          </w:tcPr>
          <w:p w14:paraId="5DB6DA77"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0,03</w:t>
            </w:r>
          </w:p>
        </w:tc>
        <w:tc>
          <w:tcPr>
            <w:tcW w:w="1374" w:type="dxa"/>
            <w:tcBorders>
              <w:top w:val="nil"/>
              <w:left w:val="nil"/>
              <w:bottom w:val="nil"/>
              <w:right w:val="nil"/>
            </w:tcBorders>
            <w:shd w:val="clear" w:color="auto" w:fill="auto"/>
            <w:noWrap/>
            <w:vAlign w:val="bottom"/>
            <w:hideMark/>
          </w:tcPr>
          <w:p w14:paraId="4AE7F1C7"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r w:rsidR="00AC0124" w:rsidRPr="00422245" w14:paraId="5B11D3BC" w14:textId="77777777" w:rsidTr="00AC0124">
        <w:trPr>
          <w:trHeight w:val="300"/>
        </w:trPr>
        <w:tc>
          <w:tcPr>
            <w:tcW w:w="1200" w:type="dxa"/>
            <w:tcBorders>
              <w:top w:val="nil"/>
              <w:left w:val="nil"/>
              <w:bottom w:val="nil"/>
              <w:right w:val="nil"/>
            </w:tcBorders>
            <w:shd w:val="clear" w:color="auto" w:fill="auto"/>
            <w:noWrap/>
            <w:vAlign w:val="bottom"/>
            <w:hideMark/>
          </w:tcPr>
          <w:p w14:paraId="2CD2CBA0" w14:textId="77777777" w:rsidR="00AC0124" w:rsidRPr="00422245" w:rsidRDefault="00AC0124" w:rsidP="00AC0124">
            <w:pPr>
              <w:spacing w:after="0" w:line="240" w:lineRule="auto"/>
              <w:rPr>
                <w:rFonts w:ascii="Calibri" w:eastAsia="Times New Roman" w:hAnsi="Calibri" w:cs="Calibri"/>
                <w:color w:val="000000"/>
                <w:lang w:eastAsia="nb-NO"/>
              </w:rPr>
            </w:pPr>
            <w:r w:rsidRPr="00422245">
              <w:rPr>
                <w:rFonts w:ascii="Calibri" w:eastAsia="Times New Roman" w:hAnsi="Calibri" w:cs="Calibri"/>
                <w:color w:val="000000"/>
                <w:lang w:eastAsia="nb-NO"/>
              </w:rPr>
              <w:t>VID</w:t>
            </w:r>
          </w:p>
        </w:tc>
        <w:tc>
          <w:tcPr>
            <w:tcW w:w="1200" w:type="dxa"/>
            <w:tcBorders>
              <w:top w:val="nil"/>
              <w:left w:val="nil"/>
              <w:bottom w:val="nil"/>
              <w:right w:val="nil"/>
            </w:tcBorders>
            <w:shd w:val="clear" w:color="000000" w:fill="EDF4FB"/>
            <w:noWrap/>
            <w:vAlign w:val="bottom"/>
            <w:hideMark/>
          </w:tcPr>
          <w:p w14:paraId="2DDA8E2C"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0,11</w:t>
            </w:r>
          </w:p>
        </w:tc>
        <w:tc>
          <w:tcPr>
            <w:tcW w:w="1400" w:type="dxa"/>
            <w:tcBorders>
              <w:top w:val="nil"/>
              <w:left w:val="nil"/>
              <w:bottom w:val="nil"/>
              <w:right w:val="nil"/>
            </w:tcBorders>
            <w:shd w:val="clear" w:color="000000" w:fill="FFFFFF"/>
            <w:noWrap/>
            <w:vAlign w:val="bottom"/>
            <w:hideMark/>
          </w:tcPr>
          <w:p w14:paraId="348CE7AE"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0,00</w:t>
            </w:r>
          </w:p>
        </w:tc>
        <w:tc>
          <w:tcPr>
            <w:tcW w:w="1227" w:type="dxa"/>
            <w:tcBorders>
              <w:top w:val="nil"/>
              <w:left w:val="nil"/>
              <w:bottom w:val="nil"/>
              <w:right w:val="nil"/>
            </w:tcBorders>
            <w:shd w:val="clear" w:color="000000" w:fill="F6FAFD"/>
            <w:noWrap/>
            <w:vAlign w:val="bottom"/>
            <w:hideMark/>
          </w:tcPr>
          <w:p w14:paraId="1CA0D2CF" w14:textId="77777777" w:rsidR="00AC0124" w:rsidRPr="00422245" w:rsidRDefault="00AC0124" w:rsidP="00AC0124">
            <w:pPr>
              <w:spacing w:after="0" w:line="240" w:lineRule="auto"/>
              <w:jc w:val="right"/>
              <w:rPr>
                <w:rFonts w:ascii="Calibri" w:eastAsia="Times New Roman" w:hAnsi="Calibri" w:cs="Calibri"/>
                <w:color w:val="000000"/>
                <w:lang w:eastAsia="nb-NO"/>
              </w:rPr>
            </w:pPr>
            <w:r w:rsidRPr="00422245">
              <w:rPr>
                <w:rFonts w:ascii="Calibri" w:eastAsia="Times New Roman" w:hAnsi="Calibri" w:cs="Calibri"/>
                <w:color w:val="000000"/>
                <w:lang w:eastAsia="nb-NO"/>
              </w:rPr>
              <w:t>0,06</w:t>
            </w:r>
          </w:p>
        </w:tc>
        <w:tc>
          <w:tcPr>
            <w:tcW w:w="1374" w:type="dxa"/>
            <w:tcBorders>
              <w:top w:val="nil"/>
              <w:left w:val="nil"/>
              <w:bottom w:val="nil"/>
              <w:right w:val="nil"/>
            </w:tcBorders>
            <w:shd w:val="clear" w:color="auto" w:fill="auto"/>
            <w:noWrap/>
            <w:vAlign w:val="bottom"/>
            <w:hideMark/>
          </w:tcPr>
          <w:p w14:paraId="60C40572" w14:textId="77777777" w:rsidR="00AC0124" w:rsidRPr="00422245" w:rsidRDefault="00AC0124" w:rsidP="00AC0124">
            <w:pPr>
              <w:spacing w:after="0" w:line="240" w:lineRule="auto"/>
              <w:jc w:val="right"/>
              <w:rPr>
                <w:rFonts w:ascii="Calibri" w:eastAsia="Times New Roman" w:hAnsi="Calibri" w:cs="Calibri"/>
                <w:color w:val="000000"/>
                <w:lang w:eastAsia="nb-NO"/>
              </w:rPr>
            </w:pPr>
          </w:p>
        </w:tc>
      </w:tr>
    </w:tbl>
    <w:p w14:paraId="1530693C" w14:textId="77777777" w:rsidR="00AC0124" w:rsidRPr="00422245" w:rsidRDefault="00AC0124" w:rsidP="00F15018"/>
    <w:p w14:paraId="65AE6018" w14:textId="77777777" w:rsidR="00AC0124" w:rsidRPr="00422245" w:rsidRDefault="00AC0124" w:rsidP="00F15018"/>
    <w:p w14:paraId="3B3D80EB" w14:textId="48E4F9A9" w:rsidR="001061A8" w:rsidRPr="00422245" w:rsidRDefault="001061A8" w:rsidP="001061A8">
      <w:pPr>
        <w:pStyle w:val="Bildetekst"/>
        <w:keepNext/>
      </w:pPr>
    </w:p>
    <w:p w14:paraId="7A34285C" w14:textId="77777777" w:rsidR="00BD7802" w:rsidRPr="00422245" w:rsidRDefault="00BD7802">
      <w:pPr>
        <w:rPr>
          <w:rFonts w:asciiTheme="majorHAnsi" w:eastAsiaTheme="majorEastAsia" w:hAnsiTheme="majorHAnsi" w:cstheme="majorBidi"/>
          <w:b/>
          <w:bCs/>
          <w:sz w:val="32"/>
          <w:szCs w:val="32"/>
        </w:rPr>
      </w:pPr>
      <w:bookmarkStart w:id="184" w:name="_Toc158968350"/>
      <w:bookmarkStart w:id="185" w:name="_Ref161734633"/>
      <w:r w:rsidRPr="00422245">
        <w:br w:type="page"/>
      </w:r>
    </w:p>
    <w:p w14:paraId="4621532D" w14:textId="46CE7A3C" w:rsidR="00F745DC" w:rsidRPr="00422245" w:rsidRDefault="00F745DC" w:rsidP="008F4E20">
      <w:pPr>
        <w:pStyle w:val="Overskrift1"/>
        <w:spacing w:after="168"/>
      </w:pPr>
      <w:bookmarkStart w:id="186" w:name="_Ref163386556"/>
      <w:bookmarkStart w:id="187" w:name="_Toc163488451"/>
      <w:r w:rsidRPr="00422245">
        <w:lastRenderedPageBreak/>
        <w:t>Personal og økonomi</w:t>
      </w:r>
      <w:bookmarkEnd w:id="184"/>
      <w:bookmarkEnd w:id="185"/>
      <w:bookmarkEnd w:id="186"/>
      <w:bookmarkEnd w:id="187"/>
    </w:p>
    <w:p w14:paraId="4F2D1010" w14:textId="54C6F81E" w:rsidR="004B6A5E" w:rsidRPr="00422245" w:rsidRDefault="004B6A5E" w:rsidP="004B6A5E"/>
    <w:p w14:paraId="016E8149" w14:textId="71024420" w:rsidR="00C92C9B" w:rsidRPr="00422245" w:rsidRDefault="00C92C9B" w:rsidP="00F378EF">
      <w:pPr>
        <w:pStyle w:val="Overskrift2"/>
      </w:pPr>
      <w:bookmarkStart w:id="188" w:name="_Toc158968352"/>
      <w:bookmarkStart w:id="189" w:name="_Ref161159324"/>
      <w:bookmarkStart w:id="190" w:name="_Ref161161387"/>
      <w:bookmarkStart w:id="191" w:name="_Ref161161393"/>
      <w:bookmarkStart w:id="192" w:name="_Toc163488452"/>
      <w:r w:rsidRPr="00422245">
        <w:t>Finansielle ressurser</w:t>
      </w:r>
      <w:bookmarkEnd w:id="188"/>
      <w:bookmarkEnd w:id="189"/>
      <w:bookmarkEnd w:id="190"/>
      <w:bookmarkEnd w:id="191"/>
      <w:bookmarkEnd w:id="192"/>
    </w:p>
    <w:p w14:paraId="54FACE09" w14:textId="5233E69B" w:rsidR="00BC3A3F" w:rsidRPr="00422245" w:rsidRDefault="00C87CFA" w:rsidP="00F07635">
      <w:r w:rsidRPr="00422245">
        <w:t xml:space="preserve">I 2023 rapporterte universiteter og høyskoler samlede driftsinntekter på 60,6 milliarder kroner. Dette markerer et skifte etter en periode med kontinuerlig vekst, både i nominelle tall og etter justering for </w:t>
      </w:r>
      <w:r w:rsidR="00597DFA" w:rsidRPr="00422245">
        <w:t>prisstigning</w:t>
      </w:r>
      <w:r w:rsidRPr="00422245">
        <w:t xml:space="preserve">. De prisjusterte driftsinntektene til institusjonene har, etter å ha steget jevnt fra 2014 til 2021, opplevd en nedgang de to siste årene. </w:t>
      </w:r>
      <w:r w:rsidR="008B3753">
        <w:t xml:space="preserve">Fra 2014 til 2021 økte </w:t>
      </w:r>
      <w:r w:rsidR="00635CDD">
        <w:t xml:space="preserve">finansieringen med </w:t>
      </w:r>
      <w:r w:rsidR="00217876">
        <w:t>17</w:t>
      </w:r>
      <w:r w:rsidRPr="00422245">
        <w:t xml:space="preserve">,5 prosent </w:t>
      </w:r>
      <w:r w:rsidR="0011640E">
        <w:t>målt</w:t>
      </w:r>
      <w:r w:rsidRPr="00422245">
        <w:t xml:space="preserve"> i faste kroner</w:t>
      </w:r>
      <w:r w:rsidR="0011640E">
        <w:t>.</w:t>
      </w:r>
      <w:r w:rsidRPr="00422245">
        <w:t xml:space="preserve"> Imidlertid viste både 2022 og 2023 en reduksjon i driftsinntektene sammenlignet med foregående år</w:t>
      </w:r>
      <w:r w:rsidR="00AB5C9D">
        <w:t xml:space="preserve"> målt på samme måte</w:t>
      </w:r>
      <w:r w:rsidR="005973A6" w:rsidRPr="00422245">
        <w:t xml:space="preserve">. Nedgangen etter 2021 kan trolig delvis forklares med den ekstraordinære situasjonen under pandemien med rekordhøye studenttall og en rekke tidsavgrensede pandemitiltak. </w:t>
      </w:r>
    </w:p>
    <w:p w14:paraId="60BE1928" w14:textId="77777777" w:rsidR="00D627B2" w:rsidRPr="00422245" w:rsidRDefault="00D627B2" w:rsidP="00D627B2">
      <w:r w:rsidRPr="00422245">
        <w:t>Målt som andel av statsbudsjettet endret tilskudd til universiteter og høyskoler seg lite mellom 2014 og 2022. I både 2014 og 2022 representerte tilskuddene til universiteter og høyskoler 2,73 prosent av utgiftene på statsbudsjettet. I 2023 sank derimot denne utgiftspostens andel til 2,55 prosent av statsbudsjettet, det laveste nivået for tiårsperioden.</w:t>
      </w:r>
    </w:p>
    <w:p w14:paraId="3B13618C" w14:textId="763274DC" w:rsidR="00BB26EF" w:rsidRDefault="00622EF9" w:rsidP="00D627B2">
      <w:r w:rsidRPr="00422245">
        <w:fldChar w:fldCharType="begin"/>
      </w:r>
      <w:r w:rsidRPr="00422245">
        <w:instrText xml:space="preserve"> REF _Ref161131392 \h </w:instrText>
      </w:r>
      <w:r w:rsidRPr="00422245">
        <w:fldChar w:fldCharType="separate"/>
      </w:r>
      <w:r w:rsidR="00C1411D" w:rsidRPr="00422245">
        <w:t xml:space="preserve">Figur </w:t>
      </w:r>
      <w:r w:rsidR="008861B8">
        <w:rPr>
          <w:noProof/>
        </w:rPr>
        <w:t>9</w:t>
      </w:r>
      <w:r w:rsidR="005B096E">
        <w:noBreakHyphen/>
      </w:r>
      <w:r w:rsidR="00C1411D" w:rsidRPr="00422245">
        <w:t>1</w:t>
      </w:r>
      <w:r w:rsidRPr="00422245">
        <w:fldChar w:fldCharType="end"/>
      </w:r>
      <w:r w:rsidRPr="00422245">
        <w:t xml:space="preserve"> viser driftsinntektene til universiteter og høyskoler 2014</w:t>
      </w:r>
      <w:r w:rsidRPr="00422245">
        <w:softHyphen/>
      </w:r>
      <w:r w:rsidRPr="00422245">
        <w:softHyphen/>
        <w:t>–2023</w:t>
      </w:r>
      <w:r w:rsidRPr="00422245">
        <w:softHyphen/>
        <w:t xml:space="preserve"> fordelt på hovedinntektskilder</w:t>
      </w:r>
      <w:r w:rsidR="00424596" w:rsidRPr="00422245">
        <w:t xml:space="preserve">, mens tabell V4.1 viser </w:t>
      </w:r>
      <w:r w:rsidR="00A50EC9" w:rsidRPr="00422245">
        <w:t xml:space="preserve">utviklingen i </w:t>
      </w:r>
      <w:r w:rsidR="0028695B" w:rsidRPr="00422245">
        <w:t xml:space="preserve">samme periode </w:t>
      </w:r>
      <w:r w:rsidR="00F57DD0" w:rsidRPr="00422245">
        <w:t xml:space="preserve">på institusjonsnivå. </w:t>
      </w:r>
      <w:r w:rsidR="00AB79FA" w:rsidRPr="00422245">
        <w:t>For de statlige ins</w:t>
      </w:r>
      <w:r w:rsidR="00AE3CCD" w:rsidRPr="00422245">
        <w:t>titusjonene viser siste tiårsperiode en svak nedgang</w:t>
      </w:r>
      <w:r w:rsidR="00E01F0B" w:rsidRPr="00422245">
        <w:t xml:space="preserve"> i </w:t>
      </w:r>
      <w:r w:rsidR="00614D42" w:rsidRPr="00422245">
        <w:t xml:space="preserve">statlige bevilgningers andel av den samlede finansieringen. </w:t>
      </w:r>
      <w:r w:rsidR="000519C5" w:rsidRPr="00422245">
        <w:t xml:space="preserve">De to siste </w:t>
      </w:r>
      <w:r w:rsidR="0021028C" w:rsidRPr="00422245">
        <w:t xml:space="preserve">årene har </w:t>
      </w:r>
      <w:r w:rsidR="000546CD" w:rsidRPr="00422245">
        <w:t xml:space="preserve">statlige bevilgninger </w:t>
      </w:r>
      <w:r w:rsidR="00594670" w:rsidRPr="00422245">
        <w:t xml:space="preserve">utgjort </w:t>
      </w:r>
      <w:r w:rsidR="002113F2" w:rsidRPr="00422245">
        <w:t>77 pros</w:t>
      </w:r>
      <w:r w:rsidR="004F3515" w:rsidRPr="00422245">
        <w:t xml:space="preserve">ent av </w:t>
      </w:r>
      <w:r w:rsidR="001D1F80" w:rsidRPr="00422245">
        <w:t xml:space="preserve">statlige institusjoners driftsinntekter. </w:t>
      </w:r>
      <w:r w:rsidR="00950BD6" w:rsidRPr="00422245">
        <w:t xml:space="preserve">Den inntektskilden som har økt relativt sett mest både siste år </w:t>
      </w:r>
      <w:r w:rsidR="00515618" w:rsidRPr="00422245">
        <w:t xml:space="preserve">og siste fem år, er </w:t>
      </w:r>
      <w:r w:rsidR="00BC7880" w:rsidRPr="00422245">
        <w:t>finansiering fra EU</w:t>
      </w:r>
      <w:r w:rsidR="007A0B60" w:rsidRPr="00422245">
        <w:t>.</w:t>
      </w:r>
      <w:r w:rsidR="0074377F" w:rsidRPr="00422245">
        <w:t xml:space="preserve"> I nominelle beløp</w:t>
      </w:r>
      <w:r w:rsidR="00490B18" w:rsidRPr="00422245">
        <w:t xml:space="preserve"> </w:t>
      </w:r>
      <w:r w:rsidR="009C661F" w:rsidRPr="00422245">
        <w:t>ble finans</w:t>
      </w:r>
      <w:r w:rsidR="00CC019C" w:rsidRPr="00422245">
        <w:t xml:space="preserve">ieringen fra EU doblet </w:t>
      </w:r>
      <w:r w:rsidR="005F37F7" w:rsidRPr="00422245">
        <w:t>i perioden 2028–2023.</w:t>
      </w:r>
      <w:r w:rsidR="002332BF" w:rsidRPr="00422245">
        <w:t xml:space="preserve"> Utgangspunktet var imidlertid lavt</w:t>
      </w:r>
      <w:r w:rsidR="003B36F6" w:rsidRPr="00422245">
        <w:t xml:space="preserve">, og </w:t>
      </w:r>
      <w:r w:rsidR="008272E1" w:rsidRPr="00422245">
        <w:t xml:space="preserve">samlet sett utgjorde slik finansiering </w:t>
      </w:r>
      <w:r w:rsidR="004F4EA7" w:rsidRPr="00422245">
        <w:t xml:space="preserve">også i 2023 bare to prosent av </w:t>
      </w:r>
      <w:r w:rsidR="00B94696" w:rsidRPr="00422245">
        <w:t>de samlede driftsinntektene til de statlige institusjonene.</w:t>
      </w:r>
    </w:p>
    <w:p w14:paraId="3A9C6787" w14:textId="01A234A7" w:rsidR="00984EF1" w:rsidRPr="00422245" w:rsidRDefault="00984EF1" w:rsidP="00D627B2">
      <w:r w:rsidRPr="00984EF1">
        <w:t>https://vedlegg.hkdir.no/MichaelRev/2024/figur/V9.1</w:t>
      </w:r>
    </w:p>
    <w:p w14:paraId="55F4073C" w14:textId="77777777" w:rsidR="00AB2E71" w:rsidRPr="00422245" w:rsidRDefault="00AB2E71" w:rsidP="00D627B2"/>
    <w:p w14:paraId="11AB5765" w14:textId="77777777" w:rsidR="00AB2E71" w:rsidRPr="00422245" w:rsidRDefault="00AB2E71" w:rsidP="00D627B2"/>
    <w:p w14:paraId="461AA24A" w14:textId="4683E775" w:rsidR="00AB2E71" w:rsidRPr="00422245" w:rsidRDefault="00AB2E71" w:rsidP="00AB2E71">
      <w:pPr>
        <w:pStyle w:val="Bildetekst"/>
        <w:keepNext/>
      </w:pPr>
      <w:bookmarkStart w:id="193" w:name="_Ref161131392"/>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w:t>
      </w:r>
      <w:r w:rsidR="006E1D94">
        <w:fldChar w:fldCharType="end"/>
      </w:r>
      <w:bookmarkEnd w:id="193"/>
      <w:r w:rsidRPr="00422245">
        <w:t xml:space="preserve"> Finansielle ressurser universiteter og høyskoler 2014–23. 1000 kr</w:t>
      </w:r>
      <w:r w:rsidR="00186371" w:rsidRPr="00422245">
        <w:t>. Prisjustert (</w:t>
      </w:r>
      <w:r w:rsidR="00092E77" w:rsidRPr="00422245">
        <w:t>2023-kroner)</w:t>
      </w:r>
    </w:p>
    <w:p w14:paraId="06D0D404" w14:textId="77777777" w:rsidR="00AB2E71" w:rsidRPr="00422245" w:rsidRDefault="00AB2E71" w:rsidP="00AB2E71">
      <w:r w:rsidRPr="00422245">
        <w:rPr>
          <w:noProof/>
        </w:rPr>
        <w:drawing>
          <wp:inline distT="0" distB="0" distL="0" distR="0" wp14:anchorId="14625CD8" wp14:editId="1C909793">
            <wp:extent cx="5731510" cy="3623310"/>
            <wp:effectExtent l="0" t="0" r="2540" b="15240"/>
            <wp:docPr id="286780648" name="Diagram 1">
              <a:extLst xmlns:a="http://schemas.openxmlformats.org/drawingml/2006/main">
                <a:ext uri="{FF2B5EF4-FFF2-40B4-BE49-F238E27FC236}">
                  <a16:creationId xmlns:a16="http://schemas.microsoft.com/office/drawing/2014/main" id="{78A6589C-838C-E6FB-5C0A-F0694F929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E66AA57" w14:textId="3D6945CE" w:rsidR="00283B6B" w:rsidRPr="00283B6B" w:rsidRDefault="00283B6B" w:rsidP="00283B6B">
      <w:pPr>
        <w:pStyle w:val="Kilde"/>
      </w:pPr>
      <w:r w:rsidRPr="004E373E">
        <w:rPr>
          <w:b/>
        </w:rPr>
        <w:t>Kilde</w:t>
      </w:r>
      <w:r w:rsidRPr="00283B6B">
        <w:t>: DBH</w:t>
      </w:r>
    </w:p>
    <w:p w14:paraId="310C6868" w14:textId="0C26DFD0" w:rsidR="00563317" w:rsidRPr="00422245" w:rsidRDefault="0023101E" w:rsidP="00D627B2">
      <w:r w:rsidRPr="00422245">
        <w:t>De</w:t>
      </w:r>
      <w:r w:rsidR="000514B1" w:rsidRPr="00422245">
        <w:t xml:space="preserve"> </w:t>
      </w:r>
      <w:r w:rsidR="00C76885" w:rsidRPr="00422245">
        <w:t xml:space="preserve">økonomisk sett viktigste finansieringskildene etter statstilskuddet er </w:t>
      </w:r>
      <w:r w:rsidR="00AB42A9" w:rsidRPr="00422245">
        <w:t xml:space="preserve">forskningsfinansiering fra Forskningsrådet </w:t>
      </w:r>
      <w:r w:rsidR="00BE1717" w:rsidRPr="00422245">
        <w:t xml:space="preserve">(8 prosent) og </w:t>
      </w:r>
      <w:r w:rsidR="00EF3CCF" w:rsidRPr="00422245">
        <w:t>virks</w:t>
      </w:r>
      <w:r w:rsidR="009C22F9" w:rsidRPr="00422245">
        <w:t>omhet som samles i posten «ann</w:t>
      </w:r>
      <w:r w:rsidR="00BE24B5" w:rsidRPr="00422245">
        <w:t>en bidrags- og oppdragsfinansiert virksomhet</w:t>
      </w:r>
      <w:r w:rsidR="00BB26EF" w:rsidRPr="00422245">
        <w:t>» (</w:t>
      </w:r>
      <w:r w:rsidR="008A055A" w:rsidRPr="00422245">
        <w:t xml:space="preserve">9 prosent). </w:t>
      </w:r>
      <w:r w:rsidR="000630E0" w:rsidRPr="00422245">
        <w:t>K</w:t>
      </w:r>
      <w:r w:rsidR="00D7544A" w:rsidRPr="00422245">
        <w:t>apittel</w:t>
      </w:r>
      <w:r w:rsidR="007A0B60" w:rsidRPr="00422245">
        <w:t xml:space="preserve"> </w:t>
      </w:r>
      <w:r w:rsidR="007A0B60" w:rsidRPr="00422245">
        <w:fldChar w:fldCharType="begin"/>
      </w:r>
      <w:r w:rsidR="007A0B60" w:rsidRPr="00422245">
        <w:instrText xml:space="preserve"> REF _Ref161145859 \r \h </w:instrText>
      </w:r>
      <w:r w:rsidR="007A0B60" w:rsidRPr="00422245">
        <w:fldChar w:fldCharType="separate"/>
      </w:r>
      <w:r w:rsidR="00D14B8F">
        <w:t>.</w:t>
      </w:r>
      <w:r w:rsidR="007A0B60" w:rsidRPr="00422245">
        <w:t>4</w:t>
      </w:r>
      <w:r w:rsidR="007A0B60" w:rsidRPr="00422245">
        <w:fldChar w:fldCharType="end"/>
      </w:r>
      <w:r w:rsidR="007A0B60" w:rsidRPr="00422245">
        <w:t xml:space="preserve"> </w:t>
      </w:r>
      <w:r w:rsidR="000630E0" w:rsidRPr="00422245">
        <w:t xml:space="preserve">viste at det er store forskjeller mellom institusjonene i </w:t>
      </w:r>
      <w:r w:rsidR="009F1FE7" w:rsidRPr="00422245">
        <w:t xml:space="preserve">hvor mye </w:t>
      </w:r>
      <w:r w:rsidR="00322805" w:rsidRPr="00422245">
        <w:t xml:space="preserve">finansiering de mottar fra </w:t>
      </w:r>
      <w:r w:rsidR="002B2623" w:rsidRPr="00422245">
        <w:t>Forskningsrådet</w:t>
      </w:r>
      <w:r w:rsidR="00322805" w:rsidRPr="00422245">
        <w:t xml:space="preserve">. </w:t>
      </w:r>
      <w:r w:rsidR="0056326E" w:rsidRPr="00422245">
        <w:t>Mens høyskolene HVO</w:t>
      </w:r>
      <w:r w:rsidR="00957B9B" w:rsidRPr="00422245">
        <w:t>,</w:t>
      </w:r>
      <w:r w:rsidR="0056326E" w:rsidRPr="00422245">
        <w:t xml:space="preserve"> HiØ</w:t>
      </w:r>
      <w:r w:rsidR="00957B9B" w:rsidRPr="00422245">
        <w:t xml:space="preserve"> og HINN</w:t>
      </w:r>
      <w:r w:rsidR="00AB0E9A" w:rsidRPr="00422245">
        <w:t xml:space="preserve"> mottok henholdsvis 0</w:t>
      </w:r>
      <w:r w:rsidR="00957B9B" w:rsidRPr="00422245">
        <w:t xml:space="preserve">, </w:t>
      </w:r>
      <w:r w:rsidR="00AB0E9A" w:rsidRPr="00422245">
        <w:t>1</w:t>
      </w:r>
      <w:r w:rsidR="00957B9B" w:rsidRPr="00422245">
        <w:t xml:space="preserve"> og 2</w:t>
      </w:r>
      <w:r w:rsidR="00AB0E9A" w:rsidRPr="00422245">
        <w:t xml:space="preserve"> prosent av drifts</w:t>
      </w:r>
      <w:r w:rsidR="002E72F8" w:rsidRPr="00422245">
        <w:t xml:space="preserve">inntektene fra Forskningsrådet, </w:t>
      </w:r>
      <w:r w:rsidR="007E0B9F" w:rsidRPr="00422245">
        <w:t xml:space="preserve">var tilsvarende tall for UiB, </w:t>
      </w:r>
      <w:r w:rsidR="0098583C" w:rsidRPr="00422245">
        <w:t xml:space="preserve">NMBU, NTNU og UiO </w:t>
      </w:r>
      <w:r w:rsidR="00084B53" w:rsidRPr="00422245">
        <w:t xml:space="preserve">mellom 10 og 13 prosent. </w:t>
      </w:r>
      <w:r w:rsidR="00D255D4" w:rsidRPr="00422245">
        <w:t xml:space="preserve">Av de store, statlige breddeinstitusjonene </w:t>
      </w:r>
      <w:r w:rsidR="009A5089" w:rsidRPr="00422245">
        <w:t>ligger UiT og UiS i en mellomposisjon med henholdsvis 6 og 7 prosent.</w:t>
      </w:r>
    </w:p>
    <w:p w14:paraId="1B78524E" w14:textId="0787C29E" w:rsidR="00012FF2" w:rsidRPr="00422245" w:rsidRDefault="00E520A5" w:rsidP="00D627B2">
      <w:pPr>
        <w:rPr>
          <w:b/>
          <w:bCs/>
        </w:rPr>
      </w:pPr>
      <w:r w:rsidRPr="00422245">
        <w:rPr>
          <w:b/>
          <w:bCs/>
        </w:rPr>
        <w:t>Synkende bidragsinntekter fra næringslivet</w:t>
      </w:r>
    </w:p>
    <w:p w14:paraId="4895E451" w14:textId="485261A2" w:rsidR="00D21D13" w:rsidRPr="00422245" w:rsidRDefault="00916960" w:rsidP="00D627B2">
      <w:r w:rsidRPr="00422245">
        <w:t>En del av institusjonenes inntekter kommer fra an</w:t>
      </w:r>
      <w:r w:rsidR="001104A9" w:rsidRPr="00422245">
        <w:t xml:space="preserve">nen bidrags- og oppdragsfinansiert virksomhet («andre </w:t>
      </w:r>
      <w:r w:rsidR="0064765D" w:rsidRPr="00422245">
        <w:t>BOA</w:t>
      </w:r>
      <w:r w:rsidR="001104A9" w:rsidRPr="00422245">
        <w:t xml:space="preserve">-inntekter»). </w:t>
      </w:r>
      <w:r w:rsidR="009119BA" w:rsidRPr="00422245">
        <w:t xml:space="preserve">Som indikator kan denne være ett uttrykk for institusjonenes samspill med samfunnet. </w:t>
      </w:r>
      <w:r w:rsidR="0064765D" w:rsidRPr="00422245">
        <w:t xml:space="preserve">I andre BOA-inntekter inngår midler til både utdanning og FoU fra et bredt spekter av kilder og samarbeidspartnere i privat næringsliv, offentlig sektor og frivillige organisasjoner. </w:t>
      </w:r>
    </w:p>
    <w:p w14:paraId="2EC4ACA8" w14:textId="49EEF491" w:rsidR="009A5089" w:rsidRPr="00422245" w:rsidRDefault="009E25C2" w:rsidP="00D627B2">
      <w:r w:rsidRPr="00422245">
        <w:lastRenderedPageBreak/>
        <w:t>Mens</w:t>
      </w:r>
      <w:r w:rsidR="00FB2402" w:rsidRPr="00422245">
        <w:t xml:space="preserve"> forskjeller i</w:t>
      </w:r>
      <w:r w:rsidRPr="00422245">
        <w:t xml:space="preserve"> finansiering</w:t>
      </w:r>
      <w:r w:rsidR="00FB2402" w:rsidRPr="00422245">
        <w:t xml:space="preserve"> fra Forskningsrådet tydelig reflekterer det institusjonsvise mønsteret vi så i kapittel </w:t>
      </w:r>
      <w:r w:rsidR="00FB2402" w:rsidRPr="00422245">
        <w:fldChar w:fldCharType="begin"/>
      </w:r>
      <w:r w:rsidR="00FB2402" w:rsidRPr="00422245">
        <w:instrText xml:space="preserve"> REF _Ref158191115 \r \h </w:instrText>
      </w:r>
      <w:r w:rsidR="00000000">
        <w:fldChar w:fldCharType="separate"/>
      </w:r>
      <w:r w:rsidR="00FB2402" w:rsidRPr="00422245">
        <w:fldChar w:fldCharType="end"/>
      </w:r>
      <w:r w:rsidR="00FB2402" w:rsidRPr="00422245">
        <w:t xml:space="preserve">, </w:t>
      </w:r>
      <w:r w:rsidR="003E6AE1" w:rsidRPr="00422245">
        <w:t>sammenfaller ikke forskjellene i «</w:t>
      </w:r>
      <w:r w:rsidR="00CD3CC9" w:rsidRPr="00422245">
        <w:t>andre</w:t>
      </w:r>
      <w:r w:rsidR="00FC4FE8" w:rsidRPr="00422245">
        <w:t xml:space="preserve"> </w:t>
      </w:r>
      <w:r w:rsidR="00D14B8F">
        <w:t>BOA</w:t>
      </w:r>
      <w:r w:rsidR="00FC4FE8" w:rsidRPr="00422245">
        <w:t>-inntekter</w:t>
      </w:r>
      <w:r w:rsidR="00CD3CC9" w:rsidRPr="00422245">
        <w:t>»</w:t>
      </w:r>
      <w:r w:rsidR="002428B3" w:rsidRPr="00422245">
        <w:t xml:space="preserve"> m</w:t>
      </w:r>
      <w:r w:rsidR="002050F3" w:rsidRPr="00422245">
        <w:t xml:space="preserve">ed systematiske </w:t>
      </w:r>
      <w:r w:rsidR="00C812B2" w:rsidRPr="00422245">
        <w:t>skiller</w:t>
      </w:r>
      <w:r w:rsidR="002050F3" w:rsidRPr="00422245">
        <w:t xml:space="preserve"> mellom institusjonene. </w:t>
      </w:r>
      <w:r w:rsidR="00CE3D4F" w:rsidRPr="00422245">
        <w:t>Blant de statlige institusjonen</w:t>
      </w:r>
      <w:r w:rsidR="0013238E" w:rsidRPr="00422245">
        <w:t>e har</w:t>
      </w:r>
      <w:r w:rsidR="004B6CD9" w:rsidRPr="00422245">
        <w:t xml:space="preserve"> SH </w:t>
      </w:r>
      <w:r w:rsidR="0013238E" w:rsidRPr="00422245">
        <w:t xml:space="preserve">høyeste andel andre </w:t>
      </w:r>
      <w:r w:rsidR="00D14B8F">
        <w:t>BOA</w:t>
      </w:r>
      <w:r w:rsidR="0013238E" w:rsidRPr="00422245">
        <w:t>-inntekter med 17 prosent</w:t>
      </w:r>
      <w:r w:rsidR="00CF1B14" w:rsidRPr="00422245">
        <w:t xml:space="preserve">, mens </w:t>
      </w:r>
      <w:r w:rsidR="00A95DAD" w:rsidRPr="00422245">
        <w:t xml:space="preserve">andelen ved HiM </w:t>
      </w:r>
      <w:r w:rsidR="000547AA" w:rsidRPr="00422245">
        <w:t>var bare 2 prosent.</w:t>
      </w:r>
      <w:r w:rsidR="00C57D24" w:rsidRPr="00422245">
        <w:t xml:space="preserve"> </w:t>
      </w:r>
      <w:r w:rsidR="0039094F" w:rsidRPr="00422245">
        <w:t xml:space="preserve">Ellers er forskjellene </w:t>
      </w:r>
      <w:r w:rsidR="003B6F6A" w:rsidRPr="00422245">
        <w:t>blant de større, statlige institusjonene relativt små</w:t>
      </w:r>
      <w:r w:rsidR="00663DB6" w:rsidRPr="00422245">
        <w:t xml:space="preserve">. </w:t>
      </w:r>
      <w:r w:rsidR="00086CFF" w:rsidRPr="00422245">
        <w:t>Ved d</w:t>
      </w:r>
      <w:r w:rsidR="00432B01" w:rsidRPr="00422245">
        <w:t xml:space="preserve">e fleste </w:t>
      </w:r>
      <w:r w:rsidR="00D14B8F">
        <w:t>av disse</w:t>
      </w:r>
      <w:r w:rsidR="00432B01" w:rsidRPr="00422245">
        <w:t xml:space="preserve"> institusjonene </w:t>
      </w:r>
      <w:r w:rsidR="00086CFF" w:rsidRPr="00422245">
        <w:t xml:space="preserve">utgjør denne type inntekter mellom </w:t>
      </w:r>
      <w:r w:rsidR="002026BF" w:rsidRPr="00422245">
        <w:t xml:space="preserve">6 og 10 prosent. </w:t>
      </w:r>
      <w:r w:rsidR="00A42468" w:rsidRPr="00422245">
        <w:fldChar w:fldCharType="begin"/>
      </w:r>
      <w:r w:rsidR="00A42468" w:rsidRPr="00422245">
        <w:instrText xml:space="preserve"> REF _Ref161153622 \h </w:instrText>
      </w:r>
      <w:r w:rsidR="00A42468" w:rsidRPr="00422245">
        <w:fldChar w:fldCharType="separate"/>
      </w:r>
      <w:r w:rsidR="008E121C" w:rsidRPr="00422245">
        <w:t xml:space="preserve">Figur </w:t>
      </w:r>
      <w:r w:rsidR="008E121C">
        <w:rPr>
          <w:noProof/>
        </w:rPr>
        <w:t>9</w:t>
      </w:r>
      <w:r w:rsidR="008E121C">
        <w:noBreakHyphen/>
      </w:r>
      <w:r w:rsidR="008E121C">
        <w:rPr>
          <w:noProof/>
        </w:rPr>
        <w:t>2</w:t>
      </w:r>
      <w:r w:rsidR="00A42468" w:rsidRPr="00422245">
        <w:fldChar w:fldCharType="end"/>
      </w:r>
      <w:r w:rsidR="00A42468" w:rsidRPr="00422245">
        <w:t xml:space="preserve"> viser</w:t>
      </w:r>
      <w:r w:rsidR="009A56A4" w:rsidRPr="00422245">
        <w:t xml:space="preserve"> de statlige</w:t>
      </w:r>
      <w:r w:rsidR="00A42468" w:rsidRPr="00422245">
        <w:t xml:space="preserve"> </w:t>
      </w:r>
      <w:r w:rsidR="00BE1395" w:rsidRPr="00422245">
        <w:t xml:space="preserve">institusjonenes andre bidrags- og oppdragsinntekter </w:t>
      </w:r>
      <w:r w:rsidR="009A56A4" w:rsidRPr="00422245">
        <w:t>per faglige årsverk.</w:t>
      </w:r>
      <w:r w:rsidR="00C85701" w:rsidRPr="00422245">
        <w:t xml:space="preserve"> Tabell V3.24 viser </w:t>
      </w:r>
      <w:r w:rsidR="00E74B6E" w:rsidRPr="00422245">
        <w:t xml:space="preserve">tidsserie for både statlige og private institusjoner. </w:t>
      </w:r>
    </w:p>
    <w:p w14:paraId="40A97CA8" w14:textId="43F5484A" w:rsidR="005335FB" w:rsidRPr="00422245" w:rsidRDefault="005335FB" w:rsidP="005335FB">
      <w:pPr>
        <w:pStyle w:val="Bildetekst"/>
        <w:keepNext/>
      </w:pPr>
      <w:bookmarkStart w:id="194" w:name="_Ref161153622"/>
      <w:bookmarkStart w:id="195" w:name="_Ref161153617"/>
      <w:r w:rsidRPr="00422245">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2</w:t>
      </w:r>
      <w:r w:rsidR="006E1D94">
        <w:fldChar w:fldCharType="end"/>
      </w:r>
      <w:bookmarkEnd w:id="194"/>
      <w:r w:rsidRPr="00422245">
        <w:t xml:space="preserve"> Andre bidrags- og oppdragsinntekter per faglig årsverk 2023, statlige institusjoner. 1000 kr</w:t>
      </w:r>
      <w:bookmarkEnd w:id="195"/>
    </w:p>
    <w:p w14:paraId="69A53816" w14:textId="31456D14" w:rsidR="00CB5013" w:rsidRPr="00422245" w:rsidRDefault="008850F5" w:rsidP="00F07635">
      <w:r w:rsidRPr="00422245">
        <w:rPr>
          <w:noProof/>
        </w:rPr>
        <w:drawing>
          <wp:inline distT="0" distB="0" distL="0" distR="0" wp14:anchorId="4F765FE5" wp14:editId="758AB3D8">
            <wp:extent cx="5731510" cy="3447415"/>
            <wp:effectExtent l="0" t="0" r="2540" b="635"/>
            <wp:docPr id="162348748" name="Diagram 1">
              <a:extLst xmlns:a="http://schemas.openxmlformats.org/drawingml/2006/main">
                <a:ext uri="{FF2B5EF4-FFF2-40B4-BE49-F238E27FC236}">
                  <a16:creationId xmlns:a16="http://schemas.microsoft.com/office/drawing/2014/main" id="{00000000-0008-0000-1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6C88A85" w14:textId="182E83A6" w:rsidR="00EF7B7D" w:rsidRPr="00422245" w:rsidRDefault="00EF7B7D" w:rsidP="00EF7B7D">
      <w:pPr>
        <w:pStyle w:val="Kilde"/>
      </w:pPr>
      <w:r w:rsidRPr="004E373E">
        <w:rPr>
          <w:b/>
        </w:rPr>
        <w:t>Kilde</w:t>
      </w:r>
      <w:r>
        <w:t>: DBH</w:t>
      </w:r>
    </w:p>
    <w:p w14:paraId="5DB0FE9A" w14:textId="58E985F9" w:rsidR="00C93E2F" w:rsidRPr="00422245" w:rsidRDefault="00AA0376" w:rsidP="00F07635">
      <w:r w:rsidRPr="00422245">
        <w:t>Tabell V</w:t>
      </w:r>
      <w:r w:rsidR="00FD1B2E" w:rsidRPr="00422245">
        <w:t xml:space="preserve">3.25 viser fordelingen av </w:t>
      </w:r>
      <w:r w:rsidR="006C1A07" w:rsidRPr="00422245">
        <w:t>andre BOA-inntekter fordelt på kilde for perioden</w:t>
      </w:r>
      <w:r w:rsidR="00283BB0" w:rsidRPr="00422245">
        <w:t xml:space="preserve"> 2014–2023.</w:t>
      </w:r>
      <w:r w:rsidR="001A2A39" w:rsidRPr="00422245">
        <w:t xml:space="preserve"> </w:t>
      </w:r>
      <w:r w:rsidR="00546A5C" w:rsidRPr="00422245">
        <w:t xml:space="preserve">Her er det en tydelig trend at </w:t>
      </w:r>
      <w:r w:rsidR="00060AAC" w:rsidRPr="00422245">
        <w:t>næringslivets andel av denne type finansier</w:t>
      </w:r>
      <w:r w:rsidR="003B324B" w:rsidRPr="00422245">
        <w:t>ing synker. I 2014 stod næringslivet for 22 prosent av</w:t>
      </w:r>
      <w:r w:rsidR="00682971" w:rsidRPr="00422245">
        <w:t xml:space="preserve"> slik finansiering, i 2018 var den redusert til </w:t>
      </w:r>
      <w:r w:rsidR="0085285C" w:rsidRPr="00422245">
        <w:t>18 prosent og i 2023 til 13 prosent.</w:t>
      </w:r>
    </w:p>
    <w:p w14:paraId="0BBDC25B" w14:textId="77777777" w:rsidR="00C93E2F" w:rsidRPr="00422245" w:rsidRDefault="00C93E2F" w:rsidP="00F07635"/>
    <w:p w14:paraId="278E4E6F" w14:textId="37291519" w:rsidR="00EC6233" w:rsidRPr="00422245" w:rsidRDefault="00EC6233" w:rsidP="00F07635"/>
    <w:p w14:paraId="5E784554" w14:textId="5EF61466" w:rsidR="0088669A" w:rsidRPr="00422245" w:rsidRDefault="004C5BB6" w:rsidP="00F07635">
      <w:pPr>
        <w:rPr>
          <w:b/>
          <w:bCs/>
        </w:rPr>
      </w:pPr>
      <w:r w:rsidRPr="00422245">
        <w:rPr>
          <w:b/>
          <w:bCs/>
        </w:rPr>
        <w:lastRenderedPageBreak/>
        <w:t>Stor variasjon blant private</w:t>
      </w:r>
    </w:p>
    <w:p w14:paraId="4ABD81BB" w14:textId="5542FA7D" w:rsidR="004C5BB6" w:rsidRPr="00422245" w:rsidRDefault="001E101E" w:rsidP="00F07635">
      <w:r w:rsidRPr="00422245">
        <w:t>Blant de private institusjonene er det store forskjeller i finansieringen</w:t>
      </w:r>
      <w:r w:rsidR="00AB1F1B" w:rsidRPr="00422245">
        <w:t>.</w:t>
      </w:r>
      <w:r w:rsidR="00B053B6" w:rsidRPr="00422245">
        <w:t xml:space="preserve"> For de private institusjoner samlet</w:t>
      </w:r>
      <w:r w:rsidR="000E463C" w:rsidRPr="00422245">
        <w:t xml:space="preserve"> utgj</w:t>
      </w:r>
      <w:r w:rsidR="00521F7F" w:rsidRPr="00422245">
        <w:t>orde statstilskuddet i 2023 43 prosent</w:t>
      </w:r>
      <w:r w:rsidR="00D76837" w:rsidRPr="00422245">
        <w:t xml:space="preserve"> av totale inntekter. Andelen </w:t>
      </w:r>
      <w:r w:rsidR="008251DE" w:rsidRPr="00422245">
        <w:t>er tilnærmet den samme som i 2014</w:t>
      </w:r>
      <w:r w:rsidR="0046234E" w:rsidRPr="00422245">
        <w:t>.</w:t>
      </w:r>
      <w:r w:rsidR="0030537D" w:rsidRPr="00422245">
        <w:t xml:space="preserve"> </w:t>
      </w:r>
      <w:r w:rsidR="000D4A86" w:rsidRPr="00422245">
        <w:t xml:space="preserve">I 2023 varierte andelen statstilskudd mellom institusjonen fra 24 prosent ved BI til </w:t>
      </w:r>
      <w:r w:rsidR="001911AC" w:rsidRPr="00422245">
        <w:t xml:space="preserve">90 prosent ved LDH. </w:t>
      </w:r>
      <w:r w:rsidR="00724B45" w:rsidRPr="00422245">
        <w:t xml:space="preserve">Institusjonene med lavt statstilskudd henter en </w:t>
      </w:r>
      <w:r w:rsidR="00713DFA" w:rsidRPr="00422245">
        <w:t>større del av inntektene fra studieavgifter, se nærmere om dette i neste kapittel.</w:t>
      </w:r>
    </w:p>
    <w:p w14:paraId="1EE3DE95" w14:textId="2A44EE19" w:rsidR="00713DFA" w:rsidRPr="00422245" w:rsidRDefault="00C2000A" w:rsidP="00F07635">
      <w:r w:rsidRPr="00422245">
        <w:t xml:space="preserve">Selv om finansieringsmønsteret blant de private på sektornivå har endret seg lite over tid, er det betydelige endringer for enkeltinstitusjoner. </w:t>
      </w:r>
      <w:r w:rsidR="00ED36FE" w:rsidRPr="00422245">
        <w:t>For den største av institusjonene, BI</w:t>
      </w:r>
      <w:r w:rsidR="00A66C0C">
        <w:t>,</w:t>
      </w:r>
      <w:r w:rsidR="00ED36FE" w:rsidRPr="00422245">
        <w:t xml:space="preserve"> har statstilskuddets andel økt fra </w:t>
      </w:r>
      <w:r w:rsidR="001934F9" w:rsidRPr="00422245">
        <w:t xml:space="preserve">18 til 24 prosent siden 2014. Tilsvarende har andelen til «andre inntekter», som for BIs del i hovedsak er studieavgifter, sunket fra </w:t>
      </w:r>
      <w:r w:rsidR="004871A6" w:rsidRPr="00422245">
        <w:t>79 til 69 prosent.</w:t>
      </w:r>
    </w:p>
    <w:p w14:paraId="2B610E12" w14:textId="03D3EE2A" w:rsidR="008A320F" w:rsidRPr="00422245" w:rsidRDefault="008A320F" w:rsidP="00F07635">
      <w:r w:rsidRPr="00422245">
        <w:t>Flertallet av de private institusjonene driver i liten grad med forskning</w:t>
      </w:r>
      <w:r w:rsidR="009C53C7" w:rsidRPr="00422245">
        <w:t xml:space="preserve">. Følgelig utgjør ekstern forskningsfinansiering </w:t>
      </w:r>
      <w:r w:rsidR="002A1F8F" w:rsidRPr="00422245">
        <w:t>samlet sett en mar</w:t>
      </w:r>
      <w:r w:rsidR="00EE5FD2" w:rsidRPr="00422245">
        <w:t xml:space="preserve">ginal </w:t>
      </w:r>
      <w:r w:rsidR="00623B95" w:rsidRPr="00422245">
        <w:t xml:space="preserve">del av inntektene i sektoren. </w:t>
      </w:r>
      <w:r w:rsidR="00A5615E" w:rsidRPr="00422245">
        <w:t xml:space="preserve">MF </w:t>
      </w:r>
      <w:r w:rsidR="00F61AEF" w:rsidRPr="00422245">
        <w:t xml:space="preserve">henter mest finansiering fra forskning, i 2023 hadde institusjonen </w:t>
      </w:r>
      <w:r w:rsidR="00CB7751" w:rsidRPr="00422245">
        <w:t xml:space="preserve">6 prosent av inntektene fra Forskningsrådet og 2 prosent fra </w:t>
      </w:r>
      <w:r w:rsidR="00060B04" w:rsidRPr="00422245">
        <w:t xml:space="preserve">EU-finansiering. </w:t>
      </w:r>
      <w:r w:rsidR="004D30C0" w:rsidRPr="00422245">
        <w:t xml:space="preserve">DMMH fikk 4 prosent av sine inntekter fra Forskningsrådet, mens tallet for både BI og </w:t>
      </w:r>
      <w:r w:rsidR="008E49B8" w:rsidRPr="00422245">
        <w:t>HK var 1 prosent.</w:t>
      </w:r>
    </w:p>
    <w:p w14:paraId="130FCC6A" w14:textId="26BA7313" w:rsidR="00143A4A" w:rsidRPr="00422245" w:rsidRDefault="00E81947" w:rsidP="00733A58">
      <w:pPr>
        <w:pStyle w:val="Overskrift2"/>
      </w:pPr>
      <w:bookmarkStart w:id="196" w:name="_Toc158968353"/>
      <w:bookmarkStart w:id="197" w:name="_Toc163488453"/>
      <w:r w:rsidRPr="00422245">
        <w:t>Studie- og eksamensavgifter ved private høyskoler</w:t>
      </w:r>
      <w:bookmarkEnd w:id="196"/>
      <w:bookmarkEnd w:id="197"/>
    </w:p>
    <w:p w14:paraId="1C868E62" w14:textId="007054A4" w:rsidR="00E81947" w:rsidRPr="00422245" w:rsidRDefault="00C66662" w:rsidP="00143A4A">
      <w:r w:rsidRPr="00422245">
        <w:t xml:space="preserve">Mens </w:t>
      </w:r>
      <w:r w:rsidR="008234AA" w:rsidRPr="00422245">
        <w:t>det ordinære studietilbudet ved statlige universiteter og høyskoler etter loven e</w:t>
      </w:r>
      <w:r w:rsidR="005D0213" w:rsidRPr="00422245">
        <w:t>r gratis for studentene</w:t>
      </w:r>
      <w:r w:rsidR="00B52E79" w:rsidRPr="00422245">
        <w:t xml:space="preserve">, kan private institusjoner kreve studieavgifter. </w:t>
      </w:r>
      <w:r w:rsidR="00447108" w:rsidRPr="00422245">
        <w:t xml:space="preserve">Som omtalt i kapittel </w:t>
      </w:r>
      <w:r w:rsidRPr="00422245">
        <w:fldChar w:fldCharType="begin"/>
      </w:r>
      <w:r w:rsidRPr="00422245">
        <w:instrText xml:space="preserve"> REF _Ref161159324 \r \h </w:instrText>
      </w:r>
      <w:r w:rsidRPr="00422245">
        <w:fldChar w:fldCharType="separate"/>
      </w:r>
      <w:r w:rsidR="003252AD">
        <w:t>9.1</w:t>
      </w:r>
      <w:r w:rsidRPr="00422245">
        <w:fldChar w:fldCharType="end"/>
      </w:r>
      <w:r w:rsidRPr="00422245">
        <w:t xml:space="preserve">, er </w:t>
      </w:r>
      <w:r w:rsidR="00B52E79" w:rsidRPr="00422245">
        <w:t xml:space="preserve">det stor forskjell i måten de private institusjonene er finansiert på </w:t>
      </w:r>
      <w:r w:rsidR="005E0584" w:rsidRPr="00422245">
        <w:t xml:space="preserve">og nivået på </w:t>
      </w:r>
      <w:r w:rsidR="00FF14A7" w:rsidRPr="00422245">
        <w:t xml:space="preserve">studieavgiftene </w:t>
      </w:r>
      <w:r w:rsidR="00701FAA" w:rsidRPr="00422245">
        <w:t xml:space="preserve">varierer kraftig mellom </w:t>
      </w:r>
      <w:r w:rsidR="00FF14A7" w:rsidRPr="00422245">
        <w:t>institusjonene.</w:t>
      </w:r>
      <w:r w:rsidR="00096E6E" w:rsidRPr="00422245">
        <w:t xml:space="preserve"> </w:t>
      </w:r>
      <w:r w:rsidR="00CF3566" w:rsidRPr="00422245">
        <w:fldChar w:fldCharType="begin"/>
      </w:r>
      <w:r w:rsidR="00CF3566" w:rsidRPr="00422245">
        <w:instrText xml:space="preserve"> REF _Ref161159678 \h </w:instrText>
      </w:r>
      <w:r w:rsidR="00CF3566" w:rsidRPr="00422245">
        <w:fldChar w:fldCharType="separate"/>
      </w:r>
      <w:r w:rsidR="0058603B" w:rsidRPr="00422245">
        <w:t xml:space="preserve">Figur </w:t>
      </w:r>
      <w:r w:rsidR="0058603B">
        <w:rPr>
          <w:noProof/>
        </w:rPr>
        <w:t>9</w:t>
      </w:r>
      <w:r w:rsidR="0058603B">
        <w:noBreakHyphen/>
      </w:r>
      <w:r w:rsidR="0058603B">
        <w:rPr>
          <w:noProof/>
        </w:rPr>
        <w:t>3</w:t>
      </w:r>
      <w:r w:rsidR="00CF3566" w:rsidRPr="00422245">
        <w:fldChar w:fldCharType="end"/>
      </w:r>
      <w:r w:rsidR="00CF3566" w:rsidRPr="00422245">
        <w:t xml:space="preserve"> viser </w:t>
      </w:r>
      <w:r w:rsidR="00E271A1" w:rsidRPr="00422245">
        <w:t xml:space="preserve">at nivået </w:t>
      </w:r>
      <w:r w:rsidR="00F3524B" w:rsidRPr="00422245">
        <w:t xml:space="preserve">på studie- og eksamensavgifter varierer </w:t>
      </w:r>
      <w:r w:rsidR="00E271A1" w:rsidRPr="00422245">
        <w:t>fra litt over 5 000 kro</w:t>
      </w:r>
      <w:r w:rsidR="00F3524B" w:rsidRPr="00422245">
        <w:t xml:space="preserve">ner </w:t>
      </w:r>
      <w:r w:rsidR="00BF77B3" w:rsidRPr="00422245">
        <w:t xml:space="preserve">ved DMMH til 88 000 ved HFDK. De to største institusjonene, som i 2023 til sammen hadde </w:t>
      </w:r>
      <w:r w:rsidR="00DE098F" w:rsidRPr="00422245">
        <w:t>73 prosent av studentene, hadde begge i overkant av 60 000 kroner i eksamens- og studieavgift per student</w:t>
      </w:r>
      <w:r w:rsidR="00B550BC" w:rsidRPr="00422245">
        <w:t xml:space="preserve"> det året.</w:t>
      </w:r>
    </w:p>
    <w:p w14:paraId="5F22695F" w14:textId="77777777" w:rsidR="00E0597F" w:rsidRPr="00422245" w:rsidRDefault="00E0597F" w:rsidP="00143A4A"/>
    <w:p w14:paraId="0431F547" w14:textId="701177EA" w:rsidR="00096E6E" w:rsidRPr="00422245" w:rsidRDefault="00096E6E" w:rsidP="00096E6E">
      <w:pPr>
        <w:pStyle w:val="Bildetekst"/>
        <w:keepNext/>
      </w:pPr>
      <w:bookmarkStart w:id="198" w:name="_Ref161159678"/>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3</w:t>
      </w:r>
      <w:r w:rsidR="006E1D94">
        <w:fldChar w:fldCharType="end"/>
      </w:r>
      <w:bookmarkEnd w:id="198"/>
      <w:r w:rsidRPr="00422245">
        <w:t xml:space="preserve"> Studie- og eksamensavgifter per student for private høyskoler 2023. 1000 kr</w:t>
      </w:r>
    </w:p>
    <w:p w14:paraId="6A59F662" w14:textId="3FEC99AC" w:rsidR="00E0597F" w:rsidRPr="00422245" w:rsidRDefault="00E0597F" w:rsidP="00143A4A">
      <w:r w:rsidRPr="00422245">
        <w:rPr>
          <w:noProof/>
        </w:rPr>
        <w:drawing>
          <wp:inline distT="0" distB="0" distL="0" distR="0" wp14:anchorId="72D034DF" wp14:editId="3889439A">
            <wp:extent cx="5521729" cy="3534492"/>
            <wp:effectExtent l="0" t="0" r="3175" b="8890"/>
            <wp:docPr id="1645889534" name="Diagram 1">
              <a:extLst xmlns:a="http://schemas.openxmlformats.org/drawingml/2006/main">
                <a:ext uri="{FF2B5EF4-FFF2-40B4-BE49-F238E27FC236}">
                  <a16:creationId xmlns:a16="http://schemas.microsoft.com/office/drawing/2014/main"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1839524" w14:textId="299605F6" w:rsidR="00EF7B7D" w:rsidRPr="00422245" w:rsidRDefault="00EF7B7D" w:rsidP="00EF7B7D">
      <w:pPr>
        <w:pStyle w:val="Kilde"/>
      </w:pPr>
      <w:r w:rsidRPr="004E373E">
        <w:rPr>
          <w:b/>
        </w:rPr>
        <w:t>Kilde</w:t>
      </w:r>
      <w:r>
        <w:t>: DBH</w:t>
      </w:r>
    </w:p>
    <w:p w14:paraId="50BD28F9" w14:textId="602E2E15" w:rsidR="009A4D48" w:rsidRPr="00422245" w:rsidRDefault="009A4D48" w:rsidP="00143A4A">
      <w:r w:rsidRPr="00422245">
        <w:fldChar w:fldCharType="begin"/>
      </w:r>
      <w:r w:rsidRPr="00422245">
        <w:instrText xml:space="preserve"> REF _Ref161161512 \h </w:instrText>
      </w:r>
      <w:r w:rsidRPr="00422245">
        <w:fldChar w:fldCharType="separate"/>
      </w:r>
      <w:r w:rsidR="00FE5C01" w:rsidRPr="00422245">
        <w:t xml:space="preserve">Figur </w:t>
      </w:r>
      <w:r w:rsidR="00FE5C01">
        <w:rPr>
          <w:noProof/>
        </w:rPr>
        <w:t>9</w:t>
      </w:r>
      <w:r w:rsidR="00FE5C01">
        <w:noBreakHyphen/>
      </w:r>
      <w:r w:rsidR="00FE5C01">
        <w:rPr>
          <w:noProof/>
        </w:rPr>
        <w:t>4</w:t>
      </w:r>
      <w:r w:rsidRPr="00422245">
        <w:fldChar w:fldCharType="end"/>
      </w:r>
      <w:r w:rsidRPr="00422245">
        <w:t xml:space="preserve"> viser utviklinge</w:t>
      </w:r>
      <w:r w:rsidR="009718BC" w:rsidRPr="00422245">
        <w:t xml:space="preserve">n i studie- og eksamensavgifter </w:t>
      </w:r>
      <w:r w:rsidR="004340E7" w:rsidRPr="00422245">
        <w:t xml:space="preserve">ved private institusjoner i prisjusterte beløp (2023-priser). </w:t>
      </w:r>
      <w:r w:rsidR="00825BD9" w:rsidRPr="00422245">
        <w:t xml:space="preserve">For både HK og BI viser </w:t>
      </w:r>
      <w:r w:rsidR="00D47052" w:rsidRPr="00422245">
        <w:t>nivået på studieavgiftene en synkende tendens i tiårsperioden.</w:t>
      </w:r>
    </w:p>
    <w:p w14:paraId="520FC58D" w14:textId="2B77ABD9" w:rsidR="00841ED4" w:rsidRPr="00422245" w:rsidRDefault="00841ED4" w:rsidP="00841ED4">
      <w:pPr>
        <w:pStyle w:val="Bildetekst"/>
        <w:keepNext/>
      </w:pPr>
      <w:bookmarkStart w:id="199" w:name="_Ref161161512"/>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4</w:t>
      </w:r>
      <w:r w:rsidR="006E1D94">
        <w:fldChar w:fldCharType="end"/>
      </w:r>
      <w:bookmarkEnd w:id="199"/>
      <w:r w:rsidRPr="00422245">
        <w:t xml:space="preserve"> Studie- og eksamensavgifter ved private institusjoner 2014–2023, prisjustert (2023)</w:t>
      </w:r>
      <w:r w:rsidR="00241139" w:rsidRPr="00422245">
        <w:t>.</w:t>
      </w:r>
      <w:r w:rsidR="00AD7691" w:rsidRPr="00422245">
        <w:t xml:space="preserve"> Kroner</w:t>
      </w:r>
    </w:p>
    <w:p w14:paraId="0BDE6AF2" w14:textId="18069AC4" w:rsidR="00EA0D70" w:rsidRPr="00422245" w:rsidRDefault="00241139" w:rsidP="00143A4A">
      <w:r w:rsidRPr="00422245">
        <w:rPr>
          <w:noProof/>
        </w:rPr>
        <w:drawing>
          <wp:inline distT="0" distB="0" distL="0" distR="0" wp14:anchorId="1A4F1D8D" wp14:editId="4F0B237B">
            <wp:extent cx="5467350" cy="3600450"/>
            <wp:effectExtent l="0" t="0" r="0" b="0"/>
            <wp:docPr id="209429046" name="Diagram 1">
              <a:extLst xmlns:a="http://schemas.openxmlformats.org/drawingml/2006/main">
                <a:ext uri="{FF2B5EF4-FFF2-40B4-BE49-F238E27FC236}">
                  <a16:creationId xmlns:a16="http://schemas.microsoft.com/office/drawing/2014/main" id="{0CA907C7-B238-4F81-70DE-B641B76799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DFCA31D" w14:textId="44EA406E" w:rsidR="00344800" w:rsidRPr="00422245" w:rsidRDefault="00344800" w:rsidP="00A26A4E">
      <w:pPr>
        <w:pStyle w:val="Merknad"/>
      </w:pPr>
      <w:r w:rsidRPr="00422245">
        <w:t>Institusjoner med færre en 300 studenter er ikke med i figuren.</w:t>
      </w:r>
    </w:p>
    <w:p w14:paraId="1EE810C4" w14:textId="41B9ADB4" w:rsidR="00A26A4E" w:rsidRPr="00422245" w:rsidRDefault="00A26A4E" w:rsidP="00A26A4E">
      <w:pPr>
        <w:pStyle w:val="Kilde"/>
      </w:pPr>
      <w:r w:rsidRPr="004E373E">
        <w:rPr>
          <w:b/>
        </w:rPr>
        <w:t>Kilde</w:t>
      </w:r>
      <w:r>
        <w:t>: DBH</w:t>
      </w:r>
    </w:p>
    <w:p w14:paraId="0113B28A" w14:textId="77777777" w:rsidR="00265F3A" w:rsidRPr="00422245" w:rsidRDefault="00265F3A" w:rsidP="00143A4A"/>
    <w:p w14:paraId="06A4DC86" w14:textId="7C579C6D" w:rsidR="00913BE9" w:rsidRPr="00422245" w:rsidRDefault="00913BE9" w:rsidP="00DE686F">
      <w:pPr>
        <w:pStyle w:val="Overskrift2"/>
      </w:pPr>
      <w:bookmarkStart w:id="200" w:name="_Toc158968354"/>
      <w:bookmarkStart w:id="201" w:name="_Ref161735454"/>
      <w:bookmarkStart w:id="202" w:name="_Ref161921158"/>
      <w:bookmarkStart w:id="203" w:name="_Toc163488454"/>
      <w:r w:rsidRPr="00422245">
        <w:t>Kompetanseprofil</w:t>
      </w:r>
      <w:bookmarkEnd w:id="200"/>
      <w:bookmarkEnd w:id="201"/>
      <w:bookmarkEnd w:id="202"/>
      <w:bookmarkEnd w:id="203"/>
    </w:p>
    <w:p w14:paraId="61125025" w14:textId="413DEF5F" w:rsidR="005D774D" w:rsidRPr="00422245" w:rsidRDefault="00743CDE">
      <w:r w:rsidRPr="00422245">
        <w:t xml:space="preserve">Studietilsynsforskriften forutsetter at minst 20 prosent av fagmiljøet tilknyttet studiet består av ansatte med førstestillingskompetanse, mens kravet for masterstudier er 50 prosent. </w:t>
      </w:r>
      <w:r w:rsidR="00421526" w:rsidRPr="00422245">
        <w:t>De siste ti årene har</w:t>
      </w:r>
      <w:r w:rsidR="00B81536" w:rsidRPr="00422245">
        <w:t xml:space="preserve"> personer med førstekompetanse utgjort en stadig større and</w:t>
      </w:r>
      <w:r w:rsidR="00E96544" w:rsidRPr="00422245">
        <w:t xml:space="preserve">el av </w:t>
      </w:r>
      <w:r w:rsidR="00542A27" w:rsidRPr="00422245">
        <w:t>faglig ansatte</w:t>
      </w:r>
      <w:r w:rsidR="00C600FA" w:rsidRPr="00422245">
        <w:t xml:space="preserve"> ved universiteter og høyskoler</w:t>
      </w:r>
      <w:r w:rsidR="00E96544" w:rsidRPr="00422245">
        <w:t>.</w:t>
      </w:r>
      <w:r w:rsidR="00E6233C" w:rsidRPr="00422245">
        <w:t xml:space="preserve"> </w:t>
      </w:r>
      <w:r w:rsidR="004B70C3" w:rsidRPr="00422245">
        <w:t xml:space="preserve">Utviklingen har fremfor alt vært preget av at institusjoner </w:t>
      </w:r>
      <w:r w:rsidR="00132CC7" w:rsidRPr="00422245">
        <w:t>som i begynnelsen av perioden hadde en lav andel ansatte med førstekompetanse</w:t>
      </w:r>
      <w:r w:rsidR="00FC4D21">
        <w:t>,</w:t>
      </w:r>
      <w:r w:rsidR="00132CC7" w:rsidRPr="00422245">
        <w:t xml:space="preserve"> har </w:t>
      </w:r>
      <w:r w:rsidR="00216945" w:rsidRPr="00422245">
        <w:t xml:space="preserve">økt andelen betydelig. </w:t>
      </w:r>
      <w:r w:rsidR="006E44DE" w:rsidRPr="00422245">
        <w:t>Institusjonene som i dag har den høyeste andelen</w:t>
      </w:r>
      <w:r w:rsidR="00192B8F" w:rsidRPr="00422245">
        <w:t xml:space="preserve"> faglig ansatte med førstekompetanse</w:t>
      </w:r>
      <w:r w:rsidR="00B646F5" w:rsidRPr="00422245">
        <w:t xml:space="preserve">, </w:t>
      </w:r>
      <w:r w:rsidR="003A03A0" w:rsidRPr="00422245">
        <w:t>hadde omtrent samme andel</w:t>
      </w:r>
      <w:r w:rsidR="0084608A" w:rsidRPr="00422245">
        <w:t xml:space="preserve"> for ti år siden, omkring 90 prosent. Disse inst</w:t>
      </w:r>
      <w:r w:rsidR="00AF6988" w:rsidRPr="00422245">
        <w:t xml:space="preserve">itusjonene </w:t>
      </w:r>
      <w:r w:rsidR="005A0499" w:rsidRPr="00422245">
        <w:t xml:space="preserve">representerer til sammen mer enn halvparten av alle sektorens </w:t>
      </w:r>
      <w:r w:rsidR="0060765C" w:rsidRPr="00422245">
        <w:t>årsverk i førstestilinger</w:t>
      </w:r>
      <w:r w:rsidR="006C6BA4" w:rsidRPr="00422245">
        <w:t>.</w:t>
      </w:r>
      <w:r w:rsidR="00514ED1" w:rsidRPr="00422245">
        <w:t xml:space="preserve"> Vedleggstabell V</w:t>
      </w:r>
      <w:r w:rsidR="00C74A1D" w:rsidRPr="00422245">
        <w:t xml:space="preserve">X.XX viser </w:t>
      </w:r>
      <w:r w:rsidR="00BC41AD" w:rsidRPr="00422245">
        <w:t>tallene på institusjonsnivå de siste ti årene.</w:t>
      </w:r>
    </w:p>
    <w:p w14:paraId="6D029B06" w14:textId="4062CBE7" w:rsidR="00620F30" w:rsidRPr="00422245" w:rsidRDefault="00620F30" w:rsidP="00620F30">
      <w:r w:rsidRPr="00422245">
        <w:lastRenderedPageBreak/>
        <w:fldChar w:fldCharType="begin"/>
      </w:r>
      <w:r w:rsidRPr="00422245">
        <w:instrText xml:space="preserve"> REF _Ref158190830 \h </w:instrText>
      </w:r>
      <w:r w:rsidRPr="00422245">
        <w:fldChar w:fldCharType="separate"/>
      </w:r>
      <w:r w:rsidR="001C1C36" w:rsidRPr="00422245">
        <w:t xml:space="preserve">Figur </w:t>
      </w:r>
      <w:r w:rsidR="001C1C36">
        <w:rPr>
          <w:noProof/>
        </w:rPr>
        <w:t>9</w:t>
      </w:r>
      <w:r w:rsidR="001C1C36">
        <w:noBreakHyphen/>
      </w:r>
      <w:r w:rsidR="001C1C36">
        <w:rPr>
          <w:noProof/>
        </w:rPr>
        <w:t>5</w:t>
      </w:r>
      <w:r w:rsidRPr="00422245">
        <w:fldChar w:fldCharType="end"/>
      </w:r>
      <w:r w:rsidRPr="00422245">
        <w:t xml:space="preserve"> viser andelen førstestillingskompetanse per institusjon. Høyest andel har de forskningstunge </w:t>
      </w:r>
      <w:r w:rsidR="00900FC4" w:rsidRPr="00422245">
        <w:t xml:space="preserve">breddeinstitusjonene og </w:t>
      </w:r>
      <w:r w:rsidR="00B42335" w:rsidRPr="00422245">
        <w:t xml:space="preserve">flere av de mest spesialiserte institusjonene. </w:t>
      </w:r>
      <w:r w:rsidR="00A25EA0" w:rsidRPr="00422245">
        <w:t>Mønsteret er i stor grad det samme</w:t>
      </w:r>
      <w:r w:rsidR="006F1480" w:rsidRPr="00422245">
        <w:t xml:space="preserve"> som det</w:t>
      </w:r>
      <w:r w:rsidRPr="00422245">
        <w:t xml:space="preserve"> vi </w:t>
      </w:r>
      <w:r w:rsidR="006F1480" w:rsidRPr="00422245">
        <w:t>så</w:t>
      </w:r>
      <w:r w:rsidRPr="00422245">
        <w:t xml:space="preserve"> i kapittel </w:t>
      </w:r>
      <w:r w:rsidRPr="00422245">
        <w:fldChar w:fldCharType="begin"/>
      </w:r>
      <w:r w:rsidRPr="00422245">
        <w:instrText xml:space="preserve"> REF _Ref158191115 \r \h </w:instrText>
      </w:r>
      <w:r w:rsidR="00000000">
        <w:fldChar w:fldCharType="separate"/>
      </w:r>
      <w:r w:rsidRPr="00422245">
        <w:fldChar w:fldCharType="end"/>
      </w:r>
      <w:r w:rsidRPr="00422245">
        <w:t xml:space="preserve"> om forskning.</w:t>
      </w:r>
      <w:r w:rsidR="00ED1F11" w:rsidRPr="00422245">
        <w:t xml:space="preserve"> </w:t>
      </w:r>
      <w:r w:rsidR="005E39DD" w:rsidRPr="00422245">
        <w:t xml:space="preserve">NTNU, UiO, UiB og </w:t>
      </w:r>
      <w:r w:rsidR="00B13DEB" w:rsidRPr="00422245">
        <w:t xml:space="preserve">UiT har til sammen </w:t>
      </w:r>
      <w:r w:rsidR="00877F22" w:rsidRPr="00422245">
        <w:t>53 prosent av alle førstestillinger i sektoren</w:t>
      </w:r>
      <w:r w:rsidR="00BE34EB" w:rsidRPr="00422245">
        <w:t xml:space="preserve">. </w:t>
      </w:r>
      <w:r w:rsidR="00C77C20" w:rsidRPr="00422245">
        <w:t xml:space="preserve">Målt etter andel kommer imidlertid verken NTNU eller UiT i dag blant de aller øverste, </w:t>
      </w:r>
      <w:r w:rsidR="00067DC8" w:rsidRPr="00422245">
        <w:t xml:space="preserve">på grunn av den </w:t>
      </w:r>
      <w:r w:rsidR="00D93089" w:rsidRPr="00422245">
        <w:t xml:space="preserve">bredden i fagtilbudet </w:t>
      </w:r>
      <w:r w:rsidR="009838DC" w:rsidRPr="00422245">
        <w:t>institusj</w:t>
      </w:r>
      <w:r w:rsidR="00C9412D" w:rsidRPr="00422245">
        <w:t>onene har etter sammenslåinger mellom universiteter og høyskoler.</w:t>
      </w:r>
    </w:p>
    <w:p w14:paraId="1802378F" w14:textId="5B87E52C" w:rsidR="00620F30" w:rsidRPr="00422245" w:rsidRDefault="00620F30" w:rsidP="00620F30">
      <w:pPr>
        <w:pStyle w:val="Bildetekst"/>
        <w:keepNext/>
      </w:pPr>
      <w:bookmarkStart w:id="204" w:name="_Ref158190830"/>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5</w:t>
      </w:r>
      <w:r w:rsidR="006E1D94">
        <w:fldChar w:fldCharType="end"/>
      </w:r>
      <w:bookmarkEnd w:id="204"/>
      <w:r w:rsidRPr="00422245">
        <w:t xml:space="preserve"> Førstestillingskompetanse per institusjon 2023. Prosent</w:t>
      </w:r>
      <w:r w:rsidR="00216384">
        <w:t>. Kilde: DBH</w:t>
      </w:r>
    </w:p>
    <w:p w14:paraId="281A1E86" w14:textId="53D6841B" w:rsidR="00620F30" w:rsidRPr="00422245" w:rsidRDefault="008F4AFA" w:rsidP="00620F30">
      <w:r w:rsidRPr="00422245">
        <w:rPr>
          <w:noProof/>
        </w:rPr>
        <w:drawing>
          <wp:inline distT="0" distB="0" distL="0" distR="0" wp14:anchorId="6796D66C" wp14:editId="32228BE0">
            <wp:extent cx="5505450" cy="8039100"/>
            <wp:effectExtent l="0" t="0" r="0" b="0"/>
            <wp:docPr id="1009939418" name="Diagram 1">
              <a:extLst xmlns:a="http://schemas.openxmlformats.org/drawingml/2006/main">
                <a:ext uri="{FF2B5EF4-FFF2-40B4-BE49-F238E27FC236}">
                  <a16:creationId xmlns:a16="http://schemas.microsoft.com/office/drawing/2014/main" id="{7B335109-4A0F-451C-9E35-EDE52B395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6D7F395" w14:textId="647DD129" w:rsidR="008F513F" w:rsidRDefault="008F513F" w:rsidP="00592E6F">
      <w:r>
        <w:lastRenderedPageBreak/>
        <w:t>Tabell V</w:t>
      </w:r>
      <w:r w:rsidR="00B85022">
        <w:t>4.</w:t>
      </w:r>
      <w:r w:rsidR="00C11FAC">
        <w:t xml:space="preserve">16 viser institusjonenes årsverk med førstestillingskompetanse siste ti år, mens tabell </w:t>
      </w:r>
      <w:r w:rsidR="00B85022">
        <w:t>V4.15 viser årsverk i førstestillinger (de fire toppstillingene</w:t>
      </w:r>
      <w:r w:rsidR="0038384E">
        <w:t>).</w:t>
      </w:r>
    </w:p>
    <w:p w14:paraId="3235166B" w14:textId="159BD8C6" w:rsidR="00592E6F" w:rsidRPr="00422245" w:rsidRDefault="00592E6F" w:rsidP="00592E6F">
      <w:r w:rsidRPr="00422245">
        <w:fldChar w:fldCharType="begin"/>
      </w:r>
      <w:r w:rsidRPr="00422245">
        <w:instrText xml:space="preserve"> REF _Ref157503743 \h </w:instrText>
      </w:r>
      <w:r w:rsidRPr="00422245">
        <w:fldChar w:fldCharType="separate"/>
      </w:r>
      <w:r w:rsidR="002654F2" w:rsidRPr="00422245">
        <w:t xml:space="preserve">Figur </w:t>
      </w:r>
      <w:r w:rsidR="002654F2">
        <w:rPr>
          <w:noProof/>
        </w:rPr>
        <w:t>9</w:t>
      </w:r>
      <w:r w:rsidR="002654F2">
        <w:noBreakHyphen/>
      </w:r>
      <w:r w:rsidR="002654F2">
        <w:rPr>
          <w:noProof/>
        </w:rPr>
        <w:t>6</w:t>
      </w:r>
      <w:r w:rsidRPr="00422245">
        <w:fldChar w:fldCharType="end"/>
      </w:r>
      <w:r w:rsidRPr="00422245">
        <w:t xml:space="preserve"> viser hvordan andelen førstestillinger har økt fra 71 til 77 prosent de siste ti årene og hvordan veksten er fordelt på ulike stillingskategorier.</w:t>
      </w:r>
      <w:r w:rsidR="0059086B">
        <w:t xml:space="preserve"> </w:t>
      </w:r>
    </w:p>
    <w:p w14:paraId="522F562F" w14:textId="26DCEC2D" w:rsidR="00BD3964" w:rsidRPr="00422245" w:rsidRDefault="00BD3964" w:rsidP="00BD3964">
      <w:pPr>
        <w:pStyle w:val="Bildetekst"/>
        <w:keepNext/>
      </w:pPr>
      <w:bookmarkStart w:id="205" w:name="_Ref157503743"/>
      <w:r w:rsidRPr="00422245">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6</w:t>
      </w:r>
      <w:r w:rsidR="006E1D94">
        <w:fldChar w:fldCharType="end"/>
      </w:r>
      <w:bookmarkEnd w:id="205"/>
      <w:r w:rsidRPr="00422245">
        <w:t xml:space="preserve"> Faglig ansatte fordel</w:t>
      </w:r>
      <w:r w:rsidR="0021586A" w:rsidRPr="00422245">
        <w:t>t</w:t>
      </w:r>
      <w:r w:rsidRPr="00422245">
        <w:t xml:space="preserve"> på stillinger 2014-2023. Andel</w:t>
      </w:r>
    </w:p>
    <w:p w14:paraId="01C489FD" w14:textId="3D75F8F5" w:rsidR="00B167C3" w:rsidRPr="00422245" w:rsidRDefault="00B167C3">
      <w:r w:rsidRPr="00422245">
        <w:rPr>
          <w:noProof/>
        </w:rPr>
        <w:drawing>
          <wp:inline distT="0" distB="0" distL="0" distR="0" wp14:anchorId="71DCA04C" wp14:editId="37FE86E2">
            <wp:extent cx="5041718" cy="3188425"/>
            <wp:effectExtent l="0" t="0" r="6985" b="12065"/>
            <wp:docPr id="192522784" name="Diagram 1">
              <a:extLst xmlns:a="http://schemas.openxmlformats.org/drawingml/2006/main">
                <a:ext uri="{FF2B5EF4-FFF2-40B4-BE49-F238E27FC236}">
                  <a16:creationId xmlns:a16="http://schemas.microsoft.com/office/drawing/2014/main" id="{D576A91F-DB35-482D-B578-ACB7124FB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4919282" w14:textId="35B20596" w:rsidR="00B167C3" w:rsidRPr="00422245" w:rsidRDefault="00D92AF6" w:rsidP="00D92AF6">
      <w:pPr>
        <w:pStyle w:val="Merknad"/>
      </w:pPr>
      <w:r w:rsidRPr="00422245">
        <w:t>Faglige stillinger omfatter undervisnings- og forskerstillinger, samt postdoktor og professor II. Stipendiater regnes ikke med.</w:t>
      </w:r>
    </w:p>
    <w:p w14:paraId="49DBB7BB" w14:textId="44ACEC2F" w:rsidR="002E1031" w:rsidRPr="00422245" w:rsidRDefault="002E1031" w:rsidP="002E1031">
      <w:pPr>
        <w:pStyle w:val="Kilde"/>
      </w:pPr>
      <w:r w:rsidRPr="004E373E">
        <w:rPr>
          <w:b/>
        </w:rPr>
        <w:t>Kilde</w:t>
      </w:r>
      <w:r>
        <w:t>: DBH</w:t>
      </w:r>
    </w:p>
    <w:p w14:paraId="4D5FE93C" w14:textId="38ED9F91" w:rsidR="000611E7" w:rsidRDefault="006F78BE">
      <w:r w:rsidRPr="00422245">
        <w:t xml:space="preserve">Blant de statlige er det særlig </w:t>
      </w:r>
      <w:r w:rsidR="008F0279" w:rsidRPr="00422245">
        <w:t xml:space="preserve">institusjonene som har blitt eller er i prosess for å bli universitetet som har </w:t>
      </w:r>
      <w:r w:rsidR="00DF2CC2" w:rsidRPr="00422245">
        <w:t xml:space="preserve">hatt stor økning i </w:t>
      </w:r>
      <w:r w:rsidR="00F84EA0" w:rsidRPr="00422245">
        <w:t xml:space="preserve">andelen førstekompetanse </w:t>
      </w:r>
      <w:r w:rsidR="008F0279" w:rsidRPr="00422245">
        <w:t>siste ti år</w:t>
      </w:r>
      <w:r w:rsidR="008220A4" w:rsidRPr="00422245">
        <w:t xml:space="preserve"> (HVL, </w:t>
      </w:r>
      <w:r w:rsidR="00D00F66" w:rsidRPr="00422245">
        <w:t xml:space="preserve">USN, </w:t>
      </w:r>
      <w:r w:rsidR="008220A4" w:rsidRPr="00422245">
        <w:t>OsloMet</w:t>
      </w:r>
      <w:r w:rsidR="00D00F66" w:rsidRPr="00422245">
        <w:t xml:space="preserve"> og HINN). </w:t>
      </w:r>
      <w:r w:rsidR="006D1029" w:rsidRPr="00422245">
        <w:t xml:space="preserve">OsloMet </w:t>
      </w:r>
      <w:r w:rsidR="00EC1152" w:rsidRPr="00422245">
        <w:t xml:space="preserve">hadde i 2023 en førstekompetanseandel på </w:t>
      </w:r>
      <w:r w:rsidR="00F538EA" w:rsidRPr="00422245">
        <w:t xml:space="preserve">72 prosent, som plasserer institusjonen </w:t>
      </w:r>
      <w:r w:rsidR="00A625A2" w:rsidRPr="00422245">
        <w:t xml:space="preserve">nært opp mot UiA og UiS. Det må imidlertid ses i sammenheng med </w:t>
      </w:r>
      <w:r w:rsidR="005D0E4E" w:rsidRPr="00422245">
        <w:t xml:space="preserve">at OsloMet også omfatter flere forskningsinstitutter. </w:t>
      </w:r>
      <w:r w:rsidR="008D2040" w:rsidRPr="00422245">
        <w:t>HVL, HINN og USN ha</w:t>
      </w:r>
      <w:r w:rsidR="00D02774" w:rsidRPr="00422245">
        <w:t>dde i 2023</w:t>
      </w:r>
      <w:r w:rsidR="008D2040" w:rsidRPr="00422245">
        <w:t xml:space="preserve"> alle en ande</w:t>
      </w:r>
      <w:r w:rsidR="00D02774" w:rsidRPr="00422245">
        <w:t xml:space="preserve">l </w:t>
      </w:r>
      <w:r w:rsidR="00E10BDB" w:rsidRPr="00422245">
        <w:t xml:space="preserve">førstekompetanseårsverk på mellom </w:t>
      </w:r>
      <w:r w:rsidR="00F34D42" w:rsidRPr="00422245">
        <w:t>63 og 68 prosent.</w:t>
      </w:r>
    </w:p>
    <w:p w14:paraId="62C59C21" w14:textId="31D8384F" w:rsidR="00B218AD" w:rsidRPr="00422245" w:rsidRDefault="00000E83" w:rsidP="00A86437">
      <w:pPr>
        <w:rPr>
          <w:b/>
          <w:bCs/>
        </w:rPr>
      </w:pPr>
      <w:r w:rsidRPr="00422245">
        <w:rPr>
          <w:b/>
          <w:bCs/>
        </w:rPr>
        <w:t>Sammensatte kompetansebehov</w:t>
      </w:r>
    </w:p>
    <w:p w14:paraId="56B375AF" w14:textId="0DE8AE9B" w:rsidR="006F6490" w:rsidRDefault="00A71252" w:rsidP="00743CDE">
      <w:r>
        <w:t xml:space="preserve">Stortingsmeldingen </w:t>
      </w:r>
      <w:r w:rsidR="00B73778">
        <w:t xml:space="preserve">fra 2024 om profesjonsutdanninger </w:t>
      </w:r>
      <w:r w:rsidR="00C83022">
        <w:t>rettet oppmerksomheten mot de</w:t>
      </w:r>
      <w:r w:rsidR="009B3E49">
        <w:t>n spenningen som har kjennetegn</w:t>
      </w:r>
      <w:r w:rsidR="00D73EB6">
        <w:t xml:space="preserve">et profesjonsutdanningene og </w:t>
      </w:r>
      <w:r w:rsidR="00E752C5">
        <w:t xml:space="preserve">de siste årenes prioritering av forskning og forskerkompetanse </w:t>
      </w:r>
      <w:r w:rsidR="004715F1">
        <w:t xml:space="preserve">knyttet til disse </w:t>
      </w:r>
      <w:r w:rsidR="004715F1">
        <w:lastRenderedPageBreak/>
        <w:t xml:space="preserve">utdanningene </w:t>
      </w:r>
      <w:r w:rsidR="00AE5E66">
        <w:fldChar w:fldCharType="begin"/>
      </w:r>
      <w:r w:rsidR="00AE5E66">
        <w:instrText xml:space="preserve"> ADDIN EN.CITE &lt;EndNote&gt;&lt;Cite ExcludeYear="1"&gt;&lt;Author&gt;Meld. St. 19 (2023–2024)&lt;/Author&gt;&lt;RecNum&gt;2292&lt;/RecNum&gt;&lt;DisplayText&gt;(Meld. St. 19 (2023–2024))&lt;/DisplayText&gt;&lt;record&gt;&lt;rec-number&gt;2292&lt;/rec-number&gt;&lt;foreign-keys&gt;&lt;key app="EN" db-id="p2et5feaxrpe5zew2eavt29z05fv09aa5s0w" timestamp="1712324284" guid="8ea93a20-2373-4693-afe6-b50f5d6d0730"&gt;2292&lt;/key&gt;&lt;/foreign-keys&gt;&lt;ref-type name="Report"&gt;27&lt;/ref-type&gt;&lt;contributors&gt;&lt;authors&gt;&lt;author&gt;Meld. St. 19 (2023–2024),&lt;/author&gt;&lt;/authors&gt;&lt;secondary-authors&gt;&lt;author&gt;Kunnskapsdepartementet&lt;/author&gt;&lt;/secondary-authors&gt;&lt;/contributors&gt;&lt;titles&gt;&lt;title&gt;Profesjonsnære utdanningar over heile landet&lt;/title&gt;&lt;/titles&gt;&lt;dates&gt;&lt;/dates&gt;&lt;urls&gt;&lt;/urls&gt;&lt;/record&gt;&lt;/Cite&gt;&lt;/EndNote&gt;</w:instrText>
      </w:r>
      <w:r w:rsidR="00AE5E66">
        <w:fldChar w:fldCharType="separate"/>
      </w:r>
      <w:r w:rsidR="00AE5E66">
        <w:rPr>
          <w:noProof/>
        </w:rPr>
        <w:t>(Meld. St. 19 (2023–2024))</w:t>
      </w:r>
      <w:r w:rsidR="00AE5E66">
        <w:fldChar w:fldCharType="end"/>
      </w:r>
      <w:r w:rsidR="00707D9E">
        <w:t xml:space="preserve">. </w:t>
      </w:r>
      <w:r w:rsidR="00A25356">
        <w:t xml:space="preserve">Meldingen </w:t>
      </w:r>
      <w:r w:rsidR="00BD56B0">
        <w:t xml:space="preserve">la vekt på at det </w:t>
      </w:r>
      <w:r w:rsidR="00B93E10">
        <w:t xml:space="preserve">det ikke er tilstrekkelig at utdanningene er </w:t>
      </w:r>
      <w:r w:rsidR="000152C5">
        <w:t>forskningsbaserte, de skal også være erfaringsbaserte</w:t>
      </w:r>
      <w:r w:rsidR="00521EFC">
        <w:t xml:space="preserve">. Ifølge meldingen er </w:t>
      </w:r>
      <w:r w:rsidR="00F42AC4">
        <w:t xml:space="preserve">vektlegging </w:t>
      </w:r>
      <w:r w:rsidR="00FA55D3">
        <w:t>a</w:t>
      </w:r>
      <w:r w:rsidR="00F42AC4">
        <w:t>v erfaringsbasert kunnskap kommet under press</w:t>
      </w:r>
      <w:r w:rsidR="00AD6444">
        <w:t xml:space="preserve">, og det kan være vanskelig for både institusjoner og ansatte å balansere </w:t>
      </w:r>
      <w:r w:rsidR="003F16BE">
        <w:t>de t</w:t>
      </w:r>
      <w:r w:rsidR="00A27681">
        <w:t xml:space="preserve">o dimensjonene. </w:t>
      </w:r>
      <w:r w:rsidR="005F2627">
        <w:t xml:space="preserve">For institusjonene handler dette mye om rekruttering </w:t>
      </w:r>
      <w:r w:rsidR="003F57AF">
        <w:t>–</w:t>
      </w:r>
      <w:r w:rsidR="0037069B">
        <w:t xml:space="preserve"> det å </w:t>
      </w:r>
      <w:r w:rsidR="001D37F5">
        <w:t xml:space="preserve">sette sammen </w:t>
      </w:r>
      <w:r w:rsidR="00034A9D">
        <w:t>et fagmiljø som kan vareta b</w:t>
      </w:r>
      <w:r w:rsidR="00C46881">
        <w:t xml:space="preserve">åde det praksisnære, </w:t>
      </w:r>
      <w:r w:rsidR="009B5B5D">
        <w:t xml:space="preserve">det </w:t>
      </w:r>
      <w:r w:rsidR="00C46881">
        <w:t xml:space="preserve">erfaringsbaserte og </w:t>
      </w:r>
      <w:r w:rsidR="00CE7423">
        <w:t>forskni</w:t>
      </w:r>
      <w:r w:rsidR="00D07BDD">
        <w:t>ngsdimensjonen</w:t>
      </w:r>
      <w:r w:rsidR="001F1F9A">
        <w:t>.</w:t>
      </w:r>
    </w:p>
    <w:p w14:paraId="0584237E" w14:textId="01EF0E7A" w:rsidR="00DB5801" w:rsidRPr="00422245" w:rsidRDefault="00C51516" w:rsidP="00A86437">
      <w:r w:rsidRPr="00422245">
        <w:t>H</w:t>
      </w:r>
      <w:r w:rsidR="00A80886" w:rsidRPr="00422245">
        <w:t xml:space="preserve">vordan tenker institusjonene </w:t>
      </w:r>
      <w:r w:rsidR="001C64FE" w:rsidRPr="00422245">
        <w:t xml:space="preserve">som de siste årene har </w:t>
      </w:r>
      <w:r w:rsidR="00CB38B8" w:rsidRPr="00422245">
        <w:t xml:space="preserve">økt innslaget av førstekompetanse </w:t>
      </w:r>
      <w:r w:rsidR="00A80886" w:rsidRPr="00422245">
        <w:t xml:space="preserve">seg utviklingen framover? </w:t>
      </w:r>
      <w:r w:rsidR="00E45C0A" w:rsidRPr="00422245">
        <w:t xml:space="preserve">I hvilken grad og på hvilken måte er </w:t>
      </w:r>
      <w:r w:rsidR="007B162E" w:rsidRPr="00422245">
        <w:t xml:space="preserve">institusjonene opptatt av balanse mellom </w:t>
      </w:r>
      <w:r w:rsidR="001652CA" w:rsidRPr="00422245">
        <w:t>ulike typer kompetanse?</w:t>
      </w:r>
      <w:r w:rsidR="00A80886" w:rsidRPr="00422245">
        <w:t xml:space="preserve"> </w:t>
      </w:r>
      <w:r w:rsidR="00AC301D" w:rsidRPr="00422245">
        <w:t xml:space="preserve">Årsmeldingene fra </w:t>
      </w:r>
      <w:r w:rsidR="00DD77CA" w:rsidRPr="00422245">
        <w:t xml:space="preserve">institusjonene kan si noe om hvilke ambisjoner de har for førstekompetanse utover dagens nivå. </w:t>
      </w:r>
      <w:r w:rsidR="00757182" w:rsidRPr="00422245">
        <w:t>Hovedinntrykket er at alle institusjonene ønsker seg fortsatt vekst</w:t>
      </w:r>
      <w:r w:rsidR="00821AE2" w:rsidRPr="00422245">
        <w:t xml:space="preserve"> i andelen faglig ansatte med førstekompetanse. </w:t>
      </w:r>
      <w:r w:rsidR="00F70AC1" w:rsidRPr="00422245">
        <w:t xml:space="preserve">OsloMet hadde et mål om </w:t>
      </w:r>
      <w:r w:rsidR="008E4B5E" w:rsidRPr="00422245">
        <w:t>74 prosent i 2022</w:t>
      </w:r>
      <w:r w:rsidR="008A4BA7">
        <w:t xml:space="preserve"> </w:t>
      </w:r>
      <w:r w:rsidR="008A4BA7">
        <w:fldChar w:fldCharType="begin"/>
      </w:r>
      <w:r w:rsidR="004F50DA">
        <w:instrText xml:space="preserve"> ADDIN EN.CITE &lt;EndNote&gt;&lt;Cite&gt;&lt;Author&gt;OsloMet&lt;/Author&gt;&lt;Year&gt;2023&lt;/Year&gt;&lt;RecNum&gt;2282&lt;/RecNum&gt;&lt;DisplayText&gt;(OsloMet, 2023)&lt;/DisplayText&gt;&lt;record&gt;&lt;rec-number&gt;2282&lt;/rec-number&gt;&lt;foreign-keys&gt;&lt;key app="EN" db-id="p2et5feaxrpe5zew2eavt29z05fv09aa5s0w" timestamp="1712320467" guid="1bc6ff74-330b-4221-a676-95afe0532e58"&gt;2282&lt;/key&gt;&lt;/foreign-keys&gt;&lt;ref-type name="Report"&gt;27&lt;/ref-type&gt;&lt;contributors&gt;&lt;authors&gt;&lt;author&gt;OsloMet&lt;/author&gt;&lt;/authors&gt;&lt;/contributors&gt;&lt;titles&gt;&lt;title&gt;Årsrapport 2022&lt;/title&gt;&lt;/titles&gt;&lt;dates&gt;&lt;year&gt;2023&lt;/year&gt;&lt;/dates&gt;&lt;publisher&gt;OsloMet&lt;/publisher&gt;&lt;urls&gt;&lt;related-urls&gt;&lt;url&gt;https://ansatt.oslomet.no/documents/585743/54495365/OsloMet_Aarsrapport_2022+.pdf/e56f1f4a-1e74-a85b-fbe6-542730226576?t=1682600003954&lt;/url&gt;&lt;/related-urls&gt;&lt;/urls&gt;&lt;/record&gt;&lt;/Cite&gt;&lt;/EndNote&gt;</w:instrText>
      </w:r>
      <w:r w:rsidR="008A4BA7">
        <w:fldChar w:fldCharType="separate"/>
      </w:r>
      <w:r w:rsidR="008A4BA7">
        <w:rPr>
          <w:noProof/>
        </w:rPr>
        <w:t>(OsloMet, 2023)</w:t>
      </w:r>
      <w:r w:rsidR="008A4BA7">
        <w:fldChar w:fldCharType="end"/>
      </w:r>
      <w:r w:rsidR="008E4B5E" w:rsidRPr="00422245">
        <w:t>, og har fortsatt noe igjen til det</w:t>
      </w:r>
      <w:r w:rsidR="00F06708" w:rsidRPr="00422245">
        <w:t>, og begrunner blant annet med: «</w:t>
      </w:r>
      <w:r w:rsidR="00F24117" w:rsidRPr="00422245">
        <w:t xml:space="preserve">Ansatte med forskerutdanning og spesielt professorer har betydelig høyere forskningsproduksjon </w:t>
      </w:r>
      <w:r w:rsidR="00B17809" w:rsidRPr="00422245">
        <w:t xml:space="preserve">enn </w:t>
      </w:r>
      <w:r w:rsidR="00F24117" w:rsidRPr="00422245">
        <w:t>andre faglige ansatte</w:t>
      </w:r>
      <w:r w:rsidR="00F06708" w:rsidRPr="00422245">
        <w:t xml:space="preserve">». </w:t>
      </w:r>
      <w:r w:rsidR="003C6F52" w:rsidRPr="00422245">
        <w:t>UiS utt</w:t>
      </w:r>
      <w:r w:rsidR="00BA418C" w:rsidRPr="00422245">
        <w:t xml:space="preserve">rykker også mål om videre vekst, </w:t>
      </w:r>
      <w:r w:rsidR="00A05EAC" w:rsidRPr="00422245">
        <w:t xml:space="preserve">men de siste fire årene har andelen vært omtrent uendret. UiA fastslår at </w:t>
      </w:r>
      <w:r w:rsidR="00120E7A" w:rsidRPr="00422245">
        <w:t xml:space="preserve">det å gjøre </w:t>
      </w:r>
      <w:r w:rsidR="00F848E1" w:rsidRPr="00422245">
        <w:t xml:space="preserve">krav om førstekompetanse til hovedregel ved ansettelse i faste vitenskapelige stillinger, er ett av flere tiltak for </w:t>
      </w:r>
      <w:r w:rsidR="00A86437" w:rsidRPr="00422245">
        <w:t>å øke andelen førstestillinger</w:t>
      </w:r>
      <w:r w:rsidR="00D17E65" w:rsidRPr="00422245">
        <w:t xml:space="preserve"> </w:t>
      </w:r>
      <w:r w:rsidR="00354EA4">
        <w:fldChar w:fldCharType="begin"/>
      </w:r>
      <w:r w:rsidR="004F50DA">
        <w:instrText xml:space="preserve"> ADDIN EN.CITE &lt;EndNote&gt;&lt;Cite&gt;&lt;Author&gt;Universitetet i Agder&lt;/Author&gt;&lt;Year&gt;2023&lt;/Year&gt;&lt;RecNum&gt;2283&lt;/RecNum&gt;&lt;DisplayText&gt;(Universitetet i Agder, 2023)&lt;/DisplayText&gt;&lt;record&gt;&lt;rec-number&gt;2283&lt;/rec-number&gt;&lt;foreign-keys&gt;&lt;key app="EN" db-id="p2et5feaxrpe5zew2eavt29z05fv09aa5s0w" timestamp="1712320701" guid="785714d5-65e5-4fa1-ba7c-b9d01cf47fcd"&gt;2283&lt;/key&gt;&lt;/foreign-keys&gt;&lt;ref-type name="Report"&gt;27&lt;/ref-type&gt;&lt;contributors&gt;&lt;authors&gt;&lt;author&gt;Universitetet i Agder,&lt;/author&gt;&lt;/authors&gt;&lt;/contributors&gt;&lt;titles&gt;&lt;title&gt;Årsrapport 2022-2023&lt;/title&gt;&lt;/titles&gt;&lt;dates&gt;&lt;year&gt;2023&lt;/year&gt;&lt;/dates&gt;&lt;publisher&gt;Universitetet i Agder&lt;/publisher&gt;&lt;urls&gt;&lt;related-urls&gt;&lt;url&gt;https://www.uia.no/media/files/om-uia/aarsrapport-2022-2023&lt;/url&gt;&lt;/related-urls&gt;&lt;/urls&gt;&lt;/record&gt;&lt;/Cite&gt;&lt;/EndNote&gt;</w:instrText>
      </w:r>
      <w:r w:rsidR="00354EA4">
        <w:fldChar w:fldCharType="separate"/>
      </w:r>
      <w:r w:rsidR="00467BE1">
        <w:rPr>
          <w:noProof/>
        </w:rPr>
        <w:t>(Universitetet i Agder, 2023)</w:t>
      </w:r>
      <w:r w:rsidR="00354EA4">
        <w:fldChar w:fldCharType="end"/>
      </w:r>
    </w:p>
    <w:p w14:paraId="2212D12A" w14:textId="11348989" w:rsidR="00D17E65" w:rsidRPr="00422245" w:rsidRDefault="000A5B3C" w:rsidP="00F5798C">
      <w:r w:rsidRPr="00422245">
        <w:t xml:space="preserve">NU skrev i årsmeldingen for 2022 at institusjonen siden fusjonen </w:t>
      </w:r>
      <w:r w:rsidR="00231424" w:rsidRPr="00422245">
        <w:t xml:space="preserve">i 2015 har hatt </w:t>
      </w:r>
      <w:r w:rsidR="00464DA4" w:rsidRPr="00422245">
        <w:t xml:space="preserve">utfordringer med å øke andelen ansatt med første- og toppkompetanse </w:t>
      </w:r>
      <w:r w:rsidR="00827A0C" w:rsidRPr="00422245">
        <w:t xml:space="preserve">til tross for målrettet kompetanseheving og rekruttering ved alle </w:t>
      </w:r>
      <w:r w:rsidR="009704B3" w:rsidRPr="00422245">
        <w:t>fakulteter</w:t>
      </w:r>
      <w:r w:rsidR="00E06BA8">
        <w:t xml:space="preserve"> </w:t>
      </w:r>
      <w:r w:rsidR="00AA4908">
        <w:fldChar w:fldCharType="begin"/>
      </w:r>
      <w:r w:rsidR="004F50DA">
        <w:instrText xml:space="preserve"> ADDIN EN.CITE &lt;EndNote&gt;&lt;Cite&gt;&lt;Author&gt;Nord universitet&lt;/Author&gt;&lt;Year&gt;2023&lt;/Year&gt;&lt;RecNum&gt;2284&lt;/RecNum&gt;&lt;DisplayText&gt;(Nord universitet, 2023)&lt;/DisplayText&gt;&lt;record&gt;&lt;rec-number&gt;2284&lt;/rec-number&gt;&lt;foreign-keys&gt;&lt;key app="EN" db-id="p2et5feaxrpe5zew2eavt29z05fv09aa5s0w" timestamp="1712320977" guid="130acead-5618-4649-a32c-b81b670b6540"&gt;2284&lt;/key&gt;&lt;/foreign-keys&gt;&lt;ref-type name="Report"&gt;27&lt;/ref-type&gt;&lt;contributors&gt;&lt;authors&gt;&lt;author&gt;Nord universitet,&lt;/author&gt;&lt;/authors&gt;&lt;tertiary-authors&gt;&lt;author&gt;Nord universitet&lt;/author&gt;&lt;/tertiary-authors&gt;&lt;/contributors&gt;&lt;titles&gt;&lt;title&gt;Årsrapport 2022&lt;/title&gt;&lt;/titles&gt;&lt;dates&gt;&lt;year&gt;2023&lt;/year&gt;&lt;/dates&gt;&lt;publisher&gt;Nord universitet&lt;/publisher&gt;&lt;urls&gt;&lt;related-urls&gt;&lt;url&gt;https://www.nord.no/sites/default/files/2023-05/Arsrapport-2022-Nord-universitet.pdf&lt;/url&gt;&lt;/related-urls&gt;&lt;/urls&gt;&lt;/record&gt;&lt;/Cite&gt;&lt;/EndNote&gt;</w:instrText>
      </w:r>
      <w:r w:rsidR="00AA4908">
        <w:fldChar w:fldCharType="separate"/>
      </w:r>
      <w:r w:rsidR="0008686E">
        <w:rPr>
          <w:noProof/>
        </w:rPr>
        <w:t>(Nord universitet, 2023)</w:t>
      </w:r>
      <w:r w:rsidR="00AA4908">
        <w:fldChar w:fldCharType="end"/>
      </w:r>
      <w:r w:rsidR="009704B3" w:rsidRPr="00422245">
        <w:t xml:space="preserve">. </w:t>
      </w:r>
      <w:r w:rsidR="00424510" w:rsidRPr="00422245">
        <w:t>Andelen førstekompetanse ved NU økte jev</w:t>
      </w:r>
      <w:r w:rsidR="00784210" w:rsidRPr="00422245">
        <w:t>nt fra 52 prosent i 2014 til 62 pros</w:t>
      </w:r>
      <w:r w:rsidR="001D2FD3" w:rsidRPr="00422245">
        <w:t>ent i 2019, men har deretter holdt seg nokså stabilt (63 prosent i 2023</w:t>
      </w:r>
      <w:r w:rsidR="009D213B" w:rsidRPr="00422245">
        <w:t>)</w:t>
      </w:r>
      <w:r w:rsidR="001D2FD3" w:rsidRPr="00422245">
        <w:t xml:space="preserve">. </w:t>
      </w:r>
    </w:p>
    <w:p w14:paraId="234CFB8E" w14:textId="49889450" w:rsidR="00DB5801" w:rsidRPr="00422245" w:rsidRDefault="005F7CA7" w:rsidP="00F5798C">
      <w:r w:rsidRPr="00422245">
        <w:t xml:space="preserve">HINN hadde en </w:t>
      </w:r>
      <w:r w:rsidR="001442F1" w:rsidRPr="00422245">
        <w:t xml:space="preserve">tydelig økning i førstekompetanse fra 2021 til 2022, </w:t>
      </w:r>
      <w:r w:rsidR="00790C59" w:rsidRPr="00422245">
        <w:t xml:space="preserve">mens HVL i 2023 </w:t>
      </w:r>
      <w:r w:rsidR="00854B61" w:rsidRPr="00422245">
        <w:t>økte fra 59</w:t>
      </w:r>
      <w:r w:rsidR="0022503A" w:rsidRPr="00422245">
        <w:t xml:space="preserve"> prosent i 2022</w:t>
      </w:r>
      <w:r w:rsidR="00854B61" w:rsidRPr="00422245">
        <w:t xml:space="preserve"> til 63 prosent i 2023. </w:t>
      </w:r>
      <w:r w:rsidR="002D5C5B" w:rsidRPr="00422245">
        <w:t xml:space="preserve">Begge tilfellene var i tråd med </w:t>
      </w:r>
      <w:r w:rsidR="009807C9" w:rsidRPr="00422245">
        <w:t xml:space="preserve">de </w:t>
      </w:r>
      <w:r w:rsidR="002D5C5B" w:rsidRPr="00422245">
        <w:t>respektive institusjone</w:t>
      </w:r>
      <w:r w:rsidR="009807C9" w:rsidRPr="00422245">
        <w:t>nes</w:t>
      </w:r>
      <w:r w:rsidR="002D5C5B" w:rsidRPr="00422245">
        <w:t xml:space="preserve"> ambisjoner og strategier</w:t>
      </w:r>
      <w:r w:rsidR="0067600A">
        <w:t xml:space="preserve"> </w:t>
      </w:r>
      <w:r w:rsidR="004F50DA">
        <w:fldChar w:fldCharType="begin"/>
      </w:r>
      <w:r w:rsidR="00B91965">
        <w:instrText xml:space="preserve"> ADDIN EN.CITE &lt;EndNote&gt;&lt;Cite&gt;&lt;Author&gt;Høgskulen på Vestlandet&lt;/Author&gt;&lt;Year&gt;2023&lt;/Year&gt;&lt;RecNum&gt;2285&lt;/RecNum&gt;&lt;DisplayText&gt;(Høgskolen i Innlandet, 2022; Høgskulen på Vestlandet, 2023)&lt;/DisplayText&gt;&lt;record&gt;&lt;rec-number&gt;2285&lt;/rec-number&gt;&lt;foreign-keys&gt;&lt;key app="EN" db-id="p2et5feaxrpe5zew2eavt29z05fv09aa5s0w" timestamp="1712321217" guid="463c752d-beab-4876-918c-865c7b1370aa"&gt;2285&lt;/key&gt;&lt;/foreign-keys&gt;&lt;ref-type name="Report"&gt;27&lt;/ref-type&gt;&lt;contributors&gt;&lt;authors&gt;&lt;author&gt;Høgskulen på Vestlandet,&lt;/author&gt;&lt;/authors&gt;&lt;tertiary-authors&gt;&lt;author&gt;Høgskulen på Vestlandet&lt;/author&gt;&lt;/tertiary-authors&gt;&lt;/contributors&gt;&lt;titles&gt;&lt;title&gt;Årsrapport 2022&lt;/title&gt;&lt;/titles&gt;&lt;dates&gt;&lt;year&gt;2023&lt;/year&gt;&lt;/dates&gt;&lt;publisher&gt;Høgskulen på Vestlandet&lt;/publisher&gt;&lt;urls&gt;&lt;related-urls&gt;&lt;url&gt;https://www.hvl.no/globalassets/hvl-internett/dokument/rapport/hvl_arsrapport_2022.pdf&lt;/url&gt;&lt;/related-urls&gt;&lt;/urls&gt;&lt;/record&gt;&lt;/Cite&gt;&lt;Cite&gt;&lt;Author&gt;Høgskolen i Innlandet&lt;/Author&gt;&lt;Year&gt;2022&lt;/Year&gt;&lt;RecNum&gt;1862&lt;/RecNum&gt;&lt;record&gt;&lt;rec-number&gt;1862&lt;/rec-number&gt;&lt;foreign-keys&gt;&lt;key app="EN" db-id="p2et5feaxrpe5zew2eavt29z05fv09aa5s0w" timestamp="1712306731" guid="d324fa6c-d1e0-4658-93ca-26f9e784fcc9"&gt;1862&lt;/key&gt;&lt;/foreign-keys&gt;&lt;ref-type name="Report"&gt;27&lt;/ref-type&gt;&lt;contributors&gt;&lt;authors&gt;&lt;author&gt;Høgskolen i Innlandet,&lt;/author&gt;&lt;/authors&gt;&lt;tertiary-authors&gt;&lt;author&gt;Høgskolen i Innlandet&lt;/author&gt;&lt;/tertiary-authors&gt;&lt;/contributors&gt;&lt;titles&gt;&lt;title&gt;Kvalitetsrapport 2021&lt;/title&gt;&lt;/titles&gt;&lt;dates&gt;&lt;year&gt;2022&lt;/year&gt;&lt;/dates&gt;&lt;publisher&gt;Høgskolen i Innlandet&lt;/publisher&gt;&lt;urls&gt;&lt;related-urls&gt;&lt;url&gt;https://www.inn.no/om-hogskolen/kvalitetssystem-for-utdanning/dokumentasjon/kvalitetsrapport-for-utdanning/2021_kvalitetsrapport_hinn.pdf&lt;/url&gt;&lt;/related-urls&gt;&lt;/urls&gt;&lt;/record&gt;&lt;/Cite&gt;&lt;/EndNote&gt;</w:instrText>
      </w:r>
      <w:r w:rsidR="004F50DA">
        <w:fldChar w:fldCharType="separate"/>
      </w:r>
      <w:r w:rsidR="004A3253">
        <w:rPr>
          <w:noProof/>
        </w:rPr>
        <w:t>(Høgskolen i Innlandet, 2022; Høgskulen på Vestlandet, 2023)</w:t>
      </w:r>
      <w:r w:rsidR="004F50DA">
        <w:fldChar w:fldCharType="end"/>
      </w:r>
      <w:r w:rsidR="004A3253">
        <w:t>.</w:t>
      </w:r>
    </w:p>
    <w:p w14:paraId="3C3096AD" w14:textId="1754AB00" w:rsidR="00452EBE" w:rsidRPr="00422245" w:rsidRDefault="00E66B14" w:rsidP="00F5798C">
      <w:r w:rsidRPr="00422245">
        <w:t xml:space="preserve">Institusjonene omtalt i avsnittene over har enten blitt universitet </w:t>
      </w:r>
      <w:r w:rsidR="00305449" w:rsidRPr="00422245">
        <w:t xml:space="preserve">eller er i prosess for universitetsstatus. HiØ, en av få gjenværende statlige høyskoler </w:t>
      </w:r>
      <w:r w:rsidR="00910EBA" w:rsidRPr="00422245">
        <w:t xml:space="preserve">uten universitetsambisjoner, </w:t>
      </w:r>
      <w:r w:rsidR="00456838" w:rsidRPr="00422245">
        <w:t>g</w:t>
      </w:r>
      <w:r w:rsidR="002F2BE0" w:rsidRPr="00422245">
        <w:t>a i sin årsrapport for 2022</w:t>
      </w:r>
      <w:r w:rsidR="00456838" w:rsidRPr="00422245">
        <w:t xml:space="preserve"> uttrykk for at da</w:t>
      </w:r>
      <w:r w:rsidR="002F43D7">
        <w:t>værende</w:t>
      </w:r>
      <w:r w:rsidR="00456838" w:rsidRPr="00422245">
        <w:t xml:space="preserve"> kompetanseprofil </w:t>
      </w:r>
      <w:r w:rsidR="002F43D7">
        <w:t>var</w:t>
      </w:r>
      <w:r w:rsidR="00456838" w:rsidRPr="00422245">
        <w:t xml:space="preserve"> hensiktsmessig</w:t>
      </w:r>
      <w:r w:rsidR="002F2BE0" w:rsidRPr="00422245">
        <w:t xml:space="preserve">. Institusjonen </w:t>
      </w:r>
      <w:r w:rsidR="00EA0C23" w:rsidRPr="00422245">
        <w:t>vektl</w:t>
      </w:r>
      <w:r w:rsidR="00F2395B">
        <w:t>a</w:t>
      </w:r>
      <w:r w:rsidR="00EA0C23" w:rsidRPr="00422245">
        <w:t xml:space="preserve"> </w:t>
      </w:r>
      <w:r w:rsidR="002122E1" w:rsidRPr="00422245">
        <w:t xml:space="preserve">behovet for </w:t>
      </w:r>
      <w:r w:rsidR="00EA0C23" w:rsidRPr="00422245">
        <w:t>balansen mellom kompetansetyper</w:t>
      </w:r>
      <w:r w:rsidR="0003397D" w:rsidRPr="00422245">
        <w:t xml:space="preserve"> med tanke på </w:t>
      </w:r>
      <w:r w:rsidR="00F7576A" w:rsidRPr="00422245">
        <w:t>utdanningenes egenart</w:t>
      </w:r>
      <w:r w:rsidR="00E11864" w:rsidRPr="00422245">
        <w:t>:</w:t>
      </w:r>
    </w:p>
    <w:p w14:paraId="513A8F49" w14:textId="46684BC7" w:rsidR="00C743D6" w:rsidRPr="00422245" w:rsidRDefault="007F7E30" w:rsidP="00F5798C">
      <w:r w:rsidRPr="00422245">
        <w:rPr>
          <w:i/>
          <w:iCs/>
        </w:rPr>
        <w:lastRenderedPageBreak/>
        <w:t>«</w:t>
      </w:r>
      <w:r w:rsidR="00200240" w:rsidRPr="00422245">
        <w:rPr>
          <w:i/>
          <w:iCs/>
        </w:rPr>
        <w:t>Samlet sett har høgskolen god balanse hva gjelder kompetanse</w:t>
      </w:r>
      <w:r w:rsidR="00B16614" w:rsidRPr="00422245">
        <w:rPr>
          <w:i/>
          <w:iCs/>
        </w:rPr>
        <w:softHyphen/>
      </w:r>
      <w:r w:rsidR="00200240" w:rsidRPr="00422245">
        <w:rPr>
          <w:i/>
          <w:iCs/>
        </w:rPr>
        <w:t>sammensetningen blant undervisnings- og forskerpersonalet. 60 % av høgskolens fagmiljø (ekskl. stipendiater) har førstekompetanse</w:t>
      </w:r>
      <w:r w:rsidR="00382D17" w:rsidRPr="00422245">
        <w:rPr>
          <w:i/>
          <w:iCs/>
        </w:rPr>
        <w:t>….</w:t>
      </w:r>
      <w:r w:rsidR="00C743D6" w:rsidRPr="00422245">
        <w:rPr>
          <w:i/>
          <w:iCs/>
        </w:rPr>
        <w:t>Det ble i 2022 ansatt i 15 kombinasjonsstillinger ved fakultetene LUSP og HVO, for økt samarbeid mellom HiØ og samfunns- og arbeidsliv. Disse stillingene er ikke på førstestillingsnivå, men er sentrale for høgskolens målsetning om å levere samfunnsrelevante og profesjonsrettede utdanninger</w:t>
      </w:r>
      <w:r w:rsidR="004A3253">
        <w:t xml:space="preserve"> </w:t>
      </w:r>
      <w:r w:rsidR="00D043CF">
        <w:fldChar w:fldCharType="begin"/>
      </w:r>
      <w:r w:rsidR="00B91965">
        <w:instrText xml:space="preserve"> ADDIN EN.CITE &lt;EndNote&gt;&lt;Cite&gt;&lt;Author&gt;Høgskolen i Østfold&lt;/Author&gt;&lt;Year&gt;2023&lt;/Year&gt;&lt;RecNum&gt;2286&lt;/RecNum&gt;&lt;DisplayText&gt;(Høgskolen i Østfold, 2023)&lt;/DisplayText&gt;&lt;record&gt;&lt;rec-number&gt;2286&lt;/rec-number&gt;&lt;foreign-keys&gt;&lt;key app="EN" db-id="p2et5feaxrpe5zew2eavt29z05fv09aa5s0w" timestamp="1712321511" guid="a4a2357d-a067-4741-9def-3d2be6d33ed2"&gt;2286&lt;/key&gt;&lt;/foreign-keys&gt;&lt;ref-type name="Report"&gt;27&lt;/ref-type&gt;&lt;contributors&gt;&lt;authors&gt;&lt;author&gt;Høgskolen i Østfold,&lt;/author&gt;&lt;/authors&gt;&lt;tertiary-authors&gt;&lt;author&gt;Høgskolen i Østfold&lt;/author&gt;&lt;/tertiary-authors&gt;&lt;/contributors&gt;&lt;titles&gt;&lt;title&gt;Årsrapport 2022&lt;/title&gt;&lt;/titles&gt;&lt;dates&gt;&lt;year&gt;2023&lt;/year&gt;&lt;/dates&gt;&lt;publisher&gt;Høgskolen i Østfold&lt;/publisher&gt;&lt;urls&gt;&lt;related-urls&gt;&lt;url&gt;https://kudos.dfo.no/documents/33329/files/29689.pdf&lt;/url&gt;&lt;/related-urls&gt;&lt;/urls&gt;&lt;/record&gt;&lt;/Cite&gt;&lt;/EndNote&gt;</w:instrText>
      </w:r>
      <w:r w:rsidR="00D043CF">
        <w:fldChar w:fldCharType="separate"/>
      </w:r>
      <w:r w:rsidR="00D043CF">
        <w:rPr>
          <w:noProof/>
        </w:rPr>
        <w:t>(Høgskolen i Østfold, 2023)</w:t>
      </w:r>
      <w:r w:rsidR="00D043CF">
        <w:fldChar w:fldCharType="end"/>
      </w:r>
      <w:r w:rsidR="005F3B2D">
        <w:t>.</w:t>
      </w:r>
    </w:p>
    <w:p w14:paraId="53EE38FC" w14:textId="5D6FEF1A" w:rsidR="00BA5530" w:rsidRPr="00422245" w:rsidRDefault="00BA5530" w:rsidP="00F5798C">
      <w:pPr>
        <w:rPr>
          <w:b/>
          <w:bCs/>
        </w:rPr>
      </w:pPr>
      <w:r w:rsidRPr="00422245">
        <w:rPr>
          <w:b/>
          <w:bCs/>
        </w:rPr>
        <w:t xml:space="preserve">Store variasjoner </w:t>
      </w:r>
      <w:r w:rsidR="005466BB" w:rsidRPr="00422245">
        <w:rPr>
          <w:b/>
          <w:bCs/>
        </w:rPr>
        <w:t>innad</w:t>
      </w:r>
      <w:r w:rsidR="003A0E4B" w:rsidRPr="00422245">
        <w:rPr>
          <w:b/>
          <w:bCs/>
        </w:rPr>
        <w:t xml:space="preserve"> ved institusjonene</w:t>
      </w:r>
    </w:p>
    <w:p w14:paraId="3A681638" w14:textId="4223A341" w:rsidR="00023D8F" w:rsidRPr="00422245" w:rsidRDefault="007C34F7" w:rsidP="00F5798C">
      <w:r w:rsidRPr="00422245">
        <w:t xml:space="preserve">Vedleggstabell V8.X viser </w:t>
      </w:r>
      <w:r w:rsidR="00F8567D" w:rsidRPr="00422245">
        <w:t>andel og antall årsverk i førstestillinger per institusjon. Ved man</w:t>
      </w:r>
      <w:r w:rsidR="00B5459B" w:rsidRPr="00422245">
        <w:t>g</w:t>
      </w:r>
      <w:r w:rsidR="00533B85" w:rsidRPr="00422245">
        <w:t xml:space="preserve">e institusjoner kan imidlertid det institusjonsvise gjennomsnittet </w:t>
      </w:r>
      <w:r w:rsidR="00E91F44" w:rsidRPr="00422245">
        <w:t>skjule stor</w:t>
      </w:r>
      <w:r w:rsidR="0065756D" w:rsidRPr="00422245">
        <w:t>e</w:t>
      </w:r>
      <w:r w:rsidR="00E91F44" w:rsidRPr="00422245">
        <w:t xml:space="preserve"> skiller mellom fagmiljø</w:t>
      </w:r>
      <w:r w:rsidR="0022549A" w:rsidRPr="00422245">
        <w:t xml:space="preserve">er. </w:t>
      </w:r>
      <w:r w:rsidR="00620FDD" w:rsidRPr="00422245">
        <w:t xml:space="preserve">Forskjellene </w:t>
      </w:r>
      <w:r w:rsidR="00A23248" w:rsidRPr="00422245">
        <w:t xml:space="preserve">mellom fagområder </w:t>
      </w:r>
      <w:r w:rsidR="007D697C" w:rsidRPr="00422245">
        <w:t xml:space="preserve">preger de fleste institusjonene i større eller mindre grad. </w:t>
      </w:r>
      <w:r w:rsidR="0035069C" w:rsidRPr="00422245">
        <w:t>Lavest er andelen førstekompetanse innenfor helse- og sos</w:t>
      </w:r>
      <w:r w:rsidR="00DE345D" w:rsidRPr="00422245">
        <w:t>ialfag mens teknol</w:t>
      </w:r>
      <w:r w:rsidR="00445708" w:rsidRPr="00422245">
        <w:t xml:space="preserve">ogi og naturvitenskap </w:t>
      </w:r>
      <w:r w:rsidR="00184D39" w:rsidRPr="00422245">
        <w:t>har</w:t>
      </w:r>
      <w:r w:rsidR="00445708" w:rsidRPr="00422245">
        <w:t xml:space="preserve"> høyest</w:t>
      </w:r>
      <w:r w:rsidR="00C41752" w:rsidRPr="00422245">
        <w:t xml:space="preserve"> </w:t>
      </w:r>
      <w:r w:rsidR="00184D39" w:rsidRPr="00422245">
        <w:t>andel</w:t>
      </w:r>
      <w:r w:rsidR="00445708" w:rsidRPr="00422245">
        <w:t>.</w:t>
      </w:r>
      <w:r w:rsidR="00C41752" w:rsidRPr="00422245">
        <w:t xml:space="preserve"> </w:t>
      </w:r>
      <w:r w:rsidR="007536C7" w:rsidRPr="00422245">
        <w:t>Ved NU for eksempel, var andelen førstekompetan</w:t>
      </w:r>
      <w:r w:rsidR="00AA6D19" w:rsidRPr="00422245">
        <w:t>s</w:t>
      </w:r>
      <w:r w:rsidR="004600EF" w:rsidRPr="00422245">
        <w:t xml:space="preserve">e ved Fakultet for helsevitenskap </w:t>
      </w:r>
      <w:r w:rsidR="00AA6D19" w:rsidRPr="00422245">
        <w:t xml:space="preserve">44 </w:t>
      </w:r>
      <w:r w:rsidR="003C2F34" w:rsidRPr="00422245">
        <w:t>prosent, mens</w:t>
      </w:r>
      <w:r w:rsidR="00AA6D19" w:rsidRPr="00422245">
        <w:t xml:space="preserve"> den var 79 prosent ved fakultet for biovitenskap og akvakultur. </w:t>
      </w:r>
      <w:r w:rsidR="003C2F34" w:rsidRPr="00422245">
        <w:t xml:space="preserve">Ved UiS </w:t>
      </w:r>
      <w:r w:rsidR="00165574" w:rsidRPr="00422245">
        <w:t xml:space="preserve">hadde Det helsevitenskapelige fakultet 61 prosent førstekompetanse, mens </w:t>
      </w:r>
      <w:r w:rsidR="0068048D" w:rsidRPr="00422245">
        <w:t>Det teknisk-naturvitenskapelige fakultet hadde hele 93 prosent. (Kilde: DBH)</w:t>
      </w:r>
    </w:p>
    <w:p w14:paraId="7E02BFC5" w14:textId="3B695EDF" w:rsidR="002F1E96" w:rsidRPr="00422245" w:rsidRDefault="00143CEC" w:rsidP="00F5798C">
      <w:r w:rsidRPr="00422245">
        <w:t>Blant de private ins</w:t>
      </w:r>
      <w:r w:rsidR="009068A3" w:rsidRPr="00422245">
        <w:t>titusjonene har MF og BI den høyeste andelen førstekompetanse,</w:t>
      </w:r>
      <w:r w:rsidR="004C310C" w:rsidRPr="00422245">
        <w:t xml:space="preserve"> </w:t>
      </w:r>
      <w:r w:rsidR="009068A3" w:rsidRPr="00422245">
        <w:t xml:space="preserve">med henholdsvis </w:t>
      </w:r>
      <w:r w:rsidR="004C310C" w:rsidRPr="00422245">
        <w:t>87 og 91 prosent.</w:t>
      </w:r>
      <w:r w:rsidR="00B969AE" w:rsidRPr="00422245">
        <w:t xml:space="preserve"> </w:t>
      </w:r>
      <w:r w:rsidR="00462C4E" w:rsidRPr="00422245">
        <w:t>Om vi ser bort fra de minste institusjonene, har VID hatt den sterkeste veksten</w:t>
      </w:r>
      <w:r w:rsidR="00374F6D" w:rsidRPr="00422245">
        <w:t xml:space="preserve"> siste ti år</w:t>
      </w:r>
      <w:r w:rsidR="000E12FE" w:rsidRPr="00422245">
        <w:t xml:space="preserve"> blant de private</w:t>
      </w:r>
      <w:r w:rsidR="00374F6D" w:rsidRPr="00422245">
        <w:t xml:space="preserve">. Men </w:t>
      </w:r>
      <w:r w:rsidR="0025549E" w:rsidRPr="00422245">
        <w:t xml:space="preserve">i likhet med statlige institusjoner </w:t>
      </w:r>
      <w:r w:rsidR="008A4DC1" w:rsidRPr="00422245">
        <w:t xml:space="preserve">er </w:t>
      </w:r>
      <w:r w:rsidR="00721BAD" w:rsidRPr="00422245">
        <w:t xml:space="preserve">også VID de siste årene preget av </w:t>
      </w:r>
      <w:r w:rsidR="00405E87" w:rsidRPr="00422245">
        <w:t xml:space="preserve">stagnasjon </w:t>
      </w:r>
      <w:r w:rsidR="007021CD" w:rsidRPr="00422245">
        <w:t xml:space="preserve">i andelen førstekompetanse </w:t>
      </w:r>
      <w:r w:rsidR="00B94720" w:rsidRPr="00422245">
        <w:t>innenfor helsefag</w:t>
      </w:r>
      <w:r w:rsidR="008A4DC1" w:rsidRPr="00422245">
        <w:t>.</w:t>
      </w:r>
    </w:p>
    <w:p w14:paraId="5F708DB6" w14:textId="2C97A373" w:rsidR="00DD7153" w:rsidRPr="00422245" w:rsidRDefault="00DD7153" w:rsidP="00F5798C">
      <w:pPr>
        <w:rPr>
          <w:b/>
          <w:bCs/>
        </w:rPr>
      </w:pPr>
      <w:r w:rsidRPr="00422245">
        <w:rPr>
          <w:b/>
          <w:bCs/>
        </w:rPr>
        <w:t xml:space="preserve">Kompetanseheving og </w:t>
      </w:r>
      <w:r w:rsidR="00231E10">
        <w:rPr>
          <w:b/>
          <w:bCs/>
        </w:rPr>
        <w:t xml:space="preserve">andre </w:t>
      </w:r>
      <w:r w:rsidR="00C67FD1">
        <w:rPr>
          <w:b/>
          <w:bCs/>
        </w:rPr>
        <w:t>indikatorer</w:t>
      </w:r>
    </w:p>
    <w:p w14:paraId="2D40C9EB" w14:textId="69DA5943" w:rsidR="006A2646" w:rsidRPr="00422245" w:rsidRDefault="006A2646" w:rsidP="00F5798C">
      <w:r w:rsidRPr="00422245">
        <w:t>Hva innebærer det for inst</w:t>
      </w:r>
      <w:r w:rsidR="002D34A4" w:rsidRPr="00422245">
        <w:t xml:space="preserve">itusjonene </w:t>
      </w:r>
      <w:r w:rsidR="00B421C7" w:rsidRPr="00422245">
        <w:t>som over tid øker andelen faglig ansatte</w:t>
      </w:r>
      <w:r w:rsidR="00A1328C" w:rsidRPr="00422245">
        <w:t xml:space="preserve"> </w:t>
      </w:r>
      <w:r w:rsidR="004A61A2" w:rsidRPr="00422245">
        <w:t>med førstestillingskompetanse?</w:t>
      </w:r>
      <w:r w:rsidR="00D36B49" w:rsidRPr="00422245">
        <w:t xml:space="preserve"> </w:t>
      </w:r>
      <w:r w:rsidR="00F87120" w:rsidRPr="00422245">
        <w:t xml:space="preserve">På grunnlag av indikatorene vi rår over her, er det vanskelig å se noen sammenheng mellom førstekompetanse og utdanningskvalitet. </w:t>
      </w:r>
      <w:r w:rsidR="0064752B" w:rsidRPr="00422245">
        <w:t>Ser vi på studentenes gjennomføring, ser vi ingen tydelig sammenheng m</w:t>
      </w:r>
      <w:r w:rsidR="00A22F4F" w:rsidRPr="00422245">
        <w:t>ed fagmiljøenes</w:t>
      </w:r>
      <w:r w:rsidR="0064752B" w:rsidRPr="00422245">
        <w:t xml:space="preserve"> kompetanse</w:t>
      </w:r>
      <w:r w:rsidR="00A22F4F" w:rsidRPr="00422245">
        <w:t xml:space="preserve">profil. </w:t>
      </w:r>
      <w:r w:rsidR="004B7085" w:rsidRPr="00422245">
        <w:t xml:space="preserve">På et overordnet nivå er det </w:t>
      </w:r>
      <w:r w:rsidR="0007790F" w:rsidRPr="00422245">
        <w:t xml:space="preserve">en tydelig sammenheng mellom andelen med førstekompetanse og omfanget av publisering. </w:t>
      </w:r>
      <w:r w:rsidR="00C0687A" w:rsidRPr="00422245">
        <w:t>Direkte sammenlikninger er imidlertid vanskelig å gjøre</w:t>
      </w:r>
      <w:r w:rsidR="008069F6" w:rsidRPr="00422245">
        <w:t xml:space="preserve"> blant annet på grunn av store variasjoner mellom fag i publiseringspraksis. </w:t>
      </w:r>
      <w:r w:rsidR="001926CC" w:rsidRPr="00422245">
        <w:t>Institusjoner som de siste ti årene har hatt ste</w:t>
      </w:r>
      <w:r w:rsidR="00A64B69" w:rsidRPr="00422245">
        <w:t>r</w:t>
      </w:r>
      <w:r w:rsidR="001926CC" w:rsidRPr="00422245">
        <w:t xml:space="preserve">t vekst i </w:t>
      </w:r>
      <w:r w:rsidR="00A64B69" w:rsidRPr="00422245">
        <w:t xml:space="preserve">andelen førstekompetanse, har i samme periode også </w:t>
      </w:r>
      <w:r w:rsidR="00A34353" w:rsidRPr="00422245">
        <w:t xml:space="preserve">økt publiseringen mye. </w:t>
      </w:r>
      <w:r w:rsidR="00A57202" w:rsidRPr="00422245">
        <w:t xml:space="preserve">Samtidig ser vi også at </w:t>
      </w:r>
      <w:r w:rsidR="00922F48" w:rsidRPr="00422245">
        <w:t xml:space="preserve">institusjoner </w:t>
      </w:r>
      <w:r w:rsidR="00922F48" w:rsidRPr="00422245">
        <w:lastRenderedPageBreak/>
        <w:t xml:space="preserve">med lavere vekst i andel førstekompetanse, som HiØ, kan ha økt publiseringen minst like mye. </w:t>
      </w:r>
      <w:r w:rsidR="00B31F9C" w:rsidRPr="00422245">
        <w:t>En avlesbar konsekvens av utvikling</w:t>
      </w:r>
      <w:r w:rsidR="001F5D14" w:rsidRPr="00422245">
        <w:t>en</w:t>
      </w:r>
      <w:r w:rsidR="00B31F9C" w:rsidRPr="00422245">
        <w:t xml:space="preserve"> er </w:t>
      </w:r>
      <w:r w:rsidR="003435B8" w:rsidRPr="00422245">
        <w:t xml:space="preserve">derimot at </w:t>
      </w:r>
      <w:r w:rsidR="00800943" w:rsidRPr="00422245">
        <w:t>de faglig ansatte utdanner noe færre studenter enn</w:t>
      </w:r>
      <w:r w:rsidR="002E7B2A" w:rsidRPr="00422245">
        <w:t xml:space="preserve"> tidligere. I kapittel </w:t>
      </w:r>
      <w:r w:rsidR="002E7B2A" w:rsidRPr="00422245">
        <w:fldChar w:fldCharType="begin"/>
      </w:r>
      <w:r w:rsidR="002E7B2A" w:rsidRPr="00422245">
        <w:instrText xml:space="preserve"> REF _Ref161919412 \r \h </w:instrText>
      </w:r>
      <w:r w:rsidR="002E7B2A" w:rsidRPr="00422245">
        <w:fldChar w:fldCharType="separate"/>
      </w:r>
      <w:r w:rsidR="008F7E43">
        <w:t>5</w:t>
      </w:r>
      <w:r w:rsidR="002E7B2A" w:rsidRPr="00422245">
        <w:t>.3.2</w:t>
      </w:r>
      <w:r w:rsidR="002E7B2A" w:rsidRPr="00422245">
        <w:fldChar w:fldCharType="end"/>
      </w:r>
      <w:r w:rsidR="002E7B2A" w:rsidRPr="00422245">
        <w:t xml:space="preserve"> så vi hvordan </w:t>
      </w:r>
      <w:r w:rsidR="00D07155" w:rsidRPr="00422245">
        <w:t xml:space="preserve">antall studiepoeng per faglig årsverk har hatt en jevn nedgang de siste ti årene for sektoren som helhet. </w:t>
      </w:r>
      <w:r w:rsidR="000E5F2C" w:rsidRPr="00422245">
        <w:t xml:space="preserve">Denne nedgangen </w:t>
      </w:r>
      <w:r w:rsidR="00FA0153" w:rsidRPr="00422245">
        <w:t xml:space="preserve">ses i sterkest grad ved </w:t>
      </w:r>
      <w:r w:rsidR="00A60F30" w:rsidRPr="00422245">
        <w:t>institusjon</w:t>
      </w:r>
      <w:r w:rsidR="002C382F" w:rsidRPr="00422245">
        <w:t xml:space="preserve">er </w:t>
      </w:r>
      <w:r w:rsidR="00A60F30" w:rsidRPr="00422245">
        <w:t xml:space="preserve">som har hatt </w:t>
      </w:r>
      <w:r w:rsidR="00FF0CDC" w:rsidRPr="00422245">
        <w:t xml:space="preserve">betydelig </w:t>
      </w:r>
      <w:r w:rsidR="002449BD" w:rsidRPr="00422245">
        <w:t>vekst i andel ansatte med førstekompetanse</w:t>
      </w:r>
      <w:r w:rsidR="002C382F" w:rsidRPr="00422245">
        <w:t xml:space="preserve"> i disse årene.</w:t>
      </w:r>
      <w:r w:rsidR="000E1C7E" w:rsidRPr="00422245">
        <w:t xml:space="preserve"> </w:t>
      </w:r>
    </w:p>
    <w:p w14:paraId="3EB1C97A" w14:textId="7148C8E7" w:rsidR="00CD4063" w:rsidRPr="00422245" w:rsidRDefault="008168A6" w:rsidP="006301DC">
      <w:pPr>
        <w:pStyle w:val="Overskrift2"/>
      </w:pPr>
      <w:bookmarkStart w:id="206" w:name="_Toc158968355"/>
      <w:bookmarkStart w:id="207" w:name="_Toc163488455"/>
      <w:r w:rsidRPr="00422245">
        <w:t>Ansatte og s</w:t>
      </w:r>
      <w:r w:rsidR="006301DC" w:rsidRPr="00422245">
        <w:t>tillingstyper</w:t>
      </w:r>
      <w:bookmarkEnd w:id="206"/>
      <w:bookmarkEnd w:id="207"/>
    </w:p>
    <w:p w14:paraId="42B8AA79" w14:textId="06BCA74D" w:rsidR="0092775E" w:rsidRPr="00422245" w:rsidRDefault="00F7751B" w:rsidP="009D0454">
      <w:r w:rsidRPr="00422245">
        <w:t xml:space="preserve">Høyere utdanning har vært i sterk vekst siste ti år. </w:t>
      </w:r>
      <w:r w:rsidR="002F712F" w:rsidRPr="00422245">
        <w:t>Antall årsverk</w:t>
      </w:r>
      <w:r w:rsidR="002A1BB8" w:rsidRPr="00422245">
        <w:t xml:space="preserve"> totalt for sektoren</w:t>
      </w:r>
      <w:r w:rsidR="002F712F" w:rsidRPr="00422245">
        <w:t xml:space="preserve"> </w:t>
      </w:r>
      <w:r w:rsidR="006A67D1" w:rsidRPr="00422245">
        <w:t xml:space="preserve">økte fra </w:t>
      </w:r>
      <w:r w:rsidR="00223C92" w:rsidRPr="00422245">
        <w:t xml:space="preserve">34 000 </w:t>
      </w:r>
      <w:r w:rsidR="008E51AC" w:rsidRPr="00422245">
        <w:t xml:space="preserve">i 2014 til </w:t>
      </w:r>
      <w:r w:rsidR="00705F36" w:rsidRPr="00422245">
        <w:t>43</w:t>
      </w:r>
      <w:r w:rsidR="005959F7" w:rsidRPr="00422245">
        <w:t> 200 i 2023</w:t>
      </w:r>
      <w:r w:rsidR="00344EC3" w:rsidRPr="00422245">
        <w:t>, en vekst på</w:t>
      </w:r>
      <w:r w:rsidR="005959F7" w:rsidRPr="00422245">
        <w:t xml:space="preserve"> </w:t>
      </w:r>
      <w:r w:rsidR="007A0C4C" w:rsidRPr="00422245">
        <w:t>28 prosent</w:t>
      </w:r>
      <w:r w:rsidR="00FE5E21" w:rsidRPr="00422245">
        <w:t>. For de private institusjonene</w:t>
      </w:r>
      <w:r w:rsidR="007A0C4C" w:rsidRPr="00422245">
        <w:t xml:space="preserve"> </w:t>
      </w:r>
      <w:r w:rsidR="003A5EE4" w:rsidRPr="00422245">
        <w:t xml:space="preserve">var veksten langt høyere, hele </w:t>
      </w:r>
      <w:r w:rsidR="00A22F33" w:rsidRPr="00422245">
        <w:t xml:space="preserve">58 </w:t>
      </w:r>
      <w:r w:rsidR="00567599" w:rsidRPr="00422245">
        <w:t>prosent</w:t>
      </w:r>
      <w:r w:rsidR="006E1031" w:rsidRPr="00422245">
        <w:t xml:space="preserve">. </w:t>
      </w:r>
      <w:r w:rsidR="005344E1" w:rsidRPr="00422245">
        <w:t>Veksten er ulikt fordel</w:t>
      </w:r>
      <w:r w:rsidR="00BB21D7" w:rsidRPr="00422245">
        <w:t xml:space="preserve">t i sektoren. </w:t>
      </w:r>
      <w:r w:rsidR="00CB2EC8" w:rsidRPr="00422245">
        <w:t xml:space="preserve">Blant institusjonene med sterkest vekst i antall årsverk finner vi </w:t>
      </w:r>
      <w:r w:rsidR="00B936EE" w:rsidRPr="00422245">
        <w:t xml:space="preserve">de yngre universitetene og høyskoler. </w:t>
      </w:r>
      <w:r w:rsidR="006B1768" w:rsidRPr="00422245">
        <w:t xml:space="preserve">Høyest vekst </w:t>
      </w:r>
      <w:r w:rsidR="0072457B" w:rsidRPr="00422245">
        <w:t xml:space="preserve">siste ti år har </w:t>
      </w:r>
      <w:r w:rsidR="00C4131A" w:rsidRPr="00422245">
        <w:t>UiA</w:t>
      </w:r>
      <w:r w:rsidR="00246F87" w:rsidRPr="00422245">
        <w:t xml:space="preserve"> </w:t>
      </w:r>
      <w:r w:rsidR="00110869" w:rsidRPr="00422245">
        <w:t xml:space="preserve">(65 prosent) </w:t>
      </w:r>
      <w:r w:rsidR="00246F87" w:rsidRPr="00422245">
        <w:t xml:space="preserve">og </w:t>
      </w:r>
      <w:r w:rsidR="00110869" w:rsidRPr="00422245">
        <w:t>UiS (</w:t>
      </w:r>
      <w:r w:rsidR="005F5A2D" w:rsidRPr="00422245">
        <w:t>62 prosent)</w:t>
      </w:r>
      <w:r w:rsidR="00BA63F0" w:rsidRPr="00422245">
        <w:t xml:space="preserve">, mens </w:t>
      </w:r>
      <w:r w:rsidR="004C4A8B" w:rsidRPr="00422245">
        <w:t xml:space="preserve">også </w:t>
      </w:r>
      <w:r w:rsidR="00EB0798" w:rsidRPr="00422245">
        <w:t xml:space="preserve">fire andre institusjoner hadde en vekst på </w:t>
      </w:r>
      <w:r w:rsidR="00027118" w:rsidRPr="00422245">
        <w:t xml:space="preserve">mellom </w:t>
      </w:r>
      <w:r w:rsidR="00A25001" w:rsidRPr="00422245">
        <w:t>41 og 56 prosent</w:t>
      </w:r>
      <w:r w:rsidR="00711B3B" w:rsidRPr="00422245">
        <w:t xml:space="preserve">, slik det går fram av </w:t>
      </w:r>
      <w:r w:rsidR="00513F14" w:rsidRPr="00422245">
        <w:fldChar w:fldCharType="begin"/>
      </w:r>
      <w:r w:rsidR="00513F14" w:rsidRPr="00422245">
        <w:instrText xml:space="preserve"> REF _Ref158381764 \h </w:instrText>
      </w:r>
      <w:r w:rsidR="00513F14" w:rsidRPr="00422245">
        <w:fldChar w:fldCharType="separate"/>
      </w:r>
      <w:r w:rsidR="00513F14" w:rsidRPr="00422245">
        <w:t xml:space="preserve">Figur </w:t>
      </w:r>
      <w:r w:rsidR="00B55000">
        <w:rPr>
          <w:noProof/>
        </w:rPr>
        <w:t>9</w:t>
      </w:r>
      <w:r w:rsidR="005B096E">
        <w:noBreakHyphen/>
      </w:r>
      <w:r w:rsidR="00DD6E3E" w:rsidRPr="00422245">
        <w:t>7</w:t>
      </w:r>
      <w:r w:rsidR="00513F14" w:rsidRPr="00422245">
        <w:fldChar w:fldCharType="end"/>
      </w:r>
      <w:r w:rsidR="00513F14" w:rsidRPr="00422245">
        <w:t>.</w:t>
      </w:r>
      <w:r w:rsidR="00711B3B" w:rsidRPr="00422245">
        <w:t xml:space="preserve"> </w:t>
      </w:r>
      <w:r w:rsidR="007956D6">
        <w:t>I</w:t>
      </w:r>
      <w:r w:rsidR="0092775E" w:rsidRPr="00422245">
        <w:t xml:space="preserve"> perioden 2014</w:t>
      </w:r>
      <w:r w:rsidR="007956D6">
        <w:t>–</w:t>
      </w:r>
      <w:r w:rsidR="0092775E" w:rsidRPr="00422245">
        <w:t xml:space="preserve">2022 </w:t>
      </w:r>
      <w:r w:rsidR="007956D6">
        <w:t xml:space="preserve">varierte den årlige vekstraten mellom </w:t>
      </w:r>
      <w:r w:rsidR="00EA627A">
        <w:t>2,</w:t>
      </w:r>
      <w:r w:rsidR="0092775E" w:rsidRPr="00422245">
        <w:t>3</w:t>
      </w:r>
      <w:r w:rsidR="00EA627A">
        <w:t xml:space="preserve"> og 4,1</w:t>
      </w:r>
      <w:r w:rsidR="0092775E" w:rsidRPr="00422245">
        <w:t xml:space="preserve"> prosent</w:t>
      </w:r>
      <w:r w:rsidR="00EA627A">
        <w:t>, men i fra</w:t>
      </w:r>
      <w:r w:rsidR="0092775E" w:rsidRPr="00422245">
        <w:t xml:space="preserve"> 2022 til 2023 økte tallet på utførte årsverk i sektoren bare med 0,6 prosent.</w:t>
      </w:r>
    </w:p>
    <w:p w14:paraId="5A2BA6B8" w14:textId="2973EAA5" w:rsidR="000C36DA" w:rsidRPr="00422245" w:rsidRDefault="000C36DA" w:rsidP="000C36DA">
      <w:pPr>
        <w:pStyle w:val="Bildetekst"/>
        <w:keepNext/>
      </w:pPr>
      <w:bookmarkStart w:id="208" w:name="_Ref158381764"/>
      <w:r w:rsidRPr="00422245">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7</w:t>
      </w:r>
      <w:r w:rsidR="006E1D94">
        <w:fldChar w:fldCharType="end"/>
      </w:r>
      <w:bookmarkEnd w:id="208"/>
      <w:r w:rsidRPr="00422245">
        <w:t xml:space="preserve"> Vekst i årsverk totalt og i antall registrerte studenter 2014-2023, statlige institusjoner. Prosent</w:t>
      </w:r>
    </w:p>
    <w:p w14:paraId="61787B87" w14:textId="094FB672" w:rsidR="00AE0983" w:rsidRPr="00422245" w:rsidRDefault="00C66631" w:rsidP="009D0454">
      <w:r w:rsidRPr="00422245">
        <w:rPr>
          <w:noProof/>
        </w:rPr>
        <w:drawing>
          <wp:inline distT="0" distB="0" distL="0" distR="0" wp14:anchorId="5216EFF5" wp14:editId="68D374B0">
            <wp:extent cx="5731510" cy="3195955"/>
            <wp:effectExtent l="0" t="0" r="2540" b="4445"/>
            <wp:docPr id="253582095" name="Diagram 1">
              <a:extLst xmlns:a="http://schemas.openxmlformats.org/drawingml/2006/main">
                <a:ext uri="{FF2B5EF4-FFF2-40B4-BE49-F238E27FC236}">
                  <a16:creationId xmlns:a16="http://schemas.microsoft.com/office/drawing/2014/main" id="{C633503D-9187-8B7C-CCCD-FB5A1D2FB0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4416162" w14:textId="370FCE0C" w:rsidR="00641026" w:rsidRPr="00422245" w:rsidRDefault="00641026" w:rsidP="00641026">
      <w:pPr>
        <w:pStyle w:val="Kilde"/>
      </w:pPr>
      <w:r w:rsidRPr="004E373E">
        <w:rPr>
          <w:b/>
        </w:rPr>
        <w:lastRenderedPageBreak/>
        <w:t>Kilde</w:t>
      </w:r>
      <w:r>
        <w:t>: DBH</w:t>
      </w:r>
    </w:p>
    <w:p w14:paraId="27B9ED4C" w14:textId="06E26B75" w:rsidR="00740243" w:rsidRPr="00422245" w:rsidRDefault="00C46838" w:rsidP="00740243">
      <w:r w:rsidRPr="00422245">
        <w:fldChar w:fldCharType="begin"/>
      </w:r>
      <w:r w:rsidRPr="00422245">
        <w:instrText xml:space="preserve"> REF _Ref158190830 \h </w:instrText>
      </w:r>
      <w:r w:rsidRPr="00422245">
        <w:fldChar w:fldCharType="separate"/>
      </w:r>
      <w:r w:rsidRPr="00422245">
        <w:t xml:space="preserve">Figur </w:t>
      </w:r>
      <w:r w:rsidR="00EA627A">
        <w:rPr>
          <w:noProof/>
        </w:rPr>
        <w:t>9</w:t>
      </w:r>
      <w:r w:rsidR="005B096E">
        <w:noBreakHyphen/>
      </w:r>
      <w:r w:rsidR="00DD6E3E" w:rsidRPr="00422245">
        <w:t>5</w:t>
      </w:r>
      <w:r w:rsidRPr="00422245">
        <w:fldChar w:fldCharType="end"/>
      </w:r>
      <w:r w:rsidR="00740243" w:rsidRPr="00422245">
        <w:t xml:space="preserve"> viser også forholdet mellom veksten i totalt antall årsverk og veksten i antall studenter</w:t>
      </w:r>
      <w:r w:rsidR="00BD7392" w:rsidRPr="00422245">
        <w:t xml:space="preserve"> </w:t>
      </w:r>
      <w:r w:rsidR="00822C87" w:rsidRPr="00422245">
        <w:t>for de statlige institusjonene</w:t>
      </w:r>
      <w:r w:rsidR="00740243" w:rsidRPr="00422245">
        <w:t>. For sektoren samlet var økningen i antall registrerte studenter på 17 prosent i perioden, mot 28 prosent i antall årsverk.</w:t>
      </w:r>
    </w:p>
    <w:p w14:paraId="05B44AE1" w14:textId="5896DEAA" w:rsidR="00C23660" w:rsidRPr="00422245" w:rsidRDefault="00DD0C10" w:rsidP="00740243">
      <w:pPr>
        <w:rPr>
          <w:b/>
        </w:rPr>
      </w:pPr>
      <w:r w:rsidRPr="00422245">
        <w:rPr>
          <w:b/>
          <w:bCs/>
        </w:rPr>
        <w:t>Faglige og</w:t>
      </w:r>
      <w:r w:rsidR="00200B60" w:rsidRPr="00422245">
        <w:rPr>
          <w:b/>
          <w:bCs/>
        </w:rPr>
        <w:t xml:space="preserve"> andre</w:t>
      </w:r>
      <w:r w:rsidRPr="00422245">
        <w:rPr>
          <w:b/>
          <w:bCs/>
        </w:rPr>
        <w:t xml:space="preserve"> stilling</w:t>
      </w:r>
      <w:r w:rsidR="008D0222" w:rsidRPr="00422245">
        <w:rPr>
          <w:b/>
          <w:bCs/>
        </w:rPr>
        <w:t>er</w:t>
      </w:r>
    </w:p>
    <w:p w14:paraId="64F08BCC" w14:textId="1744B6F4" w:rsidR="00365032" w:rsidRPr="00422245" w:rsidRDefault="00DB6477" w:rsidP="00574D9D">
      <w:r w:rsidRPr="00422245">
        <w:t xml:space="preserve">Tilstandsrapporten for høyere utdanning har </w:t>
      </w:r>
      <w:r w:rsidR="00226014" w:rsidRPr="00422245">
        <w:t>tidl</w:t>
      </w:r>
      <w:r w:rsidR="004B5E5F" w:rsidRPr="00422245">
        <w:t xml:space="preserve">igere </w:t>
      </w:r>
      <w:r w:rsidR="00D104EF" w:rsidRPr="00422245">
        <w:t xml:space="preserve">inkludert </w:t>
      </w:r>
      <w:r w:rsidR="002B6D5F" w:rsidRPr="00422245">
        <w:t xml:space="preserve">et oppslag </w:t>
      </w:r>
      <w:r w:rsidR="00AA7D7C" w:rsidRPr="00422245">
        <w:t>med</w:t>
      </w:r>
      <w:r w:rsidR="002B6D5F" w:rsidRPr="00422245">
        <w:t xml:space="preserve"> </w:t>
      </w:r>
      <w:r w:rsidR="00930F90" w:rsidRPr="00422245">
        <w:t>forhold</w:t>
      </w:r>
      <w:r w:rsidR="00AA7D7C" w:rsidRPr="00422245">
        <w:t>stall</w:t>
      </w:r>
      <w:r w:rsidR="00930F90" w:rsidRPr="00422245">
        <w:t xml:space="preserve"> mellom faglige og administrative årsverk. </w:t>
      </w:r>
      <w:r w:rsidR="00A01277" w:rsidRPr="00422245">
        <w:t xml:space="preserve">En begrensning med den framstillingen har vært at </w:t>
      </w:r>
      <w:r w:rsidR="00DF6C08" w:rsidRPr="00422245">
        <w:t xml:space="preserve">det ikke har fanget opp </w:t>
      </w:r>
      <w:r w:rsidR="0062053E" w:rsidRPr="00422245">
        <w:t xml:space="preserve">årsverk i kategorien «øvrige stillinger». </w:t>
      </w:r>
      <w:r w:rsidR="00AA6A2F" w:rsidRPr="00422245">
        <w:t xml:space="preserve">I årets rapport vil vi derfor i stedet vise </w:t>
      </w:r>
      <w:r w:rsidR="00C36FF2" w:rsidRPr="00422245">
        <w:t xml:space="preserve">andelen </w:t>
      </w:r>
      <w:r w:rsidR="00431A6E" w:rsidRPr="00422245">
        <w:t>faglige årsverk av det totale antall årsverk ved institusjonene</w:t>
      </w:r>
      <w:r w:rsidR="00A42736" w:rsidRPr="00422245">
        <w:t>.</w:t>
      </w:r>
      <w:r w:rsidR="00687FD5" w:rsidRPr="00422245">
        <w:t xml:space="preserve"> </w:t>
      </w:r>
      <w:r w:rsidR="00326106" w:rsidRPr="00422245">
        <w:t>For sektoren samlet ut</w:t>
      </w:r>
      <w:r w:rsidR="0044287A" w:rsidRPr="00422245">
        <w:t xml:space="preserve">gjorde faglige årsverk i 2023 </w:t>
      </w:r>
      <w:r w:rsidR="00FB732A" w:rsidRPr="00422245">
        <w:t>62 prosent av</w:t>
      </w:r>
      <w:r w:rsidR="000F6A7F" w:rsidRPr="00422245">
        <w:t xml:space="preserve"> </w:t>
      </w:r>
      <w:r w:rsidR="00F25883" w:rsidRPr="00422245">
        <w:t xml:space="preserve">totalt antall årsverk. </w:t>
      </w:r>
      <w:r w:rsidR="0091261D" w:rsidRPr="00422245">
        <w:t xml:space="preserve">For de private institusjonene er gjennomsnittet noe lavere, </w:t>
      </w:r>
      <w:r w:rsidR="00007FD9" w:rsidRPr="00422245">
        <w:t xml:space="preserve">med </w:t>
      </w:r>
      <w:r w:rsidR="00680A97" w:rsidRPr="00422245">
        <w:t>58 prosent</w:t>
      </w:r>
      <w:r w:rsidR="007B7859" w:rsidRPr="00422245">
        <w:t xml:space="preserve">. Dette tallet er sterkt preget av </w:t>
      </w:r>
      <w:r w:rsidR="000E5C5D" w:rsidRPr="00422245">
        <w:t xml:space="preserve">tallene for </w:t>
      </w:r>
      <w:r w:rsidR="00795594" w:rsidRPr="00422245">
        <w:t xml:space="preserve">BI, der </w:t>
      </w:r>
      <w:r w:rsidR="005A6A3E" w:rsidRPr="00422245">
        <w:t xml:space="preserve">årsverk definert som faglige utgjør bare 46 prosent. </w:t>
      </w:r>
      <w:r w:rsidR="000E3423" w:rsidRPr="00422245">
        <w:t>Tabell V</w:t>
      </w:r>
      <w:r w:rsidR="0051004B" w:rsidRPr="00422245">
        <w:t xml:space="preserve">4.17 viser </w:t>
      </w:r>
      <w:r w:rsidR="002D2292" w:rsidRPr="00422245">
        <w:t xml:space="preserve">antall og andel faglige årsverk per institusjon </w:t>
      </w:r>
      <w:r w:rsidR="00340E4A" w:rsidRPr="00422245">
        <w:t xml:space="preserve">for årene </w:t>
      </w:r>
      <w:r w:rsidR="00573549" w:rsidRPr="00422245">
        <w:t xml:space="preserve">2020 til 2023. </w:t>
      </w:r>
      <w:r w:rsidR="00E110AB" w:rsidRPr="00422245">
        <w:t xml:space="preserve">Endringene fra </w:t>
      </w:r>
      <w:r w:rsidR="00F819FE" w:rsidRPr="00422245">
        <w:t>202</w:t>
      </w:r>
      <w:r w:rsidR="006E0CAB" w:rsidRPr="00422245">
        <w:t xml:space="preserve">0 til </w:t>
      </w:r>
      <w:r w:rsidR="00F819FE" w:rsidRPr="00422245">
        <w:t xml:space="preserve">2023 </w:t>
      </w:r>
      <w:r w:rsidR="00344B8B" w:rsidRPr="00422245">
        <w:t>er marginale.</w:t>
      </w:r>
    </w:p>
    <w:p w14:paraId="40933E10" w14:textId="7856F2E7" w:rsidR="005B2AB2" w:rsidRPr="00422245" w:rsidRDefault="00473C2B" w:rsidP="00574D9D">
      <w:r w:rsidRPr="00422245">
        <w:fldChar w:fldCharType="begin"/>
      </w:r>
      <w:r w:rsidRPr="00422245">
        <w:instrText xml:space="preserve"> REF _Ref158380318 \h </w:instrText>
      </w:r>
      <w:r w:rsidRPr="00422245">
        <w:fldChar w:fldCharType="separate"/>
      </w:r>
      <w:r w:rsidRPr="00422245">
        <w:t xml:space="preserve">Figur </w:t>
      </w:r>
      <w:r w:rsidR="004A253D">
        <w:rPr>
          <w:noProof/>
        </w:rPr>
        <w:t>9</w:t>
      </w:r>
      <w:r w:rsidR="005B096E">
        <w:noBreakHyphen/>
      </w:r>
      <w:r w:rsidR="00DD6E3E" w:rsidRPr="00422245">
        <w:t>8</w:t>
      </w:r>
      <w:r w:rsidRPr="00422245">
        <w:fldChar w:fldCharType="end"/>
      </w:r>
      <w:r w:rsidRPr="00422245">
        <w:t xml:space="preserve"> vise</w:t>
      </w:r>
      <w:r w:rsidR="00A014F5" w:rsidRPr="00422245">
        <w:t xml:space="preserve">r </w:t>
      </w:r>
      <w:r w:rsidR="000D2BB5" w:rsidRPr="00422245">
        <w:t>andelen årsverk i faglige stillinger for de</w:t>
      </w:r>
      <w:r w:rsidR="00AF148D" w:rsidRPr="00422245">
        <w:t xml:space="preserve"> statlige institusjonene. </w:t>
      </w:r>
      <w:r w:rsidR="006D15A2" w:rsidRPr="00422245">
        <w:t xml:space="preserve">Også </w:t>
      </w:r>
      <w:r w:rsidR="009302BB" w:rsidRPr="00422245">
        <w:t xml:space="preserve">for denne indikatoren </w:t>
      </w:r>
      <w:r w:rsidR="00123540" w:rsidRPr="00422245">
        <w:t>ser vi</w:t>
      </w:r>
      <w:r w:rsidR="009302BB" w:rsidRPr="00422245">
        <w:t xml:space="preserve"> </w:t>
      </w:r>
      <w:r w:rsidR="00053626" w:rsidRPr="00422245">
        <w:t>et mønster med</w:t>
      </w:r>
      <w:r w:rsidR="00AC5BE8" w:rsidRPr="00422245">
        <w:t xml:space="preserve"> </w:t>
      </w:r>
      <w:r w:rsidR="00BA60BA" w:rsidRPr="00422245">
        <w:t xml:space="preserve">de mest forskningstunge breddeinstitusjonene </w:t>
      </w:r>
      <w:r w:rsidR="00053626" w:rsidRPr="00422245">
        <w:t xml:space="preserve">og spesialiserte institusjoner </w:t>
      </w:r>
      <w:r w:rsidR="00AC5BE8" w:rsidRPr="00422245">
        <w:t>på den ene siden</w:t>
      </w:r>
      <w:r w:rsidR="00053626" w:rsidRPr="00422245">
        <w:t xml:space="preserve"> og </w:t>
      </w:r>
      <w:r w:rsidR="005C7578" w:rsidRPr="00422245">
        <w:t>yngre universite</w:t>
      </w:r>
      <w:r w:rsidR="00574D9D" w:rsidRPr="00422245">
        <w:t>ter og høyskoler på den andre.</w:t>
      </w:r>
      <w:r w:rsidR="00DA511B" w:rsidRPr="00422245">
        <w:t xml:space="preserve"> Mens UiO og UiB i 2023 hadde </w:t>
      </w:r>
      <w:r w:rsidR="005E0F58" w:rsidRPr="00422245">
        <w:t xml:space="preserve">i underkant av 60 prosent </w:t>
      </w:r>
      <w:r w:rsidR="00BF452D" w:rsidRPr="00422245">
        <w:t xml:space="preserve">faglige årsverk, </w:t>
      </w:r>
      <w:r w:rsidR="0011633B" w:rsidRPr="00422245">
        <w:t xml:space="preserve">var andelen ved HVL og HiM </w:t>
      </w:r>
      <w:r w:rsidR="007A0009" w:rsidRPr="00422245">
        <w:t xml:space="preserve">om lag </w:t>
      </w:r>
      <w:r w:rsidR="0011633B" w:rsidRPr="00422245">
        <w:t>70 prosent.</w:t>
      </w:r>
    </w:p>
    <w:p w14:paraId="63F7D704" w14:textId="3E0FFA26" w:rsidR="00431A6E" w:rsidRPr="00422245" w:rsidRDefault="00824219" w:rsidP="00740243">
      <w:r w:rsidRPr="00422245">
        <w:t>Det kan være flere grunner til</w:t>
      </w:r>
      <w:r w:rsidR="006901B6" w:rsidRPr="00422245">
        <w:t xml:space="preserve"> disse forskjellene</w:t>
      </w:r>
      <w:r w:rsidR="00AC26F2" w:rsidRPr="00422245">
        <w:t xml:space="preserve">. </w:t>
      </w:r>
      <w:r w:rsidR="003558D6" w:rsidRPr="00422245">
        <w:t xml:space="preserve">Høyere forskningsaktivitet </w:t>
      </w:r>
      <w:r w:rsidR="00961842" w:rsidRPr="00422245">
        <w:t xml:space="preserve">medfører </w:t>
      </w:r>
      <w:r w:rsidR="004E42DF" w:rsidRPr="00422245">
        <w:t xml:space="preserve">økte </w:t>
      </w:r>
      <w:r w:rsidR="007C2F94" w:rsidRPr="00422245">
        <w:t xml:space="preserve">administrative oppgaver knyttet til </w:t>
      </w:r>
      <w:r w:rsidR="00731B2E" w:rsidRPr="00422245">
        <w:t>forvaltning av</w:t>
      </w:r>
      <w:r w:rsidR="006E2FB1" w:rsidRPr="00422245">
        <w:t xml:space="preserve"> forskningsmidler og publisering</w:t>
      </w:r>
      <w:r w:rsidR="005577AD" w:rsidRPr="00422245">
        <w:t xml:space="preserve">, </w:t>
      </w:r>
      <w:r w:rsidR="00877030" w:rsidRPr="00422245">
        <w:t xml:space="preserve">jf </w:t>
      </w:r>
      <w:r w:rsidR="006B47AC" w:rsidRPr="00422245">
        <w:t>de store institusjonsforskjellene vi så i</w:t>
      </w:r>
      <w:r w:rsidR="006D2631" w:rsidRPr="00422245">
        <w:t xml:space="preserve"> kapittel</w:t>
      </w:r>
      <w:r w:rsidR="006B47AC" w:rsidRPr="00422245">
        <w:t xml:space="preserve"> </w:t>
      </w:r>
      <w:r w:rsidR="006D2631" w:rsidRPr="00422245">
        <w:fldChar w:fldCharType="begin"/>
      </w:r>
      <w:r w:rsidR="006D2631" w:rsidRPr="00422245">
        <w:instrText xml:space="preserve"> REF _Ref158191115 \r \h </w:instrText>
      </w:r>
      <w:r w:rsidR="006D2631" w:rsidRPr="00422245">
        <w:fldChar w:fldCharType="separate"/>
      </w:r>
      <w:r w:rsidR="00541CF9">
        <w:t>8</w:t>
      </w:r>
      <w:r w:rsidR="006D2631" w:rsidRPr="00422245">
        <w:fldChar w:fldCharType="end"/>
      </w:r>
      <w:r w:rsidR="006D2631" w:rsidRPr="00422245">
        <w:t xml:space="preserve">. </w:t>
      </w:r>
      <w:r w:rsidR="005251D7" w:rsidRPr="00422245">
        <w:t>Videre vil et bredt</w:t>
      </w:r>
      <w:r w:rsidR="0007611D" w:rsidRPr="00422245">
        <w:t xml:space="preserve"> fagtilbud </w:t>
      </w:r>
      <w:r w:rsidR="008961C9" w:rsidRPr="00422245">
        <w:t xml:space="preserve">med mange </w:t>
      </w:r>
      <w:r w:rsidR="00B87F24" w:rsidRPr="00422245">
        <w:t xml:space="preserve">små fag </w:t>
      </w:r>
      <w:r w:rsidR="00CD35FE" w:rsidRPr="00422245">
        <w:t>med</w:t>
      </w:r>
      <w:r w:rsidR="00B87F24" w:rsidRPr="00422245">
        <w:t xml:space="preserve"> lave studenttall</w:t>
      </w:r>
      <w:r w:rsidR="00E03FB2" w:rsidRPr="00422245">
        <w:t xml:space="preserve"> kunne tilsi </w:t>
      </w:r>
      <w:r w:rsidR="0004573D" w:rsidRPr="00422245">
        <w:t xml:space="preserve">økt administrativt behov sammenliknet med </w:t>
      </w:r>
      <w:r w:rsidR="00A614D1" w:rsidRPr="00422245">
        <w:t xml:space="preserve">de store studentkullene som kjennetegner </w:t>
      </w:r>
      <w:r w:rsidR="00EF47E0" w:rsidRPr="00422245">
        <w:t xml:space="preserve">mange av profesjonsutdanningene. </w:t>
      </w:r>
      <w:r w:rsidR="00433E8F" w:rsidRPr="00422245">
        <w:t xml:space="preserve">I kapittel </w:t>
      </w:r>
      <w:r w:rsidR="00D36E60">
        <w:fldChar w:fldCharType="begin"/>
      </w:r>
      <w:r w:rsidR="00D36E60">
        <w:instrText xml:space="preserve"> REF _Ref163390044 \r \h </w:instrText>
      </w:r>
      <w:r w:rsidR="00D36E60">
        <w:fldChar w:fldCharType="separate"/>
      </w:r>
      <w:r w:rsidR="00D36E60">
        <w:t>4</w:t>
      </w:r>
      <w:r w:rsidR="00D36E60">
        <w:fldChar w:fldCharType="end"/>
      </w:r>
      <w:r w:rsidR="00433E8F" w:rsidRPr="00422245">
        <w:t xml:space="preserve"> så vi at </w:t>
      </w:r>
      <w:r w:rsidR="0064011C" w:rsidRPr="00422245">
        <w:t xml:space="preserve">institusjonene som her </w:t>
      </w:r>
      <w:r w:rsidR="00157064" w:rsidRPr="00422245">
        <w:t xml:space="preserve">har </w:t>
      </w:r>
      <w:r w:rsidR="00DA260E" w:rsidRPr="00422245">
        <w:t>lavere andel administrative årsver</w:t>
      </w:r>
      <w:r w:rsidR="00717D46" w:rsidRPr="00422245">
        <w:t>k</w:t>
      </w:r>
      <w:r w:rsidR="001144B5" w:rsidRPr="00422245">
        <w:t>,</w:t>
      </w:r>
      <w:r w:rsidR="00717D46" w:rsidRPr="00422245">
        <w:t xml:space="preserve"> også gjennomgående har et større omfang av internasjonalisering</w:t>
      </w:r>
      <w:r w:rsidR="001144B5" w:rsidRPr="00422245">
        <w:t xml:space="preserve"> og mobilitet</w:t>
      </w:r>
      <w:r w:rsidR="00717D46" w:rsidRPr="00422245">
        <w:t xml:space="preserve">. </w:t>
      </w:r>
      <w:r w:rsidR="002E4314" w:rsidRPr="00422245">
        <w:t>Det</w:t>
      </w:r>
      <w:r w:rsidR="00903017" w:rsidRPr="00422245">
        <w:t xml:space="preserve"> </w:t>
      </w:r>
      <w:r w:rsidR="003A4B67" w:rsidRPr="00422245">
        <w:t xml:space="preserve">krever administrative ressurser. Derfor </w:t>
      </w:r>
      <w:r w:rsidR="007F42DF" w:rsidRPr="00422245">
        <w:t xml:space="preserve">reflekterer også </w:t>
      </w:r>
      <w:r w:rsidR="00A635DB" w:rsidRPr="00422245">
        <w:t xml:space="preserve">denne indikatoren </w:t>
      </w:r>
      <w:r w:rsidR="002407A1" w:rsidRPr="00422245">
        <w:t xml:space="preserve">i stor grad </w:t>
      </w:r>
      <w:r w:rsidR="00BA2C1B" w:rsidRPr="00422245">
        <w:t>institusjonenes egenart og profil.</w:t>
      </w:r>
    </w:p>
    <w:p w14:paraId="3EA1E049" w14:textId="2A112286" w:rsidR="0062492B" w:rsidRPr="00422245" w:rsidRDefault="0062492B" w:rsidP="0062492B">
      <w:pPr>
        <w:pStyle w:val="Bildetekst"/>
        <w:keepNext/>
      </w:pPr>
      <w:bookmarkStart w:id="209" w:name="_Ref158380318"/>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8</w:t>
      </w:r>
      <w:r w:rsidR="006E1D94">
        <w:fldChar w:fldCharType="end"/>
      </w:r>
      <w:bookmarkEnd w:id="209"/>
      <w:r w:rsidRPr="00422245">
        <w:t xml:space="preserve"> Årsverk i faglige stillinger, andel av totalt antall årsverk per institusjon. Prosent</w:t>
      </w:r>
    </w:p>
    <w:p w14:paraId="3064ACE7" w14:textId="1591C133" w:rsidR="006407AD" w:rsidRPr="00422245" w:rsidRDefault="00AC25C5" w:rsidP="00740243">
      <w:r w:rsidRPr="00422245">
        <w:rPr>
          <w:noProof/>
        </w:rPr>
        <w:drawing>
          <wp:inline distT="0" distB="0" distL="0" distR="0" wp14:anchorId="13AD8C16" wp14:editId="03E3D135">
            <wp:extent cx="4572000" cy="2743200"/>
            <wp:effectExtent l="0" t="0" r="0" b="0"/>
            <wp:docPr id="1146154682" name="Diagram 1">
              <a:extLst xmlns:a="http://schemas.openxmlformats.org/drawingml/2006/main">
                <a:ext uri="{FF2B5EF4-FFF2-40B4-BE49-F238E27FC236}">
                  <a16:creationId xmlns:a16="http://schemas.microsoft.com/office/drawing/2014/main" id="{93EF9770-C3D6-CAB8-4007-317B1AEF7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7E1389D" w14:textId="0F9AD567" w:rsidR="00A50A01" w:rsidRPr="00422245" w:rsidRDefault="00A50A01" w:rsidP="00A50A01">
      <w:pPr>
        <w:pStyle w:val="Kilde"/>
      </w:pPr>
      <w:r w:rsidRPr="004E373E">
        <w:rPr>
          <w:b/>
        </w:rPr>
        <w:t>Kilde</w:t>
      </w:r>
      <w:r>
        <w:t>: DBH</w:t>
      </w:r>
    </w:p>
    <w:p w14:paraId="73754FA8" w14:textId="3E1371A1" w:rsidR="004A6456" w:rsidRPr="00422245" w:rsidRDefault="0079151C" w:rsidP="00632FA5">
      <w:r w:rsidRPr="00422245">
        <w:t xml:space="preserve"> </w:t>
      </w:r>
    </w:p>
    <w:p w14:paraId="10DB519D" w14:textId="67EF6302" w:rsidR="006E47A4" w:rsidRPr="00422245" w:rsidRDefault="00BC30E4" w:rsidP="00FF43E1">
      <w:pPr>
        <w:pStyle w:val="Overskrift2"/>
      </w:pPr>
      <w:bookmarkStart w:id="210" w:name="_Toc158968356"/>
      <w:bookmarkStart w:id="211" w:name="_Ref161388340"/>
      <w:bookmarkStart w:id="212" w:name="_Toc163488456"/>
      <w:r w:rsidRPr="00422245">
        <w:t>Kjøn</w:t>
      </w:r>
      <w:r w:rsidR="00FF43E1" w:rsidRPr="00422245">
        <w:t xml:space="preserve">nsbalansen blant </w:t>
      </w:r>
      <w:r w:rsidR="00926F8A" w:rsidRPr="00422245">
        <w:t xml:space="preserve">faglig </w:t>
      </w:r>
      <w:r w:rsidR="00FF43E1" w:rsidRPr="00422245">
        <w:t>ansatte i høyere utdanning</w:t>
      </w:r>
      <w:bookmarkEnd w:id="210"/>
      <w:bookmarkEnd w:id="211"/>
      <w:bookmarkEnd w:id="212"/>
    </w:p>
    <w:p w14:paraId="25DE3C73" w14:textId="0A3D3FFE" w:rsidR="00EC2CF4" w:rsidRPr="00422245" w:rsidRDefault="000564E4" w:rsidP="00346F37">
      <w:r w:rsidRPr="00422245">
        <w:t>Mål om k</w:t>
      </w:r>
      <w:r w:rsidR="00C0073C" w:rsidRPr="00422245">
        <w:t xml:space="preserve">jønnsbalanse i høyere utdanning </w:t>
      </w:r>
      <w:r w:rsidRPr="00422245">
        <w:t>har flere dimensjoner</w:t>
      </w:r>
      <w:r w:rsidR="00A86965" w:rsidRPr="00422245">
        <w:t xml:space="preserve">. Det kan handle om likestilling </w:t>
      </w:r>
      <w:r w:rsidR="00550C01" w:rsidRPr="00422245">
        <w:t xml:space="preserve">og </w:t>
      </w:r>
      <w:r w:rsidR="00A86965" w:rsidRPr="00422245">
        <w:t>rettferdighet</w:t>
      </w:r>
      <w:r w:rsidR="00FF4C0D" w:rsidRPr="00422245">
        <w:t xml:space="preserve"> og </w:t>
      </w:r>
      <w:r w:rsidR="0077026C" w:rsidRPr="00422245">
        <w:t>om arbeidsmiljø</w:t>
      </w:r>
      <w:r w:rsidR="00550C01" w:rsidRPr="00422245">
        <w:t xml:space="preserve">. I tillegg er </w:t>
      </w:r>
      <w:r w:rsidR="00EE38AD" w:rsidRPr="00422245">
        <w:t xml:space="preserve">mangfoldig fagmiljø positivt med tanke på </w:t>
      </w:r>
      <w:r w:rsidR="00D63D9D" w:rsidRPr="00422245">
        <w:t>læring, undervisning og forskning</w:t>
      </w:r>
      <w:r w:rsidR="00F848ED" w:rsidRPr="00422245">
        <w:t>, og s</w:t>
      </w:r>
      <w:r w:rsidR="006D0A80" w:rsidRPr="00422245">
        <w:t xml:space="preserve">lik sett er </w:t>
      </w:r>
      <w:r w:rsidR="005059A2" w:rsidRPr="00422245">
        <w:t>institusjonenes arbeid for bedre kjønnsbalanse også en del av deres kvalitetsarbeid</w:t>
      </w:r>
      <w:r w:rsidR="00D10B65">
        <w:t xml:space="preserve"> </w:t>
      </w:r>
      <w:r w:rsidR="00D10B65">
        <w:fldChar w:fldCharType="begin"/>
      </w:r>
      <w:r w:rsidR="00B91965">
        <w:instrText xml:space="preserve"> ADDIN EN.CITE &lt;EndNote&gt;&lt;Cite&gt;&lt;Author&gt;Lagesen&lt;/Author&gt;&lt;Year&gt;2021&lt;/Year&gt;&lt;RecNum&gt;2287&lt;/RecNum&gt;&lt;DisplayText&gt;(Lagesen, 2021)&lt;/DisplayText&gt;&lt;record&gt;&lt;rec-number&gt;2287&lt;/rec-number&gt;&lt;foreign-keys&gt;&lt;key app="EN" db-id="p2et5feaxrpe5zew2eavt29z05fv09aa5s0w" timestamp="1712321760" guid="35a1bbe3-b751-4cd3-b212-64f1ec94e460"&gt;2287&lt;/key&gt;&lt;/foreign-keys&gt;&lt;ref-type name="Journal Article"&gt;17&lt;/ref-type&gt;&lt;contributors&gt;&lt;authors&gt;&lt;author&gt;Vivian Anette Lagesen&lt;/author&gt;&lt;/authors&gt;&lt;/contributors&gt;&lt;titles&gt;&lt;title&gt;How Heads of Departments Find It Meaningful to Engage with Gender Balance Policies&lt;/title&gt;&lt;secondary-title&gt;Science and Public Policy&lt;/secondary-title&gt;&lt;/titles&gt;&lt;periodical&gt;&lt;full-title&gt;Science and Public Policy&lt;/full-title&gt;&lt;/periodical&gt;&lt;pages&gt;582-591&lt;/pages&gt;&lt;volume&gt;48&lt;/volume&gt;&lt;number&gt;4&lt;/number&gt;&lt;dates&gt;&lt;year&gt;2021&lt;/year&gt;&lt;/dates&gt;&lt;urls&gt;&lt;related-urls&gt;&lt;url&gt;https://doi.org/10.1093/scipol/scab024&lt;/url&gt;&lt;/related-urls&gt;&lt;/urls&gt;&lt;/record&gt;&lt;/Cite&gt;&lt;/EndNote&gt;</w:instrText>
      </w:r>
      <w:r w:rsidR="00D10B65">
        <w:fldChar w:fldCharType="separate"/>
      </w:r>
      <w:r w:rsidR="00D10B65">
        <w:rPr>
          <w:noProof/>
        </w:rPr>
        <w:t>(Lagesen, 2021)</w:t>
      </w:r>
      <w:r w:rsidR="00D10B65">
        <w:fldChar w:fldCharType="end"/>
      </w:r>
      <w:r w:rsidR="005059A2" w:rsidRPr="00422245">
        <w:t>.</w:t>
      </w:r>
    </w:p>
    <w:p w14:paraId="4DC0755A" w14:textId="17DC67C3" w:rsidR="00B64153" w:rsidRPr="00422245" w:rsidRDefault="004C05FD" w:rsidP="00346F37">
      <w:r w:rsidRPr="00422245">
        <w:t xml:space="preserve">Blant studentene har kjønnsbalansen </w:t>
      </w:r>
      <w:r w:rsidR="004A21E9" w:rsidRPr="00422245">
        <w:t xml:space="preserve">ikke endret seg særlig de siste tjue årene. </w:t>
      </w:r>
      <w:r w:rsidR="00B75153" w:rsidRPr="00422245">
        <w:t xml:space="preserve">I hele denne perioden har det vært om lag </w:t>
      </w:r>
      <w:r w:rsidR="002E548A" w:rsidRPr="00422245">
        <w:t>60 prosent kvinnelige og 40 prosent mannlige studenter</w:t>
      </w:r>
      <w:r w:rsidR="002C7A07" w:rsidRPr="00422245">
        <w:t xml:space="preserve">, se kapittel </w:t>
      </w:r>
      <w:r w:rsidR="00EE58FC">
        <w:fldChar w:fldCharType="begin"/>
      </w:r>
      <w:r w:rsidR="00EE58FC">
        <w:instrText xml:space="preserve"> REF _Ref163390170 \r \h </w:instrText>
      </w:r>
      <w:r w:rsidR="00EE58FC">
        <w:fldChar w:fldCharType="separate"/>
      </w:r>
      <w:r w:rsidR="00EE58FC">
        <w:t>2.2</w:t>
      </w:r>
      <w:r w:rsidR="00EE58FC">
        <w:fldChar w:fldCharType="end"/>
      </w:r>
      <w:r w:rsidR="002C7A07" w:rsidRPr="00422245">
        <w:t>.</w:t>
      </w:r>
      <w:r w:rsidR="002E548A" w:rsidRPr="00422245">
        <w:t xml:space="preserve"> </w:t>
      </w:r>
      <w:r w:rsidR="004264E9" w:rsidRPr="00422245">
        <w:t xml:space="preserve">For </w:t>
      </w:r>
      <w:r w:rsidR="007537B9" w:rsidRPr="00422245">
        <w:t>faglig ansatte ved universitet</w:t>
      </w:r>
      <w:r w:rsidR="00BF7CD5" w:rsidRPr="00422245">
        <w:t xml:space="preserve">er </w:t>
      </w:r>
      <w:r w:rsidR="00FD1C81" w:rsidRPr="00422245">
        <w:t xml:space="preserve">og høyskoler </w:t>
      </w:r>
      <w:r w:rsidR="00E47D65" w:rsidRPr="00422245">
        <w:t>er bildet annerle</w:t>
      </w:r>
      <w:r w:rsidR="00337900" w:rsidRPr="00422245">
        <w:t xml:space="preserve">des. </w:t>
      </w:r>
      <w:r w:rsidR="00DF1F5A" w:rsidRPr="00422245">
        <w:t>Tabell V4.24 viser andelen kvinner i ulike faglige stillinger siste ti år</w:t>
      </w:r>
      <w:r w:rsidR="002D1324" w:rsidRPr="00422245">
        <w:t>,</w:t>
      </w:r>
      <w:r w:rsidR="005D3643" w:rsidRPr="00422245">
        <w:t xml:space="preserve"> V</w:t>
      </w:r>
      <w:r w:rsidR="00C04009" w:rsidRPr="00422245">
        <w:t xml:space="preserve">4.23 viser andel kvinner i faglige </w:t>
      </w:r>
      <w:r w:rsidR="00144401" w:rsidRPr="00422245">
        <w:t>toppstillinger (professor- og dosentstillinger</w:t>
      </w:r>
      <w:r w:rsidR="00165B98" w:rsidRPr="00422245">
        <w:t>)</w:t>
      </w:r>
      <w:r w:rsidR="00144401" w:rsidRPr="00422245">
        <w:t xml:space="preserve">, mens </w:t>
      </w:r>
      <w:r w:rsidR="00624B8F" w:rsidRPr="00422245">
        <w:t>V4.25 viser andelen kvinner av nye professorer.</w:t>
      </w:r>
    </w:p>
    <w:p w14:paraId="07AD4D68" w14:textId="2177415D" w:rsidR="007F777F" w:rsidRPr="00422245" w:rsidRDefault="0030478C" w:rsidP="00FA1C71">
      <w:pPr>
        <w:pStyle w:val="Bildetekst"/>
      </w:pPr>
      <w:r w:rsidRPr="00422245">
        <w:fldChar w:fldCharType="begin"/>
      </w:r>
      <w:r w:rsidRPr="00422245">
        <w:instrText xml:space="preserve"> REF _Ref158715744 \h </w:instrText>
      </w:r>
      <w:r w:rsidRPr="00422245">
        <w:fldChar w:fldCharType="separate"/>
      </w:r>
      <w:r w:rsidR="00FE5C01" w:rsidRPr="00422245">
        <w:t xml:space="preserve">Figur </w:t>
      </w:r>
      <w:r w:rsidR="00FE5C01">
        <w:rPr>
          <w:noProof/>
        </w:rPr>
        <w:t>9</w:t>
      </w:r>
      <w:r w:rsidR="00FE5C01">
        <w:noBreakHyphen/>
      </w:r>
      <w:r w:rsidR="00FE5C01">
        <w:rPr>
          <w:noProof/>
        </w:rPr>
        <w:t>9</w:t>
      </w:r>
      <w:r w:rsidRPr="00422245">
        <w:fldChar w:fldCharType="end"/>
      </w:r>
      <w:r w:rsidR="00BA47AD" w:rsidRPr="00422245">
        <w:t xml:space="preserve"> </w:t>
      </w:r>
      <w:r w:rsidR="00BA43CA" w:rsidRPr="00422245">
        <w:t>viser kvinneandel per inst</w:t>
      </w:r>
      <w:r w:rsidR="001176DB" w:rsidRPr="00422245">
        <w:t xml:space="preserve">itusjon for </w:t>
      </w:r>
      <w:r w:rsidR="004F2FD0" w:rsidRPr="00422245">
        <w:t>ulike faglige stillinger sammen med andelen blant studentene.</w:t>
      </w:r>
      <w:r w:rsidR="00BA47AD" w:rsidRPr="00422245">
        <w:t xml:space="preserve"> </w:t>
      </w:r>
    </w:p>
    <w:p w14:paraId="0B9F6A85" w14:textId="158A5834" w:rsidR="00715DFE" w:rsidRPr="00422245" w:rsidRDefault="00715DFE" w:rsidP="00715DFE">
      <w:pPr>
        <w:pStyle w:val="Bildetekst"/>
        <w:keepNext/>
      </w:pPr>
      <w:bookmarkStart w:id="213" w:name="_Ref158715744"/>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9</w:t>
      </w:r>
      <w:r w:rsidR="006E1D94">
        <w:fldChar w:fldCharType="end"/>
      </w:r>
      <w:bookmarkEnd w:id="213"/>
      <w:r w:rsidRPr="00422245">
        <w:t xml:space="preserve"> Kvinneandel blant </w:t>
      </w:r>
      <w:r w:rsidR="00BA47AD" w:rsidRPr="00422245">
        <w:t>studenter</w:t>
      </w:r>
      <w:r w:rsidRPr="00422245">
        <w:t xml:space="preserve"> og utvalgte stillingskategorier, 2023. Prosent</w:t>
      </w:r>
    </w:p>
    <w:p w14:paraId="2495E7D8" w14:textId="264EB407" w:rsidR="00715DFE" w:rsidRPr="00422245" w:rsidRDefault="00715DFE" w:rsidP="00DE4BC3">
      <w:r w:rsidRPr="00422245">
        <w:rPr>
          <w:noProof/>
        </w:rPr>
        <w:drawing>
          <wp:inline distT="0" distB="0" distL="0" distR="0" wp14:anchorId="345D3447" wp14:editId="76AB696C">
            <wp:extent cx="5191125" cy="3224212"/>
            <wp:effectExtent l="0" t="0" r="9525" b="14605"/>
            <wp:docPr id="1459494769" name="Diagram 1">
              <a:extLst xmlns:a="http://schemas.openxmlformats.org/drawingml/2006/main">
                <a:ext uri="{FF2B5EF4-FFF2-40B4-BE49-F238E27FC236}">
                  <a16:creationId xmlns:a16="http://schemas.microsoft.com/office/drawing/2014/main" id="{E2A99EAF-132B-6648-CF1D-6DD9C75F1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0F81B84" w14:textId="00759446" w:rsidR="00A50A01" w:rsidRPr="00422245" w:rsidRDefault="00A50A01" w:rsidP="00A50A01">
      <w:pPr>
        <w:pStyle w:val="Kilde"/>
      </w:pPr>
      <w:r w:rsidRPr="004E373E">
        <w:rPr>
          <w:b/>
        </w:rPr>
        <w:t>Kilde</w:t>
      </w:r>
      <w:r>
        <w:t>: DBH</w:t>
      </w:r>
    </w:p>
    <w:p w14:paraId="3232B8BE" w14:textId="575C252E" w:rsidR="000849F3" w:rsidRPr="00422245" w:rsidRDefault="00DE4BC3" w:rsidP="00DE4BC3">
      <w:r w:rsidRPr="00422245">
        <w:t>Blant stipendiatene er kjønnsfordelingen temmelig lik fordelingen blant studenter. I 2023 var 56 prosent av stipendiatene kvinner. 60 prosent av førstelektorene var kvinner og 37 prosent av professorene.</w:t>
      </w:r>
      <w:r w:rsidR="00E467EF" w:rsidRPr="00422245">
        <w:t xml:space="preserve"> </w:t>
      </w:r>
      <w:r w:rsidR="00E467EF" w:rsidRPr="00422245">
        <w:fldChar w:fldCharType="begin"/>
      </w:r>
      <w:r w:rsidR="00E467EF" w:rsidRPr="00422245">
        <w:instrText xml:space="preserve"> REF _Ref158709267 \h </w:instrText>
      </w:r>
      <w:r w:rsidR="00E467EF" w:rsidRPr="00422245">
        <w:fldChar w:fldCharType="separate"/>
      </w:r>
      <w:r w:rsidR="00E467EF" w:rsidRPr="00422245">
        <w:t xml:space="preserve">Figur </w:t>
      </w:r>
      <w:r w:rsidR="00EE58FC">
        <w:rPr>
          <w:noProof/>
        </w:rPr>
        <w:t>9</w:t>
      </w:r>
      <w:r w:rsidR="005B096E">
        <w:noBreakHyphen/>
      </w:r>
      <w:r w:rsidR="00DD6E3E" w:rsidRPr="00422245">
        <w:t>10</w:t>
      </w:r>
      <w:r w:rsidR="00E467EF" w:rsidRPr="00422245">
        <w:fldChar w:fldCharType="end"/>
      </w:r>
      <w:r w:rsidR="00E467EF" w:rsidRPr="00422245">
        <w:t xml:space="preserve"> viser </w:t>
      </w:r>
      <w:r w:rsidR="00A913BB" w:rsidRPr="00422245">
        <w:t>utviklingen i kvinneandelen i faglige toppstillinger siste ti år.</w:t>
      </w:r>
    </w:p>
    <w:p w14:paraId="725CA147" w14:textId="3F34946D" w:rsidR="00E467EF" w:rsidRPr="00422245" w:rsidRDefault="00E467EF" w:rsidP="00E467EF">
      <w:pPr>
        <w:pStyle w:val="Bildetekst"/>
        <w:keepNext/>
      </w:pPr>
      <w:bookmarkStart w:id="214" w:name="_Ref158709267"/>
      <w:r w:rsidRPr="00422245">
        <w:lastRenderedPageBreak/>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10</w:t>
      </w:r>
      <w:r w:rsidR="006E1D94">
        <w:fldChar w:fldCharType="end"/>
      </w:r>
      <w:bookmarkEnd w:id="214"/>
      <w:r w:rsidRPr="00422245">
        <w:t xml:space="preserve"> Kvinner i dosent- og professorstillinger 2014–23. Prosent</w:t>
      </w:r>
    </w:p>
    <w:p w14:paraId="3CA8AD3F" w14:textId="4859D429" w:rsidR="000849F3" w:rsidRPr="00422245" w:rsidRDefault="00E467EF" w:rsidP="00DE4BC3">
      <w:r w:rsidRPr="00422245">
        <w:rPr>
          <w:noProof/>
        </w:rPr>
        <w:drawing>
          <wp:inline distT="0" distB="0" distL="0" distR="0" wp14:anchorId="392CF5FF" wp14:editId="0CE60DF5">
            <wp:extent cx="5295900" cy="3642360"/>
            <wp:effectExtent l="0" t="0" r="0" b="15240"/>
            <wp:docPr id="801137055" name="Diagram 1">
              <a:extLst xmlns:a="http://schemas.openxmlformats.org/drawingml/2006/main">
                <a:ext uri="{FF2B5EF4-FFF2-40B4-BE49-F238E27FC236}">
                  <a16:creationId xmlns:a16="http://schemas.microsoft.com/office/drawing/2014/main" id="{69EC249A-8229-4AF3-9656-6CE712C2BC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DD1554F" w14:textId="440C840C" w:rsidR="00A50A01" w:rsidRPr="00422245" w:rsidRDefault="00A50A01" w:rsidP="00A50A01">
      <w:pPr>
        <w:pStyle w:val="Kilde"/>
      </w:pPr>
      <w:r w:rsidRPr="004E373E">
        <w:rPr>
          <w:b/>
        </w:rPr>
        <w:t>Kilde</w:t>
      </w:r>
      <w:r>
        <w:t>: DBH</w:t>
      </w:r>
    </w:p>
    <w:p w14:paraId="61A3C24B" w14:textId="65D1F61B" w:rsidR="00DE4BC3" w:rsidRPr="00422245" w:rsidRDefault="002D60D1" w:rsidP="00DE4BC3">
      <w:r w:rsidRPr="00422245">
        <w:t>D</w:t>
      </w:r>
      <w:r w:rsidR="00DE4BC3" w:rsidRPr="00422245">
        <w:t xml:space="preserve">e siste ti årene har kvinneandelen </w:t>
      </w:r>
      <w:r w:rsidR="00C97BF0" w:rsidRPr="00422245">
        <w:t xml:space="preserve">i dosent og professorstillinger økt </w:t>
      </w:r>
      <w:r w:rsidR="003A392D" w:rsidRPr="00422245">
        <w:t>fra 27 til 37 prosent,</w:t>
      </w:r>
      <w:r w:rsidR="004E1898" w:rsidRPr="00422245">
        <w:t xml:space="preserve"> det vil si at kvinneandelen har økt med 41 prosent. </w:t>
      </w:r>
      <w:r w:rsidR="00A55F8A" w:rsidRPr="00422245">
        <w:t>Mens kjønnsfordelingen på et hver</w:t>
      </w:r>
      <w:r w:rsidR="00C00A88" w:rsidRPr="00422245">
        <w:t>t</w:t>
      </w:r>
      <w:r w:rsidR="00A55F8A" w:rsidRPr="00422245">
        <w:t xml:space="preserve"> tidspunkt er preget av </w:t>
      </w:r>
      <w:r w:rsidR="00C00A88" w:rsidRPr="00422245">
        <w:t>historiske forhold, gir fordelingen blant ny</w:t>
      </w:r>
      <w:r w:rsidR="00756DC9" w:rsidRPr="00422245">
        <w:t xml:space="preserve">e </w:t>
      </w:r>
      <w:r w:rsidR="00C00A88" w:rsidRPr="00422245">
        <w:t>professorer et</w:t>
      </w:r>
      <w:r w:rsidR="00756DC9" w:rsidRPr="00422245">
        <w:t xml:space="preserve"> </w:t>
      </w:r>
      <w:r w:rsidR="002E2F5A" w:rsidRPr="00422245">
        <w:t xml:space="preserve">annet tidsbilde. </w:t>
      </w:r>
      <w:r w:rsidR="00DE4BC3" w:rsidRPr="00422245">
        <w:t>Blant nye professorer i 2022 var det med 48 prosent kvinner nesten like mange kvinner som menn som ble rekruttert til professorstillinger. Om man tar utgangspunkt i studentmassen, er kvinner likevel fortsatt underrepresentert i rekrutteringen til disse stillingene.  Det siste tiåret har vært en tid med omfattende nyrekruttering til sektoren. Denne veksten vil ventelig ikke fortsette i tiden som kommer. Den historiske rekrutteringen til stillinger ved universiteter og høyskoler vil derfor prege sektoren også i tiden framover.</w:t>
      </w:r>
      <w:r w:rsidR="008860B8" w:rsidRPr="00422245">
        <w:t xml:space="preserve"> </w:t>
      </w:r>
    </w:p>
    <w:p w14:paraId="404A9B63" w14:textId="16A21514" w:rsidR="005E2189" w:rsidRPr="00422245" w:rsidRDefault="00846148" w:rsidP="00346F37">
      <w:r w:rsidRPr="00422245">
        <w:t xml:space="preserve">Det er store forskjeller mellom </w:t>
      </w:r>
      <w:r w:rsidR="00560CE1" w:rsidRPr="00422245">
        <w:t>institusjonene</w:t>
      </w:r>
      <w:r w:rsidR="00303B71" w:rsidRPr="00422245">
        <w:t xml:space="preserve"> i kjønnsbalansen</w:t>
      </w:r>
      <w:r w:rsidR="00434277" w:rsidRPr="00422245">
        <w:t>,</w:t>
      </w:r>
      <w:r w:rsidR="00E32623" w:rsidRPr="00422245">
        <w:t xml:space="preserve"> </w:t>
      </w:r>
      <w:r w:rsidR="009040A8" w:rsidRPr="00422245">
        <w:t>men forskjellene varierer med stillingstypene.</w:t>
      </w:r>
      <w:r w:rsidR="00D638B5" w:rsidRPr="00422245">
        <w:t xml:space="preserve"> Kun tre </w:t>
      </w:r>
      <w:r w:rsidR="00C754F1" w:rsidRPr="00422245">
        <w:t xml:space="preserve">av </w:t>
      </w:r>
      <w:r w:rsidR="00F36A47" w:rsidRPr="00422245">
        <w:t>institusjon</w:t>
      </w:r>
      <w:r w:rsidR="002D7CC6" w:rsidRPr="00422245">
        <w:t xml:space="preserve">ene i </w:t>
      </w:r>
      <w:r w:rsidR="00883589">
        <w:fldChar w:fldCharType="begin"/>
      </w:r>
      <w:r w:rsidR="00883589">
        <w:instrText xml:space="preserve"> REF _Ref158715744 \h </w:instrText>
      </w:r>
      <w:r w:rsidR="00883589">
        <w:fldChar w:fldCharType="separate"/>
      </w:r>
      <w:r w:rsidR="00883589" w:rsidRPr="00422245">
        <w:t xml:space="preserve">Figur </w:t>
      </w:r>
      <w:r w:rsidR="00883589">
        <w:rPr>
          <w:noProof/>
        </w:rPr>
        <w:t>9</w:t>
      </w:r>
      <w:r w:rsidR="00883589">
        <w:noBreakHyphen/>
      </w:r>
      <w:r w:rsidR="00883589">
        <w:rPr>
          <w:noProof/>
        </w:rPr>
        <w:t>9</w:t>
      </w:r>
      <w:r w:rsidR="00883589">
        <w:fldChar w:fldCharType="end"/>
      </w:r>
      <w:r w:rsidR="002D7CC6" w:rsidRPr="00422245">
        <w:t xml:space="preserve"> </w:t>
      </w:r>
      <w:r w:rsidR="00F36A47" w:rsidRPr="00422245">
        <w:t>hadde overvekt av mannlige stipendiater i 2023, NHH, NTNU og HiØ</w:t>
      </w:r>
      <w:r w:rsidR="002D7CC6" w:rsidRPr="00422245">
        <w:t xml:space="preserve">. </w:t>
      </w:r>
      <w:r w:rsidR="00FD6AD8" w:rsidRPr="00422245">
        <w:t>I kjønnsfordelingen blant førsteamanuensene</w:t>
      </w:r>
      <w:r w:rsidR="00987DC1" w:rsidRPr="00422245">
        <w:t xml:space="preserve"> skiller to institusjoner seg ut, </w:t>
      </w:r>
      <w:r w:rsidR="00693391" w:rsidRPr="00422245">
        <w:t xml:space="preserve">ved </w:t>
      </w:r>
      <w:r w:rsidR="00987DC1" w:rsidRPr="00422245">
        <w:t xml:space="preserve">både BI og NHH </w:t>
      </w:r>
      <w:r w:rsidR="00693391" w:rsidRPr="00422245">
        <w:t>utgjorde m</w:t>
      </w:r>
      <w:r w:rsidR="004756AE" w:rsidRPr="00422245">
        <w:t xml:space="preserve">enn </w:t>
      </w:r>
      <w:r w:rsidR="00987DC1" w:rsidRPr="00422245">
        <w:t xml:space="preserve">om lag </w:t>
      </w:r>
      <w:r w:rsidR="00693391" w:rsidRPr="00422245">
        <w:t>to tredeler</w:t>
      </w:r>
      <w:r w:rsidR="004756AE" w:rsidRPr="00422245">
        <w:t xml:space="preserve"> av ansatte i denne stillingskategorien. </w:t>
      </w:r>
      <w:r w:rsidR="00A3214E" w:rsidRPr="00422245">
        <w:t xml:space="preserve">For flertallet av </w:t>
      </w:r>
      <w:r w:rsidR="00A3214E" w:rsidRPr="00422245">
        <w:lastRenderedPageBreak/>
        <w:t xml:space="preserve">institusjonene </w:t>
      </w:r>
      <w:r w:rsidR="001C58F4" w:rsidRPr="00422245">
        <w:t xml:space="preserve">varierte andelen kvinner mellom 36 og 54 </w:t>
      </w:r>
      <w:r w:rsidR="00110B51" w:rsidRPr="00422245">
        <w:t xml:space="preserve">prosent. OsloMet og VID skiller seg ut med en kvinneandel blant førsteamanuensene på </w:t>
      </w:r>
      <w:r w:rsidR="00481944" w:rsidRPr="00422245">
        <w:t xml:space="preserve">64 og 72 prosent. </w:t>
      </w:r>
    </w:p>
    <w:p w14:paraId="5DA7168A" w14:textId="705A252B" w:rsidR="0024715B" w:rsidRPr="00422245" w:rsidRDefault="00434DCA" w:rsidP="00346F37">
      <w:r w:rsidRPr="00422245">
        <w:t xml:space="preserve">For professorstillingene er det institusjonsvise mønsteret i hovedsak det samme, men forskjellen mellom institusjonene </w:t>
      </w:r>
      <w:r w:rsidR="005E2189" w:rsidRPr="00422245">
        <w:t xml:space="preserve">er </w:t>
      </w:r>
      <w:r w:rsidRPr="00422245">
        <w:t xml:space="preserve">større. Sammenhengen mellom institusjonenes faglige profil og kjønnsbalanse er tydelig, teknologi- og økonomifag henger sammen med høy andel menn. Tre av institusjonene i </w:t>
      </w:r>
      <w:r w:rsidR="00DB3598">
        <w:fldChar w:fldCharType="begin"/>
      </w:r>
      <w:r w:rsidR="00DB3598">
        <w:instrText xml:space="preserve"> REF _Ref158715744 \h </w:instrText>
      </w:r>
      <w:r w:rsidR="00DB3598">
        <w:fldChar w:fldCharType="separate"/>
      </w:r>
      <w:r w:rsidR="00DB3598" w:rsidRPr="00422245">
        <w:t xml:space="preserve">Figur </w:t>
      </w:r>
      <w:r w:rsidR="00DB3598">
        <w:rPr>
          <w:noProof/>
        </w:rPr>
        <w:t>9</w:t>
      </w:r>
      <w:r w:rsidR="00DB3598">
        <w:noBreakHyphen/>
      </w:r>
      <w:r w:rsidR="00DB3598">
        <w:rPr>
          <w:noProof/>
        </w:rPr>
        <w:t>9</w:t>
      </w:r>
      <w:r w:rsidR="00DB3598">
        <w:fldChar w:fldCharType="end"/>
      </w:r>
      <w:r w:rsidRPr="00422245">
        <w:t xml:space="preserve"> hadde i 2023 en kvinneandel blant professorer på under 30 prosent, NHH (17 prosent), BI (28 prosent</w:t>
      </w:r>
      <w:r w:rsidR="001658AA">
        <w:t>)</w:t>
      </w:r>
      <w:r w:rsidRPr="00422245">
        <w:t xml:space="preserve"> og NTNU (28 </w:t>
      </w:r>
      <w:r w:rsidR="001658AA">
        <w:t>prosent</w:t>
      </w:r>
      <w:r w:rsidRPr="00422245">
        <w:t xml:space="preserve">). </w:t>
      </w:r>
      <w:r w:rsidR="00836D19" w:rsidRPr="00422245">
        <w:t>Mots</w:t>
      </w:r>
      <w:r w:rsidR="00476C4A" w:rsidRPr="00422245">
        <w:t xml:space="preserve">att finner vi fire </w:t>
      </w:r>
      <w:r w:rsidR="00E107BD" w:rsidRPr="00422245">
        <w:t>inst</w:t>
      </w:r>
      <w:r w:rsidR="009F27C9" w:rsidRPr="00422245">
        <w:t>itusjoner der profesjonsutdanninger utgjør hovedtyngde</w:t>
      </w:r>
      <w:r w:rsidR="00C81B4B" w:rsidRPr="00422245">
        <w:t>n og hvor</w:t>
      </w:r>
      <w:r w:rsidR="00E107BD" w:rsidRPr="00422245">
        <w:t xml:space="preserve"> flertallet av professorene i 2023 </w:t>
      </w:r>
      <w:r w:rsidR="009F27C9" w:rsidRPr="00422245">
        <w:t>var kvinner</w:t>
      </w:r>
      <w:r w:rsidR="00101C08" w:rsidRPr="00422245">
        <w:t>. HiØ og OsloMet hadde begge 55 prosent kvinnelige professorer,</w:t>
      </w:r>
      <w:r w:rsidR="0040046F" w:rsidRPr="00422245">
        <w:t xml:space="preserve"> mens kvinneandelen ved VID var hele 70 </w:t>
      </w:r>
      <w:r w:rsidR="001658AA">
        <w:t>prosent</w:t>
      </w:r>
      <w:r w:rsidR="0040046F" w:rsidRPr="00422245">
        <w:t>.</w:t>
      </w:r>
    </w:p>
    <w:p w14:paraId="1993BC33" w14:textId="35AC520B" w:rsidR="00F5798C" w:rsidRPr="00422245" w:rsidRDefault="00001DFE">
      <w:r w:rsidRPr="00422245">
        <w:t>Sammenhengen mellom fagområde og kjønns</w:t>
      </w:r>
      <w:r w:rsidR="00303356" w:rsidRPr="00422245">
        <w:t xml:space="preserve">fordelingen blir enda tydeligere når vi </w:t>
      </w:r>
      <w:r w:rsidR="00B43D41" w:rsidRPr="00422245">
        <w:t xml:space="preserve">ser på forskjellige deler av en og samme institusjon. </w:t>
      </w:r>
      <w:r w:rsidR="0058305B" w:rsidRPr="00422245">
        <w:t xml:space="preserve">Ved </w:t>
      </w:r>
      <w:r w:rsidR="00CB6C80" w:rsidRPr="00422245">
        <w:t xml:space="preserve">HVL, for eksempel, er </w:t>
      </w:r>
      <w:r w:rsidR="008E5E2F" w:rsidRPr="00422245">
        <w:t>kvinneandelen i undervisnings- og forskerstillinger hele 82 prosent</w:t>
      </w:r>
      <w:r w:rsidR="00181CF4" w:rsidRPr="00422245">
        <w:t xml:space="preserve"> ved Fakultet for helse og sosialvitskap</w:t>
      </w:r>
      <w:r w:rsidR="00460FB8" w:rsidRPr="00422245">
        <w:t>,</w:t>
      </w:r>
      <w:r w:rsidR="00181CF4" w:rsidRPr="00422245">
        <w:t xml:space="preserve"> men bare </w:t>
      </w:r>
      <w:r w:rsidR="00EF048B" w:rsidRPr="00422245">
        <w:t xml:space="preserve">33 prosent ved Fakultet for ingeniør- og naturvitskap og 37 prosent ved Fakultet og samfunnsvitskap. </w:t>
      </w:r>
      <w:r w:rsidR="00032634" w:rsidRPr="00422245">
        <w:t>For USN er tallene for sammenliknbare enheter tilnærmet identiske. Fakultetene med henholdsvis høyest og lavest kvinneandel har 83 og 19 prosent kvinner.</w:t>
      </w:r>
    </w:p>
    <w:p w14:paraId="5CCB4F31" w14:textId="735791D4" w:rsidR="00B0699A" w:rsidRPr="00422245" w:rsidRDefault="00B0699A">
      <w:r w:rsidRPr="00422245">
        <w:t xml:space="preserve">Man skal derfor være varsom med å </w:t>
      </w:r>
      <w:r w:rsidR="00AF0A23" w:rsidRPr="00422245">
        <w:t xml:space="preserve">tolke de institusjonsvise gjennomsnittene. </w:t>
      </w:r>
      <w:r w:rsidR="00826C7B" w:rsidRPr="00422245">
        <w:t>En bedring av kjønnsbalansen innenfor et avgrenset fagmilj</w:t>
      </w:r>
      <w:r w:rsidR="003853BE" w:rsidRPr="00422245">
        <w:t xml:space="preserve">ø </w:t>
      </w:r>
      <w:r w:rsidR="00827CE2" w:rsidRPr="00422245">
        <w:t xml:space="preserve">kan samtidig </w:t>
      </w:r>
      <w:r w:rsidR="00EF4333" w:rsidRPr="00422245">
        <w:t>svekke den samlede kjønnsbalansen for institusjonen sett under ett.</w:t>
      </w:r>
      <w:r w:rsidR="00532DE5" w:rsidRPr="00422245">
        <w:t xml:space="preserve"> Verdien av </w:t>
      </w:r>
      <w:r w:rsidR="00155332" w:rsidRPr="00422245">
        <w:t>mangfold ligger i de</w:t>
      </w:r>
      <w:r w:rsidR="00C945FE" w:rsidRPr="00422245">
        <w:t>t enkelte fag- og læringsmiljøet</w:t>
      </w:r>
      <w:r w:rsidR="00C73FF1" w:rsidRPr="00422245">
        <w:t>.</w:t>
      </w:r>
    </w:p>
    <w:p w14:paraId="0844A142" w14:textId="4CB0AA00" w:rsidR="00BC3E29" w:rsidRPr="00422245" w:rsidRDefault="00BC3E29">
      <w:r w:rsidRPr="00422245">
        <w:t xml:space="preserve">Indikatorrapporten </w:t>
      </w:r>
      <w:r w:rsidR="00725042" w:rsidRPr="00422245">
        <w:t>presenterer statistikk om kjønnsbalansen i norsk forskning etter sekt</w:t>
      </w:r>
      <w:r w:rsidR="0003476D" w:rsidRPr="00422245">
        <w:t xml:space="preserve">or. </w:t>
      </w:r>
      <w:r w:rsidR="00E10EA1" w:rsidRPr="00422245">
        <w:t>Tall fram til 2021 viste hvordan</w:t>
      </w:r>
      <w:r w:rsidR="00C569A7" w:rsidRPr="00422245">
        <w:t xml:space="preserve"> kvinneandelen i næringslivet </w:t>
      </w:r>
      <w:r w:rsidR="008A6759" w:rsidRPr="00422245">
        <w:t xml:space="preserve">hadde flatet ut, mens andelen i instituttsektoren og ved universiteter og høyskoler hadde vokst </w:t>
      </w:r>
      <w:r w:rsidR="00B376A5" w:rsidRPr="00422245">
        <w:t>jevnt og trutt de siste ti årene.</w:t>
      </w:r>
      <w:r w:rsidR="00332FC7" w:rsidRPr="00422245">
        <w:t xml:space="preserve"> </w:t>
      </w:r>
      <w:r w:rsidR="00F072A8" w:rsidRPr="00422245">
        <w:t>Ifølge indikatorrapporten utgjorde kvinnene i 2021 51 prose</w:t>
      </w:r>
      <w:r w:rsidR="0058531F" w:rsidRPr="00422245">
        <w:t xml:space="preserve">nt av forskerne ved universiteter og høyskoler. </w:t>
      </w:r>
      <w:r w:rsidR="00332FC7" w:rsidRPr="00422245">
        <w:t>I likhet med mønsteret som har komme</w:t>
      </w:r>
      <w:r w:rsidR="00DA1AC0" w:rsidRPr="00422245">
        <w:t xml:space="preserve">t fram </w:t>
      </w:r>
      <w:r w:rsidR="00DD2C86" w:rsidRPr="00422245">
        <w:t>i dette kapittelet, viser Indikatorrapporten til at kvinneandelen er høyest ved «nye universiteter» og høyskoler</w:t>
      </w:r>
      <w:r w:rsidR="00F2404E">
        <w:t xml:space="preserve"> </w:t>
      </w:r>
      <w:r w:rsidR="00F2404E">
        <w:fldChar w:fldCharType="begin"/>
      </w:r>
      <w:r w:rsidR="00F2404E">
        <w:instrText xml:space="preserve"> ADDIN EN.CITE &lt;EndNote&gt;&lt;Cite&gt;&lt;Author&gt;Forskningsrådet&lt;/Author&gt;&lt;Year&gt;2023&lt;/Year&gt;&lt;RecNum&gt;2205&lt;/RecNum&gt;&lt;DisplayText&gt;(Forskningsrådet, 2023)&lt;/DisplayText&gt;&lt;record&gt;&lt;rec-number&gt;2205&lt;/rec-number&gt;&lt;foreign-keys&gt;&lt;key app="EN" db-id="p2et5feaxrpe5zew2eavt29z05fv09aa5s0w" timestamp="1712306746" guid="1cf41ad2-47aa-4f62-801c-cfadd440fe1d"&gt;2205&lt;/key&gt;&lt;/foreign-keys&gt;&lt;ref-type name="Report"&gt;27&lt;/ref-type&gt;&lt;contributors&gt;&lt;authors&gt;&lt;author&gt;Forskningsrådet&lt;/author&gt;&lt;/authors&gt;&lt;/contributors&gt;&lt;titles&gt;&lt;title&gt;Indikatorrapporten 2023&lt;/title&gt;&lt;/titles&gt;&lt;dates&gt;&lt;year&gt;2023&lt;/year&gt;&lt;/dates&gt;&lt;urls&gt;&lt;related-urls&gt;&lt;url&gt;https://www.forskningsradet.no/indikatorrapporten/indikatorrapporten-dokument/&lt;/url&gt;&lt;/related-urls&gt;&lt;/urls&gt;&lt;/record&gt;&lt;/Cite&gt;&lt;/EndNote&gt;</w:instrText>
      </w:r>
      <w:r w:rsidR="00F2404E">
        <w:fldChar w:fldCharType="separate"/>
      </w:r>
      <w:r w:rsidR="00F2404E">
        <w:rPr>
          <w:noProof/>
        </w:rPr>
        <w:t>(Forskningsrådet, 2023)</w:t>
      </w:r>
      <w:r w:rsidR="00F2404E">
        <w:fldChar w:fldCharType="end"/>
      </w:r>
      <w:r w:rsidR="00DD2C86" w:rsidRPr="00422245">
        <w:t>.</w:t>
      </w:r>
    </w:p>
    <w:p w14:paraId="24E8CF1F" w14:textId="1FF52AF7" w:rsidR="00F745DC" w:rsidRPr="00422245" w:rsidRDefault="00357629" w:rsidP="00357629">
      <w:pPr>
        <w:pStyle w:val="Overskrift2"/>
      </w:pPr>
      <w:bookmarkStart w:id="215" w:name="_Toc158968357"/>
      <w:bookmarkStart w:id="216" w:name="_Toc163488457"/>
      <w:r w:rsidRPr="00422245">
        <w:t>Midlertidig</w:t>
      </w:r>
      <w:r w:rsidR="003A01AE" w:rsidRPr="00422245">
        <w:t>e ansettelser ved universiteter og høyskoler</w:t>
      </w:r>
      <w:bookmarkEnd w:id="215"/>
      <w:bookmarkEnd w:id="216"/>
    </w:p>
    <w:p w14:paraId="4AEA1D64" w14:textId="0EEC5B02" w:rsidR="00A02F0A" w:rsidRPr="00422245" w:rsidRDefault="00CC6E3A">
      <w:r>
        <w:t>Det har lenge vært et politiske mål</w:t>
      </w:r>
      <w:r w:rsidR="00270D8E" w:rsidRPr="00422245">
        <w:t xml:space="preserve"> </w:t>
      </w:r>
      <w:r w:rsidR="00993B84">
        <w:t>at</w:t>
      </w:r>
      <w:r w:rsidR="00270D8E" w:rsidRPr="00422245">
        <w:t xml:space="preserve"> </w:t>
      </w:r>
      <w:r w:rsidR="00A93C90" w:rsidRPr="00422245">
        <w:t xml:space="preserve">bruken av midlertidige ansettelser ved universiteter og høyskoler </w:t>
      </w:r>
      <w:r w:rsidR="00993B84">
        <w:t xml:space="preserve">bør være </w:t>
      </w:r>
      <w:r w:rsidR="00A93C90" w:rsidRPr="00422245">
        <w:t xml:space="preserve">på linje med </w:t>
      </w:r>
      <w:r w:rsidR="004449DD" w:rsidRPr="00422245">
        <w:t>andre deler av arbeidslivet</w:t>
      </w:r>
      <w:r w:rsidR="00B80225" w:rsidRPr="00422245">
        <w:t xml:space="preserve">. Der </w:t>
      </w:r>
      <w:r w:rsidR="00B80225" w:rsidRPr="00422245">
        <w:lastRenderedPageBreak/>
        <w:t>utgjør midlertidige ansettelser i gjennomsnitt om lag 8 prosent.</w:t>
      </w:r>
      <w:r w:rsidR="00F4024A" w:rsidRPr="00422245">
        <w:t xml:space="preserve"> </w:t>
      </w:r>
      <w:r w:rsidR="0015181D" w:rsidRPr="00422245">
        <w:t>Samtidig står universitets- og høyskolesektoren overfor noen særegne utfordringer</w:t>
      </w:r>
      <w:r w:rsidR="006161F0">
        <w:t>.</w:t>
      </w:r>
      <w:r w:rsidR="001D3293" w:rsidRPr="00422245">
        <w:t xml:space="preserve"> </w:t>
      </w:r>
      <w:r w:rsidR="008637E9" w:rsidRPr="00422245">
        <w:t>På samme tid s</w:t>
      </w:r>
      <w:r w:rsidR="005262CD" w:rsidRPr="00422245">
        <w:t xml:space="preserve">om det er et mål å redusere midlertidigheten, er det </w:t>
      </w:r>
      <w:r w:rsidR="002767AB" w:rsidRPr="00422245">
        <w:t xml:space="preserve">et mål å øke innslaget av ekstern, prosjektbasert og </w:t>
      </w:r>
      <w:r w:rsidR="00BF23E0" w:rsidRPr="00422245">
        <w:t>tidsavgrenset</w:t>
      </w:r>
      <w:r w:rsidR="002767AB" w:rsidRPr="00422245">
        <w:t xml:space="preserve"> finansiering. </w:t>
      </w:r>
      <w:r w:rsidR="00741A45" w:rsidRPr="00422245">
        <w:t>Utfordringene med midlertidighet er i hovedsak knyttet til denne delen av virksomheten i sektoren</w:t>
      </w:r>
      <w:r w:rsidR="00437985" w:rsidRPr="00422245">
        <w:t>, og dette innebærer</w:t>
      </w:r>
      <w:r w:rsidR="00741A45" w:rsidRPr="00422245">
        <w:t xml:space="preserve"> at </w:t>
      </w:r>
      <w:r w:rsidR="003E675F" w:rsidRPr="00422245">
        <w:t>ulike institusjoner er ulikt eksponert for midler</w:t>
      </w:r>
      <w:r w:rsidR="00300427" w:rsidRPr="00422245">
        <w:t xml:space="preserve">tidighetsutfordringer, </w:t>
      </w:r>
      <w:r w:rsidR="007C2FA8" w:rsidRPr="00422245">
        <w:t>jf</w:t>
      </w:r>
      <w:r w:rsidR="0027487C" w:rsidRPr="00422245">
        <w:t>.</w:t>
      </w:r>
      <w:r w:rsidR="007C2FA8" w:rsidRPr="00422245">
        <w:t xml:space="preserve"> forskjellene i </w:t>
      </w:r>
      <w:r w:rsidR="006C073D" w:rsidRPr="00422245">
        <w:t>omfanget av eksternt finansiert forskning (</w:t>
      </w:r>
      <w:r w:rsidR="00F52DBC" w:rsidRPr="00422245">
        <w:t xml:space="preserve">kapittel </w:t>
      </w:r>
      <w:r w:rsidR="00F52DBC" w:rsidRPr="00422245">
        <w:fldChar w:fldCharType="begin"/>
      </w:r>
      <w:r w:rsidR="00F52DBC" w:rsidRPr="00422245">
        <w:instrText xml:space="preserve"> REF _Ref158191115 \r \h </w:instrText>
      </w:r>
      <w:r w:rsidR="00F52DBC" w:rsidRPr="00422245">
        <w:fldChar w:fldCharType="separate"/>
      </w:r>
      <w:r w:rsidR="00993B84">
        <w:t>8</w:t>
      </w:r>
      <w:r w:rsidR="00F52DBC" w:rsidRPr="00422245">
        <w:fldChar w:fldCharType="end"/>
      </w:r>
      <w:r w:rsidR="00437985" w:rsidRPr="00422245">
        <w:t>).</w:t>
      </w:r>
    </w:p>
    <w:p w14:paraId="1ACA2A05" w14:textId="3C0586E8" w:rsidR="00C97E51" w:rsidRPr="00422245" w:rsidRDefault="00917282">
      <w:r w:rsidRPr="00422245">
        <w:t>T</w:t>
      </w:r>
      <w:r w:rsidR="008D72AB" w:rsidRPr="00422245">
        <w:t>allene som måle</w:t>
      </w:r>
      <w:r w:rsidR="008E389A" w:rsidRPr="00422245">
        <w:t>r</w:t>
      </w:r>
      <w:r w:rsidR="008D72AB" w:rsidRPr="00422245">
        <w:t xml:space="preserve"> </w:t>
      </w:r>
      <w:r w:rsidR="00846D7E" w:rsidRPr="00422245">
        <w:t xml:space="preserve">midlertidighet, viser en betydelig nedgang siden </w:t>
      </w:r>
      <w:r w:rsidR="00F21B29" w:rsidRPr="00422245">
        <w:t xml:space="preserve">2016, </w:t>
      </w:r>
      <w:r w:rsidR="00243235" w:rsidRPr="00422245">
        <w:t xml:space="preserve">som er så langt tilbake vi har sammenliknbare tall. </w:t>
      </w:r>
      <w:r w:rsidR="006A5BFE" w:rsidRPr="00422245">
        <w:fldChar w:fldCharType="begin"/>
      </w:r>
      <w:r w:rsidR="006A5BFE" w:rsidRPr="00422245">
        <w:instrText xml:space="preserve"> REF _Ref158735720 \h </w:instrText>
      </w:r>
      <w:r w:rsidR="006A5BFE" w:rsidRPr="00422245">
        <w:fldChar w:fldCharType="separate"/>
      </w:r>
      <w:r w:rsidR="006A5BFE" w:rsidRPr="00422245">
        <w:t xml:space="preserve">Figur </w:t>
      </w:r>
      <w:r w:rsidR="00256F8E">
        <w:rPr>
          <w:noProof/>
        </w:rPr>
        <w:t>9</w:t>
      </w:r>
      <w:r w:rsidR="005B096E">
        <w:noBreakHyphen/>
      </w:r>
      <w:r w:rsidR="00DD6E3E" w:rsidRPr="00422245">
        <w:t>11</w:t>
      </w:r>
      <w:r w:rsidR="006A5BFE" w:rsidRPr="00422245">
        <w:fldChar w:fldCharType="end"/>
      </w:r>
      <w:r w:rsidR="006A5BFE" w:rsidRPr="00422245">
        <w:t xml:space="preserve"> viser </w:t>
      </w:r>
      <w:r w:rsidR="00F47D0D" w:rsidRPr="00422245">
        <w:t>andelen av årsverkene i sektoren</w:t>
      </w:r>
      <w:r w:rsidR="00371F21" w:rsidRPr="00422245">
        <w:t xml:space="preserve"> utført av midlertidig ansatte</w:t>
      </w:r>
      <w:r w:rsidR="00F372EA" w:rsidRPr="00422245">
        <w:t xml:space="preserve"> </w:t>
      </w:r>
      <w:r w:rsidR="00B91965">
        <w:fldChar w:fldCharType="begin"/>
      </w:r>
      <w:r w:rsidR="00B91965">
        <w:instrText xml:space="preserve"> ADDIN EN.CITE &lt;EndNote&gt;&lt;Cite&gt;&lt;Author&gt;Forskningsrådet&lt;/Author&gt;&lt;Year&gt;2023&lt;/Year&gt;&lt;RecNum&gt;2205&lt;/RecNum&gt;&lt;DisplayText&gt;(Forskningsrådet, 2023)&lt;/DisplayText&gt;&lt;record&gt;&lt;rec-number&gt;2205&lt;/rec-number&gt;&lt;foreign-keys&gt;&lt;key app="EN" db-id="p2et5feaxrpe5zew2eavt29z05fv09aa5s0w" timestamp="1712306746" guid="1cf41ad2-47aa-4f62-801c-cfadd440fe1d"&gt;2205&lt;/key&gt;&lt;/foreign-keys&gt;&lt;ref-type name="Report"&gt;27&lt;/ref-type&gt;&lt;contributors&gt;&lt;authors&gt;&lt;author&gt;Forskningsrådet&lt;/author&gt;&lt;/authors&gt;&lt;/contributors&gt;&lt;titles&gt;&lt;title&gt;Indikatorrapporten 2023&lt;/title&gt;&lt;/titles&gt;&lt;dates&gt;&lt;year&gt;2023&lt;/year&gt;&lt;/dates&gt;&lt;urls&gt;&lt;related-urls&gt;&lt;url&gt;https://www.forskningsradet.no/indikatorrapporten/indikatorrapporten-dokument/&lt;/url&gt;&lt;/related-urls&gt;&lt;/urls&gt;&lt;/record&gt;&lt;/Cite&gt;&lt;/EndNote&gt;</w:instrText>
      </w:r>
      <w:r w:rsidR="00B91965">
        <w:fldChar w:fldCharType="separate"/>
      </w:r>
      <w:r w:rsidR="00B91965">
        <w:rPr>
          <w:noProof/>
        </w:rPr>
        <w:t>(Forskningsrådet, 2023)</w:t>
      </w:r>
      <w:r w:rsidR="00B91965">
        <w:fldChar w:fldCharType="end"/>
      </w:r>
      <w:r w:rsidR="008909F2" w:rsidRPr="00422245">
        <w:t xml:space="preserve">for tre </w:t>
      </w:r>
      <w:r w:rsidR="00F372EA" w:rsidRPr="00422245">
        <w:t>stillingsgruppe</w:t>
      </w:r>
      <w:r w:rsidR="008909F2" w:rsidRPr="00422245">
        <w:t>r</w:t>
      </w:r>
      <w:r w:rsidR="00F372EA" w:rsidRPr="00422245">
        <w:t>.</w:t>
      </w:r>
      <w:r w:rsidR="00443CCE" w:rsidRPr="00422245">
        <w:t xml:space="preserve"> </w:t>
      </w:r>
    </w:p>
    <w:p w14:paraId="4D18E3EC" w14:textId="175F1A93" w:rsidR="00707E00" w:rsidRPr="00422245" w:rsidRDefault="00707E00" w:rsidP="00707E00">
      <w:pPr>
        <w:pStyle w:val="Bildetekst"/>
        <w:keepNext/>
      </w:pPr>
      <w:bookmarkStart w:id="217" w:name="_Ref158735720"/>
      <w:r w:rsidRPr="00422245">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11</w:t>
      </w:r>
      <w:r w:rsidR="006E1D94">
        <w:fldChar w:fldCharType="end"/>
      </w:r>
      <w:bookmarkEnd w:id="217"/>
      <w:r w:rsidRPr="00422245">
        <w:t xml:space="preserve"> Midlertidige årsverk i ulike stillingsgrupper, statlige institusjoner 2016–23. Prosent</w:t>
      </w:r>
    </w:p>
    <w:p w14:paraId="674BF682" w14:textId="38E29CA0" w:rsidR="007F2D52" w:rsidRPr="00422245" w:rsidRDefault="00707E00">
      <w:r w:rsidRPr="00422245">
        <w:rPr>
          <w:noProof/>
        </w:rPr>
        <w:drawing>
          <wp:inline distT="0" distB="0" distL="0" distR="0" wp14:anchorId="689F80DC" wp14:editId="1D4D3784">
            <wp:extent cx="5731510" cy="4134485"/>
            <wp:effectExtent l="0" t="0" r="2540" b="18415"/>
            <wp:docPr id="605543446" name="Diagram 1">
              <a:extLst xmlns:a="http://schemas.openxmlformats.org/drawingml/2006/main">
                <a:ext uri="{FF2B5EF4-FFF2-40B4-BE49-F238E27FC236}">
                  <a16:creationId xmlns:a16="http://schemas.microsoft.com/office/drawing/2014/main" id="{575D632D-FA31-4BB5-9F9A-10E2A8915D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7E847EE" w14:textId="7AA62EDD" w:rsidR="00A50A01" w:rsidRPr="00422245" w:rsidRDefault="00A50A01" w:rsidP="00A50A01">
      <w:pPr>
        <w:pStyle w:val="Kilde"/>
      </w:pPr>
      <w:r w:rsidRPr="004E373E">
        <w:rPr>
          <w:b/>
        </w:rPr>
        <w:lastRenderedPageBreak/>
        <w:t>Kilde</w:t>
      </w:r>
      <w:r>
        <w:t>: DBH</w:t>
      </w:r>
    </w:p>
    <w:p w14:paraId="10386D1A" w14:textId="2331212B" w:rsidR="000415A3" w:rsidRPr="00422245" w:rsidRDefault="00267964" w:rsidP="00267964">
      <w:r w:rsidRPr="00422245">
        <w:t xml:space="preserve">Størst har nedgangen vært for ansatte i administrative stillinger. For denne ansattgruppen er tallet på midlertidige årsverk redusert fra 14 prosent i 2016 til 8,8 prosent 2023. Det betyr at midlertidigheten i perioden er redusert med 37 prosent og omtrent til gjennomsnittsnivået for øvrig arbeidsliv. </w:t>
      </w:r>
      <w:r w:rsidR="005C44DB" w:rsidRPr="00422245">
        <w:t xml:space="preserve">Størst innslag av </w:t>
      </w:r>
      <w:r w:rsidR="004D13C2" w:rsidRPr="00422245">
        <w:t>midlertidige</w:t>
      </w:r>
      <w:r w:rsidR="005C44DB" w:rsidRPr="00422245">
        <w:t xml:space="preserve"> ansettelser </w:t>
      </w:r>
      <w:r w:rsidR="00183948" w:rsidRPr="00422245">
        <w:t xml:space="preserve">har det </w:t>
      </w:r>
      <w:r w:rsidR="004D13C2" w:rsidRPr="00422245">
        <w:t xml:space="preserve">over tid vært i </w:t>
      </w:r>
      <w:r w:rsidRPr="00422245">
        <w:t>undervisnings- og forskerstillinger, men også her har tallene sunket mye, fra 16,8 prosent i 2016 til 11,3 prosent i 2023. Det er en nedgang på 33 prosent. Den tredje kategorien, «støttestillinger til undervisning og forskning» teller færrest ansatte, og har bare hatt marginal nedgang i midlertidigheten i perioden, fra 12,9 til 11,4 prosent fra 2016 til 2023.</w:t>
      </w:r>
    </w:p>
    <w:p w14:paraId="0535B3C4" w14:textId="6474C83E" w:rsidR="000415A3" w:rsidRPr="00422245" w:rsidRDefault="006749D0">
      <w:r w:rsidRPr="00422245">
        <w:fldChar w:fldCharType="begin"/>
      </w:r>
      <w:r w:rsidRPr="00422245">
        <w:instrText xml:space="preserve"> REF _Ref158799478 \h </w:instrText>
      </w:r>
      <w:r w:rsidRPr="00422245">
        <w:fldChar w:fldCharType="separate"/>
      </w:r>
      <w:r w:rsidRPr="00422245">
        <w:t xml:space="preserve">Figur </w:t>
      </w:r>
      <w:r w:rsidR="00DE594C">
        <w:rPr>
          <w:noProof/>
        </w:rPr>
        <w:t>9</w:t>
      </w:r>
      <w:r w:rsidR="005B096E">
        <w:noBreakHyphen/>
      </w:r>
      <w:r w:rsidR="00DD6E3E" w:rsidRPr="00422245">
        <w:t>12</w:t>
      </w:r>
      <w:r w:rsidRPr="00422245">
        <w:fldChar w:fldCharType="end"/>
      </w:r>
      <w:r w:rsidRPr="00422245">
        <w:t xml:space="preserve"> viser </w:t>
      </w:r>
      <w:r w:rsidR="00D842DF" w:rsidRPr="00422245">
        <w:t xml:space="preserve">tydelig at </w:t>
      </w:r>
      <w:r w:rsidR="00242226" w:rsidRPr="00422245">
        <w:t>spørsmålet om midlertidighet primært gjelder ved ekstern f</w:t>
      </w:r>
      <w:r w:rsidR="007023C1" w:rsidRPr="00422245">
        <w:t xml:space="preserve">inansiering. </w:t>
      </w:r>
    </w:p>
    <w:p w14:paraId="1537C7D8" w14:textId="374A3102" w:rsidR="00591C62" w:rsidRPr="00422245" w:rsidRDefault="00591C62" w:rsidP="00591C62">
      <w:pPr>
        <w:pStyle w:val="Bildetekst"/>
        <w:keepNext/>
      </w:pPr>
      <w:bookmarkStart w:id="218" w:name="_Ref158799478"/>
      <w:r w:rsidRPr="00422245">
        <w:t xml:space="preserve">Figur </w:t>
      </w:r>
      <w:r w:rsidR="006E1D94">
        <w:fldChar w:fldCharType="begin"/>
      </w:r>
      <w:r w:rsidR="006E1D94">
        <w:instrText xml:space="preserve"> STYLEREF 1 \s </w:instrText>
      </w:r>
      <w:r w:rsidR="006E1D94">
        <w:fldChar w:fldCharType="separate"/>
      </w:r>
      <w:r w:rsidR="006E1D94">
        <w:rPr>
          <w:noProof/>
        </w:rPr>
        <w:t>9</w:t>
      </w:r>
      <w:r w:rsidR="006E1D94">
        <w:fldChar w:fldCharType="end"/>
      </w:r>
      <w:r w:rsidR="006E1D94">
        <w:noBreakHyphen/>
      </w:r>
      <w:r w:rsidR="006E1D94">
        <w:fldChar w:fldCharType="begin"/>
      </w:r>
      <w:r w:rsidR="006E1D94">
        <w:instrText xml:space="preserve"> SEQ Figur \* ARABIC \s 1 </w:instrText>
      </w:r>
      <w:r w:rsidR="006E1D94">
        <w:fldChar w:fldCharType="separate"/>
      </w:r>
      <w:r w:rsidR="006E1D94">
        <w:rPr>
          <w:noProof/>
        </w:rPr>
        <w:t>12</w:t>
      </w:r>
      <w:r w:rsidR="006E1D94">
        <w:fldChar w:fldCharType="end"/>
      </w:r>
      <w:bookmarkEnd w:id="218"/>
      <w:r w:rsidRPr="00422245">
        <w:t xml:space="preserve"> Midlertidige årsverk i ulike stillingsgrupper</w:t>
      </w:r>
      <w:r w:rsidR="00124DD5" w:rsidRPr="00422245">
        <w:t xml:space="preserve"> etter finansieringskilde</w:t>
      </w:r>
      <w:r w:rsidRPr="00422245">
        <w:t>, statlige institusjoner 2016–23. Prosent</w:t>
      </w:r>
    </w:p>
    <w:p w14:paraId="1A802884" w14:textId="393F5308" w:rsidR="003E7587" w:rsidRPr="00422245" w:rsidRDefault="00591C62">
      <w:r w:rsidRPr="00422245">
        <w:rPr>
          <w:noProof/>
        </w:rPr>
        <w:drawing>
          <wp:inline distT="0" distB="0" distL="0" distR="0" wp14:anchorId="4D612D9A" wp14:editId="780161FF">
            <wp:extent cx="5731510" cy="3123565"/>
            <wp:effectExtent l="0" t="0" r="2540" b="635"/>
            <wp:docPr id="937227431" name="Diagram 1">
              <a:extLst xmlns:a="http://schemas.openxmlformats.org/drawingml/2006/main">
                <a:ext uri="{FF2B5EF4-FFF2-40B4-BE49-F238E27FC236}">
                  <a16:creationId xmlns:a16="http://schemas.microsoft.com/office/drawing/2014/main" id="{1F31BE73-973F-F9A9-9598-E1B947B8A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02CE83E" w14:textId="22F75E37" w:rsidR="000415A3" w:rsidRPr="00422245" w:rsidRDefault="006B3DDE" w:rsidP="00A07BA5">
      <w:pPr>
        <w:pStyle w:val="Kilde"/>
      </w:pPr>
      <w:r w:rsidRPr="004E373E">
        <w:rPr>
          <w:b/>
        </w:rPr>
        <w:t>Kilde</w:t>
      </w:r>
      <w:r w:rsidRPr="00422245">
        <w:t>: DBH og SSB</w:t>
      </w:r>
    </w:p>
    <w:p w14:paraId="7484B6B3" w14:textId="6BF08119" w:rsidR="00054B0C" w:rsidRPr="00422245" w:rsidRDefault="00C6464B">
      <w:r w:rsidRPr="00422245">
        <w:t xml:space="preserve">For </w:t>
      </w:r>
      <w:r w:rsidR="00464143" w:rsidRPr="00422245">
        <w:t xml:space="preserve">den delen av </w:t>
      </w:r>
      <w:r w:rsidR="00581609" w:rsidRPr="00422245">
        <w:t>virksomhet</w:t>
      </w:r>
      <w:r w:rsidR="00464143" w:rsidRPr="00422245">
        <w:t>en som er</w:t>
      </w:r>
      <w:r w:rsidR="00255811" w:rsidRPr="00422245">
        <w:t xml:space="preserve"> finansiert over grunnbevilgningen</w:t>
      </w:r>
      <w:r w:rsidR="00464143" w:rsidRPr="00422245">
        <w:t xml:space="preserve">, skiller universiteter og høyskoler seg </w:t>
      </w:r>
      <w:r w:rsidR="006C44B3" w:rsidRPr="00422245">
        <w:t>lite</w:t>
      </w:r>
      <w:r w:rsidR="00464143" w:rsidRPr="00422245">
        <w:t xml:space="preserve"> fra arbeidslivet ellers. </w:t>
      </w:r>
      <w:r w:rsidR="00021858" w:rsidRPr="00422245">
        <w:t xml:space="preserve">I 2023 lå omfanget av midlertidighet i underviser- og forskerstillinger ett prosentpoeng over gjennomsnittet for arbeidslivet samlet. </w:t>
      </w:r>
      <w:r w:rsidR="00A05FA6" w:rsidRPr="00422245">
        <w:t>De to andre stillingsgruppene</w:t>
      </w:r>
      <w:r w:rsidR="000A4E20" w:rsidRPr="00422245">
        <w:t xml:space="preserve"> lå på eller </w:t>
      </w:r>
      <w:r w:rsidR="008239F7" w:rsidRPr="00422245">
        <w:t>marginalt</w:t>
      </w:r>
      <w:r w:rsidR="000A4E20" w:rsidRPr="00422245">
        <w:t xml:space="preserve"> under gjennomsnittet. </w:t>
      </w:r>
      <w:r w:rsidR="00255811" w:rsidRPr="00422245">
        <w:t xml:space="preserve"> </w:t>
      </w:r>
      <w:r w:rsidR="00E812C7" w:rsidRPr="00422245">
        <w:t xml:space="preserve">For </w:t>
      </w:r>
      <w:r w:rsidR="00B87089" w:rsidRPr="00422245">
        <w:t xml:space="preserve">eksternt finansiert virksomhet er tallene </w:t>
      </w:r>
      <w:r w:rsidR="00E7741C" w:rsidRPr="00422245">
        <w:lastRenderedPageBreak/>
        <w:t xml:space="preserve">vesentlig høyere, selv om </w:t>
      </w:r>
      <w:r w:rsidR="00E3498B" w:rsidRPr="00422245">
        <w:t xml:space="preserve">andelen </w:t>
      </w:r>
      <w:r w:rsidR="0085093B" w:rsidRPr="00422245">
        <w:t>midlertidige</w:t>
      </w:r>
      <w:r w:rsidR="00D32CE5" w:rsidRPr="00422245">
        <w:t xml:space="preserve"> årsverk i </w:t>
      </w:r>
      <w:r w:rsidR="00A17C49" w:rsidRPr="00422245">
        <w:t xml:space="preserve">undervisnings- og forskningsstillinger </w:t>
      </w:r>
      <w:r w:rsidR="0085093B" w:rsidRPr="00422245">
        <w:t xml:space="preserve">har sunket </w:t>
      </w:r>
      <w:r w:rsidR="008D4786" w:rsidRPr="00422245">
        <w:t>fra 61</w:t>
      </w:r>
      <w:r w:rsidR="003716FE" w:rsidRPr="00422245">
        <w:t xml:space="preserve"> prosent 20</w:t>
      </w:r>
      <w:r w:rsidR="00A802FF" w:rsidRPr="00422245">
        <w:t>1</w:t>
      </w:r>
      <w:r w:rsidR="003716FE" w:rsidRPr="00422245">
        <w:t>6</w:t>
      </w:r>
      <w:r w:rsidR="00B62B24" w:rsidRPr="00422245">
        <w:t xml:space="preserve"> </w:t>
      </w:r>
      <w:r w:rsidR="003716FE" w:rsidRPr="00422245">
        <w:t xml:space="preserve">til </w:t>
      </w:r>
      <w:r w:rsidR="00520C22" w:rsidRPr="00422245">
        <w:t>35 prosent i 2023.</w:t>
      </w:r>
    </w:p>
    <w:p w14:paraId="1AD82E2B" w14:textId="0B39E55C" w:rsidR="00B62B24" w:rsidRPr="00422245" w:rsidRDefault="00EE516A" w:rsidP="00BF03D0">
      <w:r w:rsidRPr="00422245">
        <w:t xml:space="preserve">Det er denne nedgangen i </w:t>
      </w:r>
      <w:r w:rsidR="006661F1" w:rsidRPr="00422245">
        <w:t xml:space="preserve">andel midlertidige </w:t>
      </w:r>
      <w:r w:rsidR="00EB610A" w:rsidRPr="00422245">
        <w:t>undervisnings- og forskerårsverk</w:t>
      </w:r>
      <w:r w:rsidR="006661F1" w:rsidRPr="00422245">
        <w:t xml:space="preserve"> i den eksternt finansierte virksomheten som ligger bak den </w:t>
      </w:r>
      <w:r w:rsidR="00006D9E" w:rsidRPr="00422245">
        <w:t xml:space="preserve">nokså </w:t>
      </w:r>
      <w:r w:rsidR="00543073" w:rsidRPr="00422245">
        <w:t xml:space="preserve">jevne nedgangen </w:t>
      </w:r>
      <w:r w:rsidR="00B62B24" w:rsidRPr="00422245">
        <w:t xml:space="preserve">over tid </w:t>
      </w:r>
      <w:r w:rsidR="00543073" w:rsidRPr="00422245">
        <w:t xml:space="preserve">vi så i </w:t>
      </w:r>
      <w:r w:rsidR="00543073" w:rsidRPr="00422245">
        <w:fldChar w:fldCharType="begin"/>
      </w:r>
      <w:r w:rsidR="00543073" w:rsidRPr="00422245">
        <w:instrText xml:space="preserve"> REF _Ref158735720 \h </w:instrText>
      </w:r>
      <w:r w:rsidR="00543073" w:rsidRPr="00422245">
        <w:fldChar w:fldCharType="separate"/>
      </w:r>
      <w:r w:rsidR="00543073" w:rsidRPr="00422245">
        <w:t xml:space="preserve">Figur </w:t>
      </w:r>
      <w:r w:rsidR="00887548">
        <w:rPr>
          <w:noProof/>
        </w:rPr>
        <w:t>9</w:t>
      </w:r>
      <w:r w:rsidR="005B096E">
        <w:noBreakHyphen/>
      </w:r>
      <w:r w:rsidR="00DD6E3E" w:rsidRPr="00422245">
        <w:t>11</w:t>
      </w:r>
      <w:r w:rsidR="00543073" w:rsidRPr="00422245">
        <w:fldChar w:fldCharType="end"/>
      </w:r>
      <w:r w:rsidR="00543073" w:rsidRPr="00422245">
        <w:t>.</w:t>
      </w:r>
    </w:p>
    <w:p w14:paraId="4EA467B7" w14:textId="6FC582DF" w:rsidR="00BF03D0" w:rsidRPr="00422245" w:rsidRDefault="004D395C" w:rsidP="00BF03D0">
      <w:r w:rsidRPr="00422245">
        <w:t>Tabellene V4.2</w:t>
      </w:r>
      <w:r w:rsidR="00194C02" w:rsidRPr="00422245">
        <w:t>8</w:t>
      </w:r>
      <w:r w:rsidRPr="00422245">
        <w:t>,</w:t>
      </w:r>
      <w:r w:rsidR="00194C02" w:rsidRPr="00422245">
        <w:t xml:space="preserve"> V4.29 og V4.30 </w:t>
      </w:r>
      <w:r w:rsidR="008A69A1" w:rsidRPr="00422245">
        <w:t xml:space="preserve">viser andel </w:t>
      </w:r>
      <w:r w:rsidR="002530D8" w:rsidRPr="00422245">
        <w:t>midlertidige</w:t>
      </w:r>
      <w:r w:rsidR="008A69A1" w:rsidRPr="00422245">
        <w:t xml:space="preserve"> årsverk i de ulike stillingskategoriene per </w:t>
      </w:r>
      <w:r w:rsidR="002530D8" w:rsidRPr="00422245">
        <w:t>institusjon</w:t>
      </w:r>
      <w:r w:rsidR="00F125C6" w:rsidRPr="00422245">
        <w:t xml:space="preserve"> på tvers av finansieringsformer.</w:t>
      </w:r>
      <w:r w:rsidR="00B62B24" w:rsidRPr="00422245">
        <w:t xml:space="preserve"> </w:t>
      </w:r>
      <w:r w:rsidR="00BF03D0" w:rsidRPr="00422245">
        <w:t>Tabellene viser at det bak nasjonale gjennomsnitt og trender er store forskjeller mellom institusjonene.</w:t>
      </w:r>
      <w:r w:rsidR="007A08FB" w:rsidRPr="00422245">
        <w:t xml:space="preserve"> </w:t>
      </w:r>
      <w:r w:rsidR="00BF03D0" w:rsidRPr="00422245">
        <w:t xml:space="preserve">Fra statistikken alene er det </w:t>
      </w:r>
      <w:r w:rsidR="00712618" w:rsidRPr="00422245">
        <w:t>likevel ikke lett å</w:t>
      </w:r>
      <w:r w:rsidR="00BF03D0" w:rsidRPr="00422245">
        <w:t xml:space="preserve"> lese ut noe mønster. For undervisnings- og forskerstillinger har UiO det høyeste tallet i statistikken, med 17,4 prosent midlertidige årsverk i 2023. Dette er langt høyere enn</w:t>
      </w:r>
      <w:r w:rsidR="00A77EBC">
        <w:t xml:space="preserve"> på mange måter sammenliknbare</w:t>
      </w:r>
      <w:r w:rsidR="00BF03D0" w:rsidRPr="00422245">
        <w:t xml:space="preserve"> UiB, som hadde 10,8 prosent midlertidige årsverk i samme kategori. To andre institusjoner som også har mange innbyrdes fellestrekk, UiS og UiA, har også temmelig ulike verdier her, med henholdsvis 12,3 og 7,6 prosent midlertidige årsverk.</w:t>
      </w:r>
    </w:p>
    <w:p w14:paraId="48E336A8" w14:textId="7E8F448C" w:rsidR="00150F55" w:rsidRPr="00422245" w:rsidRDefault="0094361F">
      <w:r w:rsidRPr="00422245">
        <w:t xml:space="preserve">Det er imidlertid ikke alltid et skarpt skille mellom hva som er </w:t>
      </w:r>
      <w:r w:rsidR="00A74BE2" w:rsidRPr="00422245">
        <w:t xml:space="preserve">«fast» og hva som er «midlertidig». </w:t>
      </w:r>
      <w:r w:rsidR="00492907" w:rsidRPr="00422245">
        <w:t>Khron</w:t>
      </w:r>
      <w:r w:rsidR="006F3454" w:rsidRPr="00422245">
        <w:t xml:space="preserve">o skrev </w:t>
      </w:r>
      <w:r w:rsidR="0022411D" w:rsidRPr="00422245">
        <w:t xml:space="preserve">i 2021 at </w:t>
      </w:r>
      <w:r w:rsidR="003F4FBA" w:rsidRPr="00422245">
        <w:t xml:space="preserve">den omfattende nedgangen i </w:t>
      </w:r>
      <w:r w:rsidR="003D31C4" w:rsidRPr="00422245">
        <w:t>midlertidighet for ekstern</w:t>
      </w:r>
      <w:r w:rsidR="001B24A6" w:rsidRPr="00422245">
        <w:t>t</w:t>
      </w:r>
      <w:r w:rsidR="003D31C4" w:rsidRPr="00422245">
        <w:t xml:space="preserve"> finansierte stillinger de seneste årene, skyldtes </w:t>
      </w:r>
      <w:r w:rsidR="00D537BD" w:rsidRPr="00422245">
        <w:t>at</w:t>
      </w:r>
      <w:r w:rsidR="00F05A67" w:rsidRPr="00422245">
        <w:t xml:space="preserve"> stadig flere ble «fast midlertidig ansatt»</w:t>
      </w:r>
      <w:r w:rsidR="00AD357B">
        <w:t xml:space="preserve"> </w:t>
      </w:r>
      <w:r w:rsidR="00D54C6B">
        <w:fldChar w:fldCharType="begin"/>
      </w:r>
      <w:r w:rsidR="00022628">
        <w:instrText xml:space="preserve"> ADDIN EN.CITE &lt;EndNote&gt;&lt;Cite&gt;&lt;Author&gt;Tønnessen&lt;/Author&gt;&lt;Year&gt;2021&lt;/Year&gt;&lt;RecNum&gt;2289&lt;/RecNum&gt;&lt;DisplayText&gt;(Tønnessen, 2021)&lt;/DisplayText&gt;&lt;record&gt;&lt;rec-number&gt;2289&lt;/rec-number&gt;&lt;foreign-keys&gt;&lt;key app="EN" db-id="p2et5feaxrpe5zew2eavt29z05fv09aa5s0w" timestamp="1712322227" guid="753daa11-4a63-4335-92eb-0982ae0e1a0a"&gt;2289&lt;/key&gt;&lt;/foreign-keys&gt;&lt;ref-type name="Magazine Article"&gt;19&lt;/ref-type&gt;&lt;contributors&gt;&lt;authors&gt;&lt;author&gt;Eva Tønnessen&lt;/author&gt;&lt;/authors&gt;&lt;/contributors&gt;&lt;titles&gt;&lt;title&gt;Faktakampen om midlertidigheten&lt;/title&gt;&lt;secondary-title&gt;Khrono&lt;/secondary-title&gt;&lt;/titles&gt;&lt;periodical&gt;&lt;full-title&gt;Khrono&lt;/full-title&gt;&lt;/periodical&gt;&lt;dates&gt;&lt;year&gt;2021&lt;/year&gt;&lt;/dates&gt;&lt;publisher&gt;Khrono&lt;/publisher&gt;&lt;urls&gt;&lt;related-urls&gt;&lt;url&gt;https://www.khrono.no/faktakampen-om-midlertidigheten/633923&lt;/url&gt;&lt;/related-urls&gt;&lt;/urls&gt;&lt;/record&gt;&lt;/Cite&gt;&lt;/EndNote&gt;</w:instrText>
      </w:r>
      <w:r w:rsidR="00D54C6B">
        <w:fldChar w:fldCharType="separate"/>
      </w:r>
      <w:r w:rsidR="00D54C6B">
        <w:rPr>
          <w:noProof/>
        </w:rPr>
        <w:t>(Tønnessen, 2021)</w:t>
      </w:r>
      <w:r w:rsidR="00D54C6B">
        <w:fldChar w:fldCharType="end"/>
      </w:r>
      <w:r w:rsidR="00F05A67" w:rsidRPr="00422245">
        <w:t>.</w:t>
      </w:r>
      <w:r w:rsidR="002D2F56" w:rsidRPr="00422245">
        <w:t xml:space="preserve"> </w:t>
      </w:r>
      <w:r w:rsidR="00DA4C8D" w:rsidRPr="00422245">
        <w:t xml:space="preserve">Tallene tyder på </w:t>
      </w:r>
      <w:r w:rsidR="004F687D" w:rsidRPr="00422245">
        <w:t xml:space="preserve">at institusjonene håndterer dette forskjellig. </w:t>
      </w:r>
      <w:r w:rsidR="00786E47" w:rsidRPr="00422245">
        <w:t xml:space="preserve">For UiB har universitetsstyret </w:t>
      </w:r>
      <w:r w:rsidR="00DC576D" w:rsidRPr="00422245">
        <w:t>vedtatt at hovedreg</w:t>
      </w:r>
      <w:r w:rsidR="008131E0" w:rsidRPr="00422245">
        <w:t>elen skal være fast ansettelse ogs</w:t>
      </w:r>
      <w:r w:rsidR="00E65687" w:rsidRPr="00422245">
        <w:t>å i eksternt finansierte prosjekter</w:t>
      </w:r>
      <w:r w:rsidR="00935C6B" w:rsidRPr="00422245">
        <w:t xml:space="preserve"> når </w:t>
      </w:r>
      <w:r w:rsidR="007E1387" w:rsidRPr="00422245">
        <w:t>varigheten er lengre enn to år</w:t>
      </w:r>
      <w:r w:rsidR="00E40AAD">
        <w:t xml:space="preserve"> </w:t>
      </w:r>
      <w:r w:rsidR="002F0932">
        <w:fldChar w:fldCharType="begin"/>
      </w:r>
      <w:r w:rsidR="00022628">
        <w:instrText xml:space="preserve"> ADDIN EN.CITE &lt;EndNote&gt;&lt;Cite&gt;&lt;Author&gt;Universitetet i Bergen&lt;/Author&gt;&lt;Year&gt;2024&lt;/Year&gt;&lt;RecNum&gt;2290&lt;/RecNum&gt;&lt;DisplayText&gt;(Universitetet i Bergen, 2024)&lt;/DisplayText&gt;&lt;record&gt;&lt;rec-number&gt;2290&lt;/rec-number&gt;&lt;foreign-keys&gt;&lt;key app="EN" db-id="p2et5feaxrpe5zew2eavt29z05fv09aa5s0w" timestamp="1712322375" guid="47dad68b-d488-43c8-a193-10ed392d8ebd"&gt;2290&lt;/key&gt;&lt;/foreign-keys&gt;&lt;ref-type name="Web Page"&gt;12&lt;/ref-type&gt;&lt;contributors&gt;&lt;authors&gt;&lt;author&gt;Universitetet i Bergen,&lt;/author&gt;&lt;/authors&gt;&lt;/contributors&gt;&lt;titles&gt;&lt;title&gt;Færre midlertidige ansettelser&lt;/title&gt;&lt;/titles&gt;&lt;number&gt;05.04.2024&lt;/number&gt;&lt;dates&gt;&lt;year&gt;2024&lt;/year&gt;&lt;pub-dates&gt;&lt;date&gt;23.01.2024&lt;/date&gt;&lt;/pub-dates&gt;&lt;/dates&gt;&lt;publisher&gt;Universitetet i Bergen,&lt;/publisher&gt;&lt;urls&gt;&lt;related-urls&gt;&lt;url&gt;https://www.uib.no/foransatte/117829/f%C3%A6rre-midlertidige-ansettelser#fast-ansettelse-er-hovedregel-nbsp-&lt;/url&gt;&lt;/related-urls&gt;&lt;/urls&gt;&lt;/record&gt;&lt;/Cite&gt;&lt;/EndNote&gt;</w:instrText>
      </w:r>
      <w:r w:rsidR="002F0932">
        <w:fldChar w:fldCharType="separate"/>
      </w:r>
      <w:r w:rsidR="002F0932">
        <w:rPr>
          <w:noProof/>
        </w:rPr>
        <w:t>(Universitetet i Bergen, 2024)</w:t>
      </w:r>
      <w:r w:rsidR="002F0932">
        <w:fldChar w:fldCharType="end"/>
      </w:r>
      <w:r w:rsidR="00DE5161" w:rsidRPr="00422245">
        <w:t>.</w:t>
      </w:r>
      <w:r w:rsidR="008751FC" w:rsidRPr="00422245">
        <w:t xml:space="preserve"> </w:t>
      </w:r>
      <w:r w:rsidR="00DE5161" w:rsidRPr="00422245">
        <w:t>E</w:t>
      </w:r>
      <w:r w:rsidR="003D1A59" w:rsidRPr="00422245">
        <w:t xml:space="preserve">t tilsvarende tiltak er ikke innført av UiO. </w:t>
      </w:r>
      <w:r w:rsidR="004F4395" w:rsidRPr="00422245">
        <w:t xml:space="preserve">Da UiO sitt styre diskuterte midlertidighet </w:t>
      </w:r>
      <w:r w:rsidR="00FE3B6B" w:rsidRPr="00422245">
        <w:t>i februar 2024</w:t>
      </w:r>
      <w:r w:rsidR="00EB7D1E" w:rsidRPr="00422245">
        <w:t>,</w:t>
      </w:r>
      <w:r w:rsidR="00FE3B6B" w:rsidRPr="00422245">
        <w:t xml:space="preserve"> </w:t>
      </w:r>
      <w:r w:rsidR="00F765E9" w:rsidRPr="00422245">
        <w:t>kom det også f</w:t>
      </w:r>
      <w:r w:rsidR="0047387D" w:rsidRPr="00422245">
        <w:t xml:space="preserve">ram </w:t>
      </w:r>
      <w:r w:rsidR="00575155" w:rsidRPr="00422245">
        <w:t xml:space="preserve">ulike syn på verdien av </w:t>
      </w:r>
      <w:r w:rsidR="00951949" w:rsidRPr="00422245">
        <w:t>faste ansettelser ve</w:t>
      </w:r>
      <w:r w:rsidR="00CB32FA" w:rsidRPr="00422245">
        <w:t xml:space="preserve">d midlertidig ekstern finansiering, der den ansatte vil kunne sies </w:t>
      </w:r>
      <w:r w:rsidR="00816351" w:rsidRPr="00422245">
        <w:t>opp</w:t>
      </w:r>
      <w:r w:rsidR="00CB32FA" w:rsidRPr="00422245">
        <w:t xml:space="preserve"> når finansieringen opphører</w:t>
      </w:r>
      <w:r w:rsidR="00EC3AE3">
        <w:t xml:space="preserve"> </w:t>
      </w:r>
      <w:r w:rsidR="00EC3AE3">
        <w:fldChar w:fldCharType="begin"/>
      </w:r>
      <w:r w:rsidR="00EC3AE3">
        <w:instrText xml:space="preserve"> ADDIN EN.CITE &lt;EndNote&gt;&lt;Cite&gt;&lt;Author&gt;Universitetet i Oslo&lt;/Author&gt;&lt;Year&gt;2024&lt;/Year&gt;&lt;RecNum&gt;2291&lt;/RecNum&gt;&lt;DisplayText&gt;(Universitetet i Oslo, 2024)&lt;/DisplayText&gt;&lt;record&gt;&lt;rec-number&gt;2291&lt;/rec-number&gt;&lt;foreign-keys&gt;&lt;key app="EN" db-id="p2et5feaxrpe5zew2eavt29z05fv09aa5s0w" timestamp="1712322678" guid="715105ec-0b0f-4c10-b713-b797b19fcddb"&gt;2291&lt;/key&gt;&lt;/foreign-keys&gt;&lt;ref-type name="Report"&gt;27&lt;/ref-type&gt;&lt;contributors&gt;&lt;authors&gt;&lt;author&gt;Universitetet i Oslo, &lt;/author&gt;&lt;/authors&gt;&lt;tertiary-authors&gt;&lt;author&gt;Universitetet i Oslo&lt;/author&gt;&lt;/tertiary-authors&gt;&lt;/contributors&gt;&lt;titles&gt;&lt;title&gt;Arbeid med midlertidighet ved UiO. Sak til universitetsstyret, møtesaksnr: I-sak 1-24&lt;/title&gt;&lt;/titles&gt;&lt;dates&gt;&lt;year&gt;2024&lt;/year&gt;&lt;/dates&gt;&lt;publisher&gt;Universitetet i  Oslo&lt;/publisher&gt;&lt;urls&gt;&lt;related-urls&gt;&lt;url&gt;https://www.uio.no/om/organisasjon/styret/moter/2024/02-06/i-sak-1-24-arbeid-med-midlertidighet-ved-universtetet-i-oslo.pdf&lt;/url&gt;&lt;/related-urls&gt;&lt;/urls&gt;&lt;/record&gt;&lt;/Cite&gt;&lt;/EndNote&gt;</w:instrText>
      </w:r>
      <w:r w:rsidR="00EC3AE3">
        <w:fldChar w:fldCharType="separate"/>
      </w:r>
      <w:r w:rsidR="00EC3AE3">
        <w:rPr>
          <w:noProof/>
        </w:rPr>
        <w:t>(Universitetet i Oslo, 2024)</w:t>
      </w:r>
      <w:r w:rsidR="00EC3AE3">
        <w:fldChar w:fldCharType="end"/>
      </w:r>
    </w:p>
    <w:p w14:paraId="5B673BBB" w14:textId="6B82C3F5" w:rsidR="008C47C5" w:rsidRPr="00422245" w:rsidRDefault="006D4295">
      <w:r w:rsidRPr="00422245">
        <w:t>D</w:t>
      </w:r>
      <w:r w:rsidR="008751FC" w:rsidRPr="00422245">
        <w:t xml:space="preserve">ette er trolig med på å forklare den store forskjellen mellom UiB og UiO. </w:t>
      </w:r>
      <w:r w:rsidR="009B0441" w:rsidRPr="00422245">
        <w:t>Videre viser UiO til endringer i registreringen</w:t>
      </w:r>
      <w:r w:rsidR="005D2669" w:rsidRPr="00422245">
        <w:t xml:space="preserve"> som avdekker «usynlig midlertidighet»</w:t>
      </w:r>
      <w:r w:rsidR="00484331" w:rsidRPr="00422245">
        <w:t xml:space="preserve"> ved å overføre ansatte på timeskontrakter til månedskontraker. </w:t>
      </w:r>
      <w:r w:rsidR="00724CD6" w:rsidRPr="00422245">
        <w:t xml:space="preserve">Sistnevnte </w:t>
      </w:r>
      <w:r w:rsidR="001F53FB" w:rsidRPr="00422245">
        <w:t>rapporteres</w:t>
      </w:r>
      <w:r w:rsidR="00724CD6" w:rsidRPr="00422245">
        <w:t xml:space="preserve"> i motsetning til førstnevnte </w:t>
      </w:r>
      <w:r w:rsidR="001F53FB" w:rsidRPr="00422245">
        <w:t>som midlertidige.</w:t>
      </w:r>
      <w:r w:rsidR="00A66770" w:rsidRPr="00422245">
        <w:t xml:space="preserve"> Dersom andre institusjoner gjør samme grep, vil andelen midlertidige i statistikken kunne økes også der.</w:t>
      </w:r>
    </w:p>
    <w:p w14:paraId="053DE708" w14:textId="529D7B9D" w:rsidR="00520C22" w:rsidRPr="00422245" w:rsidRDefault="008C47C5">
      <w:r w:rsidRPr="00422245">
        <w:t xml:space="preserve">Rapporten </w:t>
      </w:r>
      <w:r w:rsidR="00A51749" w:rsidRPr="00422245">
        <w:t xml:space="preserve">fra </w:t>
      </w:r>
      <w:r w:rsidR="009F0428" w:rsidRPr="00422245">
        <w:t xml:space="preserve">PROBA Samfunnsanalyse </w:t>
      </w:r>
      <w:r w:rsidR="00A51749" w:rsidRPr="00422245">
        <w:t xml:space="preserve">til Kunnskapsdepartementet i 2023 om midlertidighet </w:t>
      </w:r>
      <w:r w:rsidR="002F5E5A" w:rsidRPr="00422245">
        <w:t xml:space="preserve">og ekstern finansiering avdekket </w:t>
      </w:r>
      <w:r w:rsidR="00026B6C" w:rsidRPr="00422245">
        <w:t>store ulikheter i synet på midlertidighet</w:t>
      </w:r>
      <w:r w:rsidR="0078208D">
        <w:t xml:space="preserve"> </w:t>
      </w:r>
      <w:r w:rsidR="0078208D">
        <w:fldChar w:fldCharType="begin"/>
      </w:r>
      <w:r w:rsidR="0078208D">
        <w:instrText xml:space="preserve"> ADDIN EN.CITE &lt;EndNote&gt;&lt;Cite&gt;&lt;Author&gt;PROBA samfunnsanalyse&lt;/Author&gt;&lt;Year&gt;2023&lt;/Year&gt;&lt;RecNum&gt;1853&lt;/RecNum&gt;&lt;DisplayText&gt;(PROBA samfunnsanalyse, 2023)&lt;/DisplayText&gt;&lt;record&gt;&lt;rec-number&gt;1853&lt;/rec-number&gt;&lt;foreign-keys&gt;&lt;key app="EN" db-id="p2et5feaxrpe5zew2eavt29z05fv09aa5s0w" timestamp="1712306730" guid="9f4b55d9-76c7-418a-a10a-2541707b0623"&gt;1853&lt;/key&gt;&lt;/foreign-keys&gt;&lt;ref-type name="Report"&gt;27&lt;/ref-type&gt;&lt;contributors&gt;&lt;authors&gt;&lt;author&gt;PROBA samfunnsanalyse,&lt;/author&gt;&lt;/authors&gt;&lt;tertiary-authors&gt;&lt;author&gt;Proba samfunnsanalyse&lt;/author&gt;&lt;/tertiary-authors&gt;&lt;/contributors&gt;&lt;titles&gt;&lt;title&gt;Analyse av ekstern finansiering og midlertidighet i universitets- og høyskolesektoren&lt;/title&gt;&lt;/titles&gt;&lt;dates&gt;&lt;year&gt;2023&lt;/year&gt;&lt;/dates&gt;&lt;publisher&gt;Proba samfunnsanalyse&lt;/publisher&gt;&lt;isbn&gt;Rapport 2023-07&lt;/isbn&gt;&lt;urls&gt;&lt;related-urls&gt;&lt;url&gt;https://proba.no/rapport/analyse-av-ekstern-finansiering-og-midlertidighet-i-universitetsog-hoyskolesektoren/&lt;/url&gt;&lt;/related-urls&gt;&lt;/urls&gt;&lt;/record&gt;&lt;/Cite&gt;&lt;/EndNote&gt;</w:instrText>
      </w:r>
      <w:r w:rsidR="0078208D">
        <w:fldChar w:fldCharType="separate"/>
      </w:r>
      <w:r w:rsidR="0078208D">
        <w:rPr>
          <w:noProof/>
        </w:rPr>
        <w:t>(PROBA samfunnsanalyse, 2023)</w:t>
      </w:r>
      <w:r w:rsidR="0078208D">
        <w:fldChar w:fldCharType="end"/>
      </w:r>
      <w:r w:rsidR="00026B6C" w:rsidRPr="00422245">
        <w:t xml:space="preserve">. </w:t>
      </w:r>
      <w:r w:rsidR="000640DA" w:rsidRPr="00422245">
        <w:t xml:space="preserve">En av anbefalingene var at </w:t>
      </w:r>
      <w:r w:rsidR="00731FB5" w:rsidRPr="00422245">
        <w:t xml:space="preserve">Kunnskapsdepartementet bør avklare tydeligere hva som er akseptabel og hva </w:t>
      </w:r>
      <w:r w:rsidR="00731FB5" w:rsidRPr="00422245">
        <w:lastRenderedPageBreak/>
        <w:t>som er uønsket midlertidighet for sektoren.</w:t>
      </w:r>
      <w:r w:rsidR="001912A8" w:rsidRPr="00422245">
        <w:t xml:space="preserve"> </w:t>
      </w:r>
      <w:r w:rsidR="002D077B" w:rsidRPr="00422245">
        <w:t xml:space="preserve">Det vil kunne være et bedre utgangspunkt for en mer samlet tilnærming i sektoren i arbeidet </w:t>
      </w:r>
      <w:r w:rsidR="00464B10" w:rsidRPr="00422245">
        <w:t>med midlertidighet og vilkår for ansettelser.</w:t>
      </w:r>
      <w:r w:rsidR="00DB422C" w:rsidRPr="00422245">
        <w:t xml:space="preserve"> </w:t>
      </w:r>
    </w:p>
    <w:p w14:paraId="73C0B89E" w14:textId="77777777" w:rsidR="009F7E11" w:rsidRPr="00422245" w:rsidRDefault="009F7E11"/>
    <w:p w14:paraId="1480B274" w14:textId="77777777" w:rsidR="00C743B7" w:rsidRDefault="00C743B7">
      <w:pPr>
        <w:rPr>
          <w:rFonts w:asciiTheme="majorHAnsi" w:eastAsiaTheme="majorEastAsia" w:hAnsiTheme="majorHAnsi" w:cstheme="majorBidi"/>
          <w:color w:val="000000" w:themeColor="text1"/>
          <w:sz w:val="28"/>
          <w:szCs w:val="32"/>
          <w:lang w:eastAsia="nb-NO"/>
        </w:rPr>
      </w:pPr>
      <w:r>
        <w:br w:type="page"/>
      </w:r>
    </w:p>
    <w:p w14:paraId="0D30D872" w14:textId="2639DA84" w:rsidR="00B13E44" w:rsidRPr="0078208D" w:rsidRDefault="00B13E44" w:rsidP="00B13E44">
      <w:pPr>
        <w:pStyle w:val="Overskriftforinnholdsfortegnelse"/>
      </w:pPr>
      <w:r w:rsidRPr="0078208D">
        <w:lastRenderedPageBreak/>
        <w:t>Referanser</w:t>
      </w:r>
    </w:p>
    <w:p w14:paraId="1377B14A" w14:textId="77777777" w:rsidR="001F1B35" w:rsidRPr="00A04F8E" w:rsidRDefault="001F1B35" w:rsidP="00B86C86">
      <w:pPr>
        <w:pStyle w:val="Brdtekst"/>
        <w:rPr>
          <w:rFonts w:ascii="Source Sans Pro" w:hAnsi="Source Sans Pro"/>
        </w:rPr>
      </w:pPr>
    </w:p>
    <w:p w14:paraId="323960E3" w14:textId="77777777" w:rsidR="001F1B35" w:rsidRPr="00A04F8E" w:rsidRDefault="001F1B35" w:rsidP="00B86C86">
      <w:pPr>
        <w:pStyle w:val="Brdtekst"/>
        <w:rPr>
          <w:rFonts w:ascii="Source Sans Pro" w:hAnsi="Source Sans Pro"/>
        </w:rPr>
      </w:pPr>
    </w:p>
    <w:p w14:paraId="681CF7C4" w14:textId="623C4EE2" w:rsidR="009C20BE" w:rsidRPr="00896AD0" w:rsidRDefault="001F1B35" w:rsidP="009C20BE">
      <w:pPr>
        <w:pStyle w:val="EndNoteBibliography"/>
        <w:spacing w:after="0"/>
        <w:ind w:left="720" w:hanging="720"/>
        <w:rPr>
          <w:lang w:val="nb-NO"/>
        </w:rPr>
      </w:pPr>
      <w:r>
        <w:rPr>
          <w:rFonts w:ascii="Source Sans Pro" w:hAnsi="Source Sans Pro"/>
        </w:rPr>
        <w:fldChar w:fldCharType="begin"/>
      </w:r>
      <w:r w:rsidRPr="00A04F8E">
        <w:rPr>
          <w:rFonts w:ascii="Source Sans Pro" w:hAnsi="Source Sans Pro"/>
          <w:lang w:val="nb-NO"/>
        </w:rPr>
        <w:instrText xml:space="preserve"> ADDIN EN.REFLIST </w:instrText>
      </w:r>
      <w:r>
        <w:rPr>
          <w:rFonts w:ascii="Source Sans Pro" w:hAnsi="Source Sans Pro"/>
        </w:rPr>
        <w:fldChar w:fldCharType="separate"/>
      </w:r>
      <w:r w:rsidR="009C20BE" w:rsidRPr="00896AD0">
        <w:rPr>
          <w:lang w:val="nb-NO"/>
        </w:rPr>
        <w:t xml:space="preserve">Bjertnæs, G. H. M., Boug, P., von Brach, T., Bye, B., Cappelen, Å., Fæhn, T., Graber, M., Gundersen, S. T., Hammersland, R., Holmøy, E., Hungnes, H., Jasinski, M., Kaushal, K. R., Kolsrud, D., Quaghebeur, E., Skretting, J., Trettvoll, H., &amp; Vigtel, T. C. (2023). </w:t>
      </w:r>
      <w:r w:rsidR="009C20BE" w:rsidRPr="00896AD0">
        <w:rPr>
          <w:i/>
          <w:lang w:val="nb-NO"/>
        </w:rPr>
        <w:t>Utfordringer for lønnsdannelsen og norsk økonomi. Tredning for Frontfagsmodellutvalget</w:t>
      </w:r>
      <w:r w:rsidR="009C20BE" w:rsidRPr="00896AD0">
        <w:rPr>
          <w:lang w:val="nb-NO"/>
        </w:rPr>
        <w:t xml:space="preserve">. </w:t>
      </w:r>
      <w:hyperlink r:id="rId84" w:history="1">
        <w:r w:rsidR="009C20BE" w:rsidRPr="00896AD0">
          <w:rPr>
            <w:rStyle w:val="Hyperkobling"/>
            <w:lang w:val="nb-NO"/>
          </w:rPr>
          <w:t>https://www.ssb.no/nasjonalregnskap-og-konjunkturer/konjunkturer/artikler/utfordringer-for-lonnsdannelsen-og-norsk-okonomi/_/attachment/inline/8f6c764d-e7f8-4253-9551-88cc187468ce:03fe13c797378730d261d421f952b844f7c33729/RAPP2023-47.pdf</w:t>
        </w:r>
      </w:hyperlink>
    </w:p>
    <w:p w14:paraId="28A93386" w14:textId="75A8CAC5" w:rsidR="009C20BE" w:rsidRPr="009C20BE" w:rsidRDefault="009C20BE" w:rsidP="009C20BE">
      <w:pPr>
        <w:pStyle w:val="EndNoteBibliography"/>
        <w:spacing w:after="0"/>
        <w:ind w:left="720" w:hanging="720"/>
      </w:pPr>
      <w:r w:rsidRPr="00896AD0">
        <w:rPr>
          <w:lang w:val="nb-NO"/>
        </w:rPr>
        <w:t xml:space="preserve">Eurostudent VII. </w:t>
      </w:r>
      <w:r w:rsidRPr="009C20BE">
        <w:t xml:space="preserve">(2019). </w:t>
      </w:r>
      <w:r w:rsidRPr="009C20BE">
        <w:rPr>
          <w:i/>
        </w:rPr>
        <w:t>Time budget of students by type of activity</w:t>
      </w:r>
      <w:r w:rsidRPr="009C20BE">
        <w:t xml:space="preserve">. </w:t>
      </w:r>
      <w:hyperlink r:id="rId85" w:history="1">
        <w:r w:rsidRPr="009C20BE">
          <w:rPr>
            <w:rStyle w:val="Hyperkobling"/>
          </w:rPr>
          <w:t>https://database.eurostudent.eu/drm/?eust_nr=7&amp;e=time_budget_all&amp;fg=e_age&amp;country_list=NO&amp;Curr=NCU</w:t>
        </w:r>
      </w:hyperlink>
    </w:p>
    <w:p w14:paraId="2569F900" w14:textId="0A0DA797" w:rsidR="009C20BE" w:rsidRPr="005440D9" w:rsidRDefault="009C20BE" w:rsidP="009C20BE">
      <w:pPr>
        <w:pStyle w:val="EndNoteBibliography"/>
        <w:spacing w:after="0"/>
        <w:ind w:left="720" w:hanging="720"/>
        <w:rPr>
          <w:lang w:val="nb-NO"/>
        </w:rPr>
      </w:pPr>
      <w:r w:rsidRPr="005440D9">
        <w:rPr>
          <w:lang w:val="nb-NO"/>
        </w:rPr>
        <w:t xml:space="preserve">Forskningsrådet. (2023). </w:t>
      </w:r>
      <w:r w:rsidRPr="005440D9">
        <w:rPr>
          <w:i/>
          <w:lang w:val="nb-NO"/>
        </w:rPr>
        <w:t>Indikatorrapporten 2023</w:t>
      </w:r>
      <w:r w:rsidRPr="005440D9">
        <w:rPr>
          <w:lang w:val="nb-NO"/>
        </w:rPr>
        <w:t xml:space="preserve">. </w:t>
      </w:r>
      <w:hyperlink r:id="rId86" w:history="1">
        <w:r w:rsidRPr="005440D9">
          <w:rPr>
            <w:rStyle w:val="Hyperkobling"/>
            <w:lang w:val="nb-NO"/>
          </w:rPr>
          <w:t>https://www.forskningsradet.no/indikatorrapporten/indikatorrapporten-dokument/</w:t>
        </w:r>
      </w:hyperlink>
    </w:p>
    <w:p w14:paraId="2A4875BE" w14:textId="5375068D" w:rsidR="009C20BE" w:rsidRPr="005440D9" w:rsidRDefault="009C20BE" w:rsidP="009C20BE">
      <w:pPr>
        <w:pStyle w:val="EndNoteBibliography"/>
        <w:spacing w:after="0"/>
        <w:ind w:left="720" w:hanging="720"/>
        <w:rPr>
          <w:lang w:val="nb-NO"/>
        </w:rPr>
      </w:pPr>
      <w:r w:rsidRPr="005440D9">
        <w:rPr>
          <w:lang w:val="nb-NO"/>
        </w:rPr>
        <w:t xml:space="preserve">Grendal, O. N. (2022). </w:t>
      </w:r>
      <w:r w:rsidRPr="005440D9">
        <w:rPr>
          <w:i/>
          <w:lang w:val="nb-NO"/>
        </w:rPr>
        <w:t>Slik henger utdanning sammen med foreldrenes utdanningsnivå</w:t>
      </w:r>
      <w:r w:rsidRPr="005440D9">
        <w:rPr>
          <w:lang w:val="nb-NO"/>
        </w:rPr>
        <w:t xml:space="preserve">. Statistisk sentralbyrå,. Retrieved 25.01.2023 from </w:t>
      </w:r>
      <w:hyperlink r:id="rId87" w:history="1">
        <w:r w:rsidRPr="005440D9">
          <w:rPr>
            <w:rStyle w:val="Hyperkobling"/>
            <w:lang w:val="nb-NO"/>
          </w:rPr>
          <w:t>https://www.ssb.no/utdanning/utdanningsniva/artikler/slik-henger-utdanning-sammen-med-foreldrenes-utdanningsniva</w:t>
        </w:r>
      </w:hyperlink>
    </w:p>
    <w:p w14:paraId="15BACC18" w14:textId="266A5585" w:rsidR="009C20BE" w:rsidRPr="005440D9" w:rsidRDefault="009C20BE" w:rsidP="009C20BE">
      <w:pPr>
        <w:pStyle w:val="EndNoteBibliography"/>
        <w:spacing w:after="0"/>
        <w:ind w:left="720" w:hanging="720"/>
        <w:rPr>
          <w:lang w:val="nb-NO"/>
        </w:rPr>
      </w:pPr>
      <w:r w:rsidRPr="005440D9">
        <w:rPr>
          <w:lang w:val="nb-NO"/>
        </w:rPr>
        <w:t xml:space="preserve">HK-dir. (2022a). </w:t>
      </w:r>
      <w:r w:rsidRPr="005440D9">
        <w:rPr>
          <w:i/>
          <w:lang w:val="nb-NO"/>
        </w:rPr>
        <w:t>Avtalelengder og tidsbruk i ph.d.-utdanninga</w:t>
      </w:r>
      <w:r w:rsidRPr="005440D9">
        <w:rPr>
          <w:lang w:val="nb-NO"/>
        </w:rPr>
        <w:t xml:space="preserve"> (2022:04). </w:t>
      </w:r>
      <w:hyperlink r:id="rId88" w:history="1">
        <w:r w:rsidRPr="005440D9">
          <w:rPr>
            <w:rStyle w:val="Hyperkobling"/>
            <w:lang w:val="nb-NO"/>
          </w:rPr>
          <w:t>https://hkdir.no/rapporter-undersokelser-og-statistikk/avtalelengder-og-tidsbruk-i-ph-d-utdanninga</w:t>
        </w:r>
      </w:hyperlink>
    </w:p>
    <w:p w14:paraId="0B4E2CA5" w14:textId="217A175D" w:rsidR="009C20BE" w:rsidRPr="00896AD0" w:rsidRDefault="009C20BE" w:rsidP="009C20BE">
      <w:pPr>
        <w:pStyle w:val="EndNoteBibliography"/>
        <w:spacing w:after="0"/>
        <w:ind w:left="720" w:hanging="720"/>
        <w:rPr>
          <w:lang w:val="nn-NO"/>
        </w:rPr>
      </w:pPr>
      <w:r w:rsidRPr="00896AD0">
        <w:rPr>
          <w:lang w:val="nn-NO"/>
        </w:rPr>
        <w:t xml:space="preserve">HK-dir. (2022b). </w:t>
      </w:r>
      <w:r w:rsidRPr="00896AD0">
        <w:rPr>
          <w:i/>
          <w:lang w:val="nn-NO"/>
        </w:rPr>
        <w:t>Erasmus+ i norsk høyere utdanning 2022</w:t>
      </w:r>
      <w:r w:rsidRPr="00896AD0">
        <w:rPr>
          <w:lang w:val="nn-NO"/>
        </w:rPr>
        <w:t xml:space="preserve"> (10). </w:t>
      </w:r>
      <w:hyperlink r:id="rId89" w:history="1">
        <w:r w:rsidRPr="00896AD0">
          <w:rPr>
            <w:rStyle w:val="Hyperkobling"/>
            <w:lang w:val="nn-NO"/>
          </w:rPr>
          <w:t>https://erasmuspluss.no/rapporter-undersokelser-og-statistikk/erasmus-i-norsk-hoyere-utdanning-2022</w:t>
        </w:r>
      </w:hyperlink>
    </w:p>
    <w:p w14:paraId="30227AC4" w14:textId="06F3C2FE" w:rsidR="009C20BE" w:rsidRPr="00896AD0" w:rsidRDefault="009C20BE" w:rsidP="009C20BE">
      <w:pPr>
        <w:pStyle w:val="EndNoteBibliography"/>
        <w:spacing w:after="0"/>
        <w:ind w:left="720" w:hanging="720"/>
        <w:rPr>
          <w:lang w:val="nb-NO"/>
        </w:rPr>
      </w:pPr>
      <w:r w:rsidRPr="00896AD0">
        <w:rPr>
          <w:lang w:val="nn-NO"/>
        </w:rPr>
        <w:t xml:space="preserve">HK-dir. </w:t>
      </w:r>
      <w:r w:rsidRPr="00896AD0">
        <w:rPr>
          <w:lang w:val="nb-NO"/>
        </w:rPr>
        <w:t xml:space="preserve">(2022c). </w:t>
      </w:r>
      <w:r w:rsidRPr="00896AD0">
        <w:rPr>
          <w:i/>
          <w:lang w:val="nb-NO"/>
        </w:rPr>
        <w:t>Tilstandsrapport for høyere utdanning, vedlegg 2022</w:t>
      </w:r>
      <w:r w:rsidRPr="00896AD0">
        <w:rPr>
          <w:lang w:val="nb-NO"/>
        </w:rPr>
        <w:t xml:space="preserve">. Direktoratet for høyere utdanning og kompetanse. </w:t>
      </w:r>
      <w:hyperlink r:id="rId90" w:history="1">
        <w:r w:rsidRPr="00896AD0">
          <w:rPr>
            <w:rStyle w:val="Hyperkobling"/>
            <w:lang w:val="nb-NO"/>
          </w:rPr>
          <w:t>https://vedlegg.hkdir.no/TRHU/2022</w:t>
        </w:r>
      </w:hyperlink>
    </w:p>
    <w:p w14:paraId="441E2DB7" w14:textId="734B440A" w:rsidR="009C20BE" w:rsidRPr="00896AD0" w:rsidRDefault="009C20BE" w:rsidP="009C20BE">
      <w:pPr>
        <w:pStyle w:val="EndNoteBibliography"/>
        <w:spacing w:after="0"/>
        <w:ind w:left="720" w:hanging="720"/>
        <w:rPr>
          <w:lang w:val="nb-NO"/>
        </w:rPr>
      </w:pPr>
      <w:r w:rsidRPr="00896AD0">
        <w:rPr>
          <w:lang w:val="nb-NO"/>
        </w:rPr>
        <w:t xml:space="preserve">HK-dir. (2023a). </w:t>
      </w:r>
      <w:r w:rsidRPr="00896AD0">
        <w:rPr>
          <w:i/>
          <w:lang w:val="nb-NO"/>
        </w:rPr>
        <w:t>Fleksible profesjonsutdanninger. En undersøkelse av studietilbud og studenter</w:t>
      </w:r>
      <w:r w:rsidRPr="00896AD0">
        <w:rPr>
          <w:lang w:val="nb-NO"/>
        </w:rPr>
        <w:t xml:space="preserve"> (2023:8). HK-dir. </w:t>
      </w:r>
      <w:hyperlink r:id="rId91" w:history="1">
        <w:r w:rsidRPr="00896AD0">
          <w:rPr>
            <w:rStyle w:val="Hyperkobling"/>
            <w:lang w:val="nb-NO"/>
          </w:rPr>
          <w:t>https://hkdir.no/rapporter-undersokelser-og-statistikk/fleksible-profesjonsutdanninger-en-undersokelse-av-studietilbud-og-studenter</w:t>
        </w:r>
      </w:hyperlink>
    </w:p>
    <w:p w14:paraId="72644A31" w14:textId="04C0E345" w:rsidR="009C20BE" w:rsidRPr="00896AD0" w:rsidRDefault="009C20BE" w:rsidP="009C20BE">
      <w:pPr>
        <w:pStyle w:val="EndNoteBibliography"/>
        <w:spacing w:after="0"/>
        <w:ind w:left="720" w:hanging="720"/>
        <w:rPr>
          <w:lang w:val="nb-NO"/>
        </w:rPr>
      </w:pPr>
      <w:r w:rsidRPr="00896AD0">
        <w:rPr>
          <w:lang w:val="nb-NO"/>
        </w:rPr>
        <w:t xml:space="preserve">HK-dir. (2023b). </w:t>
      </w:r>
      <w:r w:rsidRPr="00896AD0">
        <w:rPr>
          <w:i/>
          <w:lang w:val="nb-NO"/>
        </w:rPr>
        <w:t>Framtidige kompetansebehov. Kunnskapsgrunnlag for kompetansepolitikken 2023</w:t>
      </w:r>
      <w:r w:rsidRPr="00896AD0">
        <w:rPr>
          <w:lang w:val="nb-NO"/>
        </w:rPr>
        <w:t xml:space="preserve"> (2023:03). </w:t>
      </w:r>
      <w:hyperlink r:id="rId92" w:history="1">
        <w:r w:rsidRPr="00896AD0">
          <w:rPr>
            <w:rStyle w:val="Hyperkobling"/>
            <w:lang w:val="nb-NO"/>
          </w:rPr>
          <w:t>https://hkdir.no/rapporter-undersokelser-og-statistikk/framtidige-kompetansebehov-kunnskapsgrunnlag-for-kompetansepolitikken-2023</w:t>
        </w:r>
      </w:hyperlink>
    </w:p>
    <w:p w14:paraId="1126434A" w14:textId="749A4C01" w:rsidR="009C20BE" w:rsidRPr="00896AD0" w:rsidRDefault="009C20BE" w:rsidP="009C20BE">
      <w:pPr>
        <w:pStyle w:val="EndNoteBibliography"/>
        <w:spacing w:after="0"/>
        <w:ind w:left="720" w:hanging="720"/>
        <w:rPr>
          <w:lang w:val="nb-NO"/>
        </w:rPr>
      </w:pPr>
      <w:r w:rsidRPr="00896AD0">
        <w:rPr>
          <w:lang w:val="nb-NO"/>
        </w:rPr>
        <w:t xml:space="preserve">HK-dir. (2024). </w:t>
      </w:r>
      <w:r w:rsidRPr="00896AD0">
        <w:rPr>
          <w:i/>
          <w:lang w:val="nb-NO"/>
        </w:rPr>
        <w:t>Digital omstilling i UH-sektoren. Status, muligheter og utfordringer 2023</w:t>
      </w:r>
      <w:r w:rsidRPr="00896AD0">
        <w:rPr>
          <w:lang w:val="nb-NO"/>
        </w:rPr>
        <w:t xml:space="preserve"> (1). </w:t>
      </w:r>
      <w:hyperlink r:id="rId93" w:history="1">
        <w:r w:rsidRPr="00896AD0">
          <w:rPr>
            <w:rStyle w:val="Hyperkobling"/>
            <w:lang w:val="nb-NO"/>
          </w:rPr>
          <w:t>https://hkdir.no/rapporter-undersokelser-og-statistikk/digital-omstilling-i-uh-sektoren-status-muligheter-og-utfordringer-2023</w:t>
        </w:r>
      </w:hyperlink>
    </w:p>
    <w:p w14:paraId="30AF3BE7" w14:textId="650548AA" w:rsidR="009C20BE" w:rsidRPr="004C1714" w:rsidRDefault="009C20BE" w:rsidP="009C20BE">
      <w:pPr>
        <w:pStyle w:val="EndNoteBibliography"/>
        <w:spacing w:after="0"/>
        <w:ind w:left="720" w:hanging="720"/>
        <w:rPr>
          <w:lang w:val="nb-NO"/>
        </w:rPr>
      </w:pPr>
      <w:r w:rsidRPr="00896AD0">
        <w:rPr>
          <w:lang w:val="nb-NO"/>
        </w:rPr>
        <w:t xml:space="preserve">Hovdhaugen, E., &amp; Wiers-Jenssen, J. (2017). </w:t>
      </w:r>
      <w:r w:rsidRPr="00896AD0">
        <w:rPr>
          <w:i/>
          <w:lang w:val="nb-NO"/>
        </w:rPr>
        <w:t>Norske gradsstudenter i utlandet : Hvorfor reiser de ut, og hvor søker de informasjon?</w:t>
      </w:r>
      <w:r w:rsidRPr="00896AD0">
        <w:rPr>
          <w:lang w:val="nb-NO"/>
        </w:rPr>
        <w:t xml:space="preserve"> </w:t>
      </w:r>
      <w:r w:rsidRPr="004C1714">
        <w:rPr>
          <w:lang w:val="nb-NO"/>
        </w:rPr>
        <w:t xml:space="preserve">(1). (NIFU arbeidsnotat, Issue. </w:t>
      </w:r>
      <w:hyperlink r:id="rId94" w:history="1">
        <w:r w:rsidRPr="004C1714">
          <w:rPr>
            <w:rStyle w:val="Hyperkobling"/>
            <w:lang w:val="nb-NO"/>
          </w:rPr>
          <w:t>https://nifu.brage.unit.no/nifu-xmlui/handle/11250/2432088</w:t>
        </w:r>
      </w:hyperlink>
    </w:p>
    <w:p w14:paraId="1342F540" w14:textId="4705421F" w:rsidR="009C20BE" w:rsidRPr="004C1714" w:rsidRDefault="009C20BE" w:rsidP="009C20BE">
      <w:pPr>
        <w:pStyle w:val="EndNoteBibliography"/>
        <w:spacing w:after="0"/>
        <w:ind w:left="720" w:hanging="720"/>
        <w:rPr>
          <w:lang w:val="nb-NO"/>
        </w:rPr>
      </w:pPr>
      <w:r w:rsidRPr="004C1714">
        <w:rPr>
          <w:lang w:val="nb-NO"/>
        </w:rPr>
        <w:t xml:space="preserve">Høgskolen i Innlandet. (2022). </w:t>
      </w:r>
      <w:r w:rsidRPr="004C1714">
        <w:rPr>
          <w:i/>
          <w:lang w:val="nb-NO"/>
        </w:rPr>
        <w:t>Kvalitetsrapport 2021</w:t>
      </w:r>
      <w:r w:rsidRPr="004C1714">
        <w:rPr>
          <w:lang w:val="nb-NO"/>
        </w:rPr>
        <w:t xml:space="preserve">. H. i. Innlandet. </w:t>
      </w:r>
      <w:hyperlink r:id="rId95" w:history="1">
        <w:r w:rsidRPr="004C1714">
          <w:rPr>
            <w:rStyle w:val="Hyperkobling"/>
            <w:lang w:val="nb-NO"/>
          </w:rPr>
          <w:t>https://www.inn.no/om-hogskolen/kvalitetssystem-for-utdanning/dokumentasjon/kvalitetsrapport-for-utdanning/2021_kvalitetsrapport_hinn.pdf</w:t>
        </w:r>
      </w:hyperlink>
    </w:p>
    <w:p w14:paraId="1C478F31" w14:textId="20217726" w:rsidR="009C20BE" w:rsidRPr="004C1714" w:rsidRDefault="009C20BE" w:rsidP="009C20BE">
      <w:pPr>
        <w:pStyle w:val="EndNoteBibliography"/>
        <w:spacing w:after="0"/>
        <w:ind w:left="720" w:hanging="720"/>
        <w:rPr>
          <w:lang w:val="nb-NO"/>
        </w:rPr>
      </w:pPr>
      <w:r w:rsidRPr="004C1714">
        <w:rPr>
          <w:lang w:val="nb-NO"/>
        </w:rPr>
        <w:t xml:space="preserve">Høgskolen i Innlandet. (2023). </w:t>
      </w:r>
      <w:r w:rsidRPr="004C1714">
        <w:rPr>
          <w:i/>
          <w:lang w:val="nb-NO"/>
        </w:rPr>
        <w:t>Årsrapport 2022</w:t>
      </w:r>
      <w:r w:rsidRPr="004C1714">
        <w:rPr>
          <w:lang w:val="nb-NO"/>
        </w:rPr>
        <w:t xml:space="preserve">. H. i. Innlandet. </w:t>
      </w:r>
      <w:hyperlink r:id="rId96" w:history="1">
        <w:r w:rsidRPr="004C1714">
          <w:rPr>
            <w:rStyle w:val="Hyperkobling"/>
            <w:lang w:val="nb-NO"/>
          </w:rPr>
          <w:t>https://www.inn.no/om-hogskolen/organisering/styringsdokumenter/hinn-aarsrapport-2022.pdf</w:t>
        </w:r>
      </w:hyperlink>
    </w:p>
    <w:p w14:paraId="274D5E3D" w14:textId="46412DD1" w:rsidR="009C20BE" w:rsidRPr="00896AD0" w:rsidRDefault="009C20BE" w:rsidP="009C20BE">
      <w:pPr>
        <w:pStyle w:val="EndNoteBibliography"/>
        <w:spacing w:after="0"/>
        <w:ind w:left="720" w:hanging="720"/>
        <w:rPr>
          <w:lang w:val="nn-NO"/>
        </w:rPr>
      </w:pPr>
      <w:r w:rsidRPr="004C1714">
        <w:rPr>
          <w:lang w:val="nb-NO"/>
        </w:rPr>
        <w:t xml:space="preserve">Høgskolen i Østfold. </w:t>
      </w:r>
      <w:r w:rsidRPr="00896AD0">
        <w:rPr>
          <w:lang w:val="nn-NO"/>
        </w:rPr>
        <w:t xml:space="preserve">(2023). </w:t>
      </w:r>
      <w:r w:rsidRPr="00896AD0">
        <w:rPr>
          <w:i/>
          <w:lang w:val="nn-NO"/>
        </w:rPr>
        <w:t>Årsrapport 2022</w:t>
      </w:r>
      <w:r w:rsidRPr="00896AD0">
        <w:rPr>
          <w:lang w:val="nn-NO"/>
        </w:rPr>
        <w:t xml:space="preserve">. H. i. Østfold. </w:t>
      </w:r>
      <w:hyperlink r:id="rId97" w:history="1">
        <w:r w:rsidRPr="00896AD0">
          <w:rPr>
            <w:rStyle w:val="Hyperkobling"/>
            <w:lang w:val="nn-NO"/>
          </w:rPr>
          <w:t>https://kudos.dfo.no/documents/33329/files/29689.pdf</w:t>
        </w:r>
      </w:hyperlink>
    </w:p>
    <w:p w14:paraId="4A04803A" w14:textId="47CE0DA7" w:rsidR="009C20BE" w:rsidRPr="00896AD0" w:rsidRDefault="009C20BE" w:rsidP="009C20BE">
      <w:pPr>
        <w:pStyle w:val="EndNoteBibliography"/>
        <w:spacing w:after="0"/>
        <w:ind w:left="720" w:hanging="720"/>
        <w:rPr>
          <w:lang w:val="nn-NO"/>
        </w:rPr>
      </w:pPr>
      <w:r w:rsidRPr="00896AD0">
        <w:rPr>
          <w:lang w:val="nn-NO"/>
        </w:rPr>
        <w:t xml:space="preserve">Høgskulen på Vestlandet. (2023). </w:t>
      </w:r>
      <w:r w:rsidRPr="00896AD0">
        <w:rPr>
          <w:i/>
          <w:lang w:val="nn-NO"/>
        </w:rPr>
        <w:t>Årsrapport 2022</w:t>
      </w:r>
      <w:r w:rsidRPr="00896AD0">
        <w:rPr>
          <w:lang w:val="nn-NO"/>
        </w:rPr>
        <w:t xml:space="preserve">. H. p. Vestlandet. </w:t>
      </w:r>
      <w:hyperlink r:id="rId98" w:history="1">
        <w:r w:rsidRPr="00896AD0">
          <w:rPr>
            <w:rStyle w:val="Hyperkobling"/>
            <w:lang w:val="nn-NO"/>
          </w:rPr>
          <w:t>https://www.hvl.no/globalassets/hvl-internett/dokument/rapport/hvl_arsrapport_2022.pdf</w:t>
        </w:r>
      </w:hyperlink>
    </w:p>
    <w:p w14:paraId="61B121B2" w14:textId="5D825626" w:rsidR="009C20BE" w:rsidRPr="00896AD0" w:rsidRDefault="009C20BE" w:rsidP="009C20BE">
      <w:pPr>
        <w:pStyle w:val="EndNoteBibliography"/>
        <w:spacing w:after="0"/>
        <w:ind w:left="720" w:hanging="720"/>
        <w:rPr>
          <w:lang w:val="nn-NO"/>
        </w:rPr>
      </w:pPr>
      <w:r w:rsidRPr="00896AD0">
        <w:rPr>
          <w:lang w:val="nn-NO"/>
        </w:rPr>
        <w:t xml:space="preserve">Jia, Z., Kornstad, T., Stølen, N. M., &amp; Hjemås, G. (2023). </w:t>
      </w:r>
      <w:r w:rsidRPr="00896AD0">
        <w:rPr>
          <w:i/>
          <w:lang w:val="nn-NO"/>
        </w:rPr>
        <w:t>Arbeidsmarked for helsepersonell fram mot 2040</w:t>
      </w:r>
      <w:r w:rsidRPr="00896AD0">
        <w:rPr>
          <w:lang w:val="nn-NO"/>
        </w:rPr>
        <w:t xml:space="preserve"> (Tall som forteller, Issue 2023/2). </w:t>
      </w:r>
      <w:hyperlink r:id="rId99" w:history="1">
        <w:r w:rsidRPr="00896AD0">
          <w:rPr>
            <w:rStyle w:val="Hyperkobling"/>
            <w:lang w:val="nn-NO"/>
          </w:rPr>
          <w:t>https://www.ssb.no/arbeid-og-lonn/sysselsetting/artikler/arbeidsmarkedet-for-helsepersonell-fram-mot-2040/_/attachment/inline/487396f0-0469-49de-8b79-092941ac346f:9861f0cf62d33b5643028f02e0e8f7c22f80a709/RAPP2023-02.pdf</w:t>
        </w:r>
      </w:hyperlink>
    </w:p>
    <w:p w14:paraId="4A3B0B93" w14:textId="3DC555DC" w:rsidR="009C20BE" w:rsidRPr="004C1714" w:rsidRDefault="009C20BE" w:rsidP="009C20BE">
      <w:pPr>
        <w:pStyle w:val="EndNoteBibliography"/>
        <w:spacing w:after="0"/>
        <w:ind w:left="720" w:hanging="720"/>
        <w:rPr>
          <w:lang w:val="nn-NO"/>
        </w:rPr>
      </w:pPr>
      <w:r w:rsidRPr="004C1714">
        <w:rPr>
          <w:lang w:val="nn-NO"/>
        </w:rPr>
        <w:t xml:space="preserve">Korseberg, L. K., Stubhaug, M. E., Ballo, J. G., &amp; Drange, C. V. F., Lone Wanderås. (2023). </w:t>
      </w:r>
      <w:r w:rsidRPr="004C1714">
        <w:rPr>
          <w:i/>
          <w:lang w:val="nn-NO"/>
        </w:rPr>
        <w:t>Høyere utdanning for alle? En kartlegging av representasjon, deltakelse og tilgjengelighet i norsk høyere utdanning</w:t>
      </w:r>
      <w:r w:rsidRPr="004C1714">
        <w:rPr>
          <w:lang w:val="nn-NO"/>
        </w:rPr>
        <w:t xml:space="preserve"> (23). (NIFU rapport, Issue. </w:t>
      </w:r>
      <w:hyperlink r:id="rId100" w:history="1">
        <w:r w:rsidRPr="004C1714">
          <w:rPr>
            <w:rStyle w:val="Hyperkobling"/>
            <w:lang w:val="nn-NO"/>
          </w:rPr>
          <w:t>https://nifu.brage.unit.no/nifu-xmlui/handle/11250/3117072</w:t>
        </w:r>
      </w:hyperlink>
    </w:p>
    <w:p w14:paraId="36F62F77" w14:textId="732F6935" w:rsidR="009C20BE" w:rsidRPr="004C1714" w:rsidRDefault="009C20BE" w:rsidP="009C20BE">
      <w:pPr>
        <w:pStyle w:val="EndNoteBibliography"/>
        <w:spacing w:after="0"/>
        <w:ind w:left="720" w:hanging="720"/>
        <w:rPr>
          <w:lang w:val="nn-NO"/>
        </w:rPr>
      </w:pPr>
      <w:r w:rsidRPr="004C1714">
        <w:rPr>
          <w:lang w:val="nn-NO"/>
        </w:rPr>
        <w:lastRenderedPageBreak/>
        <w:t xml:space="preserve">Kunnskapsdepartementet. (2021). </w:t>
      </w:r>
      <w:r w:rsidRPr="004C1714">
        <w:rPr>
          <w:i/>
          <w:lang w:val="nn-NO"/>
        </w:rPr>
        <w:t>Strategi for digital omstilling i universitets- og høyskolesektoren</w:t>
      </w:r>
      <w:r w:rsidRPr="004C1714">
        <w:rPr>
          <w:lang w:val="nn-NO"/>
        </w:rPr>
        <w:t xml:space="preserve">.  Retrieved from </w:t>
      </w:r>
      <w:hyperlink r:id="rId101" w:history="1">
        <w:r w:rsidRPr="004C1714">
          <w:rPr>
            <w:rStyle w:val="Hyperkobling"/>
            <w:lang w:val="nn-NO"/>
          </w:rPr>
          <w:t>https://www.regjeringen.no/contentassets/c151afba427f446b8aa44aa1a673e6d6/no/pdfs/kd-strategi-digital-omstilling.pdf</w:t>
        </w:r>
      </w:hyperlink>
    </w:p>
    <w:p w14:paraId="3C63257E" w14:textId="586F8BFD" w:rsidR="009C20BE" w:rsidRPr="009C20BE" w:rsidRDefault="009C20BE" w:rsidP="009C20BE">
      <w:pPr>
        <w:pStyle w:val="EndNoteBibliography"/>
        <w:spacing w:after="0"/>
        <w:ind w:left="720" w:hanging="720"/>
      </w:pPr>
      <w:r w:rsidRPr="004C1714">
        <w:rPr>
          <w:lang w:val="nn-NO"/>
        </w:rPr>
        <w:t xml:space="preserve">Kunnskapsdepartementet. (2024). </w:t>
      </w:r>
      <w:r w:rsidRPr="004C1714">
        <w:rPr>
          <w:i/>
          <w:lang w:val="nn-NO"/>
        </w:rPr>
        <w:t>Orientering om statsbudsjettet 2024 for universitet og høgskular</w:t>
      </w:r>
      <w:r w:rsidRPr="004C1714">
        <w:rPr>
          <w:lang w:val="nn-NO"/>
        </w:rPr>
        <w:t xml:space="preserve">. </w:t>
      </w:r>
      <w:r w:rsidRPr="009C20BE">
        <w:t xml:space="preserve">Kunnskapsdepartementet. </w:t>
      </w:r>
      <w:hyperlink r:id="rId102" w:history="1">
        <w:r w:rsidRPr="009C20BE">
          <w:rPr>
            <w:rStyle w:val="Hyperkobling"/>
          </w:rPr>
          <w:t>https://www.regjeringen.no/contentassets/31af8e2c3a224ac2829e48cc91d89083/v3.-orientering-om-statsbudsjettet-2024-for-universitet-og-hogskular.pdf</w:t>
        </w:r>
      </w:hyperlink>
    </w:p>
    <w:p w14:paraId="6425E2BB" w14:textId="4A885C8C" w:rsidR="009C20BE" w:rsidRPr="005440D9" w:rsidRDefault="009C20BE" w:rsidP="009C20BE">
      <w:pPr>
        <w:pStyle w:val="EndNoteBibliography"/>
        <w:spacing w:after="0"/>
        <w:ind w:left="720" w:hanging="720"/>
        <w:rPr>
          <w:lang w:val="nb-NO"/>
        </w:rPr>
      </w:pPr>
      <w:r w:rsidRPr="009C20BE">
        <w:t xml:space="preserve">Lagesen, V. A. (2021). How Heads of Departments Find It Meaningful to Engage with Gender Balance Policies. </w:t>
      </w:r>
      <w:r w:rsidRPr="005440D9">
        <w:rPr>
          <w:i/>
          <w:lang w:val="nb-NO"/>
        </w:rPr>
        <w:t>Science and Public Policy</w:t>
      </w:r>
      <w:r w:rsidRPr="005440D9">
        <w:rPr>
          <w:lang w:val="nb-NO"/>
        </w:rPr>
        <w:t>,</w:t>
      </w:r>
      <w:r w:rsidRPr="005440D9">
        <w:rPr>
          <w:i/>
          <w:lang w:val="nb-NO"/>
        </w:rPr>
        <w:t xml:space="preserve"> 48</w:t>
      </w:r>
      <w:r w:rsidRPr="005440D9">
        <w:rPr>
          <w:lang w:val="nb-NO"/>
        </w:rPr>
        <w:t xml:space="preserve">(4), 582-591. </w:t>
      </w:r>
      <w:hyperlink r:id="rId103" w:history="1">
        <w:r w:rsidRPr="005440D9">
          <w:rPr>
            <w:rStyle w:val="Hyperkobling"/>
            <w:lang w:val="nb-NO"/>
          </w:rPr>
          <w:t>https://doi.org/10.1093/scipol/scab024</w:t>
        </w:r>
      </w:hyperlink>
      <w:r w:rsidRPr="005440D9">
        <w:rPr>
          <w:lang w:val="nb-NO"/>
        </w:rPr>
        <w:t xml:space="preserve"> </w:t>
      </w:r>
    </w:p>
    <w:p w14:paraId="7A22D629" w14:textId="07AF9790" w:rsidR="009C20BE" w:rsidRPr="005440D9" w:rsidRDefault="009C20BE" w:rsidP="009C20BE">
      <w:pPr>
        <w:pStyle w:val="EndNoteBibliography"/>
        <w:spacing w:after="0"/>
        <w:ind w:left="720" w:hanging="720"/>
        <w:rPr>
          <w:lang w:val="nb-NO"/>
        </w:rPr>
      </w:pPr>
      <w:r w:rsidRPr="005440D9">
        <w:rPr>
          <w:lang w:val="nb-NO"/>
        </w:rPr>
        <w:t xml:space="preserve">Meld. St. 5 (2019-2020). </w:t>
      </w:r>
      <w:r w:rsidRPr="005440D9">
        <w:rPr>
          <w:i/>
          <w:lang w:val="nb-NO"/>
        </w:rPr>
        <w:t>Levende lokalsamfunn for fremtiden — Distriktsmeldingen</w:t>
      </w:r>
      <w:r w:rsidRPr="005440D9">
        <w:rPr>
          <w:lang w:val="nb-NO"/>
        </w:rPr>
        <w:t xml:space="preserve">. Kommunal- og moderniseringsdepartementet. </w:t>
      </w:r>
      <w:hyperlink r:id="rId104" w:history="1">
        <w:r w:rsidRPr="005440D9">
          <w:rPr>
            <w:rStyle w:val="Hyperkobling"/>
            <w:lang w:val="nb-NO"/>
          </w:rPr>
          <w:t>https://www.regjeringen.no/no/dokumenter/meld.-st.-5-20192020/id2674349/</w:t>
        </w:r>
      </w:hyperlink>
    </w:p>
    <w:p w14:paraId="12080D78" w14:textId="602712B9" w:rsidR="009C20BE" w:rsidRPr="005440D9" w:rsidRDefault="009C20BE" w:rsidP="009C20BE">
      <w:pPr>
        <w:pStyle w:val="EndNoteBibliography"/>
        <w:spacing w:after="0"/>
        <w:ind w:left="720" w:hanging="720"/>
        <w:rPr>
          <w:lang w:val="nb-NO"/>
        </w:rPr>
      </w:pPr>
      <w:r w:rsidRPr="005440D9">
        <w:rPr>
          <w:lang w:val="nb-NO"/>
        </w:rPr>
        <w:t xml:space="preserve">Meld. St. 14 (2019–2020). (2020). </w:t>
      </w:r>
      <w:r w:rsidRPr="005440D9">
        <w:rPr>
          <w:i/>
          <w:lang w:val="nb-NO"/>
        </w:rPr>
        <w:t>Kompetansereformen – Lære hele livet</w:t>
      </w:r>
      <w:r w:rsidRPr="005440D9">
        <w:rPr>
          <w:lang w:val="nb-NO"/>
        </w:rPr>
        <w:t xml:space="preserve">.  Retrieved from </w:t>
      </w:r>
      <w:hyperlink r:id="rId105" w:history="1">
        <w:r w:rsidRPr="005440D9">
          <w:rPr>
            <w:rStyle w:val="Hyperkobling"/>
            <w:lang w:val="nb-NO"/>
          </w:rPr>
          <w:t>https://www.regjeringen.no/no/dokumenter/meld.-st.-14-20192020/id2698284/</w:t>
        </w:r>
      </w:hyperlink>
    </w:p>
    <w:p w14:paraId="52EEAB9F" w14:textId="57E74D60" w:rsidR="009C20BE" w:rsidRPr="005440D9" w:rsidRDefault="009C20BE" w:rsidP="009C20BE">
      <w:pPr>
        <w:pStyle w:val="EndNoteBibliography"/>
        <w:spacing w:after="0"/>
        <w:ind w:left="720" w:hanging="720"/>
        <w:rPr>
          <w:lang w:val="nb-NO"/>
        </w:rPr>
      </w:pPr>
      <w:r w:rsidRPr="005440D9">
        <w:rPr>
          <w:lang w:val="nb-NO"/>
        </w:rPr>
        <w:t xml:space="preserve">Meld. St. 14 (2022-2023). (2023). </w:t>
      </w:r>
      <w:r w:rsidRPr="005440D9">
        <w:rPr>
          <w:i/>
          <w:lang w:val="nb-NO"/>
        </w:rPr>
        <w:t>Utsyn over kompetansebehovet i Norge</w:t>
      </w:r>
      <w:r w:rsidRPr="005440D9">
        <w:rPr>
          <w:lang w:val="nb-NO"/>
        </w:rPr>
        <w:t xml:space="preserve">.  Retrieved from </w:t>
      </w:r>
      <w:hyperlink r:id="rId106" w:history="1">
        <w:r w:rsidRPr="005440D9">
          <w:rPr>
            <w:rStyle w:val="Hyperkobling"/>
            <w:lang w:val="nb-NO"/>
          </w:rPr>
          <w:t>https://www.regjeringen.no/no/dokumenter/meld.-st.-14-20222023/id2967608/</w:t>
        </w:r>
      </w:hyperlink>
    </w:p>
    <w:p w14:paraId="2F658462" w14:textId="5D9B67FD" w:rsidR="009C20BE" w:rsidRPr="005440D9" w:rsidRDefault="009C20BE" w:rsidP="009C20BE">
      <w:pPr>
        <w:pStyle w:val="EndNoteBibliography"/>
        <w:spacing w:after="0"/>
        <w:ind w:left="720" w:hanging="720"/>
        <w:rPr>
          <w:lang w:val="nb-NO"/>
        </w:rPr>
      </w:pPr>
      <w:r w:rsidRPr="005440D9">
        <w:rPr>
          <w:lang w:val="nb-NO"/>
        </w:rPr>
        <w:t xml:space="preserve">Meld. St. 14. (2008-2009). </w:t>
      </w:r>
      <w:r w:rsidRPr="005440D9">
        <w:rPr>
          <w:i/>
          <w:lang w:val="nb-NO"/>
        </w:rPr>
        <w:t>Internasjonalisering av utdanning</w:t>
      </w:r>
      <w:r w:rsidRPr="005440D9">
        <w:rPr>
          <w:lang w:val="nb-NO"/>
        </w:rPr>
        <w:t xml:space="preserve">. </w:t>
      </w:r>
      <w:hyperlink r:id="rId107" w:history="1">
        <w:r w:rsidRPr="005440D9">
          <w:rPr>
            <w:rStyle w:val="Hyperkobling"/>
            <w:lang w:val="nb-NO"/>
          </w:rPr>
          <w:t>https://www.regjeringen.no/no/dokumenter/stmeld-nr-14-2008-2009-/id545749/</w:t>
        </w:r>
      </w:hyperlink>
    </w:p>
    <w:p w14:paraId="00F17D82" w14:textId="5D36A68C" w:rsidR="009C20BE" w:rsidRPr="005440D9" w:rsidRDefault="009C20BE" w:rsidP="009C20BE">
      <w:pPr>
        <w:pStyle w:val="EndNoteBibliography"/>
        <w:spacing w:after="0"/>
        <w:ind w:left="720" w:hanging="720"/>
        <w:rPr>
          <w:lang w:val="nb-NO"/>
        </w:rPr>
      </w:pPr>
      <w:r w:rsidRPr="005440D9">
        <w:rPr>
          <w:lang w:val="nb-NO"/>
        </w:rPr>
        <w:t xml:space="preserve">Meld. St. 16 (2016-2017). </w:t>
      </w:r>
      <w:r w:rsidRPr="005440D9">
        <w:rPr>
          <w:i/>
          <w:lang w:val="nb-NO"/>
        </w:rPr>
        <w:t>Kultur for kvalitet i høyere utdanning</w:t>
      </w:r>
      <w:r w:rsidRPr="005440D9">
        <w:rPr>
          <w:lang w:val="nb-NO"/>
        </w:rPr>
        <w:t xml:space="preserve">. </w:t>
      </w:r>
      <w:hyperlink r:id="rId108" w:history="1">
        <w:r w:rsidRPr="005440D9">
          <w:rPr>
            <w:rStyle w:val="Hyperkobling"/>
            <w:lang w:val="nb-NO"/>
          </w:rPr>
          <w:t>https://www.regjeringen.no/contentassets/aee30e4b7d3241d5bd89db69fe38f7ba/no/pdfs/stm201620170016000dddpdfs.pdf</w:t>
        </w:r>
      </w:hyperlink>
    </w:p>
    <w:p w14:paraId="07541D46" w14:textId="597D140B" w:rsidR="009C20BE" w:rsidRPr="00896AD0" w:rsidRDefault="009C20BE" w:rsidP="009C20BE">
      <w:pPr>
        <w:pStyle w:val="EndNoteBibliography"/>
        <w:spacing w:after="0"/>
        <w:ind w:left="720" w:hanging="720"/>
        <w:rPr>
          <w:lang w:val="nn-NO"/>
        </w:rPr>
      </w:pPr>
      <w:r w:rsidRPr="00896AD0">
        <w:rPr>
          <w:lang w:val="nn-NO"/>
        </w:rPr>
        <w:t xml:space="preserve">Meld. St. 16. (2016-2017). </w:t>
      </w:r>
      <w:r w:rsidRPr="00896AD0">
        <w:rPr>
          <w:i/>
          <w:lang w:val="nn-NO"/>
        </w:rPr>
        <w:t>Kultur for kvalitet i høyere utdanning</w:t>
      </w:r>
      <w:r w:rsidRPr="00896AD0">
        <w:rPr>
          <w:lang w:val="nn-NO"/>
        </w:rPr>
        <w:t xml:space="preserve">. </w:t>
      </w:r>
      <w:hyperlink r:id="rId109" w:history="1">
        <w:r w:rsidRPr="00896AD0">
          <w:rPr>
            <w:rStyle w:val="Hyperkobling"/>
            <w:lang w:val="nn-NO"/>
          </w:rPr>
          <w:t>https://www.regjeringen.no/no/dokumenter/meld.-st.-16-20162017/id2536007/</w:t>
        </w:r>
      </w:hyperlink>
    </w:p>
    <w:p w14:paraId="6115EC1E" w14:textId="77777777" w:rsidR="009C20BE" w:rsidRPr="00896AD0" w:rsidRDefault="009C20BE" w:rsidP="009C20BE">
      <w:pPr>
        <w:pStyle w:val="EndNoteBibliography"/>
        <w:spacing w:after="0"/>
        <w:ind w:left="720" w:hanging="720"/>
        <w:rPr>
          <w:lang w:val="nn-NO"/>
        </w:rPr>
      </w:pPr>
      <w:r w:rsidRPr="00896AD0">
        <w:rPr>
          <w:lang w:val="nn-NO"/>
        </w:rPr>
        <w:t xml:space="preserve">Meld. St. 19 (2023–2024). </w:t>
      </w:r>
      <w:r w:rsidRPr="00896AD0">
        <w:rPr>
          <w:i/>
          <w:lang w:val="nn-NO"/>
        </w:rPr>
        <w:t>Profesjonsnære utdanningar over heile landet</w:t>
      </w:r>
      <w:r w:rsidRPr="00896AD0">
        <w:rPr>
          <w:lang w:val="nn-NO"/>
        </w:rPr>
        <w:t xml:space="preserve">. </w:t>
      </w:r>
    </w:p>
    <w:p w14:paraId="6C73DAC8" w14:textId="17D9E51C" w:rsidR="009C20BE" w:rsidRPr="00896AD0" w:rsidRDefault="009C20BE" w:rsidP="009C20BE">
      <w:pPr>
        <w:pStyle w:val="EndNoteBibliography"/>
        <w:spacing w:after="0"/>
        <w:ind w:left="720" w:hanging="720"/>
        <w:rPr>
          <w:lang w:val="nn-NO"/>
        </w:rPr>
      </w:pPr>
      <w:r w:rsidRPr="00896AD0">
        <w:rPr>
          <w:lang w:val="nn-NO"/>
        </w:rPr>
        <w:t xml:space="preserve">Meld. St. 20 (2023 –2024). </w:t>
      </w:r>
      <w:r w:rsidRPr="00896AD0">
        <w:rPr>
          <w:i/>
          <w:lang w:val="nn-NO"/>
        </w:rPr>
        <w:t>Opptak til høgare utdanning</w:t>
      </w:r>
      <w:r w:rsidRPr="00896AD0">
        <w:rPr>
          <w:lang w:val="nn-NO"/>
        </w:rPr>
        <w:t xml:space="preserve">. Kunnskapsdepartementet. </w:t>
      </w:r>
      <w:hyperlink r:id="rId110" w:history="1">
        <w:r w:rsidRPr="00896AD0">
          <w:rPr>
            <w:rStyle w:val="Hyperkobling"/>
            <w:lang w:val="nn-NO"/>
          </w:rPr>
          <w:t>https://www.regjeringen.no/no/dokumenter/meld.-st.-20-20232024/id3032432/</w:t>
        </w:r>
      </w:hyperlink>
    </w:p>
    <w:p w14:paraId="2C79FA21" w14:textId="0CE1A39B" w:rsidR="009C20BE" w:rsidRPr="00896AD0" w:rsidRDefault="009C20BE" w:rsidP="009C20BE">
      <w:pPr>
        <w:pStyle w:val="EndNoteBibliography"/>
        <w:spacing w:after="0"/>
        <w:ind w:left="720" w:hanging="720"/>
        <w:rPr>
          <w:lang w:val="nn-NO"/>
        </w:rPr>
      </w:pPr>
      <w:r w:rsidRPr="00896AD0">
        <w:rPr>
          <w:lang w:val="nn-NO"/>
        </w:rPr>
        <w:t xml:space="preserve">Meld. St. 25 (2016–2017). </w:t>
      </w:r>
      <w:r w:rsidRPr="00896AD0">
        <w:rPr>
          <w:i/>
          <w:lang w:val="nn-NO"/>
        </w:rPr>
        <w:t>Humaniora i Norge</w:t>
      </w:r>
      <w:r w:rsidRPr="00896AD0">
        <w:rPr>
          <w:lang w:val="nn-NO"/>
        </w:rPr>
        <w:t xml:space="preserve">. </w:t>
      </w:r>
      <w:hyperlink r:id="rId111" w:history="1">
        <w:r w:rsidRPr="00896AD0">
          <w:rPr>
            <w:rStyle w:val="Hyperkobling"/>
            <w:lang w:val="nn-NO"/>
          </w:rPr>
          <w:t>https://www.regjeringen.no/no/dokumenter/meld.-st.-25-20162017/id2545646/</w:t>
        </w:r>
      </w:hyperlink>
    </w:p>
    <w:p w14:paraId="6AF43A1B" w14:textId="3B9FCD23" w:rsidR="009C20BE" w:rsidRPr="00896AD0" w:rsidRDefault="009C20BE" w:rsidP="009C20BE">
      <w:pPr>
        <w:pStyle w:val="EndNoteBibliography"/>
        <w:spacing w:after="0"/>
        <w:ind w:left="720" w:hanging="720"/>
        <w:rPr>
          <w:lang w:val="nn-NO"/>
        </w:rPr>
      </w:pPr>
      <w:r w:rsidRPr="00896AD0">
        <w:rPr>
          <w:lang w:val="nn-NO"/>
        </w:rPr>
        <w:t xml:space="preserve">Myklathun, K. H. (2023). </w:t>
      </w:r>
      <w:r w:rsidRPr="00896AD0">
        <w:rPr>
          <w:i/>
          <w:lang w:val="nn-NO"/>
        </w:rPr>
        <w:t>NAVs Bedriftsundersøking 2023: Redusert mangel på arbeidskraft</w:t>
      </w:r>
      <w:r w:rsidRPr="00896AD0">
        <w:rPr>
          <w:lang w:val="nn-NO"/>
        </w:rPr>
        <w:t xml:space="preserve"> (2023:5). NAV. </w:t>
      </w:r>
      <w:hyperlink r:id="rId112" w:history="1">
        <w:r w:rsidRPr="00896AD0">
          <w:rPr>
            <w:rStyle w:val="Hyperkobling"/>
            <w:lang w:val="nn-NO"/>
          </w:rPr>
          <w:t>https://www.nav.no/_/attachment/download/53351692-1196-4647-bee2-3055f8c81ed5:3b00bf572c1b9aa10ef9f0d10dbbc8a585329c88/NAVs%20bedriftsunders%C3%B8kelse%202023.pdf</w:t>
        </w:r>
      </w:hyperlink>
    </w:p>
    <w:p w14:paraId="1B196C07" w14:textId="0616186F" w:rsidR="009C20BE" w:rsidRPr="00896AD0" w:rsidRDefault="009C20BE" w:rsidP="009C20BE">
      <w:pPr>
        <w:pStyle w:val="EndNoteBibliography"/>
        <w:spacing w:after="0"/>
        <w:ind w:left="720" w:hanging="720"/>
        <w:rPr>
          <w:lang w:val="nb-NO"/>
        </w:rPr>
      </w:pPr>
      <w:r w:rsidRPr="00896AD0">
        <w:rPr>
          <w:lang w:val="nn-NO"/>
        </w:rPr>
        <w:t xml:space="preserve">Mørken, K., &amp; Dæhlen, M. (2019). </w:t>
      </w:r>
      <w:r w:rsidRPr="00896AD0">
        <w:rPr>
          <w:lang w:val="nb-NO"/>
        </w:rPr>
        <w:t xml:space="preserve">Er frafallet i høyere utdanning et så stort problem som noen vil ha det til? </w:t>
      </w:r>
      <w:r w:rsidRPr="00896AD0">
        <w:rPr>
          <w:i/>
          <w:lang w:val="nb-NO"/>
        </w:rPr>
        <w:t>Khrono</w:t>
      </w:r>
      <w:r w:rsidRPr="00896AD0">
        <w:rPr>
          <w:lang w:val="nb-NO"/>
        </w:rPr>
        <w:t xml:space="preserve">. </w:t>
      </w:r>
      <w:hyperlink r:id="rId113" w:history="1">
        <w:r w:rsidRPr="00896AD0">
          <w:rPr>
            <w:rStyle w:val="Hyperkobling"/>
            <w:lang w:val="nb-NO"/>
          </w:rPr>
          <w:t>https://www.khrono.no/daehlen-frafall-meninger/er-frafallet-i-hoyere-utdanning-et-sa-stort-problem-som-noen-vil-ha-det-til/406268</w:t>
        </w:r>
      </w:hyperlink>
      <w:r w:rsidRPr="00896AD0">
        <w:rPr>
          <w:lang w:val="nb-NO"/>
        </w:rPr>
        <w:t xml:space="preserve"> </w:t>
      </w:r>
    </w:p>
    <w:p w14:paraId="5668F0C4" w14:textId="5717B1B0" w:rsidR="009C20BE" w:rsidRPr="00896AD0" w:rsidRDefault="009C20BE" w:rsidP="009C20BE">
      <w:pPr>
        <w:pStyle w:val="EndNoteBibliography"/>
        <w:spacing w:after="0"/>
        <w:ind w:left="720" w:hanging="720"/>
        <w:rPr>
          <w:lang w:val="nb-NO"/>
        </w:rPr>
      </w:pPr>
      <w:r w:rsidRPr="00896AD0">
        <w:rPr>
          <w:lang w:val="nb-NO"/>
        </w:rPr>
        <w:t xml:space="preserve">NOKUT. (2016). </w:t>
      </w:r>
      <w:r w:rsidRPr="00896AD0">
        <w:rPr>
          <w:i/>
          <w:lang w:val="nb-NO"/>
        </w:rPr>
        <w:t>Rom for mer læring?</w:t>
      </w:r>
      <w:r w:rsidRPr="00896AD0">
        <w:rPr>
          <w:lang w:val="nb-NO"/>
        </w:rPr>
        <w:t xml:space="preserve"> (NOKUTs notater, Issue. </w:t>
      </w:r>
      <w:hyperlink r:id="rId114" w:history="1">
        <w:r w:rsidRPr="00896AD0">
          <w:rPr>
            <w:rStyle w:val="Hyperkobling"/>
            <w:lang w:val="nb-NO"/>
          </w:rPr>
          <w:t>https://www.nokut.no/globalassets/studiebarometeret/2016/rom_for_mer_laring_2016.pdf</w:t>
        </w:r>
      </w:hyperlink>
    </w:p>
    <w:p w14:paraId="0D9D028E" w14:textId="23966E5F" w:rsidR="009C20BE" w:rsidRPr="00896AD0" w:rsidRDefault="009C20BE" w:rsidP="009C20BE">
      <w:pPr>
        <w:pStyle w:val="EndNoteBibliography"/>
        <w:spacing w:after="0"/>
        <w:ind w:left="720" w:hanging="720"/>
        <w:rPr>
          <w:lang w:val="nb-NO"/>
        </w:rPr>
      </w:pPr>
      <w:r w:rsidRPr="00896AD0">
        <w:rPr>
          <w:lang w:val="nb-NO"/>
        </w:rPr>
        <w:t xml:space="preserve">NOKUT. (2024). </w:t>
      </w:r>
      <w:r w:rsidRPr="00896AD0">
        <w:rPr>
          <w:i/>
          <w:lang w:val="nb-NO"/>
        </w:rPr>
        <w:t>Studiebarometeret 2023 – Hovedtendenser</w:t>
      </w:r>
      <w:r w:rsidRPr="00896AD0">
        <w:rPr>
          <w:lang w:val="nb-NO"/>
        </w:rPr>
        <w:t xml:space="preserve"> (4). </w:t>
      </w:r>
      <w:hyperlink r:id="rId115" w:history="1">
        <w:r w:rsidRPr="00896AD0">
          <w:rPr>
            <w:rStyle w:val="Hyperkobling"/>
            <w:lang w:val="nb-NO"/>
          </w:rPr>
          <w:t>https://www.nokut.no/globalassets/studiebarometeret/2024/hoyere-utdanning/studiebarometeret-2023_hovedtendenser_4-2024.pdf</w:t>
        </w:r>
      </w:hyperlink>
    </w:p>
    <w:p w14:paraId="18F7292C" w14:textId="4C321115" w:rsidR="009C20BE" w:rsidRPr="00896AD0" w:rsidRDefault="009C20BE" w:rsidP="009C20BE">
      <w:pPr>
        <w:pStyle w:val="EndNoteBibliography"/>
        <w:spacing w:after="0"/>
        <w:ind w:left="720" w:hanging="720"/>
        <w:rPr>
          <w:lang w:val="nb-NO"/>
        </w:rPr>
      </w:pPr>
      <w:r w:rsidRPr="00896AD0">
        <w:rPr>
          <w:lang w:val="nb-NO"/>
        </w:rPr>
        <w:t xml:space="preserve">Nord universitet. (2023). </w:t>
      </w:r>
      <w:r w:rsidRPr="00896AD0">
        <w:rPr>
          <w:i/>
          <w:lang w:val="nb-NO"/>
        </w:rPr>
        <w:t>Årsrapport 2022</w:t>
      </w:r>
      <w:r w:rsidRPr="00896AD0">
        <w:rPr>
          <w:lang w:val="nb-NO"/>
        </w:rPr>
        <w:t xml:space="preserve">. N. universitet. </w:t>
      </w:r>
      <w:hyperlink r:id="rId116" w:history="1">
        <w:r w:rsidRPr="00896AD0">
          <w:rPr>
            <w:rStyle w:val="Hyperkobling"/>
            <w:lang w:val="nb-NO"/>
          </w:rPr>
          <w:t>https://www.nord.no/sites/default/files/2023-05/Arsrapport-2022-Nord-universitet.pdf</w:t>
        </w:r>
      </w:hyperlink>
    </w:p>
    <w:p w14:paraId="49DC0A29" w14:textId="703CBC09" w:rsidR="009C20BE" w:rsidRPr="00896AD0" w:rsidRDefault="009C20BE" w:rsidP="009C20BE">
      <w:pPr>
        <w:pStyle w:val="EndNoteBibliography"/>
        <w:spacing w:after="0"/>
        <w:ind w:left="720" w:hanging="720"/>
        <w:rPr>
          <w:lang w:val="nb-NO"/>
        </w:rPr>
      </w:pPr>
      <w:r w:rsidRPr="00896AD0">
        <w:rPr>
          <w:lang w:val="nb-NO"/>
        </w:rPr>
        <w:t xml:space="preserve">NOU 2019: 2. (2019). </w:t>
      </w:r>
      <w:r w:rsidRPr="00896AD0">
        <w:rPr>
          <w:i/>
          <w:lang w:val="nb-NO"/>
        </w:rPr>
        <w:t>Fremtidige kompetansebehov II: Utfordringer for kompetansepolitikken</w:t>
      </w:r>
      <w:r w:rsidRPr="00896AD0">
        <w:rPr>
          <w:lang w:val="nb-NO"/>
        </w:rPr>
        <w:t xml:space="preserve">. Oslo: Kunnskapsdepartementet Retrieved from </w:t>
      </w:r>
      <w:hyperlink r:id="rId117" w:history="1">
        <w:r w:rsidRPr="00896AD0">
          <w:rPr>
            <w:rStyle w:val="Hyperkobling"/>
            <w:lang w:val="nb-NO"/>
          </w:rPr>
          <w:t>https://www.regjeringen.no/contentassets/216ef613554042ccae0c127a6b3b3ac8/no/pdfs/nou201920190002000dddpdfs.pdf</w:t>
        </w:r>
      </w:hyperlink>
    </w:p>
    <w:p w14:paraId="6D48A86B" w14:textId="21A7A8D2" w:rsidR="009C20BE" w:rsidRPr="00896AD0" w:rsidRDefault="009C20BE" w:rsidP="009C20BE">
      <w:pPr>
        <w:pStyle w:val="EndNoteBibliography"/>
        <w:spacing w:after="0"/>
        <w:ind w:left="720" w:hanging="720"/>
        <w:rPr>
          <w:lang w:val="nb-NO"/>
        </w:rPr>
      </w:pPr>
      <w:r w:rsidRPr="00896AD0">
        <w:rPr>
          <w:lang w:val="nb-NO"/>
        </w:rPr>
        <w:t xml:space="preserve">OsloMet. (2023). </w:t>
      </w:r>
      <w:r w:rsidRPr="00896AD0">
        <w:rPr>
          <w:i/>
          <w:lang w:val="nb-NO"/>
        </w:rPr>
        <w:t>Årsrapport 2022</w:t>
      </w:r>
      <w:r w:rsidRPr="00896AD0">
        <w:rPr>
          <w:lang w:val="nb-NO"/>
        </w:rPr>
        <w:t xml:space="preserve">. </w:t>
      </w:r>
      <w:hyperlink r:id="rId118" w:history="1">
        <w:r w:rsidRPr="00896AD0">
          <w:rPr>
            <w:rStyle w:val="Hyperkobling"/>
            <w:lang w:val="nb-NO"/>
          </w:rPr>
          <w:t>https://ansatt.oslomet.no/documents/585743/54495365/OsloMet_Aarsrapport_2022+.pdf/e56f1f4a-1e74-a85b-fbe6-542730226576?t=1682600003954</w:t>
        </w:r>
      </w:hyperlink>
    </w:p>
    <w:p w14:paraId="43076A6B" w14:textId="089C4A91" w:rsidR="009C20BE" w:rsidRPr="00896AD0" w:rsidRDefault="009C20BE" w:rsidP="009C20BE">
      <w:pPr>
        <w:pStyle w:val="EndNoteBibliography"/>
        <w:spacing w:after="0"/>
        <w:ind w:left="720" w:hanging="720"/>
        <w:rPr>
          <w:lang w:val="nb-NO"/>
        </w:rPr>
      </w:pPr>
      <w:r w:rsidRPr="00896AD0">
        <w:rPr>
          <w:lang w:val="nb-NO"/>
        </w:rPr>
        <w:t xml:space="preserve">PROBA samfunnsanalyse. (2023). </w:t>
      </w:r>
      <w:r w:rsidRPr="00896AD0">
        <w:rPr>
          <w:i/>
          <w:lang w:val="nb-NO"/>
        </w:rPr>
        <w:t>Analyse av ekstern finansiering og midlertidighet i universitets- og høyskolesektoren</w:t>
      </w:r>
      <w:r w:rsidRPr="00896AD0">
        <w:rPr>
          <w:lang w:val="nb-NO"/>
        </w:rPr>
        <w:t xml:space="preserve"> (Rapport 2023-07). P. samfunnsanalyse. </w:t>
      </w:r>
      <w:hyperlink r:id="rId119" w:history="1">
        <w:r w:rsidRPr="00896AD0">
          <w:rPr>
            <w:rStyle w:val="Hyperkobling"/>
            <w:lang w:val="nb-NO"/>
          </w:rPr>
          <w:t>https://proba.no/rapport/analyse-av-ekstern-finansiering-og-midlertidighet-i-universitetsog-hoyskolesektoren/</w:t>
        </w:r>
      </w:hyperlink>
    </w:p>
    <w:p w14:paraId="069829F1" w14:textId="6B88D98F" w:rsidR="009C20BE" w:rsidRPr="00896AD0" w:rsidRDefault="009C20BE" w:rsidP="009C20BE">
      <w:pPr>
        <w:pStyle w:val="EndNoteBibliography"/>
        <w:spacing w:after="0"/>
        <w:ind w:left="720" w:hanging="720"/>
        <w:rPr>
          <w:lang w:val="nn-NO"/>
        </w:rPr>
      </w:pPr>
      <w:r w:rsidRPr="00896AD0">
        <w:rPr>
          <w:lang w:val="nn-NO"/>
        </w:rPr>
        <w:t xml:space="preserve">Ramberg, I., &amp; Wendt, K. K. (2023). </w:t>
      </w:r>
      <w:r w:rsidRPr="00896AD0">
        <w:rPr>
          <w:i/>
          <w:lang w:val="nb-NO"/>
        </w:rPr>
        <w:t>Forskerhverdag under koronapandemien: Resultater fra en panelundersøkelse av norske forskere 2022</w:t>
      </w:r>
      <w:r w:rsidRPr="00896AD0">
        <w:rPr>
          <w:lang w:val="nb-NO"/>
        </w:rPr>
        <w:t xml:space="preserve"> (2023:9). </w:t>
      </w:r>
      <w:r w:rsidRPr="00896AD0">
        <w:rPr>
          <w:lang w:val="nn-NO"/>
        </w:rPr>
        <w:t xml:space="preserve">(Arbeidsnotat, Issue. </w:t>
      </w:r>
      <w:hyperlink r:id="rId120" w:history="1">
        <w:r w:rsidRPr="00896AD0">
          <w:rPr>
            <w:rStyle w:val="Hyperkobling"/>
            <w:lang w:val="nn-NO"/>
          </w:rPr>
          <w:t>https://www.nifu.no/publikasjoner/forskerhverdag-under-koronapandemien-resultater-fra-en-panelundersokelse-av-norske-forskere-2022/</w:t>
        </w:r>
      </w:hyperlink>
    </w:p>
    <w:p w14:paraId="34803CFE" w14:textId="77777777" w:rsidR="009C20BE" w:rsidRPr="00896AD0" w:rsidRDefault="009C20BE" w:rsidP="009C20BE">
      <w:pPr>
        <w:pStyle w:val="EndNoteBibliography"/>
        <w:spacing w:after="0"/>
        <w:ind w:left="720" w:hanging="720"/>
        <w:rPr>
          <w:lang w:val="nn-NO"/>
        </w:rPr>
      </w:pPr>
      <w:r w:rsidRPr="00896AD0">
        <w:rPr>
          <w:lang w:val="nn-NO"/>
        </w:rPr>
        <w:lastRenderedPageBreak/>
        <w:t xml:space="preserve">Riksrevisjonen. (2023). </w:t>
      </w:r>
      <w:r w:rsidRPr="00896AD0">
        <w:rPr>
          <w:i/>
          <w:lang w:val="nn-NO"/>
        </w:rPr>
        <w:t>Universiteta og høgskulane sitt arbeid med å vidareutvikle kvaliteten i studieprogramma.</w:t>
      </w:r>
      <w:r w:rsidRPr="00896AD0">
        <w:rPr>
          <w:lang w:val="nn-NO"/>
        </w:rPr>
        <w:t xml:space="preserve"> </w:t>
      </w:r>
    </w:p>
    <w:p w14:paraId="6CD59DB7" w14:textId="403C37DC" w:rsidR="009C20BE" w:rsidRPr="00896AD0" w:rsidRDefault="009C20BE" w:rsidP="009C20BE">
      <w:pPr>
        <w:pStyle w:val="EndNoteBibliography"/>
        <w:spacing w:after="0"/>
        <w:ind w:left="720" w:hanging="720"/>
        <w:rPr>
          <w:lang w:val="nn-NO"/>
        </w:rPr>
      </w:pPr>
      <w:r w:rsidRPr="00896AD0">
        <w:rPr>
          <w:lang w:val="nn-NO"/>
        </w:rPr>
        <w:t xml:space="preserve">Ryssevik, J., Dahle, M., Høgestøl, A., &amp; Skyberg, H. (2023). </w:t>
      </w:r>
      <w:r w:rsidRPr="00896AD0">
        <w:rPr>
          <w:i/>
          <w:lang w:val="nn-NO"/>
        </w:rPr>
        <w:t>Mellom styring og marked - Kartlegging av behovet for et kunnskapsgrunnlag for dimensjonering av høyere utdanning</w:t>
      </w:r>
      <w:r w:rsidRPr="00896AD0">
        <w:rPr>
          <w:lang w:val="nn-NO"/>
        </w:rPr>
        <w:t xml:space="preserve"> (2023:6). Ideas2Evidence. </w:t>
      </w:r>
      <w:hyperlink r:id="rId121" w:history="1">
        <w:r w:rsidRPr="00896AD0">
          <w:rPr>
            <w:rStyle w:val="Hyperkobling"/>
            <w:lang w:val="nn-NO"/>
          </w:rPr>
          <w:t>https://ideas2evidence.com/nb/publications/mellom-styring-og-marked-kartlegging-av-behovet-et-kunnskapsgrunnlag-dimensjonering-av</w:t>
        </w:r>
      </w:hyperlink>
    </w:p>
    <w:p w14:paraId="43D8D3D2" w14:textId="5D7623AF" w:rsidR="009C20BE" w:rsidRPr="00896AD0" w:rsidRDefault="009C20BE" w:rsidP="009C20BE">
      <w:pPr>
        <w:pStyle w:val="EndNoteBibliography"/>
        <w:spacing w:after="0"/>
        <w:ind w:left="720" w:hanging="720"/>
        <w:rPr>
          <w:lang w:val="nn-NO"/>
        </w:rPr>
      </w:pPr>
      <w:r w:rsidRPr="00896AD0">
        <w:rPr>
          <w:lang w:val="nn-NO"/>
        </w:rPr>
        <w:t xml:space="preserve">Tønnessen, E. (2021). Faktakampen om midlertidigheten. </w:t>
      </w:r>
      <w:r w:rsidRPr="00896AD0">
        <w:rPr>
          <w:i/>
          <w:lang w:val="nn-NO"/>
        </w:rPr>
        <w:t>Khrono</w:t>
      </w:r>
      <w:r w:rsidRPr="00896AD0">
        <w:rPr>
          <w:lang w:val="nn-NO"/>
        </w:rPr>
        <w:t xml:space="preserve">. </w:t>
      </w:r>
      <w:hyperlink r:id="rId122" w:history="1">
        <w:r w:rsidRPr="00896AD0">
          <w:rPr>
            <w:rStyle w:val="Hyperkobling"/>
            <w:lang w:val="nn-NO"/>
          </w:rPr>
          <w:t>https://www.khrono.no/faktakampen-om-midlertidigheten/633923</w:t>
        </w:r>
      </w:hyperlink>
      <w:r w:rsidRPr="00896AD0">
        <w:rPr>
          <w:lang w:val="nn-NO"/>
        </w:rPr>
        <w:t xml:space="preserve"> </w:t>
      </w:r>
    </w:p>
    <w:p w14:paraId="3F595072" w14:textId="2CB9C7BD" w:rsidR="009C20BE" w:rsidRPr="00896AD0" w:rsidRDefault="009C20BE" w:rsidP="009C20BE">
      <w:pPr>
        <w:pStyle w:val="EndNoteBibliography"/>
        <w:spacing w:after="0"/>
        <w:ind w:left="720" w:hanging="720"/>
        <w:rPr>
          <w:lang w:val="nn-NO"/>
        </w:rPr>
      </w:pPr>
      <w:r w:rsidRPr="00896AD0">
        <w:rPr>
          <w:lang w:val="nn-NO"/>
        </w:rPr>
        <w:t xml:space="preserve">Universitetet i Agder. (2023). </w:t>
      </w:r>
      <w:r w:rsidRPr="00896AD0">
        <w:rPr>
          <w:i/>
          <w:lang w:val="nn-NO"/>
        </w:rPr>
        <w:t>Årsrapport 2022-2023</w:t>
      </w:r>
      <w:r w:rsidRPr="00896AD0">
        <w:rPr>
          <w:lang w:val="nn-NO"/>
        </w:rPr>
        <w:t xml:space="preserve">. </w:t>
      </w:r>
      <w:hyperlink r:id="rId123" w:history="1">
        <w:r w:rsidRPr="00896AD0">
          <w:rPr>
            <w:rStyle w:val="Hyperkobling"/>
            <w:lang w:val="nn-NO"/>
          </w:rPr>
          <w:t>https://www.uia.no/media/files/om-uia/aarsrapport-2022-2023</w:t>
        </w:r>
      </w:hyperlink>
    </w:p>
    <w:p w14:paraId="2CEEB894" w14:textId="63B4D580" w:rsidR="009C20BE" w:rsidRPr="004C1714" w:rsidRDefault="009C20BE" w:rsidP="009C20BE">
      <w:pPr>
        <w:pStyle w:val="EndNoteBibliography"/>
        <w:spacing w:after="0"/>
        <w:ind w:left="720" w:hanging="720"/>
        <w:rPr>
          <w:lang w:val="nb-NO"/>
        </w:rPr>
      </w:pPr>
      <w:r w:rsidRPr="004C1714">
        <w:rPr>
          <w:lang w:val="nb-NO"/>
        </w:rPr>
        <w:t xml:space="preserve">Universitetet i Bergen. (2024, 23.01.2024). </w:t>
      </w:r>
      <w:r w:rsidRPr="004C1714">
        <w:rPr>
          <w:i/>
          <w:lang w:val="nb-NO"/>
        </w:rPr>
        <w:t>Færre midlertidige ansettelser</w:t>
      </w:r>
      <w:r w:rsidRPr="004C1714">
        <w:rPr>
          <w:lang w:val="nb-NO"/>
        </w:rPr>
        <w:t xml:space="preserve">. Universitetet i Bergen,. Retrieved 05.04.2024 from </w:t>
      </w:r>
      <w:hyperlink r:id="rId124" w:anchor="fast-ansettelse-er-hovedregel-nbsp-" w:history="1">
        <w:r w:rsidRPr="004C1714">
          <w:rPr>
            <w:rStyle w:val="Hyperkobling"/>
            <w:lang w:val="nb-NO"/>
          </w:rPr>
          <w:t>https://www.uib.no/foransatte/117829/f%C3%A6rre-midlertidige-ansettelser#fast-ansettelse-er-hovedregel-nbsp-</w:t>
        </w:r>
      </w:hyperlink>
    </w:p>
    <w:p w14:paraId="234F0EE4" w14:textId="06D03255" w:rsidR="009C20BE" w:rsidRPr="004C1714" w:rsidRDefault="009C20BE" w:rsidP="009C20BE">
      <w:pPr>
        <w:pStyle w:val="EndNoteBibliography"/>
        <w:spacing w:after="0"/>
        <w:ind w:left="720" w:hanging="720"/>
        <w:rPr>
          <w:lang w:val="nb-NO"/>
        </w:rPr>
      </w:pPr>
      <w:r w:rsidRPr="004C1714">
        <w:rPr>
          <w:lang w:val="nb-NO"/>
        </w:rPr>
        <w:t xml:space="preserve">Universitetet i Oslo. (2024). </w:t>
      </w:r>
      <w:r w:rsidRPr="004C1714">
        <w:rPr>
          <w:i/>
          <w:lang w:val="nb-NO"/>
        </w:rPr>
        <w:t>Arbeid med midlertidighet ved UiO. Sak til universitetsstyret, møtesaksnr: I-sak 1-24</w:t>
      </w:r>
      <w:r w:rsidRPr="004C1714">
        <w:rPr>
          <w:lang w:val="nb-NO"/>
        </w:rPr>
        <w:t xml:space="preserve">. U. i. Oslo. </w:t>
      </w:r>
      <w:hyperlink r:id="rId125" w:history="1">
        <w:r w:rsidRPr="004C1714">
          <w:rPr>
            <w:rStyle w:val="Hyperkobling"/>
            <w:lang w:val="nb-NO"/>
          </w:rPr>
          <w:t>https://www.uio.no/om/organisasjon/styret/moter/2024/02-06/i-sak-1-24-arbeid-med-midlertidighet-ved-universtetet-i-oslo.pdf</w:t>
        </w:r>
      </w:hyperlink>
    </w:p>
    <w:p w14:paraId="79ABD84C" w14:textId="10BAE7C6" w:rsidR="009C20BE" w:rsidRPr="009C20BE" w:rsidRDefault="009C20BE" w:rsidP="009C20BE">
      <w:pPr>
        <w:pStyle w:val="EndNoteBibliography"/>
        <w:ind w:left="720" w:hanging="720"/>
      </w:pPr>
      <w:r w:rsidRPr="005440D9">
        <w:rPr>
          <w:lang w:val="nb-NO"/>
        </w:rPr>
        <w:t xml:space="preserve">USN. (2023). </w:t>
      </w:r>
      <w:r w:rsidRPr="009C20BE">
        <w:rPr>
          <w:i/>
        </w:rPr>
        <w:t>Årsrapport 2022</w:t>
      </w:r>
      <w:r w:rsidRPr="009C20BE">
        <w:t xml:space="preserve">. </w:t>
      </w:r>
      <w:hyperlink r:id="rId126" w:history="1">
        <w:r w:rsidRPr="009C20BE">
          <w:rPr>
            <w:rStyle w:val="Hyperkobling"/>
          </w:rPr>
          <w:t>https://www.usn.no/getfile.php/13760751-1679060583/usn.no/om_USN/%C3%85rsrapport/%C3%85rsrapport_2022-2023.pdf</w:t>
        </w:r>
      </w:hyperlink>
    </w:p>
    <w:p w14:paraId="6E452623" w14:textId="2AFAFC3F" w:rsidR="008F4E20" w:rsidRPr="00E029EC" w:rsidRDefault="001F1B35" w:rsidP="00B86C86">
      <w:pPr>
        <w:pStyle w:val="Brdtekst"/>
        <w:rPr>
          <w:rFonts w:ascii="Source Sans Pro" w:hAnsi="Source Sans Pro"/>
          <w:lang w:val="en-US"/>
        </w:rPr>
      </w:pPr>
      <w:r>
        <w:rPr>
          <w:rFonts w:ascii="Source Sans Pro" w:hAnsi="Source Sans Pro"/>
          <w:lang w:val="en-US"/>
        </w:rPr>
        <w:fldChar w:fldCharType="end"/>
      </w:r>
    </w:p>
    <w:sectPr w:rsidR="008F4E20" w:rsidRPr="00E029EC" w:rsidSect="00630FB9">
      <w:headerReference w:type="even" r:id="rId127"/>
      <w:headerReference w:type="default" r:id="rId128"/>
      <w:footerReference w:type="default" r:id="rId129"/>
      <w:headerReference w:type="first" r:id="rId130"/>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6729D" w14:textId="77777777" w:rsidR="00630FB9" w:rsidRPr="00422245" w:rsidRDefault="00630FB9" w:rsidP="00976083">
      <w:pPr>
        <w:spacing w:after="288" w:line="240" w:lineRule="auto"/>
      </w:pPr>
      <w:r w:rsidRPr="00422245">
        <w:separator/>
      </w:r>
    </w:p>
  </w:endnote>
  <w:endnote w:type="continuationSeparator" w:id="0">
    <w:p w14:paraId="1A660A7B" w14:textId="77777777" w:rsidR="00630FB9" w:rsidRPr="00422245" w:rsidRDefault="00630FB9" w:rsidP="00976083">
      <w:pPr>
        <w:spacing w:after="288" w:line="240" w:lineRule="auto"/>
      </w:pPr>
      <w:r w:rsidRPr="00422245">
        <w:continuationSeparator/>
      </w:r>
    </w:p>
  </w:endnote>
  <w:endnote w:type="continuationNotice" w:id="1">
    <w:p w14:paraId="1CCE0976" w14:textId="77777777" w:rsidR="00630FB9" w:rsidRPr="00422245" w:rsidRDefault="00630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7A398" w14:textId="77777777" w:rsidR="00C35AE5" w:rsidRPr="00422245" w:rsidRDefault="00C35AE5">
    <w:pPr>
      <w:pStyle w:val="Bunntekst"/>
      <w:spacing w:after="28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6F0B8" w14:textId="77777777" w:rsidR="00630FB9" w:rsidRPr="00422245" w:rsidRDefault="00630FB9" w:rsidP="00976083">
      <w:pPr>
        <w:spacing w:after="288" w:line="240" w:lineRule="auto"/>
      </w:pPr>
      <w:r w:rsidRPr="00422245">
        <w:separator/>
      </w:r>
    </w:p>
  </w:footnote>
  <w:footnote w:type="continuationSeparator" w:id="0">
    <w:p w14:paraId="5B7BD54E" w14:textId="77777777" w:rsidR="00630FB9" w:rsidRPr="00422245" w:rsidRDefault="00630FB9" w:rsidP="00976083">
      <w:pPr>
        <w:spacing w:after="288" w:line="240" w:lineRule="auto"/>
      </w:pPr>
      <w:r w:rsidRPr="00422245">
        <w:continuationSeparator/>
      </w:r>
    </w:p>
  </w:footnote>
  <w:footnote w:type="continuationNotice" w:id="1">
    <w:p w14:paraId="451FB60F" w14:textId="77777777" w:rsidR="00630FB9" w:rsidRPr="00422245" w:rsidRDefault="00630FB9">
      <w:pPr>
        <w:spacing w:after="0" w:line="240" w:lineRule="auto"/>
      </w:pPr>
    </w:p>
  </w:footnote>
  <w:footnote w:id="2">
    <w:p w14:paraId="10E822F9" w14:textId="10BA928F" w:rsidR="001B4C22" w:rsidRDefault="00095CA4" w:rsidP="001B4C22">
      <w:pPr>
        <w:pStyle w:val="Merknad"/>
        <w:keepNext/>
        <w:keepLines/>
      </w:pPr>
      <w:r w:rsidRPr="00422245">
        <w:rPr>
          <w:rStyle w:val="Fotnotereferanse"/>
        </w:rPr>
        <w:footnoteRef/>
      </w:r>
      <w:r w:rsidRPr="00422245">
        <w:t xml:space="preserve"> </w:t>
      </w:r>
      <w:r w:rsidR="00667387" w:rsidRPr="00422245">
        <w:t>Forskjellen i antall registrerte studenter mellom SSB og DBH forklares delvis av hvilke institusjoner tallene omfatter. Mens DBH kun inkluderer studenter ved høyere utdanningsinstitusjoner som finansieres over Kunnskapsdepartementets budsjett, inkluderer SSB i tillegg studenter ved høyere utdanningsinstitusjoner som sorterer under andre departementer, som Forsvarets høgskole, Politihøgskolen, Kriminalomsorgens høgskole og utdanningssenter KRUS</w:t>
      </w:r>
      <w:r w:rsidR="00EA4178" w:rsidRPr="00422245">
        <w:t xml:space="preserve">, samt </w:t>
      </w:r>
      <w:r w:rsidR="00812355" w:rsidRPr="00422245">
        <w:t>t</w:t>
      </w:r>
      <w:r w:rsidR="00667387" w:rsidRPr="00422245">
        <w:t>i private høyskoler som ikke mottar statstilskudd. Til sammen har disse institusjonene 9 0</w:t>
      </w:r>
      <w:r w:rsidR="00C7631F" w:rsidRPr="00422245">
        <w:t>2</w:t>
      </w:r>
      <w:r w:rsidR="00667387" w:rsidRPr="00422245">
        <w:t>5 registrerte studenter i 2023</w:t>
      </w:r>
      <w:r w:rsidR="001422D1" w:rsidRPr="00422245">
        <w:t xml:space="preserve"> (Kilde: dbh.no).</w:t>
      </w:r>
    </w:p>
    <w:p w14:paraId="566716C4" w14:textId="4BAF2E14" w:rsidR="00095CA4" w:rsidRPr="00A94B68" w:rsidRDefault="001422D1" w:rsidP="001B4C22">
      <w:pPr>
        <w:pStyle w:val="Merknad"/>
        <w:keepNext/>
        <w:keepLines/>
        <w:rPr>
          <w:szCs w:val="18"/>
        </w:rPr>
      </w:pPr>
      <w:r w:rsidRPr="00422245">
        <w:t xml:space="preserve">En annen forskjell er at SSB kun teller </w:t>
      </w:r>
      <w:r w:rsidR="002F15EC" w:rsidRPr="00422245">
        <w:t>hver student</w:t>
      </w:r>
      <w:r w:rsidRPr="00422245">
        <w:t xml:space="preserve"> én gang</w:t>
      </w:r>
      <w:r w:rsidR="00FD3D83" w:rsidRPr="00422245">
        <w:t>,</w:t>
      </w:r>
      <w:r w:rsidR="008926D7" w:rsidRPr="00422245">
        <w:t xml:space="preserve"> uavhengig av om </w:t>
      </w:r>
      <w:r w:rsidR="00A3270D" w:rsidRPr="00422245">
        <w:t>personen studerer ett eller flere steder</w:t>
      </w:r>
      <w:r w:rsidRPr="00422245">
        <w:t xml:space="preserve">, mens DBH teller </w:t>
      </w:r>
      <w:r w:rsidR="00FD3D83" w:rsidRPr="00422245">
        <w:t>studentene</w:t>
      </w:r>
      <w:r w:rsidR="002F15EC" w:rsidRPr="00422245">
        <w:t xml:space="preserve"> </w:t>
      </w:r>
      <w:r w:rsidR="00F47873" w:rsidRPr="00422245">
        <w:t>for hver</w:t>
      </w:r>
      <w:r w:rsidRPr="00422245">
        <w:t xml:space="preserve"> institusjon </w:t>
      </w:r>
      <w:r w:rsidR="00FD3D83" w:rsidRPr="00422245">
        <w:t>de</w:t>
      </w:r>
      <w:r w:rsidRPr="00422245">
        <w:t xml:space="preserve"> er registrert ved. En student som er registrert ved flere læresteder vil dermed telles flere ganger. SSB gir </w:t>
      </w:r>
      <w:r w:rsidR="00CC2D67" w:rsidRPr="00422245">
        <w:t>dermed</w:t>
      </w:r>
      <w:r w:rsidRPr="00422245">
        <w:t xml:space="preserve"> et korrekt bilde av antall registrerte studenter på nasjonalt nivå, men ikke per lærested. Motsatt gir DBH et riktig bilde </w:t>
      </w:r>
      <w:r w:rsidRPr="00A94B68">
        <w:rPr>
          <w:szCs w:val="18"/>
        </w:rPr>
        <w:t>av antall registrerte studenter per lærested, men ikke det nøyaktige antallet på nasjonalt nivå.</w:t>
      </w:r>
    </w:p>
  </w:footnote>
  <w:footnote w:id="3">
    <w:p w14:paraId="21B19E24" w14:textId="77777777" w:rsidR="004D1D9F" w:rsidRDefault="004D1D9F" w:rsidP="004D1D9F">
      <w:pPr>
        <w:pStyle w:val="Merknad"/>
      </w:pPr>
      <w:r w:rsidRPr="00A94B68">
        <w:rPr>
          <w:rStyle w:val="Fotnotereferanse"/>
          <w:szCs w:val="18"/>
        </w:rPr>
        <w:footnoteRef/>
      </w:r>
      <w:r w:rsidRPr="00A94B68">
        <w:t xml:space="preserve"> V2.7 viser antall studenter per institusjon i universitets- og høyskolesektoren totalt. V2.8 viser også antall studenter per institusjon, men inkluderer kun studieplasser finansiert over Kunnskapsdepartementets budsjetter.</w:t>
      </w:r>
    </w:p>
  </w:footnote>
  <w:footnote w:id="4">
    <w:p w14:paraId="0667D279" w14:textId="2CD52CC0" w:rsidR="00AF5640" w:rsidRPr="00526CC1" w:rsidRDefault="00AF5640">
      <w:pPr>
        <w:pStyle w:val="Fotnotetekst"/>
        <w:rPr>
          <w:sz w:val="18"/>
          <w:szCs w:val="18"/>
        </w:rPr>
      </w:pPr>
      <w:r>
        <w:rPr>
          <w:rStyle w:val="Fotnotereferanse"/>
        </w:rPr>
        <w:footnoteRef/>
      </w:r>
      <w:r>
        <w:t xml:space="preserve"> </w:t>
      </w:r>
      <w:r w:rsidR="00993DB6">
        <w:rPr>
          <w:sz w:val="18"/>
          <w:szCs w:val="18"/>
        </w:rPr>
        <w:t xml:space="preserve">Fra høsten 2021 har </w:t>
      </w:r>
      <w:r w:rsidRPr="00526CC1">
        <w:rPr>
          <w:sz w:val="18"/>
          <w:szCs w:val="18"/>
        </w:rPr>
        <w:t xml:space="preserve">universiteter og høyskoler selv </w:t>
      </w:r>
      <w:r w:rsidR="00993DB6">
        <w:rPr>
          <w:sz w:val="18"/>
          <w:szCs w:val="18"/>
        </w:rPr>
        <w:t>kunne</w:t>
      </w:r>
      <w:r w:rsidR="000D1DA3">
        <w:rPr>
          <w:sz w:val="18"/>
          <w:szCs w:val="18"/>
        </w:rPr>
        <w:t>t</w:t>
      </w:r>
      <w:r w:rsidR="00993DB6">
        <w:rPr>
          <w:sz w:val="18"/>
          <w:szCs w:val="18"/>
        </w:rPr>
        <w:t xml:space="preserve"> </w:t>
      </w:r>
      <w:r w:rsidRPr="00526CC1">
        <w:rPr>
          <w:sz w:val="18"/>
          <w:szCs w:val="18"/>
        </w:rPr>
        <w:t xml:space="preserve">velge om de vil tilby den femårige lærerutdanningen i praktiske og estetiske fag (LUPE) eller </w:t>
      </w:r>
      <w:r w:rsidR="00784058">
        <w:rPr>
          <w:sz w:val="18"/>
          <w:szCs w:val="18"/>
        </w:rPr>
        <w:t xml:space="preserve">den tidligere </w:t>
      </w:r>
      <w:r w:rsidRPr="00526CC1">
        <w:rPr>
          <w:sz w:val="18"/>
          <w:szCs w:val="18"/>
        </w:rPr>
        <w:t>treårige Faglærerutdanning i praktiske og estetiske fag.</w:t>
      </w:r>
    </w:p>
  </w:footnote>
  <w:footnote w:id="5">
    <w:p w14:paraId="706AD735" w14:textId="4BA6459B" w:rsidR="00E931F5" w:rsidRPr="00422245" w:rsidRDefault="00E931F5">
      <w:pPr>
        <w:pStyle w:val="Fotnotetekst"/>
      </w:pPr>
      <w:r w:rsidRPr="00422245">
        <w:rPr>
          <w:rStyle w:val="Fotnotereferanse"/>
        </w:rPr>
        <w:footnoteRef/>
      </w:r>
      <w:r w:rsidRPr="00422245">
        <w:t xml:space="preserve"> Danmark er et unntak i nordisk sammenheng, med kun 12 prosent av studentene over 30 år. Danskene tar imidlertid bare med heltidsstudenter i undersøkelsen, mens Norge og Finland også inkluderer deltidsstudentene.</w:t>
      </w:r>
      <w:r w:rsidR="00BD617E" w:rsidRPr="00422245">
        <w:t xml:space="preserve"> Flere av </w:t>
      </w:r>
      <w:r w:rsidR="00262F7E" w:rsidRPr="00422245">
        <w:t xml:space="preserve">de norske og finske </w:t>
      </w:r>
      <w:r w:rsidR="00BD617E" w:rsidRPr="00422245">
        <w:t>studentene som er fylt 30, er nettopp deltidsstudenter som tar formell videreutdanning.</w:t>
      </w:r>
    </w:p>
  </w:footnote>
  <w:footnote w:id="6">
    <w:p w14:paraId="035DB564" w14:textId="39E80FE4" w:rsidR="001F5E80" w:rsidRPr="00422245" w:rsidRDefault="001F5E80">
      <w:pPr>
        <w:pStyle w:val="Fotnotetekst"/>
        <w:rPr>
          <w:rFonts w:cstheme="minorHAnsi"/>
          <w:sz w:val="18"/>
          <w:szCs w:val="18"/>
        </w:rPr>
      </w:pPr>
      <w:r w:rsidRPr="00422245">
        <w:rPr>
          <w:rStyle w:val="Fotnotereferanse"/>
          <w:rFonts w:cstheme="minorHAnsi"/>
          <w:sz w:val="18"/>
          <w:szCs w:val="18"/>
        </w:rPr>
        <w:footnoteRef/>
      </w:r>
      <w:r w:rsidRPr="00422245">
        <w:rPr>
          <w:rFonts w:cstheme="minorHAnsi"/>
          <w:sz w:val="18"/>
          <w:szCs w:val="18"/>
        </w:rPr>
        <w:t xml:space="preserve"> </w:t>
      </w:r>
      <w:hyperlink r:id="rId1" w:history="1">
        <w:r w:rsidRPr="00422245">
          <w:rPr>
            <w:rStyle w:val="Hyperkobling"/>
            <w:rFonts w:cstheme="minorHAnsi"/>
            <w:sz w:val="18"/>
            <w:szCs w:val="18"/>
          </w:rPr>
          <w:t>https://www.ssb.no/utdanning/artikler-og-publikasjoner/norske-studenter-blant-de-eldste-i-europa</w:t>
        </w:r>
      </w:hyperlink>
      <w:r w:rsidRPr="00422245">
        <w:rPr>
          <w:rFonts w:cstheme="minorHAnsi"/>
          <w:sz w:val="18"/>
          <w:szCs w:val="18"/>
        </w:rPr>
        <w:t xml:space="preserve"> </w:t>
      </w:r>
    </w:p>
  </w:footnote>
  <w:footnote w:id="7">
    <w:p w14:paraId="22FCCF9A" w14:textId="1DBFAC51" w:rsidR="00C70631" w:rsidRPr="005A299E" w:rsidRDefault="00C70631" w:rsidP="00875F60">
      <w:pPr>
        <w:pStyle w:val="Merknad"/>
        <w:rPr>
          <w:szCs w:val="18"/>
        </w:rPr>
      </w:pPr>
      <w:r>
        <w:rPr>
          <w:rStyle w:val="Fotnotereferanse"/>
        </w:rPr>
        <w:footnoteRef/>
      </w:r>
      <w:r>
        <w:t xml:space="preserve"> </w:t>
      </w:r>
      <w:r w:rsidR="00DB58ED" w:rsidRPr="005A299E">
        <w:rPr>
          <w:szCs w:val="18"/>
        </w:rPr>
        <w:t xml:space="preserve">Innvandrere </w:t>
      </w:r>
      <w:r w:rsidR="00C819A7" w:rsidRPr="005A299E">
        <w:rPr>
          <w:szCs w:val="18"/>
        </w:rPr>
        <w:t>utgjør</w:t>
      </w:r>
      <w:r w:rsidR="0030479E" w:rsidRPr="005A299E">
        <w:rPr>
          <w:szCs w:val="18"/>
        </w:rPr>
        <w:t xml:space="preserve"> ikke en like stor del av hvert årskull, og det er også store forskjeller</w:t>
      </w:r>
      <w:r w:rsidR="00DE28D4" w:rsidRPr="005A299E">
        <w:rPr>
          <w:szCs w:val="18"/>
        </w:rPr>
        <w:t xml:space="preserve"> </w:t>
      </w:r>
      <w:r w:rsidR="00DA7DE4" w:rsidRPr="005A299E">
        <w:rPr>
          <w:szCs w:val="18"/>
        </w:rPr>
        <w:t xml:space="preserve">blant annet </w:t>
      </w:r>
      <w:r w:rsidR="00D34BA6" w:rsidRPr="005A299E">
        <w:rPr>
          <w:szCs w:val="18"/>
        </w:rPr>
        <w:t xml:space="preserve">i </w:t>
      </w:r>
      <w:r w:rsidR="00DA7DE4" w:rsidRPr="005A299E">
        <w:rPr>
          <w:szCs w:val="18"/>
        </w:rPr>
        <w:t>landbakgrunn for innvandrere i ulike årskull.</w:t>
      </w:r>
      <w:r w:rsidR="00225DD6" w:rsidRPr="005A299E">
        <w:rPr>
          <w:szCs w:val="18"/>
        </w:rPr>
        <w:t xml:space="preserve"> </w:t>
      </w:r>
      <w:r w:rsidR="00C41412" w:rsidRPr="005A299E">
        <w:rPr>
          <w:szCs w:val="18"/>
        </w:rPr>
        <w:t xml:space="preserve">Mange </w:t>
      </w:r>
      <w:r w:rsidR="009F7D16" w:rsidRPr="005A299E">
        <w:rPr>
          <w:szCs w:val="18"/>
        </w:rPr>
        <w:t>av dem</w:t>
      </w:r>
      <w:r w:rsidR="00C41412" w:rsidRPr="005A299E">
        <w:rPr>
          <w:szCs w:val="18"/>
        </w:rPr>
        <w:t xml:space="preserve"> som har innvandret </w:t>
      </w:r>
      <w:r w:rsidR="00F51262" w:rsidRPr="005A299E">
        <w:rPr>
          <w:szCs w:val="18"/>
        </w:rPr>
        <w:t>utvandrer også på et senere tidspunkt.</w:t>
      </w:r>
      <w:r w:rsidR="00225DD6" w:rsidRPr="005A299E">
        <w:rPr>
          <w:szCs w:val="18"/>
        </w:rPr>
        <w:t xml:space="preserve"> </w:t>
      </w:r>
      <w:r w:rsidR="00501893" w:rsidRPr="005A299E">
        <w:rPr>
          <w:szCs w:val="18"/>
        </w:rPr>
        <w:t>V</w:t>
      </w:r>
      <w:r w:rsidR="004E1CBD" w:rsidRPr="005A299E">
        <w:rPr>
          <w:szCs w:val="18"/>
        </w:rPr>
        <w:t xml:space="preserve">idere </w:t>
      </w:r>
      <w:r w:rsidR="00501893" w:rsidRPr="005A299E">
        <w:rPr>
          <w:szCs w:val="18"/>
        </w:rPr>
        <w:t>er det</w:t>
      </w:r>
      <w:r w:rsidR="004E1CBD" w:rsidRPr="005A299E">
        <w:rPr>
          <w:szCs w:val="18"/>
        </w:rPr>
        <w:t xml:space="preserve"> </w:t>
      </w:r>
      <w:r w:rsidR="00E4637A" w:rsidRPr="005A299E">
        <w:rPr>
          <w:szCs w:val="18"/>
        </w:rPr>
        <w:t>store forskjeller i</w:t>
      </w:r>
      <w:r w:rsidR="004E1CBD" w:rsidRPr="005A299E">
        <w:rPr>
          <w:szCs w:val="18"/>
        </w:rPr>
        <w:t xml:space="preserve"> studietilbøyelighet </w:t>
      </w:r>
      <w:r w:rsidR="00E4637A" w:rsidRPr="005A299E">
        <w:rPr>
          <w:szCs w:val="18"/>
        </w:rPr>
        <w:t>mellom innvandrere og</w:t>
      </w:r>
      <w:r w:rsidR="004E1CBD" w:rsidRPr="005A299E">
        <w:rPr>
          <w:szCs w:val="18"/>
        </w:rPr>
        <w:t xml:space="preserve"> norskfødte</w:t>
      </w:r>
      <w:r w:rsidR="00A31817" w:rsidRPr="005A299E">
        <w:rPr>
          <w:szCs w:val="18"/>
        </w:rPr>
        <w:t xml:space="preserve">. </w:t>
      </w:r>
      <w:r w:rsidR="00116ECB" w:rsidRPr="005A299E">
        <w:rPr>
          <w:szCs w:val="18"/>
        </w:rPr>
        <w:t>Dersom innvand</w:t>
      </w:r>
      <w:r w:rsidR="00180E42" w:rsidRPr="005A299E">
        <w:rPr>
          <w:szCs w:val="18"/>
        </w:rPr>
        <w:t>r</w:t>
      </w:r>
      <w:r w:rsidR="00116ECB" w:rsidRPr="005A299E">
        <w:rPr>
          <w:szCs w:val="18"/>
        </w:rPr>
        <w:t>ere hadde blitt inkludert i figuren</w:t>
      </w:r>
      <w:r w:rsidR="004F2064" w:rsidRPr="005A299E">
        <w:rPr>
          <w:szCs w:val="18"/>
        </w:rPr>
        <w:t xml:space="preserve">, </w:t>
      </w:r>
      <w:r w:rsidR="00E4637A" w:rsidRPr="005A299E">
        <w:rPr>
          <w:szCs w:val="18"/>
        </w:rPr>
        <w:t>ville d</w:t>
      </w:r>
      <w:r w:rsidR="00F51262" w:rsidRPr="005A299E">
        <w:rPr>
          <w:szCs w:val="18"/>
        </w:rPr>
        <w:t xml:space="preserve">et av disse </w:t>
      </w:r>
      <w:r w:rsidR="00C76159" w:rsidRPr="005A299E">
        <w:rPr>
          <w:szCs w:val="18"/>
        </w:rPr>
        <w:t>årsake</w:t>
      </w:r>
      <w:r w:rsidR="00A4211A" w:rsidRPr="005A299E">
        <w:rPr>
          <w:szCs w:val="18"/>
        </w:rPr>
        <w:t xml:space="preserve">ne ha vært </w:t>
      </w:r>
      <w:r w:rsidR="00717882" w:rsidRPr="005A299E">
        <w:rPr>
          <w:szCs w:val="18"/>
        </w:rPr>
        <w:t xml:space="preserve">vanskeligere å tolke figurene, og de </w:t>
      </w:r>
      <w:r w:rsidR="002A25C7" w:rsidRPr="005A299E">
        <w:rPr>
          <w:szCs w:val="18"/>
        </w:rPr>
        <w:t xml:space="preserve">hadde gitt en annen informasjon enn </w:t>
      </w:r>
      <w:r w:rsidR="007E6A4F" w:rsidRPr="005A299E">
        <w:rPr>
          <w:szCs w:val="18"/>
        </w:rPr>
        <w:t>hvor stor andel av et årskull som begynner å studere.</w:t>
      </w:r>
      <w:r w:rsidR="00DD4108" w:rsidRPr="005A299E">
        <w:rPr>
          <w:szCs w:val="18"/>
        </w:rPr>
        <w:t xml:space="preserve"> Se ellers mer om studenter med innvandrerbakgrunn i kapittel </w:t>
      </w:r>
      <w:r w:rsidR="00B043D2" w:rsidRPr="005A299E">
        <w:rPr>
          <w:szCs w:val="18"/>
        </w:rPr>
        <w:fldChar w:fldCharType="begin"/>
      </w:r>
      <w:r w:rsidR="00B043D2" w:rsidRPr="005A299E">
        <w:rPr>
          <w:szCs w:val="18"/>
        </w:rPr>
        <w:instrText xml:space="preserve"> REF _Ref163041946 \r \h </w:instrText>
      </w:r>
      <w:r w:rsidR="00875F60" w:rsidRPr="005A299E">
        <w:rPr>
          <w:szCs w:val="18"/>
        </w:rPr>
        <w:instrText xml:space="preserve"> \* MERGEFORMAT </w:instrText>
      </w:r>
      <w:r w:rsidR="00B043D2" w:rsidRPr="005A299E">
        <w:rPr>
          <w:szCs w:val="18"/>
        </w:rPr>
      </w:r>
      <w:r w:rsidR="00B043D2" w:rsidRPr="005A299E">
        <w:rPr>
          <w:szCs w:val="18"/>
        </w:rPr>
        <w:fldChar w:fldCharType="separate"/>
      </w:r>
      <w:r w:rsidR="00B043D2" w:rsidRPr="005A299E">
        <w:rPr>
          <w:szCs w:val="18"/>
        </w:rPr>
        <w:t>1.2.5</w:t>
      </w:r>
      <w:r w:rsidR="00B043D2" w:rsidRPr="005A299E">
        <w:rPr>
          <w:szCs w:val="18"/>
        </w:rPr>
        <w:fldChar w:fldCharType="end"/>
      </w:r>
      <w:r w:rsidR="00B043D2" w:rsidRPr="005A299E">
        <w:rPr>
          <w:szCs w:val="18"/>
        </w:rPr>
        <w:t>.</w:t>
      </w:r>
    </w:p>
  </w:footnote>
  <w:footnote w:id="8">
    <w:p w14:paraId="645A69B7" w14:textId="27D0F8BC" w:rsidR="005A299E" w:rsidRDefault="005A299E">
      <w:pPr>
        <w:pStyle w:val="Fotnotetekst"/>
      </w:pPr>
      <w:r w:rsidRPr="00526CC1">
        <w:rPr>
          <w:rStyle w:val="Fotnotereferanse"/>
          <w:sz w:val="18"/>
          <w:szCs w:val="18"/>
        </w:rPr>
        <w:footnoteRef/>
      </w:r>
      <w:r w:rsidRPr="00526CC1">
        <w:rPr>
          <w:sz w:val="18"/>
          <w:szCs w:val="18"/>
        </w:rPr>
        <w:t xml:space="preserve"> 1997-kullet er det siste som har rukket å fylle 24 år innen 2021, som er det siste året med data.</w:t>
      </w:r>
    </w:p>
  </w:footnote>
  <w:footnote w:id="9">
    <w:p w14:paraId="4E268664" w14:textId="27204E23" w:rsidR="008C1FC0" w:rsidRPr="00422245" w:rsidRDefault="008C1FC0">
      <w:pPr>
        <w:pStyle w:val="Fotnotetekst"/>
      </w:pPr>
      <w:r w:rsidRPr="00422245">
        <w:rPr>
          <w:rStyle w:val="Fotnotereferanse"/>
        </w:rPr>
        <w:footnoteRef/>
      </w:r>
      <w:r w:rsidRPr="00422245">
        <w:t xml:space="preserve"> Deltid inkluderer her alle studieprogram som er organisert med lavere progresjon enn 100 prosent av heltid.</w:t>
      </w:r>
    </w:p>
  </w:footnote>
  <w:footnote w:id="10">
    <w:p w14:paraId="24B9B534" w14:textId="621121B8" w:rsidR="00FF3026" w:rsidRDefault="00FF3026">
      <w:pPr>
        <w:pStyle w:val="Fotnotetekst"/>
      </w:pPr>
      <w:r>
        <w:rPr>
          <w:rStyle w:val="Fotnotereferanse"/>
        </w:rPr>
        <w:footnoteRef/>
      </w:r>
      <w:r>
        <w:t xml:space="preserve"> </w:t>
      </w:r>
      <w:r w:rsidRPr="00FF3026">
        <w:t>https://lanekassen.no/nb-NO/stipend-og-lan/nedsatt-funksjonsevne/</w:t>
      </w:r>
    </w:p>
  </w:footnote>
  <w:footnote w:id="11">
    <w:p w14:paraId="3F569C8D" w14:textId="77777777" w:rsidR="00DD4FE7" w:rsidRPr="00422245" w:rsidRDefault="00DD4FE7" w:rsidP="00DD4FE7">
      <w:pPr>
        <w:pStyle w:val="Fotnotetekst"/>
        <w:rPr>
          <w:sz w:val="18"/>
          <w:szCs w:val="18"/>
        </w:rPr>
      </w:pPr>
      <w:r w:rsidRPr="00422245">
        <w:rPr>
          <w:rStyle w:val="Fotnotereferanse"/>
          <w:sz w:val="18"/>
          <w:szCs w:val="18"/>
        </w:rPr>
        <w:footnoteRef/>
      </w:r>
      <w:r w:rsidRPr="00422245">
        <w:rPr>
          <w:sz w:val="18"/>
          <w:szCs w:val="18"/>
        </w:rPr>
        <w:t xml:space="preserve"> </w:t>
      </w:r>
      <w:hyperlink r:id="rId2" w:history="1">
        <w:r w:rsidRPr="00422245">
          <w:rPr>
            <w:color w:val="0000FF"/>
            <w:sz w:val="18"/>
            <w:szCs w:val="18"/>
            <w:u w:val="single"/>
          </w:rPr>
          <w:t>Norges viktigste handelspartnere – SSB</w:t>
        </w:r>
      </w:hyperlink>
    </w:p>
  </w:footnote>
  <w:footnote w:id="12">
    <w:p w14:paraId="6CD56422" w14:textId="242BC274" w:rsidR="002C77F0" w:rsidRPr="00422245" w:rsidRDefault="002C77F0">
      <w:pPr>
        <w:pStyle w:val="Fotnotetekst"/>
      </w:pPr>
      <w:r w:rsidRPr="00422245">
        <w:rPr>
          <w:rStyle w:val="Fotnotereferanse"/>
        </w:rPr>
        <w:footnoteRef/>
      </w:r>
      <w:r w:rsidRPr="00422245">
        <w:t xml:space="preserve"> Kina har et lavere an</w:t>
      </w:r>
      <w:r w:rsidR="00D4386D" w:rsidRPr="00422245">
        <w:t>tall studenter enn de øvrige handelspartnerne, med</w:t>
      </w:r>
      <w:r w:rsidRPr="00422245">
        <w:t xml:space="preserve"> 110 studenter</w:t>
      </w:r>
      <w:r w:rsidR="00D4386D" w:rsidRPr="00422245">
        <w:t xml:space="preserve"> i 2023. </w:t>
      </w:r>
    </w:p>
  </w:footnote>
  <w:footnote w:id="13">
    <w:p w14:paraId="1D673F99" w14:textId="5861BEC0" w:rsidR="00AF5ECC" w:rsidRPr="00CD00EB" w:rsidRDefault="00AF5ECC">
      <w:pPr>
        <w:pStyle w:val="Fotnotetekst"/>
      </w:pPr>
      <w:r>
        <w:rPr>
          <w:rStyle w:val="Fotnotereferanse"/>
        </w:rPr>
        <w:footnoteRef/>
      </w:r>
      <w:r w:rsidRPr="00CD00EB">
        <w:t xml:space="preserve"> </w:t>
      </w:r>
      <w:hyperlink r:id="rId3" w:history="1">
        <w:r w:rsidRPr="00CD00EB">
          <w:rPr>
            <w:rStyle w:val="Hyperkobling"/>
            <w:sz w:val="18"/>
            <w:szCs w:val="18"/>
          </w:rPr>
          <w:t>https://www.ssb.no/utdanning/grunnskoler/artikler/hva-er-det-mest-populaere-fremmedspraket-i-grunnskolen</w:t>
        </w:r>
      </w:hyperlink>
      <w:r w:rsidRPr="00CD00EB">
        <w:t xml:space="preserve"> </w:t>
      </w:r>
    </w:p>
  </w:footnote>
  <w:footnote w:id="14">
    <w:p w14:paraId="7181F01A" w14:textId="6D5B3C22" w:rsidR="001D5809" w:rsidRPr="006F145D" w:rsidRDefault="001D5809" w:rsidP="001D5809">
      <w:pPr>
        <w:rPr>
          <w:sz w:val="18"/>
          <w:szCs w:val="18"/>
        </w:rPr>
      </w:pPr>
      <w:r w:rsidRPr="006F145D">
        <w:rPr>
          <w:rStyle w:val="Fotnotereferanse"/>
          <w:sz w:val="18"/>
          <w:szCs w:val="18"/>
        </w:rPr>
        <w:footnoteRef/>
      </w:r>
      <w:r w:rsidRPr="00A04F8E">
        <w:rPr>
          <w:sz w:val="18"/>
          <w:szCs w:val="18"/>
        </w:rPr>
        <w:t xml:space="preserve"> Samordna opptak</w:t>
      </w:r>
      <w:r w:rsidR="006F145D" w:rsidRPr="00A04F8E">
        <w:rPr>
          <w:sz w:val="18"/>
          <w:szCs w:val="18"/>
        </w:rPr>
        <w:t xml:space="preserve"> håndterer i </w:t>
      </w:r>
      <w:r w:rsidRPr="00A04F8E">
        <w:rPr>
          <w:sz w:val="18"/>
          <w:szCs w:val="18"/>
        </w:rPr>
        <w:t xml:space="preserve">hovedregelen søknader til studier som bygger på videregående opplæring, såkalte grunnstudier, slik som bachelorstudier, årsstudier, integrerte femårige masterstudier og profesjonsstudier. </w:t>
      </w:r>
      <w:r w:rsidR="00297A10">
        <w:rPr>
          <w:sz w:val="18"/>
          <w:szCs w:val="18"/>
        </w:rPr>
        <w:t>S</w:t>
      </w:r>
      <w:r w:rsidRPr="006F145D">
        <w:rPr>
          <w:sz w:val="18"/>
          <w:szCs w:val="18"/>
        </w:rPr>
        <w:t>økere</w:t>
      </w:r>
      <w:r w:rsidRPr="00323BEF">
        <w:rPr>
          <w:sz w:val="18"/>
          <w:szCs w:val="18"/>
        </w:rPr>
        <w:t xml:space="preserve"> til lokale opptak</w:t>
      </w:r>
      <w:r w:rsidRPr="006F145D">
        <w:rPr>
          <w:sz w:val="18"/>
          <w:szCs w:val="18"/>
        </w:rPr>
        <w:t xml:space="preserve"> som håndteres av lærestedene selv</w:t>
      </w:r>
      <w:r w:rsidR="00297A10">
        <w:rPr>
          <w:sz w:val="18"/>
          <w:szCs w:val="18"/>
        </w:rPr>
        <w:t xml:space="preserve"> er derfor ikke inkludert </w:t>
      </w:r>
      <w:r w:rsidR="000D24C5">
        <w:rPr>
          <w:sz w:val="18"/>
          <w:szCs w:val="18"/>
        </w:rPr>
        <w:t>i søkertallene som presenteres i rapporten</w:t>
      </w:r>
      <w:r w:rsidRPr="006F145D">
        <w:rPr>
          <w:sz w:val="18"/>
          <w:szCs w:val="18"/>
        </w:rPr>
        <w:t xml:space="preserve">. Disse </w:t>
      </w:r>
      <w:r w:rsidRPr="00323BEF">
        <w:rPr>
          <w:sz w:val="18"/>
          <w:szCs w:val="18"/>
        </w:rPr>
        <w:t>omfatter videreutdanninger og masterprogrammer</w:t>
      </w:r>
      <w:r w:rsidRPr="006F145D">
        <w:rPr>
          <w:sz w:val="18"/>
          <w:szCs w:val="18"/>
        </w:rPr>
        <w:t xml:space="preserve">, </w:t>
      </w:r>
      <w:r w:rsidRPr="00323BEF">
        <w:rPr>
          <w:sz w:val="18"/>
          <w:szCs w:val="18"/>
        </w:rPr>
        <w:t xml:space="preserve">enkelte grunnstudier med spesielle opptakskriterier og opptaksprøver, samt opptak til enkelte private høyskoler. </w:t>
      </w:r>
    </w:p>
  </w:footnote>
  <w:footnote w:id="15">
    <w:p w14:paraId="3924AB0E" w14:textId="6EBD1CCF" w:rsidR="00426883" w:rsidRPr="007B7454" w:rsidRDefault="00426883" w:rsidP="00426883">
      <w:pPr>
        <w:pStyle w:val="Fotnotetekst"/>
        <w:rPr>
          <w:sz w:val="18"/>
          <w:szCs w:val="18"/>
        </w:rPr>
      </w:pPr>
      <w:r>
        <w:rPr>
          <w:rStyle w:val="Fotnotereferanse"/>
        </w:rPr>
        <w:footnoteRef/>
      </w:r>
      <w:r>
        <w:rPr>
          <w:sz w:val="18"/>
          <w:szCs w:val="18"/>
        </w:rPr>
        <w:t xml:space="preserve"> </w:t>
      </w:r>
      <w:r w:rsidR="003B21F8" w:rsidRPr="003B21F8">
        <w:rPr>
          <w:sz w:val="18"/>
          <w:szCs w:val="18"/>
        </w:rPr>
        <w:t>Hva som utløser konkurransepoeng vil variere mellom ulike studier, og hvilke karakterer som regnes med i karaktergrunnlaget, avhenger av hva slags utdanningsbakgrunn søkeren har.</w:t>
      </w:r>
      <w:r w:rsidR="003B21F8">
        <w:rPr>
          <w:sz w:val="18"/>
          <w:szCs w:val="18"/>
        </w:rPr>
        <w:t xml:space="preserve"> </w:t>
      </w:r>
      <w:r>
        <w:rPr>
          <w:sz w:val="18"/>
          <w:szCs w:val="18"/>
        </w:rPr>
        <w:t xml:space="preserve">For utfyllende informasjon </w:t>
      </w:r>
      <w:r w:rsidRPr="007B7454">
        <w:rPr>
          <w:sz w:val="18"/>
          <w:szCs w:val="18"/>
        </w:rPr>
        <w:t>om poengberegning</w:t>
      </w:r>
      <w:r>
        <w:rPr>
          <w:sz w:val="18"/>
          <w:szCs w:val="18"/>
        </w:rPr>
        <w:t xml:space="preserve">, se </w:t>
      </w:r>
      <w:hyperlink r:id="rId4" w:history="1">
        <w:r w:rsidRPr="00E67F1E">
          <w:rPr>
            <w:rStyle w:val="Hyperkobling"/>
            <w:sz w:val="18"/>
            <w:szCs w:val="18"/>
          </w:rPr>
          <w:t>http://www.samordnaopptak.no/info/opptak/poengberegning/</w:t>
        </w:r>
      </w:hyperlink>
      <w:r>
        <w:rPr>
          <w:sz w:val="18"/>
          <w:szCs w:val="18"/>
        </w:rPr>
        <w:t xml:space="preserve"> </w:t>
      </w:r>
    </w:p>
  </w:footnote>
  <w:footnote w:id="16">
    <w:p w14:paraId="163C2378" w14:textId="50185464" w:rsidR="00206552" w:rsidRPr="00422245" w:rsidRDefault="00206552" w:rsidP="00206552">
      <w:pPr>
        <w:pStyle w:val="Fotnotetekst"/>
      </w:pPr>
      <w:r w:rsidRPr="00422245">
        <w:rPr>
          <w:rStyle w:val="Fotnotereferanse"/>
        </w:rPr>
        <w:footnoteRef/>
      </w:r>
      <w:r w:rsidRPr="00422245">
        <w:t xml:space="preserve"> Riksrevisjonen</w:t>
      </w:r>
      <w:r w:rsidR="00754A6B">
        <w:t xml:space="preserve"> (s. 11)</w:t>
      </w:r>
      <w:r w:rsidRPr="00422245">
        <w:t xml:space="preserve"> bruker frafall fra institusjon, noe som gir små avvik fra sektorfrafall, som er brukt i denne rapporten. Problematikken med </w:t>
      </w:r>
      <w:r w:rsidR="00A30529">
        <w:t>historiske tall</w:t>
      </w:r>
      <w:r w:rsidR="00FC7099">
        <w:t>,</w:t>
      </w:r>
      <w:r w:rsidR="00A30529">
        <w:t xml:space="preserve"> som blir forklart </w:t>
      </w:r>
      <w:r w:rsidR="00FC7099">
        <w:t>i dette kapittelet,</w:t>
      </w:r>
      <w:r w:rsidRPr="00422245">
        <w:t xml:space="preserve"> er imidlertid den samme. </w:t>
      </w:r>
    </w:p>
  </w:footnote>
  <w:footnote w:id="17">
    <w:p w14:paraId="5DB665D3" w14:textId="1B9D15BC" w:rsidR="00724A2F" w:rsidRDefault="00724A2F">
      <w:pPr>
        <w:pStyle w:val="Fotnotetekst"/>
      </w:pPr>
      <w:r>
        <w:rPr>
          <w:rStyle w:val="Fotnotereferanse"/>
        </w:rPr>
        <w:footnoteRef/>
      </w:r>
      <w:r>
        <w:t xml:space="preserve"> </w:t>
      </w:r>
      <w:r w:rsidRPr="00422245">
        <w:t xml:space="preserve">Tallene som har blitt brukt </w:t>
      </w:r>
      <w:r>
        <w:t xml:space="preserve">for BI </w:t>
      </w:r>
      <w:r w:rsidRPr="00422245">
        <w:t>sier blant annet at startkullet som hadde normert gjennomføringstid i 2014, bestod av over 10 000 studenter, og at gjennomføringen på normert tid var 10 prosent. Frafallet etter normert tid var 63 prosent. Dette er ekstreme tall sammenlignet med andre institusjoner.</w:t>
      </w:r>
    </w:p>
  </w:footnote>
  <w:footnote w:id="18">
    <w:p w14:paraId="6EA6A670" w14:textId="601F0FB8" w:rsidR="00E117D6" w:rsidRDefault="00E117D6">
      <w:pPr>
        <w:pStyle w:val="Fotnotetekst"/>
      </w:pPr>
      <w:r>
        <w:rPr>
          <w:rStyle w:val="Fotnotereferanse"/>
        </w:rPr>
        <w:footnoteRef/>
      </w:r>
      <w:r>
        <w:t xml:space="preserve"> </w:t>
      </w:r>
      <w:r>
        <w:rPr>
          <w:lang w:eastAsia="nb-NO"/>
        </w:rPr>
        <w:t xml:space="preserve">Innføringen av dette kravet førte til et kraftig fall i antallet kvalifiserte søkere, noe som trolig er det som igjen førte til et </w:t>
      </w:r>
      <w:r w:rsidR="008F0EFB">
        <w:rPr>
          <w:lang w:eastAsia="nb-NO"/>
        </w:rPr>
        <w:t>visst</w:t>
      </w:r>
      <w:r>
        <w:rPr>
          <w:lang w:eastAsia="nb-NO"/>
        </w:rPr>
        <w:t xml:space="preserve"> fall i gjennomsnittskarakter blant de opptatte studentene</w:t>
      </w:r>
      <w:r w:rsidR="00A54462">
        <w:rPr>
          <w:lang w:eastAsia="nb-NO"/>
        </w:rPr>
        <w:t xml:space="preserve"> i 2019</w:t>
      </w:r>
      <w:r>
        <w:rPr>
          <w:lang w:eastAsia="nb-NO"/>
        </w:rPr>
        <w:t xml:space="preserve">, på tross av at de nå altså oppfylte visse minimumskrav i </w:t>
      </w:r>
      <w:r w:rsidR="00C42323">
        <w:rPr>
          <w:lang w:eastAsia="nb-NO"/>
        </w:rPr>
        <w:t>norsk og matematikk</w:t>
      </w:r>
      <w:r>
        <w:rPr>
          <w:lang w:eastAsia="nb-NO"/>
        </w:rPr>
        <w:t>.</w:t>
      </w:r>
      <w:r w:rsidR="006377FA">
        <w:rPr>
          <w:lang w:eastAsia="nb-NO"/>
        </w:rPr>
        <w:t xml:space="preserve"> De påfølgende to årene steg ellers gjennomsnittskarakterene betydelig</w:t>
      </w:r>
      <w:r w:rsidR="00C964C2">
        <w:rPr>
          <w:lang w:eastAsia="nb-NO"/>
        </w:rPr>
        <w:t xml:space="preserve"> igjen</w:t>
      </w:r>
      <w:r w:rsidR="00726E04">
        <w:rPr>
          <w:lang w:eastAsia="nb-NO"/>
        </w:rPr>
        <w:t xml:space="preserve">, før de igjen falt kraftig </w:t>
      </w:r>
      <w:r w:rsidR="006377FA">
        <w:rPr>
          <w:lang w:eastAsia="nb-NO"/>
        </w:rPr>
        <w:t>.</w:t>
      </w:r>
    </w:p>
  </w:footnote>
  <w:footnote w:id="19">
    <w:p w14:paraId="095FD5EE" w14:textId="77777777" w:rsidR="00800189" w:rsidRPr="00422245" w:rsidRDefault="00800189" w:rsidP="00800189">
      <w:pPr>
        <w:pStyle w:val="Fotnotetekst"/>
      </w:pPr>
      <w:r w:rsidRPr="00422245">
        <w:rPr>
          <w:rStyle w:val="Fotnotereferanse"/>
        </w:rPr>
        <w:footnoteRef/>
      </w:r>
      <w:r w:rsidRPr="00422245">
        <w:t xml:space="preserve"> Bare utdanninger med startkull på over 250 studenter er inkludert.</w:t>
      </w:r>
    </w:p>
  </w:footnote>
  <w:footnote w:id="20">
    <w:p w14:paraId="01BD2957" w14:textId="42CA5777" w:rsidR="009B4781" w:rsidRDefault="009B4781">
      <w:pPr>
        <w:pStyle w:val="Fotnotetekst"/>
      </w:pPr>
      <w:r>
        <w:rPr>
          <w:rStyle w:val="Fotnotereferanse"/>
        </w:rPr>
        <w:footnoteRef/>
      </w:r>
      <w:r>
        <w:t xml:space="preserve"> Det kommenteres også at </w:t>
      </w:r>
      <w:r w:rsidR="004A7C69">
        <w:t xml:space="preserve">mange humaniorastudenter går videre til andre fagområder og fullfører </w:t>
      </w:r>
      <w:r w:rsidR="0067188F">
        <w:t>en bachelorgrad på et annet område i løpet av 5 år.</w:t>
      </w:r>
      <w:r w:rsidR="00DE1AFE">
        <w:t xml:space="preserve"> Vi finner imidlertid ikke </w:t>
      </w:r>
      <w:r w:rsidR="003011CF">
        <w:t xml:space="preserve">at dette </w:t>
      </w:r>
      <w:r w:rsidR="00CA7CCA">
        <w:t xml:space="preserve">er et </w:t>
      </w:r>
      <w:r w:rsidR="002F5061">
        <w:t xml:space="preserve">veldig utbredt </w:t>
      </w:r>
      <w:r w:rsidR="00187C41">
        <w:t>fenomen i dag</w:t>
      </w:r>
      <w:r w:rsidR="00350F2E">
        <w:t xml:space="preserve">, og i alle fall ikke i et slikt omfang at det får avgjørende betydning for </w:t>
      </w:r>
      <w:r w:rsidR="0041395C">
        <w:t>gjennomføringstallene</w:t>
      </w:r>
      <w:r w:rsidR="0034101B">
        <w:t xml:space="preserve"> for humanistiske fag sammenlignet med andre fag</w:t>
      </w:r>
      <w:r w:rsidR="00187C41">
        <w:t>.</w:t>
      </w:r>
      <w:r w:rsidR="00847B8F">
        <w:t xml:space="preserve"> Samlet sett fullførte 7 prosent av alle bachelorstudenter på </w:t>
      </w:r>
      <w:r w:rsidR="003D5013">
        <w:t xml:space="preserve">2018-kullet </w:t>
      </w:r>
      <w:r w:rsidR="00847B8F">
        <w:t xml:space="preserve">et annet </w:t>
      </w:r>
      <w:r w:rsidR="00634FD6">
        <w:t>studium enn det de begyn</w:t>
      </w:r>
      <w:r w:rsidR="003D5013">
        <w:t>te på i løpet av fem år</w:t>
      </w:r>
      <w:r w:rsidR="002E421C">
        <w:t xml:space="preserve">, mens </w:t>
      </w:r>
      <w:r w:rsidR="00CD41BE">
        <w:t>tilsvarende andel</w:t>
      </w:r>
      <w:r w:rsidR="002E421C">
        <w:t xml:space="preserve"> var 9 prosent b</w:t>
      </w:r>
      <w:r w:rsidR="00350F2E">
        <w:t>lant dem som begynte på historisk-filosofiske fag.</w:t>
      </w:r>
    </w:p>
  </w:footnote>
  <w:footnote w:id="21">
    <w:p w14:paraId="7ED801FE" w14:textId="4713929C" w:rsidR="00357CDE" w:rsidRDefault="00357CDE">
      <w:pPr>
        <w:pStyle w:val="Fotnotetekst"/>
      </w:pPr>
      <w:r>
        <w:rPr>
          <w:rStyle w:val="Fotnotereferanse"/>
        </w:rPr>
        <w:footnoteRef/>
      </w:r>
      <w:r>
        <w:t xml:space="preserve"> Gjennomsnitt for fem siste årskull.</w:t>
      </w:r>
    </w:p>
  </w:footnote>
  <w:footnote w:id="22">
    <w:p w14:paraId="5632C79D" w14:textId="2F2C7E91" w:rsidR="00BA2C99" w:rsidRDefault="00BA2C99">
      <w:pPr>
        <w:pStyle w:val="Fotnotetekst"/>
      </w:pPr>
      <w:r>
        <w:rPr>
          <w:rStyle w:val="Fotnotereferanse"/>
        </w:rPr>
        <w:footnoteRef/>
      </w:r>
      <w:r>
        <w:t xml:space="preserve"> Tall som inkluderer BI ville ha vist en økning </w:t>
      </w:r>
      <w:r w:rsidR="00A27ED9">
        <w:t>i gjennomføring</w:t>
      </w:r>
      <w:r>
        <w:t xml:space="preserve"> fra 63 til 71 prosent.</w:t>
      </w:r>
    </w:p>
  </w:footnote>
  <w:footnote w:id="23">
    <w:p w14:paraId="48A3C547" w14:textId="2C20EC89" w:rsidR="00A305F8" w:rsidRDefault="00A305F8">
      <w:pPr>
        <w:pStyle w:val="Fotnotetekst"/>
      </w:pPr>
      <w:r>
        <w:rPr>
          <w:rStyle w:val="Fotnotereferanse"/>
        </w:rPr>
        <w:footnoteRef/>
      </w:r>
      <w:r>
        <w:t xml:space="preserve"> Tall som inkluderer BI ville ha vist en reduksjon i frafall fra 23 til 16 prosent.</w:t>
      </w:r>
    </w:p>
  </w:footnote>
  <w:footnote w:id="24">
    <w:p w14:paraId="66390FA8" w14:textId="43A83A3F" w:rsidR="00D638A7" w:rsidRDefault="00D638A7">
      <w:pPr>
        <w:pStyle w:val="Fotnotetekst"/>
      </w:pPr>
      <w:r>
        <w:rPr>
          <w:rStyle w:val="Fotnotereferanse"/>
        </w:rPr>
        <w:footnoteRef/>
      </w:r>
      <w:r>
        <w:t xml:space="preserve"> Av samme grunn som </w:t>
      </w:r>
      <w:r w:rsidR="007D0967">
        <w:t xml:space="preserve">er oppgitt i merknad til </w:t>
      </w:r>
      <w:r w:rsidR="007D0967">
        <w:fldChar w:fldCharType="begin"/>
      </w:r>
      <w:r w:rsidR="007D0967">
        <w:instrText xml:space="preserve"> REF _Ref161835581 \h </w:instrText>
      </w:r>
      <w:r w:rsidR="007D0967">
        <w:fldChar w:fldCharType="separate"/>
      </w:r>
      <w:r w:rsidR="007D0967" w:rsidRPr="00422245">
        <w:t xml:space="preserve">Figur </w:t>
      </w:r>
      <w:r w:rsidR="007D0967">
        <w:rPr>
          <w:noProof/>
        </w:rPr>
        <w:t>5</w:t>
      </w:r>
      <w:r w:rsidR="007D0967">
        <w:noBreakHyphen/>
      </w:r>
      <w:r w:rsidR="007D0967">
        <w:rPr>
          <w:noProof/>
        </w:rPr>
        <w:t>4</w:t>
      </w:r>
      <w:r w:rsidR="007D0967">
        <w:fldChar w:fldCharType="end"/>
      </w:r>
      <w:r w:rsidR="007D0967">
        <w:t xml:space="preserve"> er grunnskolelærerutdanningene utelatt her.</w:t>
      </w:r>
    </w:p>
  </w:footnote>
  <w:footnote w:id="25">
    <w:p w14:paraId="7C3F8226" w14:textId="04EE830B" w:rsidR="000619B3" w:rsidRPr="00422245" w:rsidRDefault="000619B3">
      <w:pPr>
        <w:pStyle w:val="Fotnotetekst"/>
      </w:pPr>
      <w:r w:rsidRPr="00422245">
        <w:rPr>
          <w:rStyle w:val="Fotnotereferanse"/>
        </w:rPr>
        <w:footnoteRef/>
      </w:r>
      <w:r w:rsidRPr="00422245">
        <w:t xml:space="preserve"> </w:t>
      </w:r>
      <w:r w:rsidR="00145DD1" w:rsidRPr="00422245">
        <w:rPr>
          <w:lang w:eastAsia="nb-NO"/>
        </w:rPr>
        <w:t xml:space="preserve">Grunnskolelærerutdanningen var tidligere en fireårig yrkesutdanning. </w:t>
      </w:r>
      <w:r w:rsidRPr="00422245">
        <w:rPr>
          <w:lang w:eastAsia="nb-NO"/>
        </w:rPr>
        <w:t>Så å si alle uteksaminerte på dette nivået var grunnskolelærere, og fire-årig yrkesutdanning er ikke tatt med i figuren.</w:t>
      </w:r>
    </w:p>
  </w:footnote>
  <w:footnote w:id="26">
    <w:p w14:paraId="094EB861" w14:textId="14F8C1A1" w:rsidR="0091200D" w:rsidRPr="00422245" w:rsidRDefault="0091200D">
      <w:pPr>
        <w:pStyle w:val="Fotnotetekst"/>
      </w:pPr>
      <w:r w:rsidRPr="00422245">
        <w:rPr>
          <w:rStyle w:val="Fotnotereferanse"/>
        </w:rPr>
        <w:footnoteRef/>
      </w:r>
      <w:r w:rsidRPr="00422245">
        <w:t xml:space="preserve"> Uteksaminerte fra profesjonsstudiet i psykologi sorteres ellers under samfunnsvitenskap og juridiske fag her, og utgjør om lag en fjerdedel av de uteksaminerte med lang profesjonsutdanning.</w:t>
      </w:r>
    </w:p>
  </w:footnote>
  <w:footnote w:id="27">
    <w:p w14:paraId="489EFCC2" w14:textId="0B1FB7D2" w:rsidR="00F12E23" w:rsidRPr="00422245" w:rsidRDefault="00F12E23">
      <w:pPr>
        <w:pStyle w:val="Fotnotetekst"/>
      </w:pPr>
      <w:r w:rsidRPr="00422245">
        <w:rPr>
          <w:rStyle w:val="Fotnotereferanse"/>
        </w:rPr>
        <w:footnoteRef/>
      </w:r>
      <w:r w:rsidRPr="00422245">
        <w:t xml:space="preserve"> </w:t>
      </w:r>
      <w:r w:rsidR="00E937D5" w:rsidRPr="00422245">
        <w:t>Tall fra BI er tatt med her</w:t>
      </w:r>
      <w:r w:rsidR="007F1B33" w:rsidRPr="00422245">
        <w:t>, noe som gjør at tallene for 2014-</w:t>
      </w:r>
      <w:r w:rsidR="007D2B9A" w:rsidRPr="00422245">
        <w:t>2016 for økonomisk-administrative fag er noe usikre</w:t>
      </w:r>
      <w:r w:rsidR="00E937D5" w:rsidRPr="00422245">
        <w:t xml:space="preserve">. </w:t>
      </w:r>
      <w:r w:rsidR="00D103C8" w:rsidRPr="00422245">
        <w:t>Grunnen til at tallene er tatt med her likevel, er at problemene med datakvalitet f</w:t>
      </w:r>
      <w:r w:rsidR="007F1B33" w:rsidRPr="00422245">
        <w:t xml:space="preserve">or denne typen statistikk (antall uteksaminerte) </w:t>
      </w:r>
      <w:r w:rsidR="00D103C8" w:rsidRPr="00422245">
        <w:t xml:space="preserve">påvirker en langt mindre </w:t>
      </w:r>
      <w:r w:rsidR="00A62F63" w:rsidRPr="00422245">
        <w:t>del</w:t>
      </w:r>
      <w:r w:rsidR="00D103C8" w:rsidRPr="00422245">
        <w:t xml:space="preserve"> av tidsserien</w:t>
      </w:r>
      <w:r w:rsidR="00A62F63" w:rsidRPr="00422245">
        <w:t xml:space="preserve"> enn d</w:t>
      </w:r>
      <w:r w:rsidR="002119F7" w:rsidRPr="00422245">
        <w:t xml:space="preserve">et som er tilfelle for </w:t>
      </w:r>
      <w:r w:rsidR="00C3089F" w:rsidRPr="00422245">
        <w:t>gjennomføringsstatistikk. I tillegg er</w:t>
      </w:r>
      <w:r w:rsidR="00125B1C" w:rsidRPr="00422245">
        <w:t xml:space="preserve"> BI en så stor institusjon på dette fagområdet at </w:t>
      </w:r>
      <w:r w:rsidR="00B2482F" w:rsidRPr="00422245">
        <w:t xml:space="preserve">tallene for de siste </w:t>
      </w:r>
      <w:r w:rsidR="00242396" w:rsidRPr="00422245">
        <w:t xml:space="preserve">årene </w:t>
      </w:r>
      <w:r w:rsidR="00D4241E" w:rsidRPr="00422245">
        <w:t>vil være svært mangelfulle dersom BI ekskluderes.</w:t>
      </w:r>
    </w:p>
  </w:footnote>
  <w:footnote w:id="28">
    <w:p w14:paraId="33A188E8" w14:textId="5FE8C325" w:rsidR="00FB3F5D" w:rsidRPr="00422245" w:rsidRDefault="00FB3F5D">
      <w:pPr>
        <w:pStyle w:val="Fotnotetekst"/>
      </w:pPr>
      <w:r w:rsidRPr="00422245">
        <w:rPr>
          <w:rStyle w:val="Fotnotereferanse"/>
        </w:rPr>
        <w:footnoteRef/>
      </w:r>
      <w:r w:rsidRPr="00422245">
        <w:t xml:space="preserve"> Se</w:t>
      </w:r>
      <w:r w:rsidR="00894CB9" w:rsidRPr="00422245">
        <w:t xml:space="preserve"> også</w:t>
      </w:r>
      <w:r w:rsidRPr="00422245">
        <w:t xml:space="preserve"> </w:t>
      </w:r>
      <w:r w:rsidR="00C26343">
        <w:t>(</w:t>
      </w:r>
      <w:r w:rsidR="00280E13">
        <w:t>HK</w:t>
      </w:r>
      <w:r w:rsidR="00C26343">
        <w:t>-dir, 2023)</w:t>
      </w:r>
    </w:p>
  </w:footnote>
  <w:footnote w:id="29">
    <w:p w14:paraId="42275F1E" w14:textId="2360F667" w:rsidR="00E9732A" w:rsidRPr="00422245" w:rsidRDefault="00E9732A">
      <w:pPr>
        <w:pStyle w:val="Fotnotetekst"/>
      </w:pPr>
      <w:r w:rsidRPr="00422245">
        <w:rPr>
          <w:rStyle w:val="Fotnotereferanse"/>
        </w:rPr>
        <w:footnoteRef/>
      </w:r>
      <w:r w:rsidRPr="00422245">
        <w:t xml:space="preserve"> </w:t>
      </w:r>
      <w:r w:rsidR="00510BF1">
        <w:t xml:space="preserve">For en gjennomgang av </w:t>
      </w:r>
      <w:r w:rsidR="0042580C">
        <w:t xml:space="preserve">den siste utviklingen i søker- og oppmøtetall på lærerutdanningene og </w:t>
      </w:r>
      <w:r w:rsidR="007E5D44">
        <w:t xml:space="preserve">vurderinger av denne </w:t>
      </w:r>
      <w:r w:rsidR="00310E26">
        <w:t xml:space="preserve">utviklingen </w:t>
      </w:r>
      <w:r w:rsidR="007E5D44">
        <w:t>opp mot SSBs framskrivinger, se samme sted</w:t>
      </w:r>
      <w:r w:rsidRPr="00422245">
        <w:t xml:space="preserve"> som i fotnote </w:t>
      </w:r>
      <w:r w:rsidR="00310E26">
        <w:fldChar w:fldCharType="begin"/>
      </w:r>
      <w:r w:rsidR="00310E26">
        <w:instrText xml:space="preserve"> NOTEREF _Ref163469600 \h </w:instrText>
      </w:r>
      <w:r w:rsidR="00310E26">
        <w:fldChar w:fldCharType="separate"/>
      </w:r>
      <w:r w:rsidR="00310E26">
        <w:t>27</w:t>
      </w:r>
      <w:r w:rsidR="00310E26">
        <w:fldChar w:fldCharType="end"/>
      </w:r>
      <w:r w:rsidRPr="00422245">
        <w:t>.</w:t>
      </w:r>
    </w:p>
  </w:footnote>
  <w:footnote w:id="30">
    <w:p w14:paraId="088B8E38" w14:textId="54A3313D" w:rsidR="00302A44" w:rsidRPr="00896AD0" w:rsidRDefault="00302A44">
      <w:pPr>
        <w:pStyle w:val="Fotnotetekst"/>
        <w:rPr>
          <w:lang w:val="fi-FI"/>
        </w:rPr>
      </w:pPr>
      <w:r w:rsidRPr="00422245">
        <w:rPr>
          <w:rStyle w:val="Fotnotereferanse"/>
        </w:rPr>
        <w:footnoteRef/>
      </w:r>
      <w:r w:rsidRPr="00422245">
        <w:t xml:space="preserve"> Denne gir detaljerte </w:t>
      </w:r>
      <w:r w:rsidR="00945ABE" w:rsidRPr="00422245">
        <w:t xml:space="preserve">framskrivinger for ulike utdanningsgrupper i helsesektoren, men tar ikke hensyn til utviklingen i resten av arbeidsmarkedet. </w:t>
      </w:r>
      <w:r w:rsidR="00BB104E" w:rsidRPr="00422245">
        <w:t xml:space="preserve">Det </w:t>
      </w:r>
      <w:r w:rsidR="00605E25" w:rsidRPr="00422245">
        <w:t xml:space="preserve">totale </w:t>
      </w:r>
      <w:r w:rsidR="00AB1186" w:rsidRPr="00422245">
        <w:t xml:space="preserve">framskrevne </w:t>
      </w:r>
      <w:r w:rsidR="00605E25" w:rsidRPr="00422245">
        <w:t xml:space="preserve">avviket mellom tilbud og etterspørsel i helsesektoren er derfor </w:t>
      </w:r>
      <w:r w:rsidR="006E5450" w:rsidRPr="00422245">
        <w:t>annerledes</w:t>
      </w:r>
      <w:r w:rsidR="00452C8C" w:rsidRPr="00422245">
        <w:t xml:space="preserve"> (og høyere)</w:t>
      </w:r>
      <w:r w:rsidR="006E5450" w:rsidRPr="00422245">
        <w:t xml:space="preserve"> her enn i </w:t>
      </w:r>
      <w:r w:rsidR="00452C8C" w:rsidRPr="00422245">
        <w:t xml:space="preserve">framskrivingene som tar hensyn til hele arbeidsmarkedet. </w:t>
      </w:r>
      <w:r w:rsidR="00452C8C" w:rsidRPr="00896AD0">
        <w:rPr>
          <w:lang w:val="fi-FI"/>
        </w:rPr>
        <w:t>Se</w:t>
      </w:r>
      <w:r w:rsidR="0002296D" w:rsidRPr="00896AD0">
        <w:rPr>
          <w:lang w:val="fi-FI"/>
        </w:rPr>
        <w:t xml:space="preserve"> s. 111-112:</w:t>
      </w:r>
      <w:r w:rsidR="00452C8C" w:rsidRPr="00896AD0">
        <w:rPr>
          <w:lang w:val="fi-FI"/>
        </w:rPr>
        <w:t xml:space="preserve"> </w:t>
      </w:r>
      <w:r w:rsidR="0002296D" w:rsidRPr="00896AD0">
        <w:rPr>
          <w:lang w:val="fi-FI"/>
        </w:rPr>
        <w:t>https://hkdir.no/rapporter-undersokelser-og-statistikk/fremtidige-kompetansebehov-et-oppdatert-kunnskapsgrunnlag-rapport-1</w:t>
      </w:r>
    </w:p>
  </w:footnote>
  <w:footnote w:id="31">
    <w:p w14:paraId="0A8CA224" w14:textId="75191ECA" w:rsidR="00BA09FE" w:rsidRPr="00422245" w:rsidRDefault="00BA09FE">
      <w:pPr>
        <w:pStyle w:val="Fotnotetekst"/>
      </w:pPr>
      <w:r w:rsidRPr="00422245">
        <w:rPr>
          <w:rStyle w:val="Fotnotereferanse"/>
        </w:rPr>
        <w:footnoteRef/>
      </w:r>
      <w:r w:rsidRPr="00422245">
        <w:t xml:space="preserve"> </w:t>
      </w:r>
      <w:r w:rsidR="00D77A10" w:rsidRPr="00422245">
        <w:t xml:space="preserve">Blant yrker som krever utdanning på lavere nivå, </w:t>
      </w:r>
      <w:r w:rsidR="00AF1DEC" w:rsidRPr="00422245">
        <w:t xml:space="preserve">er det framskrevet et særlig </w:t>
      </w:r>
      <w:r w:rsidR="0045738D" w:rsidRPr="00422245">
        <w:t>stort underskudd</w:t>
      </w:r>
      <w:r w:rsidR="00DC7FF2" w:rsidRPr="00422245">
        <w:t xml:space="preserve"> på </w:t>
      </w:r>
      <w:r w:rsidR="00AF1DEC" w:rsidRPr="00422245">
        <w:t>helsefagarbeidere</w:t>
      </w:r>
      <w:r w:rsidR="00DC7FF2" w:rsidRPr="00422245">
        <w:t>.</w:t>
      </w:r>
    </w:p>
  </w:footnote>
  <w:footnote w:id="32">
    <w:p w14:paraId="7E3AF228" w14:textId="3468907D" w:rsidR="002D243F" w:rsidRPr="00422245" w:rsidRDefault="002D243F">
      <w:pPr>
        <w:pStyle w:val="Fotnotetekst"/>
      </w:pPr>
      <w:r w:rsidRPr="00422245">
        <w:rPr>
          <w:rStyle w:val="Fotnotereferanse"/>
        </w:rPr>
        <w:footnoteRef/>
      </w:r>
      <w:r w:rsidRPr="00422245">
        <w:t xml:space="preserve"> Dette er </w:t>
      </w:r>
      <w:r w:rsidR="00AB2162" w:rsidRPr="00422245">
        <w:t>tallene fra me</w:t>
      </w:r>
      <w:r w:rsidR="0045738D" w:rsidRPr="00422245">
        <w:t xml:space="preserve">llomalternativet, som SSB ser som det mest sannsynlige. Helsepersonellkommisjonen </w:t>
      </w:r>
      <w:r w:rsidR="00771124" w:rsidRPr="00422245">
        <w:t xml:space="preserve">sier </w:t>
      </w:r>
      <w:r w:rsidR="006D294E" w:rsidRPr="00422245">
        <w:t xml:space="preserve">derimot </w:t>
      </w:r>
      <w:r w:rsidR="00771124" w:rsidRPr="00422245">
        <w:t xml:space="preserve">at </w:t>
      </w:r>
      <w:r w:rsidR="00515854" w:rsidRPr="00422245">
        <w:t xml:space="preserve">det er mer realistisk å sikte mot SSBs lavalternativ, som innebærer en </w:t>
      </w:r>
      <w:r w:rsidR="006D294E" w:rsidRPr="00422245">
        <w:t>lavere vekst i antallet helsepersonell.</w:t>
      </w:r>
    </w:p>
  </w:footnote>
  <w:footnote w:id="33">
    <w:p w14:paraId="5FB0DB50" w14:textId="77777777" w:rsidR="00195EB4" w:rsidRPr="00422245" w:rsidRDefault="00195EB4" w:rsidP="00195EB4">
      <w:pPr>
        <w:pStyle w:val="Fotnotetekst"/>
      </w:pPr>
      <w:r w:rsidRPr="00422245">
        <w:rPr>
          <w:rStyle w:val="Fotnotereferanse"/>
        </w:rPr>
        <w:footnoteRef/>
      </w:r>
      <w:r w:rsidRPr="00422245">
        <w:t xml:space="preserve"> 105 kandidater ble uteksaminert fra jordmorutdanningen i 2023, mens måltallet var 148.</w:t>
      </w:r>
    </w:p>
  </w:footnote>
  <w:footnote w:id="34">
    <w:p w14:paraId="1EDA7198" w14:textId="77777777" w:rsidR="00195EB4" w:rsidRPr="00422245" w:rsidRDefault="00195EB4" w:rsidP="00195EB4">
      <w:pPr>
        <w:pStyle w:val="Fotnotetekst"/>
      </w:pPr>
      <w:r w:rsidRPr="00422245">
        <w:rPr>
          <w:rStyle w:val="Fotnotereferanse"/>
        </w:rPr>
        <w:footnoteRef/>
      </w:r>
      <w:r w:rsidRPr="00422245">
        <w:t xml:space="preserve"> Antallet nye studenter i 2023 var 198, mot 188 i 2022 og 128 i 2021. En av grunnene til økningen er at USN har gått over til å ha opptak hvert år, mens de tidligere hadde opptak annethvert år. Dette fikk særlig utslag i 2023</w:t>
      </w:r>
      <w:r>
        <w:t xml:space="preserve"> </w:t>
      </w:r>
      <w:r>
        <w:fldChar w:fldCharType="begin"/>
      </w:r>
      <w:r>
        <w:instrText xml:space="preserve"> ADDIN EN.CITE &lt;EndNote&gt;&lt;Cite&gt;&lt;Author&gt;USN&lt;/Author&gt;&lt;Year&gt;2023&lt;/Year&gt;&lt;RecNum&gt;2294&lt;/RecNum&gt;&lt;DisplayText&gt;USN. (2023). &lt;style face="italic"&gt;Årsrapport 2022&lt;/style&gt;. https://www.usn.no/getfile.php/13760751-1679060583/usn.no/om_USN/%C3%85rsrapport/%C3%85rsrapport_2022-2023.pdf&lt;/DisplayText&gt;&lt;record&gt;&lt;rec-number&gt;2294&lt;/rec-number&gt;&lt;foreign-keys&gt;&lt;key app="EN" db-id="p2et5feaxrpe5zew2eavt29z05fv09aa5s0w" timestamp="1712324790" guid="7f00f38b-7996-44b2-95f1-01dadb6d05d9"&gt;2294&lt;/key&gt;&lt;/foreign-keys&gt;&lt;ref-type name="Report"&gt;27&lt;/ref-type&gt;&lt;contributors&gt;&lt;authors&gt;&lt;author&gt;USN&lt;/author&gt;&lt;/authors&gt;&lt;/contributors&gt;&lt;titles&gt;&lt;title&gt;Årsrapport 2022&lt;/title&gt;&lt;/titles&gt;&lt;dates&gt;&lt;year&gt;2023&lt;/year&gt;&lt;/dates&gt;&lt;urls&gt;&lt;related-urls&gt;&lt;url&gt;https://www.usn.no/getfile.php/13760751-1679060583/usn.no/om_USN/%C3%85rsrapport/%C3%85rsrapport_2022-2023.pdf&lt;/url&gt;&lt;/related-urls&gt;&lt;/urls&gt;&lt;/record&gt;&lt;/Cite&gt;&lt;/EndNote&gt;</w:instrText>
      </w:r>
      <w:r>
        <w:fldChar w:fldCharType="separate"/>
      </w:r>
      <w:r>
        <w:rPr>
          <w:noProof/>
        </w:rPr>
        <w:t xml:space="preserve">USN. (2023). </w:t>
      </w:r>
      <w:r w:rsidRPr="00FD69F9">
        <w:rPr>
          <w:i/>
          <w:noProof/>
        </w:rPr>
        <w:t>Årsrapport 2022</w:t>
      </w:r>
      <w:r>
        <w:rPr>
          <w:noProof/>
        </w:rPr>
        <w:t>. https://www.usn.no/getfile.php/13760751-1679060583/usn.no/om_USN/%C3%85rsrapport/%C3%85rsrapport_2022-2023.pdf</w:t>
      </w:r>
      <w:r>
        <w:fldChar w:fldCharType="end"/>
      </w:r>
    </w:p>
  </w:footnote>
  <w:footnote w:id="35">
    <w:p w14:paraId="5FFBD17E" w14:textId="58178730" w:rsidR="00402659" w:rsidRDefault="00402659">
      <w:pPr>
        <w:pStyle w:val="Fotnotetekst"/>
      </w:pPr>
      <w:r>
        <w:rPr>
          <w:rStyle w:val="Fotnotereferanse"/>
        </w:rPr>
        <w:footnoteRef/>
      </w:r>
      <w:r>
        <w:t xml:space="preserve"> Denne andelen er den samme uavhengig av om vi ser på hvor mange som jobber spesifikt som grunnskolelærer eller hvor mange som jobber som lærer overhodet. Svært få jobber med andre ord som en annen type lærer enn grunnskolelærer.</w:t>
      </w:r>
    </w:p>
  </w:footnote>
  <w:footnote w:id="36">
    <w:p w14:paraId="4622913A" w14:textId="0A6CD45F" w:rsidR="001702CE" w:rsidRDefault="001702CE">
      <w:pPr>
        <w:pStyle w:val="Fotnotetekst"/>
      </w:pPr>
      <w:r>
        <w:rPr>
          <w:rStyle w:val="Fotnotereferanse"/>
        </w:rPr>
        <w:footnoteRef/>
      </w:r>
      <w:r>
        <w:t xml:space="preserve"> Disse er en bearbeidet versjon av SSBs standardinndeling (vi har bare inkludert toårige mastergrader), og kan avvike noe fra </w:t>
      </w:r>
      <w:r w:rsidR="00477806">
        <w:t>inndelingen i fagområder vi har brukt andre steder i rapporten.</w:t>
      </w:r>
    </w:p>
  </w:footnote>
  <w:footnote w:id="37">
    <w:p w14:paraId="02BDF732" w14:textId="77777777" w:rsidR="00DB113A" w:rsidRDefault="00DB113A">
      <w:pPr>
        <w:pStyle w:val="Fotnotetekst"/>
      </w:pPr>
      <w:r>
        <w:rPr>
          <w:rStyle w:val="Fotnotereferanse"/>
        </w:rPr>
        <w:footnoteRef/>
      </w:r>
      <w:r>
        <w:t xml:space="preserve"> </w:t>
      </w:r>
      <w:r w:rsidR="00FF21C4">
        <w:t xml:space="preserve">Figuren viser en andel på 85 prosent, men </w:t>
      </w:r>
      <w:r w:rsidR="006F054F">
        <w:t xml:space="preserve">tallet kan være </w:t>
      </w:r>
      <w:r w:rsidR="006373F0">
        <w:t xml:space="preserve">noe </w:t>
      </w:r>
      <w:r w:rsidR="006F054F">
        <w:t>høyere</w:t>
      </w:r>
      <w:r w:rsidR="006373F0">
        <w:t>. A</w:t>
      </w:r>
      <w:r w:rsidR="00597C87">
        <w:t xml:space="preserve">nonymiseringsmekanismen i microdata får særlig store utslag for akkurat denne utdanningen (summen </w:t>
      </w:r>
      <w:r w:rsidR="00416D27">
        <w:t xml:space="preserve">av </w:t>
      </w:r>
      <w:r w:rsidR="00722E1B">
        <w:t xml:space="preserve">kategoriene </w:t>
      </w:r>
      <w:r w:rsidR="004413C7">
        <w:t>blir</w:t>
      </w:r>
      <w:r w:rsidR="00722E1B">
        <w:t xml:space="preserve"> 98 prosent).</w:t>
      </w:r>
    </w:p>
  </w:footnote>
  <w:footnote w:id="38">
    <w:p w14:paraId="68C8CA20" w14:textId="1B3ADC55" w:rsidR="008E2E10" w:rsidRPr="00422245" w:rsidRDefault="008E2E10">
      <w:pPr>
        <w:pStyle w:val="Fotnotetekst"/>
      </w:pPr>
      <w:r w:rsidRPr="00422245">
        <w:rPr>
          <w:rStyle w:val="Fotnotereferanse"/>
        </w:rPr>
        <w:footnoteRef/>
      </w:r>
      <w:r w:rsidRPr="00422245">
        <w:t xml:space="preserve"> Se </w:t>
      </w:r>
      <w:r w:rsidR="00327B4E">
        <w:t xml:space="preserve">Forskningsrådets </w:t>
      </w:r>
      <w:r w:rsidRPr="00422245">
        <w:t xml:space="preserve">Indikatorrapporten </w:t>
      </w:r>
      <w:r w:rsidR="00F56D03">
        <w:t>(Forskningsrådet, 2023</w:t>
      </w:r>
      <w:r w:rsidR="00327B4E">
        <w:t>)</w:t>
      </w:r>
      <w:r w:rsidRPr="00422245">
        <w:t xml:space="preserve"> for mer detaljert informasjon.</w:t>
      </w:r>
    </w:p>
  </w:footnote>
  <w:footnote w:id="39">
    <w:p w14:paraId="2C7ECEFC" w14:textId="437E0934" w:rsidR="00344A9B" w:rsidRPr="00422245" w:rsidRDefault="00344A9B">
      <w:pPr>
        <w:pStyle w:val="Fotnotetekst"/>
      </w:pPr>
      <w:r w:rsidRPr="00422245">
        <w:rPr>
          <w:rStyle w:val="Fotnotereferanse"/>
        </w:rPr>
        <w:footnoteRef/>
      </w:r>
      <w:r w:rsidRPr="00422245">
        <w:t xml:space="preserve"> Tall for 2023 er </w:t>
      </w:r>
      <w:r w:rsidR="003712B0" w:rsidRPr="00422245">
        <w:t>ikke tilgjengelige før høsten 2024.</w:t>
      </w:r>
    </w:p>
  </w:footnote>
  <w:footnote w:id="40">
    <w:p w14:paraId="1180F601" w14:textId="6CFE312E" w:rsidR="00C66CFA" w:rsidRDefault="00C66CFA">
      <w:pPr>
        <w:pStyle w:val="Fotnotetekst"/>
      </w:pPr>
      <w:r>
        <w:rPr>
          <w:rStyle w:val="Fotnotereferanse"/>
        </w:rPr>
        <w:footnoteRef/>
      </w:r>
      <w:r>
        <w:t xml:space="preserve"> </w:t>
      </w:r>
      <w:r w:rsidR="00092AF6">
        <w:t>S</w:t>
      </w:r>
      <w:r w:rsidR="00514AB1">
        <w:t xml:space="preserve">SB Statistikkbanken, tabell </w:t>
      </w:r>
      <w:r w:rsidR="008928AE">
        <w:t>13512.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0CAC5" w14:textId="33E704B1" w:rsidR="00813E05" w:rsidRDefault="00813E05">
    <w:pPr>
      <w:pStyle w:val="Topptekst"/>
    </w:pPr>
    <w:r>
      <w:rPr>
        <w:noProof/>
      </w:rPr>
      <mc:AlternateContent>
        <mc:Choice Requires="wps">
          <w:drawing>
            <wp:anchor distT="0" distB="0" distL="0" distR="0" simplePos="0" relativeHeight="251659264" behindDoc="0" locked="0" layoutInCell="1" allowOverlap="1" wp14:anchorId="40ABCAC6" wp14:editId="0AC903D7">
              <wp:simplePos x="635" y="635"/>
              <wp:positionH relativeFrom="page">
                <wp:align>left</wp:align>
              </wp:positionH>
              <wp:positionV relativeFrom="page">
                <wp:align>top</wp:align>
              </wp:positionV>
              <wp:extent cx="443865" cy="443865"/>
              <wp:effectExtent l="0" t="0" r="6350" b="635"/>
              <wp:wrapNone/>
              <wp:docPr id="1010979917" name="Tekstboks 2" descr="               C2 - Restricted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lt1"/>
                      </a:solidFill>
                      <a:ln>
                        <a:noFill/>
                      </a:ln>
                    </wps:spPr>
                    <wps:txbx>
                      <w:txbxContent>
                        <w:p w14:paraId="44AD56F5" w14:textId="48EDD2F7" w:rsidR="00813E05" w:rsidRPr="00813E05" w:rsidRDefault="00813E05" w:rsidP="00813E05">
                          <w:pPr>
                            <w:spacing w:after="0"/>
                            <w:rPr>
                              <w:rFonts w:ascii="Tahoma" w:eastAsia="Tahoma" w:hAnsi="Tahoma" w:cs="Tahoma"/>
                              <w:noProof/>
                              <w:color w:val="CF022B"/>
                              <w:sz w:val="16"/>
                              <w:szCs w:val="16"/>
                            </w:rPr>
                          </w:pPr>
                          <w:r w:rsidRPr="00813E05">
                            <w:rPr>
                              <w:rFonts w:ascii="Tahoma" w:eastAsia="Tahoma" w:hAnsi="Tahoma" w:cs="Tahoma"/>
                              <w:noProof/>
                              <w:color w:val="CF022B"/>
                              <w:sz w:val="16"/>
                              <w:szCs w:val="16"/>
                            </w:rPr>
                            <w:t xml:space="preserve">               C2 - Restricted use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0ABCAC6" id="_x0000_t202" coordsize="21600,21600" o:spt="202" path="m,l,21600r21600,l21600,xe">
              <v:stroke joinstyle="miter"/>
              <v:path gradientshapeok="t" o:connecttype="rect"/>
            </v:shapetype>
            <v:shape id="_x0000_s1029" type="#_x0000_t202" alt="               C2 - Restricted use"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fv/HwIAAEIEAAAOAAAAZHJzL2Uyb0RvYy54bWysU8Fu2zAMvQ/YPwi6L3aypGiNOEWWIsOA&#13;&#10;oC2QFj0rshwbkEVBYmJnXz9KdpKt3WnYRSZFmiLfe5zfd41mR+V8DSbn41HKmTISitrsc/76sv5y&#13;&#10;y5lHYQqhwaicn5Tn94vPn+atzdQEKtCFcoyKGJ+1NucVos2SxMtKNcKPwCpDwRJcI5Bct08KJ1qq&#13;&#10;3uhkkqY3SQuusA6k8p5uH/ogX8T6ZakkPpWlV8h0zqk3jKeL5y6cyWIusr0Ttqrl0Ib4hy4aURt6&#13;&#10;9FLqQaBgB1d/KNXU0oGHEkcSmgTKspYqzkDTjNN302wrYVWchcDx9gKT/39l5eNxa58dw+4bdERg&#13;&#10;AKS1PvN0GebpSteEL3XKKE4Qni6wqQ6ZpMvp9OvtzYwzSaHBpirJ9WfrPH5X0LBg5NwRKxEscdx4&#13;&#10;7FPPKeEtD7ou1rXW0QlKUCvt2FEQhxpji1T8jyxtQq6B8FdfMNwk10mChd2uG8bbQXGiqR30gvBW&#13;&#10;rmvqbSM8PgtHCqBBSdX4REepoc05DBZnFbiff7sP+UQMRTlrSVE5NyR5zvQPQ4RNZtM0DQqM3vgu&#13;&#10;nQXPRY+M3dkwh2YFNOiY9sbKaIY81GezdNC8keiX4TUKCSPpzZzj2Vxhr29aGqmWy5hEYrMCN2Zr&#13;&#10;ZSgdwAqIv3RvwtmBFiQ+H+GsOZG9Y6fPjZTY5QEJ6khdALZHc8CbhBrJH5YqbMLvfsy6rv7iFwAA&#13;&#10;AP//AwBQSwMEFAAGAAgAAAAhANOxSojbAAAACAEAAA8AAABkcnMvZG93bnJldi54bWxMj0FPwkAQ&#13;&#10;he8m/IfNmHghstVIA6VbQiTGs0ATj0t3aIvd2aa7hfbfO+pBLm8yeZk370vXg23EBTtfO1LwNItA&#13;&#10;IBXO1FQqOOzfHhcgfNBkdOMIFYzoYZ1N7lKdGHelD7zsQik4hHyiFVQhtImUvqjQaj9zLRJ7J9dZ&#13;&#10;HXjtSmk6feVw28jnKIql1TXxh0q3+Fph8bXrrYI8Pr8vvNtiPh/7fJqPbjr/fFHq4X7Yrlg2KxAB&#13;&#10;h/B/AT8M3B8yLnZ0PRkvGgVME36VvXi5BHH8mzJL5S1A9g0AAP//AwBQSwECLQAUAAYACAAAACEA&#13;&#10;toM4kv4AAADhAQAAEwAAAAAAAAAAAAAAAAAAAAAAW0NvbnRlbnRfVHlwZXNdLnhtbFBLAQItABQA&#13;&#10;BgAIAAAAIQA4/SH/1gAAAJQBAAALAAAAAAAAAAAAAAAAAC8BAABfcmVscy8ucmVsc1BLAQItABQA&#13;&#10;BgAIAAAAIQDA7fv/HwIAAEIEAAAOAAAAAAAAAAAAAAAAAC4CAABkcnMvZTJvRG9jLnhtbFBLAQIt&#13;&#10;ABQABgAIAAAAIQDTsUqI2wAAAAgBAAAPAAAAAAAAAAAAAAAAAHkEAABkcnMvZG93bnJldi54bWxQ&#13;&#10;SwUGAAAAAAQABADzAAAAgQUAAAAA&#13;&#10;" fillcolor="white [3201]" stroked="f">
              <v:textbox style="mso-fit-shape-to-text:t" inset="20pt,15pt,0,0">
                <w:txbxContent>
                  <w:p w14:paraId="44AD56F5" w14:textId="48EDD2F7" w:rsidR="00813E05" w:rsidRPr="00813E05" w:rsidRDefault="00813E05" w:rsidP="00813E05">
                    <w:pPr>
                      <w:spacing w:after="0"/>
                      <w:rPr>
                        <w:rFonts w:ascii="Tahoma" w:eastAsia="Tahoma" w:hAnsi="Tahoma" w:cs="Tahoma"/>
                        <w:noProof/>
                        <w:color w:val="CF022B"/>
                        <w:sz w:val="16"/>
                        <w:szCs w:val="16"/>
                      </w:rPr>
                    </w:pPr>
                    <w:r w:rsidRPr="00813E05">
                      <w:rPr>
                        <w:rFonts w:ascii="Tahoma" w:eastAsia="Tahoma" w:hAnsi="Tahoma" w:cs="Tahoma"/>
                        <w:noProof/>
                        <w:color w:val="CF022B"/>
                        <w:sz w:val="16"/>
                        <w:szCs w:val="16"/>
                      </w:rPr>
                      <w:t xml:space="preserve">               C2 - Restricted use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76A7" w14:textId="3F2D9025" w:rsidR="00C35AE5" w:rsidRPr="00422245" w:rsidRDefault="00813E05" w:rsidP="00976083">
    <w:pPr>
      <w:pStyle w:val="Topptekst"/>
      <w:spacing w:after="288"/>
      <w:jc w:val="right"/>
    </w:pPr>
    <w:r>
      <w:rPr>
        <w:noProof/>
      </w:rPr>
      <mc:AlternateContent>
        <mc:Choice Requires="wps">
          <w:drawing>
            <wp:anchor distT="0" distB="0" distL="0" distR="0" simplePos="0" relativeHeight="251660288" behindDoc="0" locked="0" layoutInCell="1" allowOverlap="1" wp14:anchorId="51FF9E94" wp14:editId="6C91A481">
              <wp:simplePos x="0" y="0"/>
              <wp:positionH relativeFrom="page">
                <wp:align>left</wp:align>
              </wp:positionH>
              <wp:positionV relativeFrom="page">
                <wp:align>top</wp:align>
              </wp:positionV>
              <wp:extent cx="443865" cy="443865"/>
              <wp:effectExtent l="0" t="0" r="6350" b="635"/>
              <wp:wrapNone/>
              <wp:docPr id="1121135996" name="Tekstboks 3" descr="               C2 - Restricted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lt1"/>
                      </a:solidFill>
                      <a:ln>
                        <a:noFill/>
                      </a:ln>
                    </wps:spPr>
                    <wps:txbx>
                      <w:txbxContent>
                        <w:p w14:paraId="18D11892" w14:textId="28A85DAD" w:rsidR="00813E05" w:rsidRPr="00813E05" w:rsidRDefault="00813E05" w:rsidP="00813E05">
                          <w:pPr>
                            <w:spacing w:after="0"/>
                            <w:rPr>
                              <w:rFonts w:ascii="Tahoma" w:eastAsia="Tahoma" w:hAnsi="Tahoma" w:cs="Tahoma"/>
                              <w:noProof/>
                              <w:color w:val="CF022B"/>
                              <w:sz w:val="16"/>
                              <w:szCs w:val="16"/>
                            </w:rPr>
                          </w:pPr>
                          <w:r w:rsidRPr="00813E05">
                            <w:rPr>
                              <w:rFonts w:ascii="Tahoma" w:eastAsia="Tahoma" w:hAnsi="Tahoma" w:cs="Tahoma"/>
                              <w:noProof/>
                              <w:color w:val="CF022B"/>
                              <w:sz w:val="16"/>
                              <w:szCs w:val="16"/>
                            </w:rPr>
                            <w:t xml:space="preserve">               C2 - Restricted use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1FF9E94" id="_x0000_t202" coordsize="21600,21600" o:spt="202" path="m,l,21600r21600,l21600,xe">
              <v:stroke joinstyle="miter"/>
              <v:path gradientshapeok="t" o:connecttype="rect"/>
            </v:shapetype>
            <v:shape id="Tekstboks 3" o:spid="_x0000_s1030" type="#_x0000_t202" alt="               C2 - Restricted use"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uQKIQIAAEkEAAAOAAAAZHJzL2Uyb0RvYy54bWysVN9v2jAQfp+0/8Hy+0hgUHURoWJUTJNQ&#13;&#10;W4lOfTaOQyI5Pss+SNhfv7MToOv6VO3F3K98vvvuM/O7rtHsqJyvweR8PEo5U0ZCUZt9zn89r7/c&#13;&#10;cuZRmEJoMCrnJ+X53eLzp3lrMzWBCnShHCMQ47PW5rxCtFmSeFmpRvgRWGUoWYJrBJLr9knhREvo&#13;&#10;jU4maXqTtOAK60Aq7yl63yf5IuKXpZL4WJZeIdM5p94wni6eu3Ami7nI9k7YqpZDG+IDXTSiNnTp&#13;&#10;BepeoGAHV/8D1dTSgYcSRxKaBMqylirOQNOM0zfTbCthVZyFyPH2QpP/f7Dy4bi1T45h9x06WmAg&#13;&#10;pLU+8xQM83Sla8IvdcooTxSeLrSpDpmk4HT69fZmxpmk1GATSnL92DqPPxQ0LBg5d7SVSJY4bjz2&#13;&#10;peeScJcHXRfrWuvoBCWolXbsKGiHGmOLBP5XlTah1kD4qgcMkeQ6SbCw23WsLl5NuYPiRMM76HXh&#13;&#10;rVzX1OJGeHwSjoRA85K48ZGOUkObcxgszipwv9+Lh3raD2U5a0lYOTekfM70T0N7m8ymaRqEGL3x&#13;&#10;t3QWPBc9MnZnwxyaFdC8Y3o+VkYz1KE+m6WD5oW0vwy3UUoYSXfmHM/mCnuZ09uRarmMRaQ5K3Bj&#13;&#10;tlYG6MBZIP65exHODttBWusDnKUnsjdL6mvjZuzygMR43GDgt2dzoJ30GjUwvK3wIF77ser6D7D4&#13;&#10;AwAA//8DAFBLAwQUAAYACAAAACEA07FKiNsAAAAIAQAADwAAAGRycy9kb3ducmV2LnhtbEyPQU/C&#13;&#10;QBCF7yb8h82YeCGy1UgDpVtCJMazQBOPS3doi93ZpruF9t876kEubzJ5mTfvS9eDbcQFO187UvA0&#13;&#10;i0AgFc7UVCo47N8eFyB80GR04wgVjOhhnU3uUp0Yd6UPvOxCKTiEfKIVVCG0iZS+qNBqP3MtEnsn&#13;&#10;11kdeO1KaTp95XDbyOcoiqXVNfGHSrf4WmHxteutgjw+vy+822I+H/t8mo9uOv98UerhftiuWDYr&#13;&#10;EAGH8H8BPwzcHzIudnQ9GS8aBUwTfpW9eLkEcfybMkvlLUD2DQAA//8DAFBLAQItABQABgAIAAAA&#13;&#10;IQC2gziS/gAAAOEBAAATAAAAAAAAAAAAAAAAAAAAAABbQ29udGVudF9UeXBlc10ueG1sUEsBAi0A&#13;&#10;FAAGAAgAAAAhADj9If/WAAAAlAEAAAsAAAAAAAAAAAAAAAAALwEAAF9yZWxzLy5yZWxzUEsBAi0A&#13;&#10;FAAGAAgAAAAhAJnK5AohAgAASQQAAA4AAAAAAAAAAAAAAAAALgIAAGRycy9lMm9Eb2MueG1sUEsB&#13;&#10;Ai0AFAAGAAgAAAAhANOxSojbAAAACAEAAA8AAAAAAAAAAAAAAAAAewQAAGRycy9kb3ducmV2Lnht&#13;&#10;bFBLBQYAAAAABAAEAPMAAACDBQAAAAA=&#13;&#10;" fillcolor="white [3201]" stroked="f">
              <v:textbox style="mso-fit-shape-to-text:t" inset="20pt,15pt,0,0">
                <w:txbxContent>
                  <w:p w14:paraId="18D11892" w14:textId="28A85DAD" w:rsidR="00813E05" w:rsidRPr="00813E05" w:rsidRDefault="00813E05" w:rsidP="00813E05">
                    <w:pPr>
                      <w:spacing w:after="0"/>
                      <w:rPr>
                        <w:rFonts w:ascii="Tahoma" w:eastAsia="Tahoma" w:hAnsi="Tahoma" w:cs="Tahoma"/>
                        <w:noProof/>
                        <w:color w:val="CF022B"/>
                        <w:sz w:val="16"/>
                        <w:szCs w:val="16"/>
                      </w:rPr>
                    </w:pPr>
                    <w:r w:rsidRPr="00813E05">
                      <w:rPr>
                        <w:rFonts w:ascii="Tahoma" w:eastAsia="Tahoma" w:hAnsi="Tahoma" w:cs="Tahoma"/>
                        <w:noProof/>
                        <w:color w:val="CF022B"/>
                        <w:sz w:val="16"/>
                        <w:szCs w:val="16"/>
                      </w:rPr>
                      <w:t xml:space="preserve">               C2 - Restricted use</w:t>
                    </w:r>
                  </w:p>
                </w:txbxContent>
              </v:textbox>
              <w10:wrap anchorx="page" anchory="page"/>
            </v:shape>
          </w:pict>
        </mc:Fallback>
      </mc:AlternateContent>
    </w:r>
    <w:sdt>
      <w:sdtPr>
        <w:alias w:val="Tittel"/>
        <w:tag w:val=""/>
        <w:id w:val="-1749180911"/>
        <w:placeholder>
          <w:docPart w:val="E8C0F8FBF07A4D93BCA3DA5B9810EDC7"/>
        </w:placeholder>
        <w:dataBinding w:prefixMappings="xmlns:ns0='http://purl.org/dc/elements/1.1/' xmlns:ns1='http://schemas.openxmlformats.org/package/2006/metadata/core-properties' " w:xpath="/ns1:coreProperties[1]/ns0:title[1]" w:storeItemID="{6C3C8BC8-F283-45AE-878A-BAB7291924A1}"/>
        <w:text/>
      </w:sdtPr>
      <w:sdtContent>
        <w:r w:rsidR="00197D64" w:rsidRPr="00422245">
          <w:t>Tilstandsrapport for høyere utdanning 2024</w:t>
        </w:r>
      </w:sdtContent>
    </w:sdt>
    <w:r w:rsidR="00C35AE5" w:rsidRPr="00422245">
      <w:t xml:space="preserve"> | </w:t>
    </w:r>
    <w:r w:rsidR="00C35AE5" w:rsidRPr="00422245">
      <w:fldChar w:fldCharType="begin"/>
    </w:r>
    <w:r w:rsidR="00C35AE5" w:rsidRPr="00422245">
      <w:instrText xml:space="preserve"> page </w:instrText>
    </w:r>
    <w:r w:rsidR="00C35AE5" w:rsidRPr="00422245">
      <w:fldChar w:fldCharType="separate"/>
    </w:r>
    <w:r w:rsidR="00C35AE5" w:rsidRPr="00422245">
      <w:t>1</w:t>
    </w:r>
    <w:r w:rsidR="00C35AE5" w:rsidRPr="00422245">
      <w:fldChar w:fldCharType="end"/>
    </w:r>
  </w:p>
  <w:p w14:paraId="362EF8D8" w14:textId="77777777" w:rsidR="00E703F1" w:rsidRPr="00422245" w:rsidRDefault="00E703F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79AC9" w14:textId="678121B2" w:rsidR="00813E05" w:rsidRDefault="00813E05">
    <w:pPr>
      <w:pStyle w:val="Topptekst"/>
    </w:pPr>
    <w:r>
      <w:rPr>
        <w:noProof/>
      </w:rPr>
      <mc:AlternateContent>
        <mc:Choice Requires="wps">
          <w:drawing>
            <wp:anchor distT="0" distB="0" distL="0" distR="0" simplePos="0" relativeHeight="251658240" behindDoc="0" locked="0" layoutInCell="1" allowOverlap="1" wp14:anchorId="5FF696D5" wp14:editId="7B13E1A3">
              <wp:simplePos x="635" y="635"/>
              <wp:positionH relativeFrom="page">
                <wp:align>left</wp:align>
              </wp:positionH>
              <wp:positionV relativeFrom="page">
                <wp:align>top</wp:align>
              </wp:positionV>
              <wp:extent cx="443865" cy="443865"/>
              <wp:effectExtent l="0" t="0" r="6350" b="635"/>
              <wp:wrapNone/>
              <wp:docPr id="1024197428" name="Tekstboks 1" descr="               C2 - Restricted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solidFill>
                        <a:schemeClr val="lt1"/>
                      </a:solidFill>
                      <a:ln>
                        <a:noFill/>
                      </a:ln>
                    </wps:spPr>
                    <wps:txbx>
                      <w:txbxContent>
                        <w:p w14:paraId="0EF66970" w14:textId="1E379F5E" w:rsidR="00813E05" w:rsidRPr="00813E05" w:rsidRDefault="00813E05" w:rsidP="00813E05">
                          <w:pPr>
                            <w:spacing w:after="0"/>
                            <w:rPr>
                              <w:rFonts w:ascii="Tahoma" w:eastAsia="Tahoma" w:hAnsi="Tahoma" w:cs="Tahoma"/>
                              <w:noProof/>
                              <w:color w:val="CF022B"/>
                              <w:sz w:val="16"/>
                              <w:szCs w:val="16"/>
                            </w:rPr>
                          </w:pPr>
                          <w:r w:rsidRPr="00813E05">
                            <w:rPr>
                              <w:rFonts w:ascii="Tahoma" w:eastAsia="Tahoma" w:hAnsi="Tahoma" w:cs="Tahoma"/>
                              <w:noProof/>
                              <w:color w:val="CF022B"/>
                              <w:sz w:val="16"/>
                              <w:szCs w:val="16"/>
                            </w:rPr>
                            <w:t xml:space="preserve">               C2 - Restricted use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F696D5" id="_x0000_t202" coordsize="21600,21600" o:spt="202" path="m,l,21600r21600,l21600,xe">
              <v:stroke joinstyle="miter"/>
              <v:path gradientshapeok="t" o:connecttype="rect"/>
            </v:shapetype>
            <v:shape id="Tekstboks 1" o:spid="_x0000_s1031" type="#_x0000_t202" alt="               C2 - Restricted use"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XBdIIwIAAEkEAAAOAAAAZHJzL2Uyb0RvYy54bWysVN9v2jAQfp+0/8Hy+0hgULURoWJUTJNQ&#13;&#10;W4lOfTaOQyI5Pss+SNhfv7OTlK3b07QXc7/y+e67zyzvu0azs3K+BpPz6STlTBkJRW2OOf/+sv10&#13;&#10;y5lHYQqhwaicX5Tn96uPH5atzdQMKtCFcoxAjM9am/MK0WZJ4mWlGuEnYJWhZAmuEUiuOyaFEy2h&#13;&#10;NzqZpelN0oIrrAOpvKfoQ5/kq4hflkriU1l6hUznnHrDeLp4HsKZrJYiOzphq1oObYh/6KIRtaFL&#13;&#10;36AeBAp2cvUfUE0tHXgocSKhSaAsa6niDDTNNH03zb4SVsVZiBxv32jy/w9WPp739tkx7L5ARwsM&#13;&#10;hLTWZ56CYZ6udE34pU4Z5YnCyxttqkMmKTiff769WXAmKTXYhJJcP7bO41cFDQtGzh1tJZIlzjuP&#13;&#10;felYEu7yoOtiW2sdnaAEtdGOnQXtUGNskcB/q9Im1BoIX/WAIZJcJwkWdoeO1UXOZ+OUByguNLyD&#13;&#10;Xhfeym1NLe6Ex2fhSAg0L4kbn+goNbQ5h8HirAL342/xUE/7oSxnLQkr54aUz5n+Zmhvs8U8TYMQ&#13;&#10;oze9SxfBc9Ej4zAa5tRsgOad0vOxMpqhDvVolg6aV9L+OtxGKWEk3ZlzHM0N9jKntyPVeh2LSHNW&#13;&#10;4M7srQzQgbNA/Ev3KpwdtoO01kcYpSeyd0vqa+Nm7PqExHjcYOC3Z3OgnfQaNTC8rfAgfvVj1fUf&#13;&#10;YPUTAAD//wMAUEsDBBQABgAIAAAAIQDTsUqI2wAAAAgBAAAPAAAAZHJzL2Rvd25yZXYueG1sTI9B&#13;&#10;T8JAEIXvJvyHzZh4IbLVSAOlW0IkxrNAE49Ld2iL3dmmu4X23zvqQS5vMnmZN+9L14NtxAU7XztS&#13;&#10;8DSLQCAVztRUKjjs3x4XIHzQZHTjCBWM6GGdTe5SnRh3pQ+87EIpOIR8ohVUIbSJlL6o0Go/cy0S&#13;&#10;eyfXWR147UppOn3lcNvI5yiKpdU18YdKt/haYfG1662CPD6/L7zbYj4f+3yaj246/3xR6uF+2K5Y&#13;&#10;NisQAYfwfwE/DNwfMi52dD0ZLxoFTBN+lb14uQRx/JsyS+UtQPYNAAD//wMAUEsBAi0AFAAGAAgA&#13;&#10;AAAhALaDOJL+AAAA4QEAABMAAAAAAAAAAAAAAAAAAAAAAFtDb250ZW50X1R5cGVzXS54bWxQSwEC&#13;&#10;LQAUAAYACAAAACEAOP0h/9YAAACUAQAACwAAAAAAAAAAAAAAAAAvAQAAX3JlbHMvLnJlbHNQSwEC&#13;&#10;LQAUAAYACAAAACEAyFwXSCMCAABJBAAADgAAAAAAAAAAAAAAAAAuAgAAZHJzL2Uyb0RvYy54bWxQ&#13;&#10;SwECLQAUAAYACAAAACEA07FKiNsAAAAIAQAADwAAAAAAAAAAAAAAAAB9BAAAZHJzL2Rvd25yZXYu&#13;&#10;eG1sUEsFBgAAAAAEAAQA8wAAAIUFAAAAAA==&#13;&#10;" fillcolor="white [3201]" stroked="f">
              <v:textbox style="mso-fit-shape-to-text:t" inset="20pt,15pt,0,0">
                <w:txbxContent>
                  <w:p w14:paraId="0EF66970" w14:textId="1E379F5E" w:rsidR="00813E05" w:rsidRPr="00813E05" w:rsidRDefault="00813E05" w:rsidP="00813E05">
                    <w:pPr>
                      <w:spacing w:after="0"/>
                      <w:rPr>
                        <w:rFonts w:ascii="Tahoma" w:eastAsia="Tahoma" w:hAnsi="Tahoma" w:cs="Tahoma"/>
                        <w:noProof/>
                        <w:color w:val="CF022B"/>
                        <w:sz w:val="16"/>
                        <w:szCs w:val="16"/>
                      </w:rPr>
                    </w:pPr>
                    <w:r w:rsidRPr="00813E05">
                      <w:rPr>
                        <w:rFonts w:ascii="Tahoma" w:eastAsia="Tahoma" w:hAnsi="Tahoma" w:cs="Tahoma"/>
                        <w:noProof/>
                        <w:color w:val="CF022B"/>
                        <w:sz w:val="16"/>
                        <w:szCs w:val="16"/>
                      </w:rPr>
                      <w:t xml:space="preserve">               C2 - Restricted use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884"/>
    <w:multiLevelType w:val="hybridMultilevel"/>
    <w:tmpl w:val="B818EA1E"/>
    <w:lvl w:ilvl="0" w:tplc="43D48970">
      <w:start w:val="1"/>
      <w:numFmt w:val="decimal"/>
      <w:lvlText w:val="%1."/>
      <w:lvlJc w:val="left"/>
      <w:pPr>
        <w:ind w:left="1020" w:hanging="360"/>
      </w:pPr>
    </w:lvl>
    <w:lvl w:ilvl="1" w:tplc="20081D56">
      <w:start w:val="1"/>
      <w:numFmt w:val="decimal"/>
      <w:lvlText w:val="%2."/>
      <w:lvlJc w:val="left"/>
      <w:pPr>
        <w:ind w:left="1020" w:hanging="360"/>
      </w:pPr>
    </w:lvl>
    <w:lvl w:ilvl="2" w:tplc="C5281568">
      <w:start w:val="1"/>
      <w:numFmt w:val="decimal"/>
      <w:lvlText w:val="%3."/>
      <w:lvlJc w:val="left"/>
      <w:pPr>
        <w:ind w:left="1020" w:hanging="360"/>
      </w:pPr>
    </w:lvl>
    <w:lvl w:ilvl="3" w:tplc="9F5E75F8">
      <w:start w:val="1"/>
      <w:numFmt w:val="decimal"/>
      <w:lvlText w:val="%4."/>
      <w:lvlJc w:val="left"/>
      <w:pPr>
        <w:ind w:left="1020" w:hanging="360"/>
      </w:pPr>
    </w:lvl>
    <w:lvl w:ilvl="4" w:tplc="0B08B76C">
      <w:start w:val="1"/>
      <w:numFmt w:val="decimal"/>
      <w:lvlText w:val="%5."/>
      <w:lvlJc w:val="left"/>
      <w:pPr>
        <w:ind w:left="1020" w:hanging="360"/>
      </w:pPr>
    </w:lvl>
    <w:lvl w:ilvl="5" w:tplc="5322B1E6">
      <w:start w:val="1"/>
      <w:numFmt w:val="decimal"/>
      <w:lvlText w:val="%6."/>
      <w:lvlJc w:val="left"/>
      <w:pPr>
        <w:ind w:left="1020" w:hanging="360"/>
      </w:pPr>
    </w:lvl>
    <w:lvl w:ilvl="6" w:tplc="759EB6A8">
      <w:start w:val="1"/>
      <w:numFmt w:val="decimal"/>
      <w:lvlText w:val="%7."/>
      <w:lvlJc w:val="left"/>
      <w:pPr>
        <w:ind w:left="1020" w:hanging="360"/>
      </w:pPr>
    </w:lvl>
    <w:lvl w:ilvl="7" w:tplc="DD242F14">
      <w:start w:val="1"/>
      <w:numFmt w:val="decimal"/>
      <w:lvlText w:val="%8."/>
      <w:lvlJc w:val="left"/>
      <w:pPr>
        <w:ind w:left="1020" w:hanging="360"/>
      </w:pPr>
    </w:lvl>
    <w:lvl w:ilvl="8" w:tplc="6F3023D8">
      <w:start w:val="1"/>
      <w:numFmt w:val="decimal"/>
      <w:lvlText w:val="%9."/>
      <w:lvlJc w:val="left"/>
      <w:pPr>
        <w:ind w:left="1020" w:hanging="360"/>
      </w:pPr>
    </w:lvl>
  </w:abstractNum>
  <w:abstractNum w:abstractNumId="1" w15:restartNumberingAfterBreak="0">
    <w:nsid w:val="054B3289"/>
    <w:multiLevelType w:val="hybridMultilevel"/>
    <w:tmpl w:val="65FCD5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8905B9"/>
    <w:multiLevelType w:val="hybridMultilevel"/>
    <w:tmpl w:val="FB8CD71C"/>
    <w:lvl w:ilvl="0" w:tplc="897A89FC">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EDC51CA"/>
    <w:multiLevelType w:val="hybridMultilevel"/>
    <w:tmpl w:val="16E24D80"/>
    <w:lvl w:ilvl="0" w:tplc="9D36C9F8">
      <w:start w:val="1"/>
      <w:numFmt w:val="decimal"/>
      <w:lvlText w:val="%1."/>
      <w:lvlJc w:val="left"/>
      <w:pPr>
        <w:ind w:left="1020" w:hanging="360"/>
      </w:pPr>
    </w:lvl>
    <w:lvl w:ilvl="1" w:tplc="E8DCCDB6">
      <w:start w:val="1"/>
      <w:numFmt w:val="decimal"/>
      <w:lvlText w:val="%2."/>
      <w:lvlJc w:val="left"/>
      <w:pPr>
        <w:ind w:left="1020" w:hanging="360"/>
      </w:pPr>
    </w:lvl>
    <w:lvl w:ilvl="2" w:tplc="3D6CB7F8">
      <w:start w:val="1"/>
      <w:numFmt w:val="decimal"/>
      <w:lvlText w:val="%3."/>
      <w:lvlJc w:val="left"/>
      <w:pPr>
        <w:ind w:left="1020" w:hanging="360"/>
      </w:pPr>
    </w:lvl>
    <w:lvl w:ilvl="3" w:tplc="2A068F08">
      <w:start w:val="1"/>
      <w:numFmt w:val="decimal"/>
      <w:lvlText w:val="%4."/>
      <w:lvlJc w:val="left"/>
      <w:pPr>
        <w:ind w:left="1020" w:hanging="360"/>
      </w:pPr>
    </w:lvl>
    <w:lvl w:ilvl="4" w:tplc="A6AEEB7C">
      <w:start w:val="1"/>
      <w:numFmt w:val="decimal"/>
      <w:lvlText w:val="%5."/>
      <w:lvlJc w:val="left"/>
      <w:pPr>
        <w:ind w:left="1020" w:hanging="360"/>
      </w:pPr>
    </w:lvl>
    <w:lvl w:ilvl="5" w:tplc="82D6C486">
      <w:start w:val="1"/>
      <w:numFmt w:val="decimal"/>
      <w:lvlText w:val="%6."/>
      <w:lvlJc w:val="left"/>
      <w:pPr>
        <w:ind w:left="1020" w:hanging="360"/>
      </w:pPr>
    </w:lvl>
    <w:lvl w:ilvl="6" w:tplc="C114C58A">
      <w:start w:val="1"/>
      <w:numFmt w:val="decimal"/>
      <w:lvlText w:val="%7."/>
      <w:lvlJc w:val="left"/>
      <w:pPr>
        <w:ind w:left="1020" w:hanging="360"/>
      </w:pPr>
    </w:lvl>
    <w:lvl w:ilvl="7" w:tplc="F006D0D0">
      <w:start w:val="1"/>
      <w:numFmt w:val="decimal"/>
      <w:lvlText w:val="%8."/>
      <w:lvlJc w:val="left"/>
      <w:pPr>
        <w:ind w:left="1020" w:hanging="360"/>
      </w:pPr>
    </w:lvl>
    <w:lvl w:ilvl="8" w:tplc="547A4412">
      <w:start w:val="1"/>
      <w:numFmt w:val="decimal"/>
      <w:lvlText w:val="%9."/>
      <w:lvlJc w:val="left"/>
      <w:pPr>
        <w:ind w:left="1020" w:hanging="360"/>
      </w:pPr>
    </w:lvl>
  </w:abstractNum>
  <w:abstractNum w:abstractNumId="4" w15:restartNumberingAfterBreak="0">
    <w:nsid w:val="13C63D44"/>
    <w:multiLevelType w:val="hybridMultilevel"/>
    <w:tmpl w:val="5238BDE0"/>
    <w:lvl w:ilvl="0" w:tplc="66F88FF0">
      <w:start w:val="4"/>
      <w:numFmt w:val="bullet"/>
      <w:lvlText w:val=""/>
      <w:lvlJc w:val="left"/>
      <w:pPr>
        <w:ind w:left="720" w:hanging="360"/>
      </w:pPr>
      <w:rPr>
        <w:rFonts w:ascii="Symbol" w:eastAsia="Calibri" w:hAnsi="Symbol"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1568762D"/>
    <w:multiLevelType w:val="hybridMultilevel"/>
    <w:tmpl w:val="DC600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6EA5137"/>
    <w:multiLevelType w:val="hybridMultilevel"/>
    <w:tmpl w:val="FEB05B2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16FA2FBF"/>
    <w:multiLevelType w:val="hybridMultilevel"/>
    <w:tmpl w:val="F9FCFCAE"/>
    <w:lvl w:ilvl="0" w:tplc="EFC88A6C">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345"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937A8F"/>
    <w:multiLevelType w:val="hybridMultilevel"/>
    <w:tmpl w:val="15F01AF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99B7C74"/>
    <w:multiLevelType w:val="hybridMultilevel"/>
    <w:tmpl w:val="D468513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AAE46D24">
      <w:start w:val="33"/>
      <w:numFmt w:val="bullet"/>
      <w:lvlText w:val="-"/>
      <w:lvlJc w:val="left"/>
      <w:pPr>
        <w:ind w:left="2160" w:hanging="360"/>
      </w:pPr>
      <w:rPr>
        <w:rFonts w:ascii="Poppins" w:eastAsiaTheme="minorHAnsi" w:hAnsi="Poppins" w:cs="Poppin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AFC6C41"/>
    <w:multiLevelType w:val="hybridMultilevel"/>
    <w:tmpl w:val="A35A62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B373BC5"/>
    <w:multiLevelType w:val="hybridMultilevel"/>
    <w:tmpl w:val="606C8D9A"/>
    <w:lvl w:ilvl="0" w:tplc="0414000F">
      <w:start w:val="1"/>
      <w:numFmt w:val="decimal"/>
      <w:lvlText w:val="%1."/>
      <w:lvlJc w:val="left"/>
      <w:pPr>
        <w:ind w:left="3600" w:hanging="360"/>
      </w:pPr>
    </w:lvl>
    <w:lvl w:ilvl="1" w:tplc="04140019" w:tentative="1">
      <w:start w:val="1"/>
      <w:numFmt w:val="lowerLetter"/>
      <w:lvlText w:val="%2."/>
      <w:lvlJc w:val="left"/>
      <w:pPr>
        <w:ind w:left="4320" w:hanging="360"/>
      </w:pPr>
    </w:lvl>
    <w:lvl w:ilvl="2" w:tplc="0414001B" w:tentative="1">
      <w:start w:val="1"/>
      <w:numFmt w:val="lowerRoman"/>
      <w:lvlText w:val="%3."/>
      <w:lvlJc w:val="right"/>
      <w:pPr>
        <w:ind w:left="5040" w:hanging="180"/>
      </w:pPr>
    </w:lvl>
    <w:lvl w:ilvl="3" w:tplc="0414000F" w:tentative="1">
      <w:start w:val="1"/>
      <w:numFmt w:val="decimal"/>
      <w:lvlText w:val="%4."/>
      <w:lvlJc w:val="left"/>
      <w:pPr>
        <w:ind w:left="5760" w:hanging="360"/>
      </w:pPr>
    </w:lvl>
    <w:lvl w:ilvl="4" w:tplc="04140019" w:tentative="1">
      <w:start w:val="1"/>
      <w:numFmt w:val="lowerLetter"/>
      <w:lvlText w:val="%5."/>
      <w:lvlJc w:val="left"/>
      <w:pPr>
        <w:ind w:left="6480" w:hanging="360"/>
      </w:pPr>
    </w:lvl>
    <w:lvl w:ilvl="5" w:tplc="0414001B" w:tentative="1">
      <w:start w:val="1"/>
      <w:numFmt w:val="lowerRoman"/>
      <w:lvlText w:val="%6."/>
      <w:lvlJc w:val="right"/>
      <w:pPr>
        <w:ind w:left="7200" w:hanging="180"/>
      </w:pPr>
    </w:lvl>
    <w:lvl w:ilvl="6" w:tplc="0414000F" w:tentative="1">
      <w:start w:val="1"/>
      <w:numFmt w:val="decimal"/>
      <w:lvlText w:val="%7."/>
      <w:lvlJc w:val="left"/>
      <w:pPr>
        <w:ind w:left="7920" w:hanging="360"/>
      </w:pPr>
    </w:lvl>
    <w:lvl w:ilvl="7" w:tplc="04140019" w:tentative="1">
      <w:start w:val="1"/>
      <w:numFmt w:val="lowerLetter"/>
      <w:lvlText w:val="%8."/>
      <w:lvlJc w:val="left"/>
      <w:pPr>
        <w:ind w:left="8640" w:hanging="360"/>
      </w:pPr>
    </w:lvl>
    <w:lvl w:ilvl="8" w:tplc="0414001B" w:tentative="1">
      <w:start w:val="1"/>
      <w:numFmt w:val="lowerRoman"/>
      <w:lvlText w:val="%9."/>
      <w:lvlJc w:val="right"/>
      <w:pPr>
        <w:ind w:left="9360" w:hanging="180"/>
      </w:pPr>
    </w:lvl>
  </w:abstractNum>
  <w:abstractNum w:abstractNumId="12" w15:restartNumberingAfterBreak="0">
    <w:nsid w:val="1DCE2EEF"/>
    <w:multiLevelType w:val="hybridMultilevel"/>
    <w:tmpl w:val="E2E4D102"/>
    <w:lvl w:ilvl="0" w:tplc="41782E28">
      <w:numFmt w:val="bullet"/>
      <w:lvlText w:val="-"/>
      <w:lvlJc w:val="left"/>
      <w:pPr>
        <w:ind w:left="1080" w:hanging="720"/>
      </w:pPr>
      <w:rPr>
        <w:rFonts w:ascii="Poppins" w:eastAsiaTheme="minorHAnsi" w:hAnsi="Poppins" w:cs="Poppins" w:hint="default"/>
      </w:rPr>
    </w:lvl>
    <w:lvl w:ilvl="1" w:tplc="C0B0AE72">
      <w:numFmt w:val="bullet"/>
      <w:lvlText w:val=""/>
      <w:lvlJc w:val="left"/>
      <w:pPr>
        <w:ind w:left="1800" w:hanging="720"/>
      </w:pPr>
      <w:rPr>
        <w:rFonts w:ascii="Symbol" w:eastAsiaTheme="minorHAnsi" w:hAnsi="Symbol" w:cstheme="minorBid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87A16DE"/>
    <w:multiLevelType w:val="hybridMultilevel"/>
    <w:tmpl w:val="190E7F0C"/>
    <w:lvl w:ilvl="0" w:tplc="A5FC5F50">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9AB46E9"/>
    <w:multiLevelType w:val="hybridMultilevel"/>
    <w:tmpl w:val="3642CCA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BD13239"/>
    <w:multiLevelType w:val="hybridMultilevel"/>
    <w:tmpl w:val="F87EADC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DE313E8"/>
    <w:multiLevelType w:val="hybridMultilevel"/>
    <w:tmpl w:val="90F45B6E"/>
    <w:lvl w:ilvl="0" w:tplc="2376AEDA">
      <w:start w:val="15"/>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1704466"/>
    <w:multiLevelType w:val="hybridMultilevel"/>
    <w:tmpl w:val="87D0C8BE"/>
    <w:lvl w:ilvl="0" w:tplc="DC88C824">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2371E17"/>
    <w:multiLevelType w:val="hybridMultilevel"/>
    <w:tmpl w:val="124E8A1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85C5E55"/>
    <w:multiLevelType w:val="hybridMultilevel"/>
    <w:tmpl w:val="72B64704"/>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20" w15:restartNumberingAfterBreak="0">
    <w:nsid w:val="3A40797E"/>
    <w:multiLevelType w:val="hybridMultilevel"/>
    <w:tmpl w:val="351CEE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D1471AE"/>
    <w:multiLevelType w:val="hybridMultilevel"/>
    <w:tmpl w:val="CBAC2D6E"/>
    <w:lvl w:ilvl="0" w:tplc="04140001">
      <w:start w:val="1"/>
      <w:numFmt w:val="bullet"/>
      <w:lvlText w:val=""/>
      <w:lvlJc w:val="left"/>
      <w:pPr>
        <w:ind w:left="3600" w:hanging="360"/>
      </w:pPr>
      <w:rPr>
        <w:rFonts w:ascii="Symbol" w:hAnsi="Symbol" w:hint="default"/>
      </w:rPr>
    </w:lvl>
    <w:lvl w:ilvl="1" w:tplc="04140003" w:tentative="1">
      <w:start w:val="1"/>
      <w:numFmt w:val="bullet"/>
      <w:lvlText w:val="o"/>
      <w:lvlJc w:val="left"/>
      <w:pPr>
        <w:ind w:left="4320" w:hanging="360"/>
      </w:pPr>
      <w:rPr>
        <w:rFonts w:ascii="Courier New" w:hAnsi="Courier New" w:cs="Courier New" w:hint="default"/>
      </w:rPr>
    </w:lvl>
    <w:lvl w:ilvl="2" w:tplc="04140005" w:tentative="1">
      <w:start w:val="1"/>
      <w:numFmt w:val="bullet"/>
      <w:lvlText w:val=""/>
      <w:lvlJc w:val="left"/>
      <w:pPr>
        <w:ind w:left="5040" w:hanging="360"/>
      </w:pPr>
      <w:rPr>
        <w:rFonts w:ascii="Wingdings" w:hAnsi="Wingdings" w:hint="default"/>
      </w:rPr>
    </w:lvl>
    <w:lvl w:ilvl="3" w:tplc="04140001" w:tentative="1">
      <w:start w:val="1"/>
      <w:numFmt w:val="bullet"/>
      <w:lvlText w:val=""/>
      <w:lvlJc w:val="left"/>
      <w:pPr>
        <w:ind w:left="5760" w:hanging="360"/>
      </w:pPr>
      <w:rPr>
        <w:rFonts w:ascii="Symbol" w:hAnsi="Symbol" w:hint="default"/>
      </w:rPr>
    </w:lvl>
    <w:lvl w:ilvl="4" w:tplc="04140003" w:tentative="1">
      <w:start w:val="1"/>
      <w:numFmt w:val="bullet"/>
      <w:lvlText w:val="o"/>
      <w:lvlJc w:val="left"/>
      <w:pPr>
        <w:ind w:left="6480" w:hanging="360"/>
      </w:pPr>
      <w:rPr>
        <w:rFonts w:ascii="Courier New" w:hAnsi="Courier New" w:cs="Courier New" w:hint="default"/>
      </w:rPr>
    </w:lvl>
    <w:lvl w:ilvl="5" w:tplc="04140005" w:tentative="1">
      <w:start w:val="1"/>
      <w:numFmt w:val="bullet"/>
      <w:lvlText w:val=""/>
      <w:lvlJc w:val="left"/>
      <w:pPr>
        <w:ind w:left="7200" w:hanging="360"/>
      </w:pPr>
      <w:rPr>
        <w:rFonts w:ascii="Wingdings" w:hAnsi="Wingdings" w:hint="default"/>
      </w:rPr>
    </w:lvl>
    <w:lvl w:ilvl="6" w:tplc="04140001" w:tentative="1">
      <w:start w:val="1"/>
      <w:numFmt w:val="bullet"/>
      <w:lvlText w:val=""/>
      <w:lvlJc w:val="left"/>
      <w:pPr>
        <w:ind w:left="7920" w:hanging="360"/>
      </w:pPr>
      <w:rPr>
        <w:rFonts w:ascii="Symbol" w:hAnsi="Symbol" w:hint="default"/>
      </w:rPr>
    </w:lvl>
    <w:lvl w:ilvl="7" w:tplc="04140003" w:tentative="1">
      <w:start w:val="1"/>
      <w:numFmt w:val="bullet"/>
      <w:lvlText w:val="o"/>
      <w:lvlJc w:val="left"/>
      <w:pPr>
        <w:ind w:left="8640" w:hanging="360"/>
      </w:pPr>
      <w:rPr>
        <w:rFonts w:ascii="Courier New" w:hAnsi="Courier New" w:cs="Courier New" w:hint="default"/>
      </w:rPr>
    </w:lvl>
    <w:lvl w:ilvl="8" w:tplc="04140005" w:tentative="1">
      <w:start w:val="1"/>
      <w:numFmt w:val="bullet"/>
      <w:lvlText w:val=""/>
      <w:lvlJc w:val="left"/>
      <w:pPr>
        <w:ind w:left="9360" w:hanging="360"/>
      </w:pPr>
      <w:rPr>
        <w:rFonts w:ascii="Wingdings" w:hAnsi="Wingdings" w:hint="default"/>
      </w:rPr>
    </w:lvl>
  </w:abstractNum>
  <w:abstractNum w:abstractNumId="22" w15:restartNumberingAfterBreak="0">
    <w:nsid w:val="3E9D4DA0"/>
    <w:multiLevelType w:val="hybridMultilevel"/>
    <w:tmpl w:val="5F40A0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21F7086"/>
    <w:multiLevelType w:val="hybridMultilevel"/>
    <w:tmpl w:val="3C12EA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2F26FFD"/>
    <w:multiLevelType w:val="hybridMultilevel"/>
    <w:tmpl w:val="2B083446"/>
    <w:lvl w:ilvl="0" w:tplc="897A89FC">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8E81F76"/>
    <w:multiLevelType w:val="hybridMultilevel"/>
    <w:tmpl w:val="741AA356"/>
    <w:lvl w:ilvl="0" w:tplc="C724254E">
      <w:start w:val="65"/>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A1D0A6E"/>
    <w:multiLevelType w:val="hybridMultilevel"/>
    <w:tmpl w:val="98EAD35C"/>
    <w:lvl w:ilvl="0" w:tplc="16C01326">
      <w:start w:val="1"/>
      <w:numFmt w:val="decimal"/>
      <w:lvlText w:val="%1."/>
      <w:lvlJc w:val="left"/>
      <w:pPr>
        <w:ind w:left="1020" w:hanging="360"/>
      </w:pPr>
    </w:lvl>
    <w:lvl w:ilvl="1" w:tplc="FE8ABB7C">
      <w:start w:val="1"/>
      <w:numFmt w:val="decimal"/>
      <w:lvlText w:val="%2."/>
      <w:lvlJc w:val="left"/>
      <w:pPr>
        <w:ind w:left="1020" w:hanging="360"/>
      </w:pPr>
    </w:lvl>
    <w:lvl w:ilvl="2" w:tplc="165AE72A">
      <w:start w:val="1"/>
      <w:numFmt w:val="decimal"/>
      <w:lvlText w:val="%3."/>
      <w:lvlJc w:val="left"/>
      <w:pPr>
        <w:ind w:left="1020" w:hanging="360"/>
      </w:pPr>
    </w:lvl>
    <w:lvl w:ilvl="3" w:tplc="C7E2AA30">
      <w:start w:val="1"/>
      <w:numFmt w:val="decimal"/>
      <w:lvlText w:val="%4."/>
      <w:lvlJc w:val="left"/>
      <w:pPr>
        <w:ind w:left="1020" w:hanging="360"/>
      </w:pPr>
    </w:lvl>
    <w:lvl w:ilvl="4" w:tplc="A770F0F2">
      <w:start w:val="1"/>
      <w:numFmt w:val="decimal"/>
      <w:lvlText w:val="%5."/>
      <w:lvlJc w:val="left"/>
      <w:pPr>
        <w:ind w:left="1020" w:hanging="360"/>
      </w:pPr>
    </w:lvl>
    <w:lvl w:ilvl="5" w:tplc="1AFCA1D2">
      <w:start w:val="1"/>
      <w:numFmt w:val="decimal"/>
      <w:lvlText w:val="%6."/>
      <w:lvlJc w:val="left"/>
      <w:pPr>
        <w:ind w:left="1020" w:hanging="360"/>
      </w:pPr>
    </w:lvl>
    <w:lvl w:ilvl="6" w:tplc="81E246CA">
      <w:start w:val="1"/>
      <w:numFmt w:val="decimal"/>
      <w:lvlText w:val="%7."/>
      <w:lvlJc w:val="left"/>
      <w:pPr>
        <w:ind w:left="1020" w:hanging="360"/>
      </w:pPr>
    </w:lvl>
    <w:lvl w:ilvl="7" w:tplc="01EAA6C2">
      <w:start w:val="1"/>
      <w:numFmt w:val="decimal"/>
      <w:lvlText w:val="%8."/>
      <w:lvlJc w:val="left"/>
      <w:pPr>
        <w:ind w:left="1020" w:hanging="360"/>
      </w:pPr>
    </w:lvl>
    <w:lvl w:ilvl="8" w:tplc="F5C4FE90">
      <w:start w:val="1"/>
      <w:numFmt w:val="decimal"/>
      <w:lvlText w:val="%9."/>
      <w:lvlJc w:val="left"/>
      <w:pPr>
        <w:ind w:left="1020" w:hanging="360"/>
      </w:pPr>
    </w:lvl>
  </w:abstractNum>
  <w:abstractNum w:abstractNumId="27" w15:restartNumberingAfterBreak="0">
    <w:nsid w:val="4B007941"/>
    <w:multiLevelType w:val="hybridMultilevel"/>
    <w:tmpl w:val="320C484E"/>
    <w:lvl w:ilvl="0" w:tplc="FD0C6EFC">
      <w:numFmt w:val="bullet"/>
      <w:lvlText w:val="-"/>
      <w:lvlJc w:val="left"/>
      <w:pPr>
        <w:ind w:left="720" w:hanging="360"/>
      </w:pPr>
      <w:rPr>
        <w:rFonts w:ascii="Poppins" w:eastAsiaTheme="minorHAnsi" w:hAnsi="Poppins" w:cs="Poppin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B6479AF"/>
    <w:multiLevelType w:val="hybridMultilevel"/>
    <w:tmpl w:val="17A68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52A6366"/>
    <w:multiLevelType w:val="hybridMultilevel"/>
    <w:tmpl w:val="F94469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6F073E6"/>
    <w:multiLevelType w:val="hybridMultilevel"/>
    <w:tmpl w:val="0FDE0D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77617C2"/>
    <w:multiLevelType w:val="hybridMultilevel"/>
    <w:tmpl w:val="33DCF83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5F8F3B50"/>
    <w:multiLevelType w:val="multilevel"/>
    <w:tmpl w:val="3C6C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23666A"/>
    <w:multiLevelType w:val="hybridMultilevel"/>
    <w:tmpl w:val="9CDC30F6"/>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4" w15:restartNumberingAfterBreak="0">
    <w:nsid w:val="6AD96563"/>
    <w:multiLevelType w:val="hybridMultilevel"/>
    <w:tmpl w:val="A4BAE43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5" w15:restartNumberingAfterBreak="0">
    <w:nsid w:val="6B206D3B"/>
    <w:multiLevelType w:val="hybridMultilevel"/>
    <w:tmpl w:val="AA90D5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6B933BC2"/>
    <w:multiLevelType w:val="hybridMultilevel"/>
    <w:tmpl w:val="952405E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70F1254C"/>
    <w:multiLevelType w:val="hybridMultilevel"/>
    <w:tmpl w:val="B248E9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23410B5"/>
    <w:multiLevelType w:val="hybridMultilevel"/>
    <w:tmpl w:val="389288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CBE52D4"/>
    <w:multiLevelType w:val="multilevel"/>
    <w:tmpl w:val="F5F8C5A4"/>
    <w:lvl w:ilvl="0">
      <w:start w:val="1"/>
      <w:numFmt w:val="decimal"/>
      <w:pStyle w:val="Overskrift1"/>
      <w:suff w:val="space"/>
      <w:lvlText w:val="%1"/>
      <w:lvlJc w:val="left"/>
      <w:pPr>
        <w:ind w:left="574" w:hanging="432"/>
      </w:pPr>
      <w:rPr>
        <w:rFonts w:hint="default"/>
      </w:rPr>
    </w:lvl>
    <w:lvl w:ilvl="1">
      <w:start w:val="1"/>
      <w:numFmt w:val="decimal"/>
      <w:pStyle w:val="Overskrift2"/>
      <w:suff w:val="space"/>
      <w:lvlText w:val="%1.%2"/>
      <w:lvlJc w:val="left"/>
      <w:pPr>
        <w:ind w:left="718" w:hanging="576"/>
      </w:pPr>
      <w:rPr>
        <w:rFonts w:hint="default"/>
      </w:rPr>
    </w:lvl>
    <w:lvl w:ilvl="2">
      <w:start w:val="1"/>
      <w:numFmt w:val="decimal"/>
      <w:pStyle w:val="Overskrift3"/>
      <w:suff w:val="space"/>
      <w:lvlText w:val="%1.%2.%3"/>
      <w:lvlJc w:val="left"/>
      <w:pPr>
        <w:ind w:left="1004"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num w:numId="1" w16cid:durableId="1204249202">
    <w:abstractNumId w:val="39"/>
  </w:num>
  <w:num w:numId="2" w16cid:durableId="1163469067">
    <w:abstractNumId w:val="34"/>
  </w:num>
  <w:num w:numId="3" w16cid:durableId="1678386578">
    <w:abstractNumId w:val="6"/>
  </w:num>
  <w:num w:numId="4" w16cid:durableId="1314262512">
    <w:abstractNumId w:val="36"/>
  </w:num>
  <w:num w:numId="5" w16cid:durableId="1267957504">
    <w:abstractNumId w:val="35"/>
  </w:num>
  <w:num w:numId="6" w16cid:durableId="728186283">
    <w:abstractNumId w:val="11"/>
  </w:num>
  <w:num w:numId="7" w16cid:durableId="176620042">
    <w:abstractNumId w:val="37"/>
  </w:num>
  <w:num w:numId="8" w16cid:durableId="1214075560">
    <w:abstractNumId w:val="15"/>
  </w:num>
  <w:num w:numId="9" w16cid:durableId="2004432372">
    <w:abstractNumId w:val="5"/>
  </w:num>
  <w:num w:numId="10" w16cid:durableId="1116220832">
    <w:abstractNumId w:val="9"/>
  </w:num>
  <w:num w:numId="11" w16cid:durableId="1955210095">
    <w:abstractNumId w:val="12"/>
  </w:num>
  <w:num w:numId="12" w16cid:durableId="1734161508">
    <w:abstractNumId w:val="32"/>
  </w:num>
  <w:num w:numId="13" w16cid:durableId="110982679">
    <w:abstractNumId w:val="8"/>
  </w:num>
  <w:num w:numId="14" w16cid:durableId="1191726143">
    <w:abstractNumId w:val="30"/>
  </w:num>
  <w:num w:numId="15" w16cid:durableId="1855147600">
    <w:abstractNumId w:val="4"/>
  </w:num>
  <w:num w:numId="16" w16cid:durableId="161116270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21679993">
    <w:abstractNumId w:val="39"/>
  </w:num>
  <w:num w:numId="18" w16cid:durableId="1746031790">
    <w:abstractNumId w:val="33"/>
  </w:num>
  <w:num w:numId="19" w16cid:durableId="735477351">
    <w:abstractNumId w:val="1"/>
  </w:num>
  <w:num w:numId="20" w16cid:durableId="1435785222">
    <w:abstractNumId w:val="14"/>
  </w:num>
  <w:num w:numId="21" w16cid:durableId="1116753092">
    <w:abstractNumId w:val="19"/>
  </w:num>
  <w:num w:numId="22" w16cid:durableId="1924684657">
    <w:abstractNumId w:val="21"/>
  </w:num>
  <w:num w:numId="23" w16cid:durableId="1742756530">
    <w:abstractNumId w:val="18"/>
  </w:num>
  <w:num w:numId="24" w16cid:durableId="1408383880">
    <w:abstractNumId w:val="7"/>
  </w:num>
  <w:num w:numId="25" w16cid:durableId="230585353">
    <w:abstractNumId w:val="13"/>
  </w:num>
  <w:num w:numId="26" w16cid:durableId="235819822">
    <w:abstractNumId w:val="25"/>
  </w:num>
  <w:num w:numId="27" w16cid:durableId="1059329936">
    <w:abstractNumId w:val="16"/>
  </w:num>
  <w:num w:numId="28" w16cid:durableId="750927315">
    <w:abstractNumId w:val="27"/>
  </w:num>
  <w:num w:numId="29" w16cid:durableId="1753158614">
    <w:abstractNumId w:val="39"/>
  </w:num>
  <w:num w:numId="30" w16cid:durableId="2102292678">
    <w:abstractNumId w:val="22"/>
  </w:num>
  <w:num w:numId="31" w16cid:durableId="1457023132">
    <w:abstractNumId w:val="38"/>
  </w:num>
  <w:num w:numId="32" w16cid:durableId="1633948009">
    <w:abstractNumId w:val="3"/>
  </w:num>
  <w:num w:numId="33" w16cid:durableId="1045258397">
    <w:abstractNumId w:val="26"/>
  </w:num>
  <w:num w:numId="34" w16cid:durableId="1292398210">
    <w:abstractNumId w:val="0"/>
  </w:num>
  <w:num w:numId="35" w16cid:durableId="36856809">
    <w:abstractNumId w:val="10"/>
  </w:num>
  <w:num w:numId="36" w16cid:durableId="616720799">
    <w:abstractNumId w:val="23"/>
  </w:num>
  <w:num w:numId="37" w16cid:durableId="274139017">
    <w:abstractNumId w:val="29"/>
  </w:num>
  <w:num w:numId="38" w16cid:durableId="382408015">
    <w:abstractNumId w:val="39"/>
  </w:num>
  <w:num w:numId="39" w16cid:durableId="366373943">
    <w:abstractNumId w:val="20"/>
  </w:num>
  <w:num w:numId="40" w16cid:durableId="165901075">
    <w:abstractNumId w:val="17"/>
  </w:num>
  <w:num w:numId="41" w16cid:durableId="754475526">
    <w:abstractNumId w:val="31"/>
  </w:num>
  <w:num w:numId="42" w16cid:durableId="16899836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058948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04465891">
    <w:abstractNumId w:val="28"/>
  </w:num>
  <w:num w:numId="45" w16cid:durableId="1429934852">
    <w:abstractNumId w:val="2"/>
  </w:num>
  <w:num w:numId="46" w16cid:durableId="17873068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Verdan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et5feaxrpe5zew2eavt29z05fv09aa5s0w&quot;&gt;hanne.storset@hkdir.no&lt;record-ids&gt;&lt;item&gt;999&lt;/item&gt;&lt;item&gt;1255&lt;/item&gt;&lt;item&gt;1379&lt;/item&gt;&lt;item&gt;1380&lt;/item&gt;&lt;item&gt;1397&lt;/item&gt;&lt;item&gt;1487&lt;/item&gt;&lt;item&gt;1686&lt;/item&gt;&lt;item&gt;1700&lt;/item&gt;&lt;item&gt;1702&lt;/item&gt;&lt;item&gt;1720&lt;/item&gt;&lt;item&gt;1853&lt;/item&gt;&lt;item&gt;1862&lt;/item&gt;&lt;item&gt;2116&lt;/item&gt;&lt;item&gt;2148&lt;/item&gt;&lt;item&gt;2157&lt;/item&gt;&lt;item&gt;2205&lt;/item&gt;&lt;item&gt;2267&lt;/item&gt;&lt;item&gt;2268&lt;/item&gt;&lt;item&gt;2269&lt;/item&gt;&lt;item&gt;2270&lt;/item&gt;&lt;item&gt;2271&lt;/item&gt;&lt;item&gt;2272&lt;/item&gt;&lt;item&gt;2273&lt;/item&gt;&lt;item&gt;2274&lt;/item&gt;&lt;item&gt;2275&lt;/item&gt;&lt;item&gt;2276&lt;/item&gt;&lt;item&gt;2277&lt;/item&gt;&lt;item&gt;2278&lt;/item&gt;&lt;item&gt;2279&lt;/item&gt;&lt;item&gt;2280&lt;/item&gt;&lt;item&gt;2282&lt;/item&gt;&lt;item&gt;2283&lt;/item&gt;&lt;item&gt;2284&lt;/item&gt;&lt;item&gt;2285&lt;/item&gt;&lt;item&gt;2286&lt;/item&gt;&lt;item&gt;2287&lt;/item&gt;&lt;item&gt;2288&lt;/item&gt;&lt;item&gt;2289&lt;/item&gt;&lt;item&gt;2290&lt;/item&gt;&lt;item&gt;2291&lt;/item&gt;&lt;item&gt;2292&lt;/item&gt;&lt;item&gt;2293&lt;/item&gt;&lt;item&gt;2294&lt;/item&gt;&lt;item&gt;2295&lt;/item&gt;&lt;item&gt;2296&lt;/item&gt;&lt;/record-ids&gt;&lt;/item&gt;&lt;/Libraries&gt;"/>
  </w:docVars>
  <w:rsids>
    <w:rsidRoot w:val="00E625E9"/>
    <w:rsid w:val="00000315"/>
    <w:rsid w:val="000003D4"/>
    <w:rsid w:val="00000499"/>
    <w:rsid w:val="00000645"/>
    <w:rsid w:val="00000710"/>
    <w:rsid w:val="00000BCA"/>
    <w:rsid w:val="00000D8F"/>
    <w:rsid w:val="00000E83"/>
    <w:rsid w:val="00000F24"/>
    <w:rsid w:val="00000F25"/>
    <w:rsid w:val="00001123"/>
    <w:rsid w:val="000012CE"/>
    <w:rsid w:val="000012DE"/>
    <w:rsid w:val="0000134F"/>
    <w:rsid w:val="00001547"/>
    <w:rsid w:val="00001711"/>
    <w:rsid w:val="00001974"/>
    <w:rsid w:val="00001B96"/>
    <w:rsid w:val="00001D5C"/>
    <w:rsid w:val="00001DFE"/>
    <w:rsid w:val="00001F5F"/>
    <w:rsid w:val="0000235B"/>
    <w:rsid w:val="000026E1"/>
    <w:rsid w:val="000027A2"/>
    <w:rsid w:val="0000288D"/>
    <w:rsid w:val="00002946"/>
    <w:rsid w:val="00002953"/>
    <w:rsid w:val="000029DB"/>
    <w:rsid w:val="00002AAE"/>
    <w:rsid w:val="00002ACA"/>
    <w:rsid w:val="00002B11"/>
    <w:rsid w:val="00002BA6"/>
    <w:rsid w:val="00002C33"/>
    <w:rsid w:val="00002C34"/>
    <w:rsid w:val="00002E7C"/>
    <w:rsid w:val="00003117"/>
    <w:rsid w:val="00003202"/>
    <w:rsid w:val="00003218"/>
    <w:rsid w:val="00003400"/>
    <w:rsid w:val="00003621"/>
    <w:rsid w:val="000039AD"/>
    <w:rsid w:val="00003A63"/>
    <w:rsid w:val="00003B55"/>
    <w:rsid w:val="00003EF8"/>
    <w:rsid w:val="0000402C"/>
    <w:rsid w:val="00004189"/>
    <w:rsid w:val="0000422F"/>
    <w:rsid w:val="00004255"/>
    <w:rsid w:val="00004453"/>
    <w:rsid w:val="000046CF"/>
    <w:rsid w:val="000046F2"/>
    <w:rsid w:val="00004959"/>
    <w:rsid w:val="00004AF8"/>
    <w:rsid w:val="00004F1D"/>
    <w:rsid w:val="00004F29"/>
    <w:rsid w:val="0000521F"/>
    <w:rsid w:val="00005241"/>
    <w:rsid w:val="0000547F"/>
    <w:rsid w:val="000055B6"/>
    <w:rsid w:val="000056DE"/>
    <w:rsid w:val="00005745"/>
    <w:rsid w:val="00005815"/>
    <w:rsid w:val="00005902"/>
    <w:rsid w:val="00005B18"/>
    <w:rsid w:val="00005B3A"/>
    <w:rsid w:val="00005B4A"/>
    <w:rsid w:val="00005C2E"/>
    <w:rsid w:val="00005DD3"/>
    <w:rsid w:val="00005F26"/>
    <w:rsid w:val="00005FC0"/>
    <w:rsid w:val="00005FC8"/>
    <w:rsid w:val="00006015"/>
    <w:rsid w:val="000060AA"/>
    <w:rsid w:val="000061B9"/>
    <w:rsid w:val="00006222"/>
    <w:rsid w:val="00006241"/>
    <w:rsid w:val="00006459"/>
    <w:rsid w:val="00006546"/>
    <w:rsid w:val="000065DF"/>
    <w:rsid w:val="00006640"/>
    <w:rsid w:val="00006959"/>
    <w:rsid w:val="0000696D"/>
    <w:rsid w:val="00006991"/>
    <w:rsid w:val="00006B4E"/>
    <w:rsid w:val="00006B63"/>
    <w:rsid w:val="00006C7F"/>
    <w:rsid w:val="00006CBF"/>
    <w:rsid w:val="00006D12"/>
    <w:rsid w:val="00006D44"/>
    <w:rsid w:val="00006D9E"/>
    <w:rsid w:val="00006DA7"/>
    <w:rsid w:val="00006E04"/>
    <w:rsid w:val="00006EE9"/>
    <w:rsid w:val="00006F87"/>
    <w:rsid w:val="00007086"/>
    <w:rsid w:val="00007440"/>
    <w:rsid w:val="0000752F"/>
    <w:rsid w:val="000076A8"/>
    <w:rsid w:val="0000773C"/>
    <w:rsid w:val="0000774B"/>
    <w:rsid w:val="000078C4"/>
    <w:rsid w:val="00007B33"/>
    <w:rsid w:val="00007C32"/>
    <w:rsid w:val="00007CA0"/>
    <w:rsid w:val="00007FB5"/>
    <w:rsid w:val="00007FD9"/>
    <w:rsid w:val="00010001"/>
    <w:rsid w:val="000102AB"/>
    <w:rsid w:val="000103E3"/>
    <w:rsid w:val="000104BC"/>
    <w:rsid w:val="00010BA9"/>
    <w:rsid w:val="00010C62"/>
    <w:rsid w:val="000111A7"/>
    <w:rsid w:val="0001134A"/>
    <w:rsid w:val="000115BA"/>
    <w:rsid w:val="00011884"/>
    <w:rsid w:val="00011A0D"/>
    <w:rsid w:val="00011AF4"/>
    <w:rsid w:val="00011D4F"/>
    <w:rsid w:val="0001212E"/>
    <w:rsid w:val="0001218A"/>
    <w:rsid w:val="00012259"/>
    <w:rsid w:val="00012286"/>
    <w:rsid w:val="000122B7"/>
    <w:rsid w:val="0001253E"/>
    <w:rsid w:val="000127C3"/>
    <w:rsid w:val="000128EC"/>
    <w:rsid w:val="000129DA"/>
    <w:rsid w:val="00012A02"/>
    <w:rsid w:val="00012B6F"/>
    <w:rsid w:val="00012BC6"/>
    <w:rsid w:val="00012BDE"/>
    <w:rsid w:val="00012C1B"/>
    <w:rsid w:val="00012FF2"/>
    <w:rsid w:val="00013193"/>
    <w:rsid w:val="0001325B"/>
    <w:rsid w:val="00013330"/>
    <w:rsid w:val="00013341"/>
    <w:rsid w:val="000133AC"/>
    <w:rsid w:val="000133D5"/>
    <w:rsid w:val="00013441"/>
    <w:rsid w:val="00013459"/>
    <w:rsid w:val="00013514"/>
    <w:rsid w:val="0001357E"/>
    <w:rsid w:val="000137CD"/>
    <w:rsid w:val="00013A47"/>
    <w:rsid w:val="000140B3"/>
    <w:rsid w:val="000141F8"/>
    <w:rsid w:val="00014668"/>
    <w:rsid w:val="0001494D"/>
    <w:rsid w:val="00014A70"/>
    <w:rsid w:val="00014AE0"/>
    <w:rsid w:val="00014B12"/>
    <w:rsid w:val="00014D61"/>
    <w:rsid w:val="00014E17"/>
    <w:rsid w:val="000152C5"/>
    <w:rsid w:val="00015327"/>
    <w:rsid w:val="000153CA"/>
    <w:rsid w:val="0001552B"/>
    <w:rsid w:val="00015A0B"/>
    <w:rsid w:val="00015B10"/>
    <w:rsid w:val="00015CCA"/>
    <w:rsid w:val="00015D63"/>
    <w:rsid w:val="00015D95"/>
    <w:rsid w:val="00015DAF"/>
    <w:rsid w:val="00015E40"/>
    <w:rsid w:val="00015FC3"/>
    <w:rsid w:val="0001603B"/>
    <w:rsid w:val="00016131"/>
    <w:rsid w:val="0001622F"/>
    <w:rsid w:val="000162F9"/>
    <w:rsid w:val="000164F6"/>
    <w:rsid w:val="0001657B"/>
    <w:rsid w:val="00016656"/>
    <w:rsid w:val="0001671D"/>
    <w:rsid w:val="0001689C"/>
    <w:rsid w:val="000169EE"/>
    <w:rsid w:val="00016A89"/>
    <w:rsid w:val="00016AB4"/>
    <w:rsid w:val="00016ECE"/>
    <w:rsid w:val="00017090"/>
    <w:rsid w:val="000170FA"/>
    <w:rsid w:val="00017171"/>
    <w:rsid w:val="00017374"/>
    <w:rsid w:val="00017518"/>
    <w:rsid w:val="00017563"/>
    <w:rsid w:val="00017636"/>
    <w:rsid w:val="000177A9"/>
    <w:rsid w:val="00017B16"/>
    <w:rsid w:val="00017B2A"/>
    <w:rsid w:val="00017CE3"/>
    <w:rsid w:val="00020298"/>
    <w:rsid w:val="0002048A"/>
    <w:rsid w:val="000204CE"/>
    <w:rsid w:val="00020783"/>
    <w:rsid w:val="000208D4"/>
    <w:rsid w:val="000208EE"/>
    <w:rsid w:val="0002098D"/>
    <w:rsid w:val="000209AE"/>
    <w:rsid w:val="000209BE"/>
    <w:rsid w:val="00020B2E"/>
    <w:rsid w:val="00020B80"/>
    <w:rsid w:val="00020B88"/>
    <w:rsid w:val="00020C22"/>
    <w:rsid w:val="00020CD7"/>
    <w:rsid w:val="00020DD6"/>
    <w:rsid w:val="00021263"/>
    <w:rsid w:val="00021283"/>
    <w:rsid w:val="000213D0"/>
    <w:rsid w:val="000214A4"/>
    <w:rsid w:val="000214BE"/>
    <w:rsid w:val="000215BF"/>
    <w:rsid w:val="000215DB"/>
    <w:rsid w:val="000215FE"/>
    <w:rsid w:val="00021642"/>
    <w:rsid w:val="00021858"/>
    <w:rsid w:val="00021C11"/>
    <w:rsid w:val="00021C85"/>
    <w:rsid w:val="00021D60"/>
    <w:rsid w:val="00021EAB"/>
    <w:rsid w:val="00022117"/>
    <w:rsid w:val="00022289"/>
    <w:rsid w:val="000222BF"/>
    <w:rsid w:val="000222EA"/>
    <w:rsid w:val="00022428"/>
    <w:rsid w:val="00022451"/>
    <w:rsid w:val="0002258B"/>
    <w:rsid w:val="00022594"/>
    <w:rsid w:val="00022612"/>
    <w:rsid w:val="00022628"/>
    <w:rsid w:val="00022643"/>
    <w:rsid w:val="0002296D"/>
    <w:rsid w:val="00022993"/>
    <w:rsid w:val="00022999"/>
    <w:rsid w:val="00022A5A"/>
    <w:rsid w:val="00022B51"/>
    <w:rsid w:val="00022C0C"/>
    <w:rsid w:val="00022D96"/>
    <w:rsid w:val="00022F20"/>
    <w:rsid w:val="00022FF5"/>
    <w:rsid w:val="00023028"/>
    <w:rsid w:val="000230A4"/>
    <w:rsid w:val="000233EF"/>
    <w:rsid w:val="000237DC"/>
    <w:rsid w:val="00023842"/>
    <w:rsid w:val="000238A1"/>
    <w:rsid w:val="00023B41"/>
    <w:rsid w:val="00023B48"/>
    <w:rsid w:val="00023BAE"/>
    <w:rsid w:val="00023C0A"/>
    <w:rsid w:val="00023C6A"/>
    <w:rsid w:val="00023C89"/>
    <w:rsid w:val="00023D5A"/>
    <w:rsid w:val="00023D5D"/>
    <w:rsid w:val="00023D8F"/>
    <w:rsid w:val="00023DB9"/>
    <w:rsid w:val="00024040"/>
    <w:rsid w:val="00024133"/>
    <w:rsid w:val="000242D1"/>
    <w:rsid w:val="00024465"/>
    <w:rsid w:val="00024510"/>
    <w:rsid w:val="000245DB"/>
    <w:rsid w:val="00024812"/>
    <w:rsid w:val="000248EB"/>
    <w:rsid w:val="000248F5"/>
    <w:rsid w:val="00024B40"/>
    <w:rsid w:val="00024B4C"/>
    <w:rsid w:val="00024CBF"/>
    <w:rsid w:val="00024E81"/>
    <w:rsid w:val="00024ECD"/>
    <w:rsid w:val="00024F4B"/>
    <w:rsid w:val="000252CA"/>
    <w:rsid w:val="00025406"/>
    <w:rsid w:val="00025442"/>
    <w:rsid w:val="00025522"/>
    <w:rsid w:val="000256E3"/>
    <w:rsid w:val="000257AE"/>
    <w:rsid w:val="00025934"/>
    <w:rsid w:val="00025A83"/>
    <w:rsid w:val="00025B32"/>
    <w:rsid w:val="00025E15"/>
    <w:rsid w:val="00025EC1"/>
    <w:rsid w:val="00025F1D"/>
    <w:rsid w:val="00025F5A"/>
    <w:rsid w:val="00026096"/>
    <w:rsid w:val="000260D2"/>
    <w:rsid w:val="000261C9"/>
    <w:rsid w:val="000261D8"/>
    <w:rsid w:val="00026473"/>
    <w:rsid w:val="000265F8"/>
    <w:rsid w:val="00026821"/>
    <w:rsid w:val="000268F4"/>
    <w:rsid w:val="00026B6C"/>
    <w:rsid w:val="00026C10"/>
    <w:rsid w:val="00026D67"/>
    <w:rsid w:val="00026F8F"/>
    <w:rsid w:val="00026F9A"/>
    <w:rsid w:val="00027118"/>
    <w:rsid w:val="00027417"/>
    <w:rsid w:val="00027444"/>
    <w:rsid w:val="0002768B"/>
    <w:rsid w:val="000277C0"/>
    <w:rsid w:val="00027997"/>
    <w:rsid w:val="00027B28"/>
    <w:rsid w:val="00027C44"/>
    <w:rsid w:val="00027D26"/>
    <w:rsid w:val="00027FF4"/>
    <w:rsid w:val="000302BA"/>
    <w:rsid w:val="000303A7"/>
    <w:rsid w:val="00030456"/>
    <w:rsid w:val="00030595"/>
    <w:rsid w:val="000305C7"/>
    <w:rsid w:val="00030685"/>
    <w:rsid w:val="00030839"/>
    <w:rsid w:val="000308CA"/>
    <w:rsid w:val="000308D3"/>
    <w:rsid w:val="000309EB"/>
    <w:rsid w:val="00030A3A"/>
    <w:rsid w:val="00030AA4"/>
    <w:rsid w:val="00030BD7"/>
    <w:rsid w:val="00030C7D"/>
    <w:rsid w:val="00030D9D"/>
    <w:rsid w:val="000310FD"/>
    <w:rsid w:val="00031177"/>
    <w:rsid w:val="00031686"/>
    <w:rsid w:val="000317AE"/>
    <w:rsid w:val="0003181B"/>
    <w:rsid w:val="00031960"/>
    <w:rsid w:val="00031BBE"/>
    <w:rsid w:val="00031C8E"/>
    <w:rsid w:val="00031CF2"/>
    <w:rsid w:val="00031D0D"/>
    <w:rsid w:val="00031D71"/>
    <w:rsid w:val="00031D79"/>
    <w:rsid w:val="00031EB1"/>
    <w:rsid w:val="00031FFF"/>
    <w:rsid w:val="000320C2"/>
    <w:rsid w:val="000320FB"/>
    <w:rsid w:val="00032135"/>
    <w:rsid w:val="0003229C"/>
    <w:rsid w:val="0003231F"/>
    <w:rsid w:val="0003236D"/>
    <w:rsid w:val="0003241C"/>
    <w:rsid w:val="00032595"/>
    <w:rsid w:val="00032634"/>
    <w:rsid w:val="000326C6"/>
    <w:rsid w:val="00032934"/>
    <w:rsid w:val="0003296A"/>
    <w:rsid w:val="00032B16"/>
    <w:rsid w:val="00032C64"/>
    <w:rsid w:val="00032CB0"/>
    <w:rsid w:val="00032CC4"/>
    <w:rsid w:val="00032D25"/>
    <w:rsid w:val="00032D34"/>
    <w:rsid w:val="00032DEE"/>
    <w:rsid w:val="00032FE8"/>
    <w:rsid w:val="00032FF1"/>
    <w:rsid w:val="00033066"/>
    <w:rsid w:val="000331F8"/>
    <w:rsid w:val="00033228"/>
    <w:rsid w:val="00033333"/>
    <w:rsid w:val="00033381"/>
    <w:rsid w:val="000333C7"/>
    <w:rsid w:val="0003359D"/>
    <w:rsid w:val="00033915"/>
    <w:rsid w:val="0003397D"/>
    <w:rsid w:val="000339B4"/>
    <w:rsid w:val="00033A46"/>
    <w:rsid w:val="00033B77"/>
    <w:rsid w:val="00033BBC"/>
    <w:rsid w:val="00033D31"/>
    <w:rsid w:val="000342A8"/>
    <w:rsid w:val="0003476D"/>
    <w:rsid w:val="000347D1"/>
    <w:rsid w:val="000348EB"/>
    <w:rsid w:val="00034A9D"/>
    <w:rsid w:val="00034AB7"/>
    <w:rsid w:val="00034B92"/>
    <w:rsid w:val="00034F53"/>
    <w:rsid w:val="00034FAC"/>
    <w:rsid w:val="00035033"/>
    <w:rsid w:val="00035195"/>
    <w:rsid w:val="00035389"/>
    <w:rsid w:val="0003538E"/>
    <w:rsid w:val="0003561B"/>
    <w:rsid w:val="0003586A"/>
    <w:rsid w:val="00035964"/>
    <w:rsid w:val="000359DE"/>
    <w:rsid w:val="00035B0A"/>
    <w:rsid w:val="00035BC5"/>
    <w:rsid w:val="00035C17"/>
    <w:rsid w:val="00035D90"/>
    <w:rsid w:val="00035DBD"/>
    <w:rsid w:val="00035DDF"/>
    <w:rsid w:val="00035E56"/>
    <w:rsid w:val="00035E73"/>
    <w:rsid w:val="00035EB1"/>
    <w:rsid w:val="00035F13"/>
    <w:rsid w:val="00036066"/>
    <w:rsid w:val="0003610A"/>
    <w:rsid w:val="0003651D"/>
    <w:rsid w:val="0003655E"/>
    <w:rsid w:val="00036BC0"/>
    <w:rsid w:val="00036D03"/>
    <w:rsid w:val="00037268"/>
    <w:rsid w:val="000372DD"/>
    <w:rsid w:val="0003745B"/>
    <w:rsid w:val="000375F4"/>
    <w:rsid w:val="000376BE"/>
    <w:rsid w:val="00037853"/>
    <w:rsid w:val="0003790C"/>
    <w:rsid w:val="00037EBC"/>
    <w:rsid w:val="00037EF6"/>
    <w:rsid w:val="00037F0C"/>
    <w:rsid w:val="00037F29"/>
    <w:rsid w:val="0004019C"/>
    <w:rsid w:val="00040344"/>
    <w:rsid w:val="0004043C"/>
    <w:rsid w:val="00040444"/>
    <w:rsid w:val="00040594"/>
    <w:rsid w:val="00040662"/>
    <w:rsid w:val="000407B3"/>
    <w:rsid w:val="00040966"/>
    <w:rsid w:val="00040AEB"/>
    <w:rsid w:val="00040B30"/>
    <w:rsid w:val="00040CFB"/>
    <w:rsid w:val="00040DE2"/>
    <w:rsid w:val="00040E8F"/>
    <w:rsid w:val="00040ED2"/>
    <w:rsid w:val="00040FE2"/>
    <w:rsid w:val="00041395"/>
    <w:rsid w:val="00041407"/>
    <w:rsid w:val="00041421"/>
    <w:rsid w:val="0004155B"/>
    <w:rsid w:val="000415A3"/>
    <w:rsid w:val="0004190A"/>
    <w:rsid w:val="00041ACE"/>
    <w:rsid w:val="00041B7D"/>
    <w:rsid w:val="00041C27"/>
    <w:rsid w:val="00041EA4"/>
    <w:rsid w:val="0004210A"/>
    <w:rsid w:val="0004213B"/>
    <w:rsid w:val="000421CF"/>
    <w:rsid w:val="00042202"/>
    <w:rsid w:val="000422B0"/>
    <w:rsid w:val="00042342"/>
    <w:rsid w:val="00042349"/>
    <w:rsid w:val="0004239A"/>
    <w:rsid w:val="000423DA"/>
    <w:rsid w:val="0004249F"/>
    <w:rsid w:val="000424D7"/>
    <w:rsid w:val="000426B4"/>
    <w:rsid w:val="000429EC"/>
    <w:rsid w:val="00042B0D"/>
    <w:rsid w:val="00042B2A"/>
    <w:rsid w:val="00042D37"/>
    <w:rsid w:val="00042E57"/>
    <w:rsid w:val="00042EFF"/>
    <w:rsid w:val="000431B2"/>
    <w:rsid w:val="000432FA"/>
    <w:rsid w:val="00043667"/>
    <w:rsid w:val="000439BF"/>
    <w:rsid w:val="000439D1"/>
    <w:rsid w:val="00043A06"/>
    <w:rsid w:val="00043AB7"/>
    <w:rsid w:val="00043B02"/>
    <w:rsid w:val="00043C5C"/>
    <w:rsid w:val="00043DFD"/>
    <w:rsid w:val="00043FED"/>
    <w:rsid w:val="00044058"/>
    <w:rsid w:val="0004443C"/>
    <w:rsid w:val="0004469C"/>
    <w:rsid w:val="00044709"/>
    <w:rsid w:val="0004492F"/>
    <w:rsid w:val="000449CB"/>
    <w:rsid w:val="00044C50"/>
    <w:rsid w:val="00044D87"/>
    <w:rsid w:val="00044EAC"/>
    <w:rsid w:val="00044F18"/>
    <w:rsid w:val="000451C0"/>
    <w:rsid w:val="00045242"/>
    <w:rsid w:val="0004526F"/>
    <w:rsid w:val="0004535D"/>
    <w:rsid w:val="00045406"/>
    <w:rsid w:val="0004551C"/>
    <w:rsid w:val="0004559E"/>
    <w:rsid w:val="000455BA"/>
    <w:rsid w:val="0004573D"/>
    <w:rsid w:val="00045794"/>
    <w:rsid w:val="000457E4"/>
    <w:rsid w:val="0004586E"/>
    <w:rsid w:val="00045910"/>
    <w:rsid w:val="000459A0"/>
    <w:rsid w:val="000459B0"/>
    <w:rsid w:val="000459B1"/>
    <w:rsid w:val="000459E5"/>
    <w:rsid w:val="00045C20"/>
    <w:rsid w:val="00045D22"/>
    <w:rsid w:val="00045F32"/>
    <w:rsid w:val="00045F5B"/>
    <w:rsid w:val="00045FA8"/>
    <w:rsid w:val="000467B4"/>
    <w:rsid w:val="00046809"/>
    <w:rsid w:val="000470CD"/>
    <w:rsid w:val="00047110"/>
    <w:rsid w:val="00047144"/>
    <w:rsid w:val="00047397"/>
    <w:rsid w:val="000473FC"/>
    <w:rsid w:val="00047437"/>
    <w:rsid w:val="00047471"/>
    <w:rsid w:val="00047528"/>
    <w:rsid w:val="0004752A"/>
    <w:rsid w:val="0004763D"/>
    <w:rsid w:val="000476EA"/>
    <w:rsid w:val="00047BA4"/>
    <w:rsid w:val="00047CF7"/>
    <w:rsid w:val="00047FC1"/>
    <w:rsid w:val="00047FF3"/>
    <w:rsid w:val="00050118"/>
    <w:rsid w:val="000502A8"/>
    <w:rsid w:val="00050382"/>
    <w:rsid w:val="000505D3"/>
    <w:rsid w:val="00050684"/>
    <w:rsid w:val="00050709"/>
    <w:rsid w:val="000508B0"/>
    <w:rsid w:val="000509C8"/>
    <w:rsid w:val="000509D5"/>
    <w:rsid w:val="00050C94"/>
    <w:rsid w:val="00050D5D"/>
    <w:rsid w:val="0005122E"/>
    <w:rsid w:val="0005123D"/>
    <w:rsid w:val="0005126D"/>
    <w:rsid w:val="000514B1"/>
    <w:rsid w:val="000515D4"/>
    <w:rsid w:val="00051778"/>
    <w:rsid w:val="00051970"/>
    <w:rsid w:val="00051990"/>
    <w:rsid w:val="000519C5"/>
    <w:rsid w:val="000519C7"/>
    <w:rsid w:val="00051A3A"/>
    <w:rsid w:val="00051A7E"/>
    <w:rsid w:val="00051ADF"/>
    <w:rsid w:val="00051CB6"/>
    <w:rsid w:val="00051D44"/>
    <w:rsid w:val="00051F3E"/>
    <w:rsid w:val="00052026"/>
    <w:rsid w:val="00052226"/>
    <w:rsid w:val="0005226F"/>
    <w:rsid w:val="0005227D"/>
    <w:rsid w:val="000522F2"/>
    <w:rsid w:val="00052432"/>
    <w:rsid w:val="0005257E"/>
    <w:rsid w:val="00052640"/>
    <w:rsid w:val="00052A1D"/>
    <w:rsid w:val="00052A97"/>
    <w:rsid w:val="00052C52"/>
    <w:rsid w:val="00052C87"/>
    <w:rsid w:val="00052CCD"/>
    <w:rsid w:val="00053171"/>
    <w:rsid w:val="00053499"/>
    <w:rsid w:val="00053626"/>
    <w:rsid w:val="000538A1"/>
    <w:rsid w:val="000538EE"/>
    <w:rsid w:val="000539FF"/>
    <w:rsid w:val="00053CD0"/>
    <w:rsid w:val="00053F5F"/>
    <w:rsid w:val="00053F6D"/>
    <w:rsid w:val="000540E1"/>
    <w:rsid w:val="00054222"/>
    <w:rsid w:val="00054616"/>
    <w:rsid w:val="000546CD"/>
    <w:rsid w:val="000547AA"/>
    <w:rsid w:val="000548F2"/>
    <w:rsid w:val="00054B0C"/>
    <w:rsid w:val="00055225"/>
    <w:rsid w:val="00055473"/>
    <w:rsid w:val="000554AA"/>
    <w:rsid w:val="00055775"/>
    <w:rsid w:val="000557EA"/>
    <w:rsid w:val="00055F35"/>
    <w:rsid w:val="000560D6"/>
    <w:rsid w:val="000561CE"/>
    <w:rsid w:val="00056432"/>
    <w:rsid w:val="000564C5"/>
    <w:rsid w:val="000564E4"/>
    <w:rsid w:val="000565CD"/>
    <w:rsid w:val="00056742"/>
    <w:rsid w:val="00056885"/>
    <w:rsid w:val="000569DD"/>
    <w:rsid w:val="00056A5D"/>
    <w:rsid w:val="00056E22"/>
    <w:rsid w:val="00056E47"/>
    <w:rsid w:val="00056EFD"/>
    <w:rsid w:val="00056F91"/>
    <w:rsid w:val="00056FE0"/>
    <w:rsid w:val="00057215"/>
    <w:rsid w:val="00057548"/>
    <w:rsid w:val="00057608"/>
    <w:rsid w:val="0005784E"/>
    <w:rsid w:val="00057A48"/>
    <w:rsid w:val="00057BAC"/>
    <w:rsid w:val="00057C85"/>
    <w:rsid w:val="00057CA1"/>
    <w:rsid w:val="00057CA7"/>
    <w:rsid w:val="00057D08"/>
    <w:rsid w:val="00057D1A"/>
    <w:rsid w:val="00057D90"/>
    <w:rsid w:val="00057DA7"/>
    <w:rsid w:val="00057EEC"/>
    <w:rsid w:val="00060046"/>
    <w:rsid w:val="0006005F"/>
    <w:rsid w:val="00060067"/>
    <w:rsid w:val="0006026D"/>
    <w:rsid w:val="0006052C"/>
    <w:rsid w:val="0006067F"/>
    <w:rsid w:val="00060878"/>
    <w:rsid w:val="0006090E"/>
    <w:rsid w:val="00060AAC"/>
    <w:rsid w:val="00060B04"/>
    <w:rsid w:val="00060B44"/>
    <w:rsid w:val="00060CE4"/>
    <w:rsid w:val="00060D0E"/>
    <w:rsid w:val="00060D5E"/>
    <w:rsid w:val="00060E53"/>
    <w:rsid w:val="00060E71"/>
    <w:rsid w:val="00060F02"/>
    <w:rsid w:val="0006102B"/>
    <w:rsid w:val="0006114C"/>
    <w:rsid w:val="000611E7"/>
    <w:rsid w:val="0006123B"/>
    <w:rsid w:val="000614D0"/>
    <w:rsid w:val="00061535"/>
    <w:rsid w:val="00061699"/>
    <w:rsid w:val="0006178B"/>
    <w:rsid w:val="000617C0"/>
    <w:rsid w:val="000619B3"/>
    <w:rsid w:val="000619C8"/>
    <w:rsid w:val="00061C13"/>
    <w:rsid w:val="00061D4E"/>
    <w:rsid w:val="000620B5"/>
    <w:rsid w:val="000621CF"/>
    <w:rsid w:val="000621E0"/>
    <w:rsid w:val="000621FF"/>
    <w:rsid w:val="0006227E"/>
    <w:rsid w:val="000622C5"/>
    <w:rsid w:val="0006232D"/>
    <w:rsid w:val="000627D1"/>
    <w:rsid w:val="00062988"/>
    <w:rsid w:val="00062A23"/>
    <w:rsid w:val="00062C0E"/>
    <w:rsid w:val="00062C21"/>
    <w:rsid w:val="00062EA2"/>
    <w:rsid w:val="00062EA7"/>
    <w:rsid w:val="00062F03"/>
    <w:rsid w:val="000630D4"/>
    <w:rsid w:val="000630E0"/>
    <w:rsid w:val="0006322B"/>
    <w:rsid w:val="00063375"/>
    <w:rsid w:val="00063378"/>
    <w:rsid w:val="00063478"/>
    <w:rsid w:val="00063510"/>
    <w:rsid w:val="000635DB"/>
    <w:rsid w:val="0006378A"/>
    <w:rsid w:val="00063825"/>
    <w:rsid w:val="00063934"/>
    <w:rsid w:val="00063A4B"/>
    <w:rsid w:val="00063A68"/>
    <w:rsid w:val="00063C97"/>
    <w:rsid w:val="00063CD1"/>
    <w:rsid w:val="00063D00"/>
    <w:rsid w:val="00063DD6"/>
    <w:rsid w:val="00063E68"/>
    <w:rsid w:val="00063FBC"/>
    <w:rsid w:val="0006402B"/>
    <w:rsid w:val="000640DA"/>
    <w:rsid w:val="000643F3"/>
    <w:rsid w:val="00064482"/>
    <w:rsid w:val="00064512"/>
    <w:rsid w:val="00064557"/>
    <w:rsid w:val="00064620"/>
    <w:rsid w:val="0006484A"/>
    <w:rsid w:val="00064995"/>
    <w:rsid w:val="00064AFD"/>
    <w:rsid w:val="00064BF7"/>
    <w:rsid w:val="00064C90"/>
    <w:rsid w:val="00064DCD"/>
    <w:rsid w:val="00064F08"/>
    <w:rsid w:val="0006519C"/>
    <w:rsid w:val="000651B6"/>
    <w:rsid w:val="00065360"/>
    <w:rsid w:val="000655DD"/>
    <w:rsid w:val="000655E0"/>
    <w:rsid w:val="00065A80"/>
    <w:rsid w:val="00065C49"/>
    <w:rsid w:val="00065C78"/>
    <w:rsid w:val="00065CE8"/>
    <w:rsid w:val="00065D92"/>
    <w:rsid w:val="00065E4C"/>
    <w:rsid w:val="00066064"/>
    <w:rsid w:val="00066095"/>
    <w:rsid w:val="000661D4"/>
    <w:rsid w:val="000661E8"/>
    <w:rsid w:val="000662D1"/>
    <w:rsid w:val="000663FA"/>
    <w:rsid w:val="00066410"/>
    <w:rsid w:val="00066429"/>
    <w:rsid w:val="00066450"/>
    <w:rsid w:val="000665BE"/>
    <w:rsid w:val="0006672B"/>
    <w:rsid w:val="000669B2"/>
    <w:rsid w:val="00066B70"/>
    <w:rsid w:val="00066E33"/>
    <w:rsid w:val="00067379"/>
    <w:rsid w:val="00067DAF"/>
    <w:rsid w:val="00067DC8"/>
    <w:rsid w:val="00067F39"/>
    <w:rsid w:val="00067FD2"/>
    <w:rsid w:val="0007001A"/>
    <w:rsid w:val="000700F4"/>
    <w:rsid w:val="00070193"/>
    <w:rsid w:val="0007027A"/>
    <w:rsid w:val="00070340"/>
    <w:rsid w:val="000703E6"/>
    <w:rsid w:val="0007070E"/>
    <w:rsid w:val="0007073F"/>
    <w:rsid w:val="000707F5"/>
    <w:rsid w:val="0007085C"/>
    <w:rsid w:val="000708D3"/>
    <w:rsid w:val="00070AA4"/>
    <w:rsid w:val="00070AFF"/>
    <w:rsid w:val="00070C2F"/>
    <w:rsid w:val="00070C6F"/>
    <w:rsid w:val="00070EA4"/>
    <w:rsid w:val="000710B0"/>
    <w:rsid w:val="000710EB"/>
    <w:rsid w:val="000712BE"/>
    <w:rsid w:val="00071350"/>
    <w:rsid w:val="0007135E"/>
    <w:rsid w:val="000713A2"/>
    <w:rsid w:val="000713AE"/>
    <w:rsid w:val="000713CF"/>
    <w:rsid w:val="000714B8"/>
    <w:rsid w:val="000717FF"/>
    <w:rsid w:val="0007184B"/>
    <w:rsid w:val="00071B72"/>
    <w:rsid w:val="00071B92"/>
    <w:rsid w:val="00071CB4"/>
    <w:rsid w:val="00071DC2"/>
    <w:rsid w:val="00071ECF"/>
    <w:rsid w:val="00072122"/>
    <w:rsid w:val="000726BA"/>
    <w:rsid w:val="00072739"/>
    <w:rsid w:val="000727D6"/>
    <w:rsid w:val="000728A8"/>
    <w:rsid w:val="000728F7"/>
    <w:rsid w:val="00072972"/>
    <w:rsid w:val="00072A2E"/>
    <w:rsid w:val="00072A5E"/>
    <w:rsid w:val="00072CFB"/>
    <w:rsid w:val="00072D34"/>
    <w:rsid w:val="00072E38"/>
    <w:rsid w:val="00072E78"/>
    <w:rsid w:val="00072F8E"/>
    <w:rsid w:val="00073010"/>
    <w:rsid w:val="00073050"/>
    <w:rsid w:val="000730FF"/>
    <w:rsid w:val="000731E2"/>
    <w:rsid w:val="0007327B"/>
    <w:rsid w:val="00073348"/>
    <w:rsid w:val="0007335B"/>
    <w:rsid w:val="00073582"/>
    <w:rsid w:val="000735A1"/>
    <w:rsid w:val="00073671"/>
    <w:rsid w:val="0007382B"/>
    <w:rsid w:val="00073942"/>
    <w:rsid w:val="00073959"/>
    <w:rsid w:val="00073963"/>
    <w:rsid w:val="0007399F"/>
    <w:rsid w:val="00073A98"/>
    <w:rsid w:val="00073D20"/>
    <w:rsid w:val="00073D45"/>
    <w:rsid w:val="00073DCD"/>
    <w:rsid w:val="00073F94"/>
    <w:rsid w:val="000742E0"/>
    <w:rsid w:val="00074384"/>
    <w:rsid w:val="000743FC"/>
    <w:rsid w:val="00074422"/>
    <w:rsid w:val="00074791"/>
    <w:rsid w:val="00074887"/>
    <w:rsid w:val="000748F6"/>
    <w:rsid w:val="000749D0"/>
    <w:rsid w:val="00074DB6"/>
    <w:rsid w:val="00074F26"/>
    <w:rsid w:val="00074FCD"/>
    <w:rsid w:val="00075188"/>
    <w:rsid w:val="00075243"/>
    <w:rsid w:val="0007550A"/>
    <w:rsid w:val="000755BF"/>
    <w:rsid w:val="000759DD"/>
    <w:rsid w:val="00075B31"/>
    <w:rsid w:val="00075B5A"/>
    <w:rsid w:val="00075B67"/>
    <w:rsid w:val="00075B94"/>
    <w:rsid w:val="00075C61"/>
    <w:rsid w:val="00075DE4"/>
    <w:rsid w:val="00075F2B"/>
    <w:rsid w:val="00075FDA"/>
    <w:rsid w:val="00075FE6"/>
    <w:rsid w:val="000760CB"/>
    <w:rsid w:val="0007611D"/>
    <w:rsid w:val="00076393"/>
    <w:rsid w:val="0007671C"/>
    <w:rsid w:val="00076792"/>
    <w:rsid w:val="000768D2"/>
    <w:rsid w:val="00076A0F"/>
    <w:rsid w:val="00076C10"/>
    <w:rsid w:val="00076D2D"/>
    <w:rsid w:val="00077023"/>
    <w:rsid w:val="00077095"/>
    <w:rsid w:val="00077282"/>
    <w:rsid w:val="0007729A"/>
    <w:rsid w:val="000772B1"/>
    <w:rsid w:val="00077450"/>
    <w:rsid w:val="00077770"/>
    <w:rsid w:val="00077856"/>
    <w:rsid w:val="0007790F"/>
    <w:rsid w:val="00077B38"/>
    <w:rsid w:val="00077BDD"/>
    <w:rsid w:val="00077EEF"/>
    <w:rsid w:val="00077F29"/>
    <w:rsid w:val="00077F87"/>
    <w:rsid w:val="00077F91"/>
    <w:rsid w:val="00077FAA"/>
    <w:rsid w:val="000800E9"/>
    <w:rsid w:val="00080457"/>
    <w:rsid w:val="00080636"/>
    <w:rsid w:val="00080923"/>
    <w:rsid w:val="00080A45"/>
    <w:rsid w:val="00080B4B"/>
    <w:rsid w:val="00080C7C"/>
    <w:rsid w:val="00081140"/>
    <w:rsid w:val="000813EE"/>
    <w:rsid w:val="0008145B"/>
    <w:rsid w:val="0008166F"/>
    <w:rsid w:val="00081764"/>
    <w:rsid w:val="000818A7"/>
    <w:rsid w:val="000818DB"/>
    <w:rsid w:val="00081F0A"/>
    <w:rsid w:val="00081F14"/>
    <w:rsid w:val="00081F43"/>
    <w:rsid w:val="00081F7A"/>
    <w:rsid w:val="00082286"/>
    <w:rsid w:val="00082288"/>
    <w:rsid w:val="0008245D"/>
    <w:rsid w:val="00082490"/>
    <w:rsid w:val="000824F3"/>
    <w:rsid w:val="0008296A"/>
    <w:rsid w:val="000829FA"/>
    <w:rsid w:val="00082B74"/>
    <w:rsid w:val="00082C4A"/>
    <w:rsid w:val="00082D48"/>
    <w:rsid w:val="00082DDF"/>
    <w:rsid w:val="00082EE6"/>
    <w:rsid w:val="000831F4"/>
    <w:rsid w:val="00083307"/>
    <w:rsid w:val="00083335"/>
    <w:rsid w:val="0008336C"/>
    <w:rsid w:val="0008339B"/>
    <w:rsid w:val="000836EC"/>
    <w:rsid w:val="0008387F"/>
    <w:rsid w:val="00083A5E"/>
    <w:rsid w:val="00083BB3"/>
    <w:rsid w:val="00083D6B"/>
    <w:rsid w:val="00083DED"/>
    <w:rsid w:val="00083FFC"/>
    <w:rsid w:val="000840DE"/>
    <w:rsid w:val="00084270"/>
    <w:rsid w:val="000844DA"/>
    <w:rsid w:val="000844E3"/>
    <w:rsid w:val="000844E5"/>
    <w:rsid w:val="00084533"/>
    <w:rsid w:val="0008472B"/>
    <w:rsid w:val="0008472C"/>
    <w:rsid w:val="0008477C"/>
    <w:rsid w:val="00084964"/>
    <w:rsid w:val="000849F3"/>
    <w:rsid w:val="00084AFE"/>
    <w:rsid w:val="00084B53"/>
    <w:rsid w:val="00084C6B"/>
    <w:rsid w:val="00084D7A"/>
    <w:rsid w:val="00084E48"/>
    <w:rsid w:val="00084E5C"/>
    <w:rsid w:val="00084F77"/>
    <w:rsid w:val="00084FBA"/>
    <w:rsid w:val="000850B4"/>
    <w:rsid w:val="0008511B"/>
    <w:rsid w:val="00085421"/>
    <w:rsid w:val="00085496"/>
    <w:rsid w:val="00085514"/>
    <w:rsid w:val="000855C5"/>
    <w:rsid w:val="00085617"/>
    <w:rsid w:val="0008588B"/>
    <w:rsid w:val="00085901"/>
    <w:rsid w:val="00085C66"/>
    <w:rsid w:val="00085D94"/>
    <w:rsid w:val="00085EE7"/>
    <w:rsid w:val="00085F08"/>
    <w:rsid w:val="00085F52"/>
    <w:rsid w:val="0008610D"/>
    <w:rsid w:val="000862F0"/>
    <w:rsid w:val="00086546"/>
    <w:rsid w:val="00086618"/>
    <w:rsid w:val="00086754"/>
    <w:rsid w:val="0008677A"/>
    <w:rsid w:val="000867A9"/>
    <w:rsid w:val="0008686E"/>
    <w:rsid w:val="00086872"/>
    <w:rsid w:val="00086CB2"/>
    <w:rsid w:val="00086CFF"/>
    <w:rsid w:val="00086D9E"/>
    <w:rsid w:val="00086F59"/>
    <w:rsid w:val="00087102"/>
    <w:rsid w:val="0008736F"/>
    <w:rsid w:val="000873E6"/>
    <w:rsid w:val="000873EC"/>
    <w:rsid w:val="000873F9"/>
    <w:rsid w:val="000875F9"/>
    <w:rsid w:val="00087635"/>
    <w:rsid w:val="0008778E"/>
    <w:rsid w:val="000877B7"/>
    <w:rsid w:val="00087CEB"/>
    <w:rsid w:val="00087E2F"/>
    <w:rsid w:val="00087EF9"/>
    <w:rsid w:val="00087F56"/>
    <w:rsid w:val="000903B4"/>
    <w:rsid w:val="00090445"/>
    <w:rsid w:val="0009047B"/>
    <w:rsid w:val="000905CA"/>
    <w:rsid w:val="000906A8"/>
    <w:rsid w:val="00090758"/>
    <w:rsid w:val="0009096E"/>
    <w:rsid w:val="000909F5"/>
    <w:rsid w:val="00090A5A"/>
    <w:rsid w:val="00090AA3"/>
    <w:rsid w:val="00090C7F"/>
    <w:rsid w:val="00090F1A"/>
    <w:rsid w:val="00090FF9"/>
    <w:rsid w:val="00091003"/>
    <w:rsid w:val="00091028"/>
    <w:rsid w:val="00091164"/>
    <w:rsid w:val="0009125A"/>
    <w:rsid w:val="00091382"/>
    <w:rsid w:val="000913F8"/>
    <w:rsid w:val="00091489"/>
    <w:rsid w:val="0009153A"/>
    <w:rsid w:val="00091814"/>
    <w:rsid w:val="000918A2"/>
    <w:rsid w:val="000918DC"/>
    <w:rsid w:val="000918DF"/>
    <w:rsid w:val="00091980"/>
    <w:rsid w:val="00091B92"/>
    <w:rsid w:val="00091C0F"/>
    <w:rsid w:val="00091C1D"/>
    <w:rsid w:val="00091CF3"/>
    <w:rsid w:val="00091D47"/>
    <w:rsid w:val="00091E30"/>
    <w:rsid w:val="00091EAD"/>
    <w:rsid w:val="00091F14"/>
    <w:rsid w:val="000922BE"/>
    <w:rsid w:val="000923FA"/>
    <w:rsid w:val="00092419"/>
    <w:rsid w:val="000925EB"/>
    <w:rsid w:val="00092632"/>
    <w:rsid w:val="0009280B"/>
    <w:rsid w:val="0009280D"/>
    <w:rsid w:val="000928BB"/>
    <w:rsid w:val="000929C1"/>
    <w:rsid w:val="00092A9E"/>
    <w:rsid w:val="00092AB7"/>
    <w:rsid w:val="00092AF6"/>
    <w:rsid w:val="00092C87"/>
    <w:rsid w:val="00092C90"/>
    <w:rsid w:val="00092CD7"/>
    <w:rsid w:val="00092DBF"/>
    <w:rsid w:val="00092E77"/>
    <w:rsid w:val="00092F9C"/>
    <w:rsid w:val="00092FA6"/>
    <w:rsid w:val="000930BA"/>
    <w:rsid w:val="0009322D"/>
    <w:rsid w:val="0009338D"/>
    <w:rsid w:val="00093520"/>
    <w:rsid w:val="00093626"/>
    <w:rsid w:val="0009363A"/>
    <w:rsid w:val="00093658"/>
    <w:rsid w:val="00093763"/>
    <w:rsid w:val="000937D4"/>
    <w:rsid w:val="00093984"/>
    <w:rsid w:val="00093AD8"/>
    <w:rsid w:val="00094084"/>
    <w:rsid w:val="00094159"/>
    <w:rsid w:val="0009428F"/>
    <w:rsid w:val="0009438D"/>
    <w:rsid w:val="000943FE"/>
    <w:rsid w:val="000947F0"/>
    <w:rsid w:val="00094805"/>
    <w:rsid w:val="00094947"/>
    <w:rsid w:val="00094A06"/>
    <w:rsid w:val="00094B53"/>
    <w:rsid w:val="00094D3C"/>
    <w:rsid w:val="00094DA6"/>
    <w:rsid w:val="00094E78"/>
    <w:rsid w:val="00094FF5"/>
    <w:rsid w:val="000950B5"/>
    <w:rsid w:val="000950EE"/>
    <w:rsid w:val="00095308"/>
    <w:rsid w:val="0009538B"/>
    <w:rsid w:val="000953C1"/>
    <w:rsid w:val="00095506"/>
    <w:rsid w:val="0009557E"/>
    <w:rsid w:val="000955BF"/>
    <w:rsid w:val="00095657"/>
    <w:rsid w:val="000956EB"/>
    <w:rsid w:val="000959D3"/>
    <w:rsid w:val="00095AA5"/>
    <w:rsid w:val="00095B70"/>
    <w:rsid w:val="00095B76"/>
    <w:rsid w:val="00095C45"/>
    <w:rsid w:val="00095C5B"/>
    <w:rsid w:val="00095CA4"/>
    <w:rsid w:val="00095CAE"/>
    <w:rsid w:val="00095E19"/>
    <w:rsid w:val="00095E2E"/>
    <w:rsid w:val="00095F9C"/>
    <w:rsid w:val="0009651A"/>
    <w:rsid w:val="00096677"/>
    <w:rsid w:val="000966A6"/>
    <w:rsid w:val="0009698E"/>
    <w:rsid w:val="000969BC"/>
    <w:rsid w:val="00096AF8"/>
    <w:rsid w:val="00096E20"/>
    <w:rsid w:val="00096E6E"/>
    <w:rsid w:val="00096F8B"/>
    <w:rsid w:val="0009705A"/>
    <w:rsid w:val="000972DB"/>
    <w:rsid w:val="000973B6"/>
    <w:rsid w:val="000973E3"/>
    <w:rsid w:val="0009748E"/>
    <w:rsid w:val="00097721"/>
    <w:rsid w:val="00097B29"/>
    <w:rsid w:val="00097E56"/>
    <w:rsid w:val="00097E92"/>
    <w:rsid w:val="000A009F"/>
    <w:rsid w:val="000A0173"/>
    <w:rsid w:val="000A020D"/>
    <w:rsid w:val="000A061C"/>
    <w:rsid w:val="000A087F"/>
    <w:rsid w:val="000A0A26"/>
    <w:rsid w:val="000A0B04"/>
    <w:rsid w:val="000A0C06"/>
    <w:rsid w:val="000A0C78"/>
    <w:rsid w:val="000A0D53"/>
    <w:rsid w:val="000A0E83"/>
    <w:rsid w:val="000A0F51"/>
    <w:rsid w:val="000A10E7"/>
    <w:rsid w:val="000A1132"/>
    <w:rsid w:val="000A14D4"/>
    <w:rsid w:val="000A16B0"/>
    <w:rsid w:val="000A16B6"/>
    <w:rsid w:val="000A1725"/>
    <w:rsid w:val="000A1D07"/>
    <w:rsid w:val="000A1D20"/>
    <w:rsid w:val="000A1F24"/>
    <w:rsid w:val="000A21F3"/>
    <w:rsid w:val="000A2310"/>
    <w:rsid w:val="000A2313"/>
    <w:rsid w:val="000A2328"/>
    <w:rsid w:val="000A23BF"/>
    <w:rsid w:val="000A2406"/>
    <w:rsid w:val="000A2467"/>
    <w:rsid w:val="000A2513"/>
    <w:rsid w:val="000A2760"/>
    <w:rsid w:val="000A2982"/>
    <w:rsid w:val="000A2AA8"/>
    <w:rsid w:val="000A2AC8"/>
    <w:rsid w:val="000A2E32"/>
    <w:rsid w:val="000A2F07"/>
    <w:rsid w:val="000A2F41"/>
    <w:rsid w:val="000A3029"/>
    <w:rsid w:val="000A30E6"/>
    <w:rsid w:val="000A3104"/>
    <w:rsid w:val="000A3199"/>
    <w:rsid w:val="000A3204"/>
    <w:rsid w:val="000A32C9"/>
    <w:rsid w:val="000A3344"/>
    <w:rsid w:val="000A33E4"/>
    <w:rsid w:val="000A3435"/>
    <w:rsid w:val="000A356A"/>
    <w:rsid w:val="000A373E"/>
    <w:rsid w:val="000A3823"/>
    <w:rsid w:val="000A3825"/>
    <w:rsid w:val="000A38F9"/>
    <w:rsid w:val="000A3D77"/>
    <w:rsid w:val="000A3DF4"/>
    <w:rsid w:val="000A3F36"/>
    <w:rsid w:val="000A3FB2"/>
    <w:rsid w:val="000A40CD"/>
    <w:rsid w:val="000A43DC"/>
    <w:rsid w:val="000A47FD"/>
    <w:rsid w:val="000A4885"/>
    <w:rsid w:val="000A4909"/>
    <w:rsid w:val="000A49E7"/>
    <w:rsid w:val="000A4DFF"/>
    <w:rsid w:val="000A4E20"/>
    <w:rsid w:val="000A4E67"/>
    <w:rsid w:val="000A4F2D"/>
    <w:rsid w:val="000A4F6B"/>
    <w:rsid w:val="000A4FD1"/>
    <w:rsid w:val="000A548A"/>
    <w:rsid w:val="000A554D"/>
    <w:rsid w:val="000A561A"/>
    <w:rsid w:val="000A5660"/>
    <w:rsid w:val="000A566A"/>
    <w:rsid w:val="000A5A53"/>
    <w:rsid w:val="000A5B3C"/>
    <w:rsid w:val="000A5D25"/>
    <w:rsid w:val="000A5D5A"/>
    <w:rsid w:val="000A5F0B"/>
    <w:rsid w:val="000A608E"/>
    <w:rsid w:val="000A6107"/>
    <w:rsid w:val="000A629E"/>
    <w:rsid w:val="000A6356"/>
    <w:rsid w:val="000A67B3"/>
    <w:rsid w:val="000A67F8"/>
    <w:rsid w:val="000A6961"/>
    <w:rsid w:val="000A6AFE"/>
    <w:rsid w:val="000A6B36"/>
    <w:rsid w:val="000A6C94"/>
    <w:rsid w:val="000A6D8C"/>
    <w:rsid w:val="000A6E1B"/>
    <w:rsid w:val="000A6EE7"/>
    <w:rsid w:val="000A71F8"/>
    <w:rsid w:val="000A729A"/>
    <w:rsid w:val="000A74A0"/>
    <w:rsid w:val="000A7768"/>
    <w:rsid w:val="000A7806"/>
    <w:rsid w:val="000A7933"/>
    <w:rsid w:val="000A7971"/>
    <w:rsid w:val="000A797C"/>
    <w:rsid w:val="000A7C1F"/>
    <w:rsid w:val="000A7D1E"/>
    <w:rsid w:val="000A7EF6"/>
    <w:rsid w:val="000A7F65"/>
    <w:rsid w:val="000A7FEE"/>
    <w:rsid w:val="000B033D"/>
    <w:rsid w:val="000B0449"/>
    <w:rsid w:val="000B053F"/>
    <w:rsid w:val="000B073F"/>
    <w:rsid w:val="000B0758"/>
    <w:rsid w:val="000B08DE"/>
    <w:rsid w:val="000B0ADC"/>
    <w:rsid w:val="000B0BF1"/>
    <w:rsid w:val="000B0C56"/>
    <w:rsid w:val="000B0C6C"/>
    <w:rsid w:val="000B0D88"/>
    <w:rsid w:val="000B0E84"/>
    <w:rsid w:val="000B0FE5"/>
    <w:rsid w:val="000B11F0"/>
    <w:rsid w:val="000B12D2"/>
    <w:rsid w:val="000B1338"/>
    <w:rsid w:val="000B17EF"/>
    <w:rsid w:val="000B1975"/>
    <w:rsid w:val="000B19E9"/>
    <w:rsid w:val="000B1D22"/>
    <w:rsid w:val="000B1E40"/>
    <w:rsid w:val="000B1FC3"/>
    <w:rsid w:val="000B2036"/>
    <w:rsid w:val="000B2044"/>
    <w:rsid w:val="000B2148"/>
    <w:rsid w:val="000B21C9"/>
    <w:rsid w:val="000B2277"/>
    <w:rsid w:val="000B2357"/>
    <w:rsid w:val="000B2682"/>
    <w:rsid w:val="000B2686"/>
    <w:rsid w:val="000B27E1"/>
    <w:rsid w:val="000B2996"/>
    <w:rsid w:val="000B2B44"/>
    <w:rsid w:val="000B2CC1"/>
    <w:rsid w:val="000B2D4E"/>
    <w:rsid w:val="000B2EAA"/>
    <w:rsid w:val="000B305D"/>
    <w:rsid w:val="000B3090"/>
    <w:rsid w:val="000B31AC"/>
    <w:rsid w:val="000B3289"/>
    <w:rsid w:val="000B328B"/>
    <w:rsid w:val="000B3407"/>
    <w:rsid w:val="000B34B5"/>
    <w:rsid w:val="000B3696"/>
    <w:rsid w:val="000B3721"/>
    <w:rsid w:val="000B3865"/>
    <w:rsid w:val="000B3953"/>
    <w:rsid w:val="000B3BCA"/>
    <w:rsid w:val="000B3DDC"/>
    <w:rsid w:val="000B3EB1"/>
    <w:rsid w:val="000B3F56"/>
    <w:rsid w:val="000B44ED"/>
    <w:rsid w:val="000B4841"/>
    <w:rsid w:val="000B48DF"/>
    <w:rsid w:val="000B4CBB"/>
    <w:rsid w:val="000B4E20"/>
    <w:rsid w:val="000B4F2C"/>
    <w:rsid w:val="000B4F42"/>
    <w:rsid w:val="000B4FA4"/>
    <w:rsid w:val="000B5242"/>
    <w:rsid w:val="000B52A7"/>
    <w:rsid w:val="000B5393"/>
    <w:rsid w:val="000B5443"/>
    <w:rsid w:val="000B54EE"/>
    <w:rsid w:val="000B54F0"/>
    <w:rsid w:val="000B554A"/>
    <w:rsid w:val="000B56C4"/>
    <w:rsid w:val="000B5784"/>
    <w:rsid w:val="000B5A9C"/>
    <w:rsid w:val="000B5C59"/>
    <w:rsid w:val="000B5DCF"/>
    <w:rsid w:val="000B6402"/>
    <w:rsid w:val="000B6591"/>
    <w:rsid w:val="000B6629"/>
    <w:rsid w:val="000B665C"/>
    <w:rsid w:val="000B690D"/>
    <w:rsid w:val="000B6943"/>
    <w:rsid w:val="000B6947"/>
    <w:rsid w:val="000B6C8A"/>
    <w:rsid w:val="000B6D99"/>
    <w:rsid w:val="000B6DA1"/>
    <w:rsid w:val="000B7158"/>
    <w:rsid w:val="000B745B"/>
    <w:rsid w:val="000B75FF"/>
    <w:rsid w:val="000B77CF"/>
    <w:rsid w:val="000B7811"/>
    <w:rsid w:val="000B7946"/>
    <w:rsid w:val="000B7A05"/>
    <w:rsid w:val="000B7A27"/>
    <w:rsid w:val="000B7A37"/>
    <w:rsid w:val="000B7BEE"/>
    <w:rsid w:val="000B7CA8"/>
    <w:rsid w:val="000B7CED"/>
    <w:rsid w:val="000B7E74"/>
    <w:rsid w:val="000B7F11"/>
    <w:rsid w:val="000B7FAB"/>
    <w:rsid w:val="000C01E2"/>
    <w:rsid w:val="000C0285"/>
    <w:rsid w:val="000C02C2"/>
    <w:rsid w:val="000C0345"/>
    <w:rsid w:val="000C03E1"/>
    <w:rsid w:val="000C03E3"/>
    <w:rsid w:val="000C0A04"/>
    <w:rsid w:val="000C0A77"/>
    <w:rsid w:val="000C0CEB"/>
    <w:rsid w:val="000C0F98"/>
    <w:rsid w:val="000C14DA"/>
    <w:rsid w:val="000C1A60"/>
    <w:rsid w:val="000C1ADD"/>
    <w:rsid w:val="000C1C29"/>
    <w:rsid w:val="000C1D8D"/>
    <w:rsid w:val="000C1E6C"/>
    <w:rsid w:val="000C1F18"/>
    <w:rsid w:val="000C1F1E"/>
    <w:rsid w:val="000C233E"/>
    <w:rsid w:val="000C2500"/>
    <w:rsid w:val="000C25A1"/>
    <w:rsid w:val="000C26E7"/>
    <w:rsid w:val="000C28DD"/>
    <w:rsid w:val="000C28FA"/>
    <w:rsid w:val="000C2C94"/>
    <w:rsid w:val="000C2F14"/>
    <w:rsid w:val="000C2F4A"/>
    <w:rsid w:val="000C322C"/>
    <w:rsid w:val="000C3458"/>
    <w:rsid w:val="000C36DA"/>
    <w:rsid w:val="000C37F1"/>
    <w:rsid w:val="000C388C"/>
    <w:rsid w:val="000C38FD"/>
    <w:rsid w:val="000C39EC"/>
    <w:rsid w:val="000C3B37"/>
    <w:rsid w:val="000C3C94"/>
    <w:rsid w:val="000C3ED0"/>
    <w:rsid w:val="000C42DB"/>
    <w:rsid w:val="000C4635"/>
    <w:rsid w:val="000C475D"/>
    <w:rsid w:val="000C479D"/>
    <w:rsid w:val="000C47DD"/>
    <w:rsid w:val="000C494D"/>
    <w:rsid w:val="000C49BA"/>
    <w:rsid w:val="000C4A1F"/>
    <w:rsid w:val="000C4ACF"/>
    <w:rsid w:val="000C4CA8"/>
    <w:rsid w:val="000C5027"/>
    <w:rsid w:val="000C506A"/>
    <w:rsid w:val="000C5158"/>
    <w:rsid w:val="000C51A8"/>
    <w:rsid w:val="000C5245"/>
    <w:rsid w:val="000C5250"/>
    <w:rsid w:val="000C5323"/>
    <w:rsid w:val="000C579F"/>
    <w:rsid w:val="000C5907"/>
    <w:rsid w:val="000C5921"/>
    <w:rsid w:val="000C593C"/>
    <w:rsid w:val="000C5AEA"/>
    <w:rsid w:val="000C5B96"/>
    <w:rsid w:val="000C5B99"/>
    <w:rsid w:val="000C5E12"/>
    <w:rsid w:val="000C5E69"/>
    <w:rsid w:val="000C5EA7"/>
    <w:rsid w:val="000C5F14"/>
    <w:rsid w:val="000C5F4D"/>
    <w:rsid w:val="000C5F83"/>
    <w:rsid w:val="000C60A2"/>
    <w:rsid w:val="000C6164"/>
    <w:rsid w:val="000C620C"/>
    <w:rsid w:val="000C635E"/>
    <w:rsid w:val="000C65E4"/>
    <w:rsid w:val="000C662D"/>
    <w:rsid w:val="000C6668"/>
    <w:rsid w:val="000C694B"/>
    <w:rsid w:val="000C696C"/>
    <w:rsid w:val="000C6BF3"/>
    <w:rsid w:val="000C6BFF"/>
    <w:rsid w:val="000C6D05"/>
    <w:rsid w:val="000C7001"/>
    <w:rsid w:val="000C700E"/>
    <w:rsid w:val="000C7172"/>
    <w:rsid w:val="000C7329"/>
    <w:rsid w:val="000C7417"/>
    <w:rsid w:val="000C7466"/>
    <w:rsid w:val="000C7490"/>
    <w:rsid w:val="000C749C"/>
    <w:rsid w:val="000C7B3B"/>
    <w:rsid w:val="000C7E96"/>
    <w:rsid w:val="000D015A"/>
    <w:rsid w:val="000D01B8"/>
    <w:rsid w:val="000D02A7"/>
    <w:rsid w:val="000D0419"/>
    <w:rsid w:val="000D075B"/>
    <w:rsid w:val="000D0816"/>
    <w:rsid w:val="000D0865"/>
    <w:rsid w:val="000D08B4"/>
    <w:rsid w:val="000D0A9D"/>
    <w:rsid w:val="000D0B88"/>
    <w:rsid w:val="000D1395"/>
    <w:rsid w:val="000D1429"/>
    <w:rsid w:val="000D1477"/>
    <w:rsid w:val="000D156D"/>
    <w:rsid w:val="000D1572"/>
    <w:rsid w:val="000D1601"/>
    <w:rsid w:val="000D160B"/>
    <w:rsid w:val="000D1820"/>
    <w:rsid w:val="000D1B9E"/>
    <w:rsid w:val="000D1D69"/>
    <w:rsid w:val="000D1DA3"/>
    <w:rsid w:val="000D1E5E"/>
    <w:rsid w:val="000D1F23"/>
    <w:rsid w:val="000D1FBB"/>
    <w:rsid w:val="000D208B"/>
    <w:rsid w:val="000D2477"/>
    <w:rsid w:val="000D24C5"/>
    <w:rsid w:val="000D255E"/>
    <w:rsid w:val="000D265E"/>
    <w:rsid w:val="000D26FC"/>
    <w:rsid w:val="000D2870"/>
    <w:rsid w:val="000D2A7D"/>
    <w:rsid w:val="000D2A8E"/>
    <w:rsid w:val="000D2ACD"/>
    <w:rsid w:val="000D2B4B"/>
    <w:rsid w:val="000D2BB5"/>
    <w:rsid w:val="000D2BCC"/>
    <w:rsid w:val="000D2BF2"/>
    <w:rsid w:val="000D2D66"/>
    <w:rsid w:val="000D2D8C"/>
    <w:rsid w:val="000D2E95"/>
    <w:rsid w:val="000D2EE9"/>
    <w:rsid w:val="000D2F2D"/>
    <w:rsid w:val="000D310F"/>
    <w:rsid w:val="000D3188"/>
    <w:rsid w:val="000D31B0"/>
    <w:rsid w:val="000D3323"/>
    <w:rsid w:val="000D3376"/>
    <w:rsid w:val="000D3436"/>
    <w:rsid w:val="000D34C1"/>
    <w:rsid w:val="000D36B3"/>
    <w:rsid w:val="000D3962"/>
    <w:rsid w:val="000D3A72"/>
    <w:rsid w:val="000D3A7C"/>
    <w:rsid w:val="000D3F31"/>
    <w:rsid w:val="000D4096"/>
    <w:rsid w:val="000D42CE"/>
    <w:rsid w:val="000D4374"/>
    <w:rsid w:val="000D43A3"/>
    <w:rsid w:val="000D43B2"/>
    <w:rsid w:val="000D44DF"/>
    <w:rsid w:val="000D473F"/>
    <w:rsid w:val="000D490D"/>
    <w:rsid w:val="000D49B2"/>
    <w:rsid w:val="000D49BC"/>
    <w:rsid w:val="000D4A3F"/>
    <w:rsid w:val="000D4A86"/>
    <w:rsid w:val="000D4D50"/>
    <w:rsid w:val="000D5069"/>
    <w:rsid w:val="000D508E"/>
    <w:rsid w:val="000D5234"/>
    <w:rsid w:val="000D528C"/>
    <w:rsid w:val="000D535B"/>
    <w:rsid w:val="000D537D"/>
    <w:rsid w:val="000D541A"/>
    <w:rsid w:val="000D5A52"/>
    <w:rsid w:val="000D5B0E"/>
    <w:rsid w:val="000D5B25"/>
    <w:rsid w:val="000D5B5B"/>
    <w:rsid w:val="000D5B83"/>
    <w:rsid w:val="000D5BB4"/>
    <w:rsid w:val="000D5BB9"/>
    <w:rsid w:val="000D5F4C"/>
    <w:rsid w:val="000D60DC"/>
    <w:rsid w:val="000D612D"/>
    <w:rsid w:val="000D62EF"/>
    <w:rsid w:val="000D630B"/>
    <w:rsid w:val="000D6324"/>
    <w:rsid w:val="000D6786"/>
    <w:rsid w:val="000D69D4"/>
    <w:rsid w:val="000D6CE5"/>
    <w:rsid w:val="000D6E21"/>
    <w:rsid w:val="000D6ECB"/>
    <w:rsid w:val="000D7046"/>
    <w:rsid w:val="000D70DC"/>
    <w:rsid w:val="000D723A"/>
    <w:rsid w:val="000D7305"/>
    <w:rsid w:val="000D747C"/>
    <w:rsid w:val="000D74BD"/>
    <w:rsid w:val="000D7512"/>
    <w:rsid w:val="000D7590"/>
    <w:rsid w:val="000D7932"/>
    <w:rsid w:val="000D7A26"/>
    <w:rsid w:val="000D7A91"/>
    <w:rsid w:val="000D7ADC"/>
    <w:rsid w:val="000D7B22"/>
    <w:rsid w:val="000D7BED"/>
    <w:rsid w:val="000D7C22"/>
    <w:rsid w:val="000D7C3F"/>
    <w:rsid w:val="000D7CA7"/>
    <w:rsid w:val="000D7D1C"/>
    <w:rsid w:val="000D7D49"/>
    <w:rsid w:val="000D7EF7"/>
    <w:rsid w:val="000D7F7B"/>
    <w:rsid w:val="000E009F"/>
    <w:rsid w:val="000E0221"/>
    <w:rsid w:val="000E02CA"/>
    <w:rsid w:val="000E04FD"/>
    <w:rsid w:val="000E0593"/>
    <w:rsid w:val="000E06F0"/>
    <w:rsid w:val="000E078C"/>
    <w:rsid w:val="000E07B5"/>
    <w:rsid w:val="000E07C6"/>
    <w:rsid w:val="000E089C"/>
    <w:rsid w:val="000E08D1"/>
    <w:rsid w:val="000E0B9B"/>
    <w:rsid w:val="000E0BC3"/>
    <w:rsid w:val="000E0EDD"/>
    <w:rsid w:val="000E1198"/>
    <w:rsid w:val="000E1270"/>
    <w:rsid w:val="000E1287"/>
    <w:rsid w:val="000E12FE"/>
    <w:rsid w:val="000E1354"/>
    <w:rsid w:val="000E1534"/>
    <w:rsid w:val="000E177F"/>
    <w:rsid w:val="000E18DE"/>
    <w:rsid w:val="000E1A63"/>
    <w:rsid w:val="000E1A8D"/>
    <w:rsid w:val="000E1C73"/>
    <w:rsid w:val="000E1C7E"/>
    <w:rsid w:val="000E1D0D"/>
    <w:rsid w:val="000E1D53"/>
    <w:rsid w:val="000E2126"/>
    <w:rsid w:val="000E21BA"/>
    <w:rsid w:val="000E2242"/>
    <w:rsid w:val="000E22ED"/>
    <w:rsid w:val="000E250B"/>
    <w:rsid w:val="000E28C5"/>
    <w:rsid w:val="000E2AB8"/>
    <w:rsid w:val="000E2B07"/>
    <w:rsid w:val="000E2B0B"/>
    <w:rsid w:val="000E2C12"/>
    <w:rsid w:val="000E2DB3"/>
    <w:rsid w:val="000E2E6C"/>
    <w:rsid w:val="000E308F"/>
    <w:rsid w:val="000E326A"/>
    <w:rsid w:val="000E3423"/>
    <w:rsid w:val="000E35D7"/>
    <w:rsid w:val="000E36E5"/>
    <w:rsid w:val="000E376E"/>
    <w:rsid w:val="000E3815"/>
    <w:rsid w:val="000E3B58"/>
    <w:rsid w:val="000E3C41"/>
    <w:rsid w:val="000E3D6B"/>
    <w:rsid w:val="000E3D6C"/>
    <w:rsid w:val="000E3DAC"/>
    <w:rsid w:val="000E3E32"/>
    <w:rsid w:val="000E3E7A"/>
    <w:rsid w:val="000E414B"/>
    <w:rsid w:val="000E4351"/>
    <w:rsid w:val="000E44E5"/>
    <w:rsid w:val="000E45D0"/>
    <w:rsid w:val="000E463C"/>
    <w:rsid w:val="000E4745"/>
    <w:rsid w:val="000E499F"/>
    <w:rsid w:val="000E4BAF"/>
    <w:rsid w:val="000E4C21"/>
    <w:rsid w:val="000E4E0F"/>
    <w:rsid w:val="000E4F94"/>
    <w:rsid w:val="000E5132"/>
    <w:rsid w:val="000E52F2"/>
    <w:rsid w:val="000E53F1"/>
    <w:rsid w:val="000E5400"/>
    <w:rsid w:val="000E54D4"/>
    <w:rsid w:val="000E596F"/>
    <w:rsid w:val="000E5A78"/>
    <w:rsid w:val="000E5C5D"/>
    <w:rsid w:val="000E5CA9"/>
    <w:rsid w:val="000E5D21"/>
    <w:rsid w:val="000E5DEA"/>
    <w:rsid w:val="000E5F2C"/>
    <w:rsid w:val="000E601A"/>
    <w:rsid w:val="000E6094"/>
    <w:rsid w:val="000E61B7"/>
    <w:rsid w:val="000E62CC"/>
    <w:rsid w:val="000E636D"/>
    <w:rsid w:val="000E646E"/>
    <w:rsid w:val="000E66DA"/>
    <w:rsid w:val="000E67F8"/>
    <w:rsid w:val="000E696C"/>
    <w:rsid w:val="000E6976"/>
    <w:rsid w:val="000E6C7B"/>
    <w:rsid w:val="000E6DA6"/>
    <w:rsid w:val="000E7146"/>
    <w:rsid w:val="000E72F9"/>
    <w:rsid w:val="000E741A"/>
    <w:rsid w:val="000E7428"/>
    <w:rsid w:val="000E755A"/>
    <w:rsid w:val="000E76D0"/>
    <w:rsid w:val="000E77BE"/>
    <w:rsid w:val="000E7906"/>
    <w:rsid w:val="000E79A7"/>
    <w:rsid w:val="000E79EA"/>
    <w:rsid w:val="000E7AFD"/>
    <w:rsid w:val="000E7B4F"/>
    <w:rsid w:val="000E7D3A"/>
    <w:rsid w:val="000F008D"/>
    <w:rsid w:val="000F0598"/>
    <w:rsid w:val="000F06B8"/>
    <w:rsid w:val="000F06EF"/>
    <w:rsid w:val="000F0742"/>
    <w:rsid w:val="000F08C0"/>
    <w:rsid w:val="000F0A8C"/>
    <w:rsid w:val="000F0B48"/>
    <w:rsid w:val="000F0B6F"/>
    <w:rsid w:val="000F0CA4"/>
    <w:rsid w:val="000F0D96"/>
    <w:rsid w:val="000F0EB7"/>
    <w:rsid w:val="000F1080"/>
    <w:rsid w:val="000F10D2"/>
    <w:rsid w:val="000F128D"/>
    <w:rsid w:val="000F13CF"/>
    <w:rsid w:val="000F13D5"/>
    <w:rsid w:val="000F150B"/>
    <w:rsid w:val="000F155B"/>
    <w:rsid w:val="000F17A9"/>
    <w:rsid w:val="000F1800"/>
    <w:rsid w:val="000F1858"/>
    <w:rsid w:val="000F1B97"/>
    <w:rsid w:val="000F1BCF"/>
    <w:rsid w:val="000F1DC9"/>
    <w:rsid w:val="000F1EBB"/>
    <w:rsid w:val="000F1EE1"/>
    <w:rsid w:val="000F1EEE"/>
    <w:rsid w:val="000F1FFC"/>
    <w:rsid w:val="000F2245"/>
    <w:rsid w:val="000F2368"/>
    <w:rsid w:val="000F25C2"/>
    <w:rsid w:val="000F294D"/>
    <w:rsid w:val="000F2969"/>
    <w:rsid w:val="000F29CF"/>
    <w:rsid w:val="000F2B08"/>
    <w:rsid w:val="000F2CF4"/>
    <w:rsid w:val="000F2D77"/>
    <w:rsid w:val="000F2FBF"/>
    <w:rsid w:val="000F3108"/>
    <w:rsid w:val="000F32A7"/>
    <w:rsid w:val="000F32F8"/>
    <w:rsid w:val="000F342B"/>
    <w:rsid w:val="000F3437"/>
    <w:rsid w:val="000F3520"/>
    <w:rsid w:val="000F3840"/>
    <w:rsid w:val="000F3854"/>
    <w:rsid w:val="000F3A17"/>
    <w:rsid w:val="000F3A2C"/>
    <w:rsid w:val="000F3D9E"/>
    <w:rsid w:val="000F3FB4"/>
    <w:rsid w:val="000F4093"/>
    <w:rsid w:val="000F4148"/>
    <w:rsid w:val="000F42A1"/>
    <w:rsid w:val="000F42A6"/>
    <w:rsid w:val="000F445C"/>
    <w:rsid w:val="000F45B6"/>
    <w:rsid w:val="000F45C4"/>
    <w:rsid w:val="000F48F2"/>
    <w:rsid w:val="000F4912"/>
    <w:rsid w:val="000F4B2F"/>
    <w:rsid w:val="000F4B62"/>
    <w:rsid w:val="000F4B7F"/>
    <w:rsid w:val="000F4C54"/>
    <w:rsid w:val="000F4CC2"/>
    <w:rsid w:val="000F4CEF"/>
    <w:rsid w:val="000F4F39"/>
    <w:rsid w:val="000F5022"/>
    <w:rsid w:val="000F5079"/>
    <w:rsid w:val="000F525A"/>
    <w:rsid w:val="000F529E"/>
    <w:rsid w:val="000F52B8"/>
    <w:rsid w:val="000F5611"/>
    <w:rsid w:val="000F57DA"/>
    <w:rsid w:val="000F592F"/>
    <w:rsid w:val="000F5B75"/>
    <w:rsid w:val="000F5B82"/>
    <w:rsid w:val="000F5C18"/>
    <w:rsid w:val="000F5D11"/>
    <w:rsid w:val="000F5D91"/>
    <w:rsid w:val="000F5DC5"/>
    <w:rsid w:val="000F5FC5"/>
    <w:rsid w:val="000F6242"/>
    <w:rsid w:val="000F63D0"/>
    <w:rsid w:val="000F67C8"/>
    <w:rsid w:val="000F69DF"/>
    <w:rsid w:val="000F6A7F"/>
    <w:rsid w:val="000F6CC9"/>
    <w:rsid w:val="000F6E51"/>
    <w:rsid w:val="000F70B5"/>
    <w:rsid w:val="000F736A"/>
    <w:rsid w:val="000F7385"/>
    <w:rsid w:val="000F739E"/>
    <w:rsid w:val="000F73E1"/>
    <w:rsid w:val="000F74D9"/>
    <w:rsid w:val="000F75EE"/>
    <w:rsid w:val="000F7618"/>
    <w:rsid w:val="000F7908"/>
    <w:rsid w:val="000F7A06"/>
    <w:rsid w:val="00100036"/>
    <w:rsid w:val="00100209"/>
    <w:rsid w:val="00100516"/>
    <w:rsid w:val="0010051E"/>
    <w:rsid w:val="0010060A"/>
    <w:rsid w:val="0010061F"/>
    <w:rsid w:val="00100718"/>
    <w:rsid w:val="00100768"/>
    <w:rsid w:val="00100866"/>
    <w:rsid w:val="00100B22"/>
    <w:rsid w:val="00100DBC"/>
    <w:rsid w:val="00100E1C"/>
    <w:rsid w:val="00100EA2"/>
    <w:rsid w:val="00101108"/>
    <w:rsid w:val="00101315"/>
    <w:rsid w:val="0010140D"/>
    <w:rsid w:val="001014ED"/>
    <w:rsid w:val="001014FB"/>
    <w:rsid w:val="001018A9"/>
    <w:rsid w:val="00101906"/>
    <w:rsid w:val="00101919"/>
    <w:rsid w:val="00101C08"/>
    <w:rsid w:val="00101C78"/>
    <w:rsid w:val="00101CB9"/>
    <w:rsid w:val="00101DB5"/>
    <w:rsid w:val="00101DEB"/>
    <w:rsid w:val="00101E84"/>
    <w:rsid w:val="00101F47"/>
    <w:rsid w:val="00101FCE"/>
    <w:rsid w:val="0010221B"/>
    <w:rsid w:val="001022E3"/>
    <w:rsid w:val="00102547"/>
    <w:rsid w:val="0010258C"/>
    <w:rsid w:val="00102C41"/>
    <w:rsid w:val="00102D0E"/>
    <w:rsid w:val="00102D50"/>
    <w:rsid w:val="00102D84"/>
    <w:rsid w:val="00103039"/>
    <w:rsid w:val="00103041"/>
    <w:rsid w:val="0010361E"/>
    <w:rsid w:val="00103622"/>
    <w:rsid w:val="0010373B"/>
    <w:rsid w:val="00103B7D"/>
    <w:rsid w:val="00103DEF"/>
    <w:rsid w:val="00103FF4"/>
    <w:rsid w:val="001040D7"/>
    <w:rsid w:val="001042EB"/>
    <w:rsid w:val="001043BF"/>
    <w:rsid w:val="0010450B"/>
    <w:rsid w:val="001045AC"/>
    <w:rsid w:val="001045AF"/>
    <w:rsid w:val="001045F0"/>
    <w:rsid w:val="001047FD"/>
    <w:rsid w:val="00104845"/>
    <w:rsid w:val="00104919"/>
    <w:rsid w:val="00104B0D"/>
    <w:rsid w:val="00104B8F"/>
    <w:rsid w:val="00104C41"/>
    <w:rsid w:val="00104D3A"/>
    <w:rsid w:val="00104DC5"/>
    <w:rsid w:val="00104E27"/>
    <w:rsid w:val="00104E9C"/>
    <w:rsid w:val="00105046"/>
    <w:rsid w:val="00105055"/>
    <w:rsid w:val="00105063"/>
    <w:rsid w:val="00105121"/>
    <w:rsid w:val="001051FF"/>
    <w:rsid w:val="0010533C"/>
    <w:rsid w:val="00105360"/>
    <w:rsid w:val="001053FC"/>
    <w:rsid w:val="001054A2"/>
    <w:rsid w:val="00105742"/>
    <w:rsid w:val="00105821"/>
    <w:rsid w:val="00105B35"/>
    <w:rsid w:val="00105DBC"/>
    <w:rsid w:val="00105DF3"/>
    <w:rsid w:val="00105F0A"/>
    <w:rsid w:val="001061A8"/>
    <w:rsid w:val="001061C4"/>
    <w:rsid w:val="0010638F"/>
    <w:rsid w:val="001063A0"/>
    <w:rsid w:val="001063C1"/>
    <w:rsid w:val="001063C6"/>
    <w:rsid w:val="001064D2"/>
    <w:rsid w:val="0010659F"/>
    <w:rsid w:val="0010672F"/>
    <w:rsid w:val="00106856"/>
    <w:rsid w:val="00106929"/>
    <w:rsid w:val="001069AC"/>
    <w:rsid w:val="001069C0"/>
    <w:rsid w:val="00106A26"/>
    <w:rsid w:val="00106B2E"/>
    <w:rsid w:val="00106B49"/>
    <w:rsid w:val="00106CA6"/>
    <w:rsid w:val="001070B4"/>
    <w:rsid w:val="00107197"/>
    <w:rsid w:val="001072BB"/>
    <w:rsid w:val="001072F7"/>
    <w:rsid w:val="00107344"/>
    <w:rsid w:val="00107582"/>
    <w:rsid w:val="001076C5"/>
    <w:rsid w:val="00107805"/>
    <w:rsid w:val="00107947"/>
    <w:rsid w:val="001079A6"/>
    <w:rsid w:val="00107A06"/>
    <w:rsid w:val="00107A68"/>
    <w:rsid w:val="00107B8A"/>
    <w:rsid w:val="00107BDE"/>
    <w:rsid w:val="00107D59"/>
    <w:rsid w:val="00107F33"/>
    <w:rsid w:val="00107F9B"/>
    <w:rsid w:val="001100A0"/>
    <w:rsid w:val="001103BE"/>
    <w:rsid w:val="001104A9"/>
    <w:rsid w:val="00110547"/>
    <w:rsid w:val="001107B1"/>
    <w:rsid w:val="00110869"/>
    <w:rsid w:val="001108D9"/>
    <w:rsid w:val="001108F7"/>
    <w:rsid w:val="001109DE"/>
    <w:rsid w:val="00110B51"/>
    <w:rsid w:val="00110B68"/>
    <w:rsid w:val="00110BC9"/>
    <w:rsid w:val="00110CBA"/>
    <w:rsid w:val="00110DEE"/>
    <w:rsid w:val="0011149E"/>
    <w:rsid w:val="001115AF"/>
    <w:rsid w:val="001117A1"/>
    <w:rsid w:val="001117E0"/>
    <w:rsid w:val="001118B4"/>
    <w:rsid w:val="00111B6B"/>
    <w:rsid w:val="00111B9F"/>
    <w:rsid w:val="00111D5A"/>
    <w:rsid w:val="00111DEB"/>
    <w:rsid w:val="00111F5A"/>
    <w:rsid w:val="001120A1"/>
    <w:rsid w:val="00112262"/>
    <w:rsid w:val="001122D4"/>
    <w:rsid w:val="001123AA"/>
    <w:rsid w:val="00112432"/>
    <w:rsid w:val="001127D4"/>
    <w:rsid w:val="0011289F"/>
    <w:rsid w:val="00112954"/>
    <w:rsid w:val="00112BF9"/>
    <w:rsid w:val="00112D0D"/>
    <w:rsid w:val="00112D1A"/>
    <w:rsid w:val="001134A7"/>
    <w:rsid w:val="00113624"/>
    <w:rsid w:val="00113786"/>
    <w:rsid w:val="00113906"/>
    <w:rsid w:val="001139A1"/>
    <w:rsid w:val="00113B1B"/>
    <w:rsid w:val="00113B5A"/>
    <w:rsid w:val="00113CCF"/>
    <w:rsid w:val="00114056"/>
    <w:rsid w:val="001140F4"/>
    <w:rsid w:val="00114119"/>
    <w:rsid w:val="001144B5"/>
    <w:rsid w:val="0011466C"/>
    <w:rsid w:val="001149BE"/>
    <w:rsid w:val="00114A3D"/>
    <w:rsid w:val="00114BD4"/>
    <w:rsid w:val="00114D79"/>
    <w:rsid w:val="00114DC0"/>
    <w:rsid w:val="00114E3E"/>
    <w:rsid w:val="00114FBC"/>
    <w:rsid w:val="0011517E"/>
    <w:rsid w:val="001152AF"/>
    <w:rsid w:val="0011531C"/>
    <w:rsid w:val="0011545D"/>
    <w:rsid w:val="001154C2"/>
    <w:rsid w:val="001156C4"/>
    <w:rsid w:val="001156F7"/>
    <w:rsid w:val="0011572D"/>
    <w:rsid w:val="001157FA"/>
    <w:rsid w:val="0011583D"/>
    <w:rsid w:val="00115909"/>
    <w:rsid w:val="0011591D"/>
    <w:rsid w:val="00115956"/>
    <w:rsid w:val="00115A0D"/>
    <w:rsid w:val="00115D5A"/>
    <w:rsid w:val="00115E7D"/>
    <w:rsid w:val="00115F5D"/>
    <w:rsid w:val="001160A5"/>
    <w:rsid w:val="0011633B"/>
    <w:rsid w:val="0011640E"/>
    <w:rsid w:val="0011645E"/>
    <w:rsid w:val="001164A1"/>
    <w:rsid w:val="0011663F"/>
    <w:rsid w:val="00116698"/>
    <w:rsid w:val="00116699"/>
    <w:rsid w:val="00116C79"/>
    <w:rsid w:val="00116E81"/>
    <w:rsid w:val="00116ECB"/>
    <w:rsid w:val="00117220"/>
    <w:rsid w:val="001172ED"/>
    <w:rsid w:val="001172F9"/>
    <w:rsid w:val="00117446"/>
    <w:rsid w:val="001176AE"/>
    <w:rsid w:val="001176DB"/>
    <w:rsid w:val="0011774A"/>
    <w:rsid w:val="00117864"/>
    <w:rsid w:val="00117905"/>
    <w:rsid w:val="00117AA6"/>
    <w:rsid w:val="00117CBF"/>
    <w:rsid w:val="00117D38"/>
    <w:rsid w:val="00117DB3"/>
    <w:rsid w:val="00117DBD"/>
    <w:rsid w:val="00117E46"/>
    <w:rsid w:val="00117F06"/>
    <w:rsid w:val="00117F8A"/>
    <w:rsid w:val="00117F91"/>
    <w:rsid w:val="00117FE2"/>
    <w:rsid w:val="001200DC"/>
    <w:rsid w:val="0012028F"/>
    <w:rsid w:val="0012040A"/>
    <w:rsid w:val="00120443"/>
    <w:rsid w:val="0012063D"/>
    <w:rsid w:val="00120894"/>
    <w:rsid w:val="001208C7"/>
    <w:rsid w:val="001208DE"/>
    <w:rsid w:val="00120A2E"/>
    <w:rsid w:val="00120A8B"/>
    <w:rsid w:val="00120C5E"/>
    <w:rsid w:val="00120E7A"/>
    <w:rsid w:val="00121537"/>
    <w:rsid w:val="00121814"/>
    <w:rsid w:val="001219D1"/>
    <w:rsid w:val="00121D8A"/>
    <w:rsid w:val="001221FA"/>
    <w:rsid w:val="0012225C"/>
    <w:rsid w:val="00122411"/>
    <w:rsid w:val="00122690"/>
    <w:rsid w:val="0012292B"/>
    <w:rsid w:val="00122A96"/>
    <w:rsid w:val="00122AC8"/>
    <w:rsid w:val="00122B23"/>
    <w:rsid w:val="00122B46"/>
    <w:rsid w:val="00122C17"/>
    <w:rsid w:val="00122C83"/>
    <w:rsid w:val="00122DAE"/>
    <w:rsid w:val="00122E3F"/>
    <w:rsid w:val="00122FA0"/>
    <w:rsid w:val="00123540"/>
    <w:rsid w:val="00123692"/>
    <w:rsid w:val="001236BE"/>
    <w:rsid w:val="00123769"/>
    <w:rsid w:val="001237EB"/>
    <w:rsid w:val="00123C68"/>
    <w:rsid w:val="00123E33"/>
    <w:rsid w:val="00123F98"/>
    <w:rsid w:val="0012417D"/>
    <w:rsid w:val="00124407"/>
    <w:rsid w:val="0012442B"/>
    <w:rsid w:val="001249B3"/>
    <w:rsid w:val="00124A38"/>
    <w:rsid w:val="00124B0E"/>
    <w:rsid w:val="00124B68"/>
    <w:rsid w:val="00124BA8"/>
    <w:rsid w:val="00124BB1"/>
    <w:rsid w:val="00124BDD"/>
    <w:rsid w:val="00124CA2"/>
    <w:rsid w:val="00124CA8"/>
    <w:rsid w:val="00124CC3"/>
    <w:rsid w:val="00124DD5"/>
    <w:rsid w:val="00124E39"/>
    <w:rsid w:val="0012517F"/>
    <w:rsid w:val="00125291"/>
    <w:rsid w:val="001252AB"/>
    <w:rsid w:val="00125322"/>
    <w:rsid w:val="0012555C"/>
    <w:rsid w:val="001255BC"/>
    <w:rsid w:val="001255FD"/>
    <w:rsid w:val="0012567D"/>
    <w:rsid w:val="0012592B"/>
    <w:rsid w:val="00125973"/>
    <w:rsid w:val="001259FC"/>
    <w:rsid w:val="00125A10"/>
    <w:rsid w:val="00125A50"/>
    <w:rsid w:val="00125B1C"/>
    <w:rsid w:val="00125D32"/>
    <w:rsid w:val="00125FFE"/>
    <w:rsid w:val="0012603E"/>
    <w:rsid w:val="001260D5"/>
    <w:rsid w:val="001261AA"/>
    <w:rsid w:val="0012638F"/>
    <w:rsid w:val="0012639E"/>
    <w:rsid w:val="001264FF"/>
    <w:rsid w:val="001265B9"/>
    <w:rsid w:val="001265C8"/>
    <w:rsid w:val="00126703"/>
    <w:rsid w:val="001269D1"/>
    <w:rsid w:val="00126B4A"/>
    <w:rsid w:val="00126BB9"/>
    <w:rsid w:val="00126BDA"/>
    <w:rsid w:val="00126CEE"/>
    <w:rsid w:val="00126EC6"/>
    <w:rsid w:val="00126EF5"/>
    <w:rsid w:val="0012703C"/>
    <w:rsid w:val="001271E7"/>
    <w:rsid w:val="0012733F"/>
    <w:rsid w:val="00127406"/>
    <w:rsid w:val="0012758A"/>
    <w:rsid w:val="001275C3"/>
    <w:rsid w:val="0012774A"/>
    <w:rsid w:val="001277C3"/>
    <w:rsid w:val="001278FC"/>
    <w:rsid w:val="00127A27"/>
    <w:rsid w:val="00127B89"/>
    <w:rsid w:val="00127B93"/>
    <w:rsid w:val="00127CB9"/>
    <w:rsid w:val="00127E2A"/>
    <w:rsid w:val="00127EA3"/>
    <w:rsid w:val="00127F3D"/>
    <w:rsid w:val="0013029D"/>
    <w:rsid w:val="001304A8"/>
    <w:rsid w:val="001304D8"/>
    <w:rsid w:val="001304E1"/>
    <w:rsid w:val="0013066E"/>
    <w:rsid w:val="00130EB7"/>
    <w:rsid w:val="00130EE5"/>
    <w:rsid w:val="001310F3"/>
    <w:rsid w:val="0013116C"/>
    <w:rsid w:val="0013134F"/>
    <w:rsid w:val="0013149B"/>
    <w:rsid w:val="0013165A"/>
    <w:rsid w:val="0013189D"/>
    <w:rsid w:val="001318DE"/>
    <w:rsid w:val="001319A2"/>
    <w:rsid w:val="00131BFD"/>
    <w:rsid w:val="00131C81"/>
    <w:rsid w:val="00131D0A"/>
    <w:rsid w:val="00131D6B"/>
    <w:rsid w:val="00131DE8"/>
    <w:rsid w:val="00131E33"/>
    <w:rsid w:val="00131F7C"/>
    <w:rsid w:val="00131FA8"/>
    <w:rsid w:val="001320B9"/>
    <w:rsid w:val="0013223C"/>
    <w:rsid w:val="00132265"/>
    <w:rsid w:val="0013238E"/>
    <w:rsid w:val="001324EF"/>
    <w:rsid w:val="001327CF"/>
    <w:rsid w:val="001327D9"/>
    <w:rsid w:val="001327EC"/>
    <w:rsid w:val="001329BE"/>
    <w:rsid w:val="00132A06"/>
    <w:rsid w:val="00132A1A"/>
    <w:rsid w:val="00132A8B"/>
    <w:rsid w:val="00132C8B"/>
    <w:rsid w:val="00132CC7"/>
    <w:rsid w:val="0013300E"/>
    <w:rsid w:val="0013330A"/>
    <w:rsid w:val="00133B12"/>
    <w:rsid w:val="00133BEA"/>
    <w:rsid w:val="00133CDF"/>
    <w:rsid w:val="00133DBF"/>
    <w:rsid w:val="00133F11"/>
    <w:rsid w:val="00133FB6"/>
    <w:rsid w:val="00133FF0"/>
    <w:rsid w:val="00134042"/>
    <w:rsid w:val="0013408F"/>
    <w:rsid w:val="00134375"/>
    <w:rsid w:val="001343A2"/>
    <w:rsid w:val="00134456"/>
    <w:rsid w:val="00134473"/>
    <w:rsid w:val="001344D0"/>
    <w:rsid w:val="00134516"/>
    <w:rsid w:val="00134633"/>
    <w:rsid w:val="00134654"/>
    <w:rsid w:val="001349DA"/>
    <w:rsid w:val="00134D59"/>
    <w:rsid w:val="00134E54"/>
    <w:rsid w:val="001350E9"/>
    <w:rsid w:val="001350F9"/>
    <w:rsid w:val="0013573C"/>
    <w:rsid w:val="001358BA"/>
    <w:rsid w:val="001358C1"/>
    <w:rsid w:val="00135A8B"/>
    <w:rsid w:val="00135BDA"/>
    <w:rsid w:val="00135BE7"/>
    <w:rsid w:val="00135C5B"/>
    <w:rsid w:val="00135E58"/>
    <w:rsid w:val="001360DF"/>
    <w:rsid w:val="0013627C"/>
    <w:rsid w:val="00136290"/>
    <w:rsid w:val="001362E9"/>
    <w:rsid w:val="0013649E"/>
    <w:rsid w:val="00136552"/>
    <w:rsid w:val="001366F7"/>
    <w:rsid w:val="001367D7"/>
    <w:rsid w:val="00136A23"/>
    <w:rsid w:val="00136D7D"/>
    <w:rsid w:val="00136E75"/>
    <w:rsid w:val="00136EE8"/>
    <w:rsid w:val="00137040"/>
    <w:rsid w:val="0013747B"/>
    <w:rsid w:val="0013763F"/>
    <w:rsid w:val="00137664"/>
    <w:rsid w:val="001376F0"/>
    <w:rsid w:val="0013771C"/>
    <w:rsid w:val="00137722"/>
    <w:rsid w:val="0013779F"/>
    <w:rsid w:val="0013788F"/>
    <w:rsid w:val="00137A36"/>
    <w:rsid w:val="00137C23"/>
    <w:rsid w:val="00137C74"/>
    <w:rsid w:val="00137C9C"/>
    <w:rsid w:val="0014007A"/>
    <w:rsid w:val="001401B4"/>
    <w:rsid w:val="0014024C"/>
    <w:rsid w:val="001404B6"/>
    <w:rsid w:val="001404ED"/>
    <w:rsid w:val="0014054B"/>
    <w:rsid w:val="001405DB"/>
    <w:rsid w:val="001405FB"/>
    <w:rsid w:val="0014092E"/>
    <w:rsid w:val="00140997"/>
    <w:rsid w:val="00140BC3"/>
    <w:rsid w:val="00140D9D"/>
    <w:rsid w:val="00140ECC"/>
    <w:rsid w:val="00140F28"/>
    <w:rsid w:val="001413BF"/>
    <w:rsid w:val="0014189E"/>
    <w:rsid w:val="001418C9"/>
    <w:rsid w:val="001418D9"/>
    <w:rsid w:val="00141944"/>
    <w:rsid w:val="001419C4"/>
    <w:rsid w:val="00141C7C"/>
    <w:rsid w:val="00141D73"/>
    <w:rsid w:val="00141E33"/>
    <w:rsid w:val="00141E61"/>
    <w:rsid w:val="00141EDC"/>
    <w:rsid w:val="0014203A"/>
    <w:rsid w:val="001422D1"/>
    <w:rsid w:val="0014237E"/>
    <w:rsid w:val="00142388"/>
    <w:rsid w:val="001423FA"/>
    <w:rsid w:val="0014242B"/>
    <w:rsid w:val="001426C9"/>
    <w:rsid w:val="00142911"/>
    <w:rsid w:val="00142971"/>
    <w:rsid w:val="00142C8B"/>
    <w:rsid w:val="00142DFD"/>
    <w:rsid w:val="00142E74"/>
    <w:rsid w:val="00143042"/>
    <w:rsid w:val="0014313B"/>
    <w:rsid w:val="001431A2"/>
    <w:rsid w:val="00143256"/>
    <w:rsid w:val="0014338B"/>
    <w:rsid w:val="00143613"/>
    <w:rsid w:val="00143985"/>
    <w:rsid w:val="00143987"/>
    <w:rsid w:val="00143A2A"/>
    <w:rsid w:val="00143A4A"/>
    <w:rsid w:val="00143B1F"/>
    <w:rsid w:val="00143B5E"/>
    <w:rsid w:val="00143C74"/>
    <w:rsid w:val="00143CEC"/>
    <w:rsid w:val="00143D24"/>
    <w:rsid w:val="00143D3F"/>
    <w:rsid w:val="00143D9C"/>
    <w:rsid w:val="00143DD9"/>
    <w:rsid w:val="00143FA1"/>
    <w:rsid w:val="0014401F"/>
    <w:rsid w:val="00144183"/>
    <w:rsid w:val="001442F1"/>
    <w:rsid w:val="0014436B"/>
    <w:rsid w:val="001443F4"/>
    <w:rsid w:val="00144401"/>
    <w:rsid w:val="00144422"/>
    <w:rsid w:val="0014447E"/>
    <w:rsid w:val="00144487"/>
    <w:rsid w:val="00144856"/>
    <w:rsid w:val="00144A37"/>
    <w:rsid w:val="00144AC1"/>
    <w:rsid w:val="00144EE6"/>
    <w:rsid w:val="00144FF9"/>
    <w:rsid w:val="001450AF"/>
    <w:rsid w:val="00145138"/>
    <w:rsid w:val="0014518A"/>
    <w:rsid w:val="001455D7"/>
    <w:rsid w:val="00145771"/>
    <w:rsid w:val="0014586B"/>
    <w:rsid w:val="00145941"/>
    <w:rsid w:val="00145BD1"/>
    <w:rsid w:val="00145CEF"/>
    <w:rsid w:val="00145D28"/>
    <w:rsid w:val="00145D66"/>
    <w:rsid w:val="00145DD1"/>
    <w:rsid w:val="00145EDC"/>
    <w:rsid w:val="00145F8C"/>
    <w:rsid w:val="00145FDE"/>
    <w:rsid w:val="001462EF"/>
    <w:rsid w:val="0014636A"/>
    <w:rsid w:val="001464A0"/>
    <w:rsid w:val="0014654A"/>
    <w:rsid w:val="0014656E"/>
    <w:rsid w:val="0014662E"/>
    <w:rsid w:val="001466B7"/>
    <w:rsid w:val="0014673B"/>
    <w:rsid w:val="00146CF4"/>
    <w:rsid w:val="00146D0E"/>
    <w:rsid w:val="00146E38"/>
    <w:rsid w:val="00147135"/>
    <w:rsid w:val="00147137"/>
    <w:rsid w:val="00147206"/>
    <w:rsid w:val="0014736A"/>
    <w:rsid w:val="001473CD"/>
    <w:rsid w:val="0014750C"/>
    <w:rsid w:val="001477D9"/>
    <w:rsid w:val="001477F6"/>
    <w:rsid w:val="001478B2"/>
    <w:rsid w:val="00147B0D"/>
    <w:rsid w:val="00147BEF"/>
    <w:rsid w:val="00147CD5"/>
    <w:rsid w:val="00147CED"/>
    <w:rsid w:val="00147D27"/>
    <w:rsid w:val="00147F47"/>
    <w:rsid w:val="00147F62"/>
    <w:rsid w:val="00147F68"/>
    <w:rsid w:val="00147FF7"/>
    <w:rsid w:val="0015027F"/>
    <w:rsid w:val="00150383"/>
    <w:rsid w:val="00150499"/>
    <w:rsid w:val="0015056C"/>
    <w:rsid w:val="00150598"/>
    <w:rsid w:val="001506EE"/>
    <w:rsid w:val="00150716"/>
    <w:rsid w:val="001507C8"/>
    <w:rsid w:val="001507E6"/>
    <w:rsid w:val="0015088B"/>
    <w:rsid w:val="001509BE"/>
    <w:rsid w:val="00150B11"/>
    <w:rsid w:val="00150B58"/>
    <w:rsid w:val="00150C25"/>
    <w:rsid w:val="00150CB9"/>
    <w:rsid w:val="00150DDA"/>
    <w:rsid w:val="00150DE4"/>
    <w:rsid w:val="00150E4C"/>
    <w:rsid w:val="00150E72"/>
    <w:rsid w:val="00150F55"/>
    <w:rsid w:val="00151028"/>
    <w:rsid w:val="00151062"/>
    <w:rsid w:val="0015115A"/>
    <w:rsid w:val="00151257"/>
    <w:rsid w:val="00151474"/>
    <w:rsid w:val="001516B5"/>
    <w:rsid w:val="00151766"/>
    <w:rsid w:val="0015181D"/>
    <w:rsid w:val="00151A16"/>
    <w:rsid w:val="00151B20"/>
    <w:rsid w:val="00151BA1"/>
    <w:rsid w:val="00151BBF"/>
    <w:rsid w:val="00151BE8"/>
    <w:rsid w:val="00151C93"/>
    <w:rsid w:val="00151E0F"/>
    <w:rsid w:val="00151F9B"/>
    <w:rsid w:val="001522A8"/>
    <w:rsid w:val="0015234C"/>
    <w:rsid w:val="0015249A"/>
    <w:rsid w:val="0015266E"/>
    <w:rsid w:val="00152711"/>
    <w:rsid w:val="00152896"/>
    <w:rsid w:val="0015299A"/>
    <w:rsid w:val="00152AF3"/>
    <w:rsid w:val="00152B33"/>
    <w:rsid w:val="00152D6B"/>
    <w:rsid w:val="00152F8A"/>
    <w:rsid w:val="0015312C"/>
    <w:rsid w:val="00153310"/>
    <w:rsid w:val="0015359A"/>
    <w:rsid w:val="0015377D"/>
    <w:rsid w:val="0015391B"/>
    <w:rsid w:val="00153939"/>
    <w:rsid w:val="00153A9D"/>
    <w:rsid w:val="00153BCA"/>
    <w:rsid w:val="00153D10"/>
    <w:rsid w:val="00153EAE"/>
    <w:rsid w:val="0015408D"/>
    <w:rsid w:val="001541B2"/>
    <w:rsid w:val="00154429"/>
    <w:rsid w:val="00154462"/>
    <w:rsid w:val="0015455A"/>
    <w:rsid w:val="001546F1"/>
    <w:rsid w:val="001549A3"/>
    <w:rsid w:val="00154B58"/>
    <w:rsid w:val="00154BCB"/>
    <w:rsid w:val="00154D7D"/>
    <w:rsid w:val="00154E03"/>
    <w:rsid w:val="00154E58"/>
    <w:rsid w:val="001552E9"/>
    <w:rsid w:val="00155332"/>
    <w:rsid w:val="001553A7"/>
    <w:rsid w:val="001553D9"/>
    <w:rsid w:val="00155547"/>
    <w:rsid w:val="001555DB"/>
    <w:rsid w:val="00155776"/>
    <w:rsid w:val="0015586F"/>
    <w:rsid w:val="001558DB"/>
    <w:rsid w:val="00155A41"/>
    <w:rsid w:val="00155A55"/>
    <w:rsid w:val="00155A64"/>
    <w:rsid w:val="00155C0A"/>
    <w:rsid w:val="00155CB7"/>
    <w:rsid w:val="00155CDE"/>
    <w:rsid w:val="0015605C"/>
    <w:rsid w:val="0015622D"/>
    <w:rsid w:val="001562D3"/>
    <w:rsid w:val="0015636F"/>
    <w:rsid w:val="0015653A"/>
    <w:rsid w:val="001565AD"/>
    <w:rsid w:val="001565E5"/>
    <w:rsid w:val="00156650"/>
    <w:rsid w:val="00156806"/>
    <w:rsid w:val="001569D5"/>
    <w:rsid w:val="00156B76"/>
    <w:rsid w:val="00156C93"/>
    <w:rsid w:val="00156CD1"/>
    <w:rsid w:val="00157064"/>
    <w:rsid w:val="001570E2"/>
    <w:rsid w:val="00157208"/>
    <w:rsid w:val="001574C2"/>
    <w:rsid w:val="001574C3"/>
    <w:rsid w:val="00157527"/>
    <w:rsid w:val="001575F2"/>
    <w:rsid w:val="0015761A"/>
    <w:rsid w:val="001577B6"/>
    <w:rsid w:val="00157CDB"/>
    <w:rsid w:val="00157D54"/>
    <w:rsid w:val="00157E9D"/>
    <w:rsid w:val="00157EF8"/>
    <w:rsid w:val="00160014"/>
    <w:rsid w:val="0016001C"/>
    <w:rsid w:val="0016021D"/>
    <w:rsid w:val="001602B4"/>
    <w:rsid w:val="001602FF"/>
    <w:rsid w:val="0016042B"/>
    <w:rsid w:val="00160432"/>
    <w:rsid w:val="00160848"/>
    <w:rsid w:val="001609C1"/>
    <w:rsid w:val="00160A0C"/>
    <w:rsid w:val="00160B01"/>
    <w:rsid w:val="00160F04"/>
    <w:rsid w:val="001610C0"/>
    <w:rsid w:val="001610DC"/>
    <w:rsid w:val="00161197"/>
    <w:rsid w:val="001612E8"/>
    <w:rsid w:val="00161622"/>
    <w:rsid w:val="001616BD"/>
    <w:rsid w:val="00161997"/>
    <w:rsid w:val="00161A18"/>
    <w:rsid w:val="00161A80"/>
    <w:rsid w:val="00161B14"/>
    <w:rsid w:val="00161D95"/>
    <w:rsid w:val="00161DED"/>
    <w:rsid w:val="00161F11"/>
    <w:rsid w:val="00162115"/>
    <w:rsid w:val="0016226A"/>
    <w:rsid w:val="001623D0"/>
    <w:rsid w:val="001623DF"/>
    <w:rsid w:val="00162461"/>
    <w:rsid w:val="0016247B"/>
    <w:rsid w:val="001625A7"/>
    <w:rsid w:val="00162632"/>
    <w:rsid w:val="001626CE"/>
    <w:rsid w:val="001627B7"/>
    <w:rsid w:val="001627EF"/>
    <w:rsid w:val="00162883"/>
    <w:rsid w:val="00162940"/>
    <w:rsid w:val="00162AB7"/>
    <w:rsid w:val="00162AE5"/>
    <w:rsid w:val="00162C4F"/>
    <w:rsid w:val="00162DC2"/>
    <w:rsid w:val="00162E94"/>
    <w:rsid w:val="00162EF5"/>
    <w:rsid w:val="00163171"/>
    <w:rsid w:val="00163183"/>
    <w:rsid w:val="001631A1"/>
    <w:rsid w:val="001631B6"/>
    <w:rsid w:val="0016325D"/>
    <w:rsid w:val="001632B1"/>
    <w:rsid w:val="00163310"/>
    <w:rsid w:val="00163330"/>
    <w:rsid w:val="0016340F"/>
    <w:rsid w:val="001635BF"/>
    <w:rsid w:val="00163638"/>
    <w:rsid w:val="0016373A"/>
    <w:rsid w:val="00163929"/>
    <w:rsid w:val="00163A8A"/>
    <w:rsid w:val="00163DB0"/>
    <w:rsid w:val="00163E98"/>
    <w:rsid w:val="00163F12"/>
    <w:rsid w:val="00164022"/>
    <w:rsid w:val="0016407A"/>
    <w:rsid w:val="001640B1"/>
    <w:rsid w:val="001640C7"/>
    <w:rsid w:val="0016416C"/>
    <w:rsid w:val="001641DE"/>
    <w:rsid w:val="001642F6"/>
    <w:rsid w:val="00164447"/>
    <w:rsid w:val="00164645"/>
    <w:rsid w:val="001647D4"/>
    <w:rsid w:val="0016480C"/>
    <w:rsid w:val="00164A72"/>
    <w:rsid w:val="00164A94"/>
    <w:rsid w:val="00164BE8"/>
    <w:rsid w:val="00164CB9"/>
    <w:rsid w:val="001650EA"/>
    <w:rsid w:val="00165142"/>
    <w:rsid w:val="0016529C"/>
    <w:rsid w:val="001652CA"/>
    <w:rsid w:val="001653A3"/>
    <w:rsid w:val="001653C8"/>
    <w:rsid w:val="001653EB"/>
    <w:rsid w:val="00165574"/>
    <w:rsid w:val="00165650"/>
    <w:rsid w:val="001656B3"/>
    <w:rsid w:val="0016584B"/>
    <w:rsid w:val="001658AA"/>
    <w:rsid w:val="00165911"/>
    <w:rsid w:val="00165B98"/>
    <w:rsid w:val="00165CE3"/>
    <w:rsid w:val="00165D3E"/>
    <w:rsid w:val="00165F4A"/>
    <w:rsid w:val="00166021"/>
    <w:rsid w:val="001660D3"/>
    <w:rsid w:val="001662B2"/>
    <w:rsid w:val="001663B0"/>
    <w:rsid w:val="0016643F"/>
    <w:rsid w:val="00166530"/>
    <w:rsid w:val="0016661E"/>
    <w:rsid w:val="001666D4"/>
    <w:rsid w:val="0016697F"/>
    <w:rsid w:val="001669A3"/>
    <w:rsid w:val="00166C97"/>
    <w:rsid w:val="00166CED"/>
    <w:rsid w:val="00166E45"/>
    <w:rsid w:val="00166FEF"/>
    <w:rsid w:val="001670A2"/>
    <w:rsid w:val="00167229"/>
    <w:rsid w:val="001674A7"/>
    <w:rsid w:val="001678AB"/>
    <w:rsid w:val="001679E8"/>
    <w:rsid w:val="00167AA5"/>
    <w:rsid w:val="00167E74"/>
    <w:rsid w:val="00167E98"/>
    <w:rsid w:val="00167E9B"/>
    <w:rsid w:val="0017006A"/>
    <w:rsid w:val="001701D2"/>
    <w:rsid w:val="0017026A"/>
    <w:rsid w:val="001702CE"/>
    <w:rsid w:val="00170469"/>
    <w:rsid w:val="00170488"/>
    <w:rsid w:val="00170B87"/>
    <w:rsid w:val="00170BAF"/>
    <w:rsid w:val="00170C19"/>
    <w:rsid w:val="00170C39"/>
    <w:rsid w:val="00170C82"/>
    <w:rsid w:val="00170C9B"/>
    <w:rsid w:val="00170CC6"/>
    <w:rsid w:val="00170D98"/>
    <w:rsid w:val="00170DA6"/>
    <w:rsid w:val="00170E20"/>
    <w:rsid w:val="00171160"/>
    <w:rsid w:val="001712DB"/>
    <w:rsid w:val="001713A6"/>
    <w:rsid w:val="00171700"/>
    <w:rsid w:val="0017171D"/>
    <w:rsid w:val="0017175E"/>
    <w:rsid w:val="0017196B"/>
    <w:rsid w:val="00171AB2"/>
    <w:rsid w:val="00171B03"/>
    <w:rsid w:val="00171D24"/>
    <w:rsid w:val="00171D66"/>
    <w:rsid w:val="00171DFF"/>
    <w:rsid w:val="0017202F"/>
    <w:rsid w:val="001720C8"/>
    <w:rsid w:val="001721A7"/>
    <w:rsid w:val="001721D6"/>
    <w:rsid w:val="00172325"/>
    <w:rsid w:val="00172809"/>
    <w:rsid w:val="00172834"/>
    <w:rsid w:val="00172936"/>
    <w:rsid w:val="0017298B"/>
    <w:rsid w:val="00172B0B"/>
    <w:rsid w:val="00172D34"/>
    <w:rsid w:val="0017342D"/>
    <w:rsid w:val="00173566"/>
    <w:rsid w:val="00173621"/>
    <w:rsid w:val="0017371D"/>
    <w:rsid w:val="001737B3"/>
    <w:rsid w:val="001737D3"/>
    <w:rsid w:val="0017394C"/>
    <w:rsid w:val="00173AAB"/>
    <w:rsid w:val="00173AB8"/>
    <w:rsid w:val="00173AF2"/>
    <w:rsid w:val="00173B2C"/>
    <w:rsid w:val="00173CD2"/>
    <w:rsid w:val="00173F54"/>
    <w:rsid w:val="001741B8"/>
    <w:rsid w:val="001743C6"/>
    <w:rsid w:val="00174560"/>
    <w:rsid w:val="001745A1"/>
    <w:rsid w:val="00174822"/>
    <w:rsid w:val="0017494A"/>
    <w:rsid w:val="00174D12"/>
    <w:rsid w:val="00174E3F"/>
    <w:rsid w:val="00175166"/>
    <w:rsid w:val="0017522F"/>
    <w:rsid w:val="001752B9"/>
    <w:rsid w:val="0017535F"/>
    <w:rsid w:val="0017539B"/>
    <w:rsid w:val="00175713"/>
    <w:rsid w:val="00175783"/>
    <w:rsid w:val="0017580F"/>
    <w:rsid w:val="00175871"/>
    <w:rsid w:val="0017587C"/>
    <w:rsid w:val="001759DC"/>
    <w:rsid w:val="00175A7C"/>
    <w:rsid w:val="00175AE9"/>
    <w:rsid w:val="00175C0C"/>
    <w:rsid w:val="00175CDA"/>
    <w:rsid w:val="00175DBC"/>
    <w:rsid w:val="00175F78"/>
    <w:rsid w:val="0017631A"/>
    <w:rsid w:val="001763B8"/>
    <w:rsid w:val="001766DF"/>
    <w:rsid w:val="00176713"/>
    <w:rsid w:val="00176986"/>
    <w:rsid w:val="001769E5"/>
    <w:rsid w:val="00176ABA"/>
    <w:rsid w:val="00176B6F"/>
    <w:rsid w:val="00176BF3"/>
    <w:rsid w:val="00176CB9"/>
    <w:rsid w:val="00176D96"/>
    <w:rsid w:val="00176FD8"/>
    <w:rsid w:val="00177000"/>
    <w:rsid w:val="00177121"/>
    <w:rsid w:val="001771E4"/>
    <w:rsid w:val="00177292"/>
    <w:rsid w:val="001775C8"/>
    <w:rsid w:val="001776B3"/>
    <w:rsid w:val="001779B5"/>
    <w:rsid w:val="00177AD4"/>
    <w:rsid w:val="00177D9F"/>
    <w:rsid w:val="00177DD4"/>
    <w:rsid w:val="0018073C"/>
    <w:rsid w:val="001807C2"/>
    <w:rsid w:val="00180959"/>
    <w:rsid w:val="00180A17"/>
    <w:rsid w:val="00180A68"/>
    <w:rsid w:val="00180B6C"/>
    <w:rsid w:val="00180CD9"/>
    <w:rsid w:val="00180DF5"/>
    <w:rsid w:val="00180E42"/>
    <w:rsid w:val="00180E97"/>
    <w:rsid w:val="00180E98"/>
    <w:rsid w:val="00180EC3"/>
    <w:rsid w:val="00180EC4"/>
    <w:rsid w:val="00180F0C"/>
    <w:rsid w:val="00180FE0"/>
    <w:rsid w:val="00181050"/>
    <w:rsid w:val="00181059"/>
    <w:rsid w:val="00181890"/>
    <w:rsid w:val="00181966"/>
    <w:rsid w:val="00181BD4"/>
    <w:rsid w:val="00181BE5"/>
    <w:rsid w:val="00181C9E"/>
    <w:rsid w:val="00181CF4"/>
    <w:rsid w:val="00181FC6"/>
    <w:rsid w:val="00182258"/>
    <w:rsid w:val="001826D7"/>
    <w:rsid w:val="001826F3"/>
    <w:rsid w:val="00182796"/>
    <w:rsid w:val="00182833"/>
    <w:rsid w:val="00182B1D"/>
    <w:rsid w:val="00182C8E"/>
    <w:rsid w:val="00182D5B"/>
    <w:rsid w:val="00182DF2"/>
    <w:rsid w:val="00182E0C"/>
    <w:rsid w:val="00182E75"/>
    <w:rsid w:val="00182FA3"/>
    <w:rsid w:val="00183160"/>
    <w:rsid w:val="00183312"/>
    <w:rsid w:val="00183450"/>
    <w:rsid w:val="00183566"/>
    <w:rsid w:val="00183818"/>
    <w:rsid w:val="001838A1"/>
    <w:rsid w:val="00183948"/>
    <w:rsid w:val="001839B8"/>
    <w:rsid w:val="00183DEA"/>
    <w:rsid w:val="00183F14"/>
    <w:rsid w:val="0018430D"/>
    <w:rsid w:val="001844E7"/>
    <w:rsid w:val="001846E3"/>
    <w:rsid w:val="001846F8"/>
    <w:rsid w:val="0018472B"/>
    <w:rsid w:val="0018490E"/>
    <w:rsid w:val="00184D39"/>
    <w:rsid w:val="00184E58"/>
    <w:rsid w:val="00185018"/>
    <w:rsid w:val="0018503A"/>
    <w:rsid w:val="0018513B"/>
    <w:rsid w:val="0018515F"/>
    <w:rsid w:val="00185672"/>
    <w:rsid w:val="00185707"/>
    <w:rsid w:val="00185858"/>
    <w:rsid w:val="00185931"/>
    <w:rsid w:val="001859B0"/>
    <w:rsid w:val="00185A90"/>
    <w:rsid w:val="00186044"/>
    <w:rsid w:val="0018611F"/>
    <w:rsid w:val="0018613A"/>
    <w:rsid w:val="00186371"/>
    <w:rsid w:val="00186379"/>
    <w:rsid w:val="001864E5"/>
    <w:rsid w:val="00186974"/>
    <w:rsid w:val="00186B20"/>
    <w:rsid w:val="00186E1E"/>
    <w:rsid w:val="00186E39"/>
    <w:rsid w:val="00186F2E"/>
    <w:rsid w:val="00186F35"/>
    <w:rsid w:val="00186F64"/>
    <w:rsid w:val="00186F79"/>
    <w:rsid w:val="00186FCD"/>
    <w:rsid w:val="001870E6"/>
    <w:rsid w:val="00187225"/>
    <w:rsid w:val="001872F7"/>
    <w:rsid w:val="00187315"/>
    <w:rsid w:val="00187339"/>
    <w:rsid w:val="001874A9"/>
    <w:rsid w:val="0018763A"/>
    <w:rsid w:val="00187764"/>
    <w:rsid w:val="00187823"/>
    <w:rsid w:val="00187C41"/>
    <w:rsid w:val="00187D1A"/>
    <w:rsid w:val="00187D75"/>
    <w:rsid w:val="00187F50"/>
    <w:rsid w:val="00187F99"/>
    <w:rsid w:val="00187FA1"/>
    <w:rsid w:val="00190035"/>
    <w:rsid w:val="00190159"/>
    <w:rsid w:val="001904F3"/>
    <w:rsid w:val="00190513"/>
    <w:rsid w:val="001906D6"/>
    <w:rsid w:val="0019089F"/>
    <w:rsid w:val="00190C90"/>
    <w:rsid w:val="00190C91"/>
    <w:rsid w:val="00190D08"/>
    <w:rsid w:val="00190D99"/>
    <w:rsid w:val="00190E3D"/>
    <w:rsid w:val="00190EC1"/>
    <w:rsid w:val="00190ED1"/>
    <w:rsid w:val="00190FCF"/>
    <w:rsid w:val="001910B4"/>
    <w:rsid w:val="001911AC"/>
    <w:rsid w:val="001911D8"/>
    <w:rsid w:val="001912A8"/>
    <w:rsid w:val="001913C2"/>
    <w:rsid w:val="00191794"/>
    <w:rsid w:val="00191A4A"/>
    <w:rsid w:val="00191B34"/>
    <w:rsid w:val="00191C84"/>
    <w:rsid w:val="00191D73"/>
    <w:rsid w:val="00191E6C"/>
    <w:rsid w:val="001920EC"/>
    <w:rsid w:val="001921BC"/>
    <w:rsid w:val="00192225"/>
    <w:rsid w:val="001922BD"/>
    <w:rsid w:val="00192578"/>
    <w:rsid w:val="001926CC"/>
    <w:rsid w:val="0019271D"/>
    <w:rsid w:val="001928A1"/>
    <w:rsid w:val="0019293A"/>
    <w:rsid w:val="00192AFE"/>
    <w:rsid w:val="00192B3D"/>
    <w:rsid w:val="00192B8F"/>
    <w:rsid w:val="00192BD2"/>
    <w:rsid w:val="00192D4D"/>
    <w:rsid w:val="00192D70"/>
    <w:rsid w:val="00192F76"/>
    <w:rsid w:val="001931B9"/>
    <w:rsid w:val="00193222"/>
    <w:rsid w:val="00193396"/>
    <w:rsid w:val="00193401"/>
    <w:rsid w:val="00193499"/>
    <w:rsid w:val="001934F9"/>
    <w:rsid w:val="00193663"/>
    <w:rsid w:val="00193712"/>
    <w:rsid w:val="00193798"/>
    <w:rsid w:val="00193A11"/>
    <w:rsid w:val="00193B63"/>
    <w:rsid w:val="00193DB2"/>
    <w:rsid w:val="00193DC8"/>
    <w:rsid w:val="00193DDA"/>
    <w:rsid w:val="00193E26"/>
    <w:rsid w:val="00193E8E"/>
    <w:rsid w:val="00193EBA"/>
    <w:rsid w:val="00194172"/>
    <w:rsid w:val="0019426F"/>
    <w:rsid w:val="0019436B"/>
    <w:rsid w:val="00194649"/>
    <w:rsid w:val="0019478C"/>
    <w:rsid w:val="00194871"/>
    <w:rsid w:val="001948F6"/>
    <w:rsid w:val="0019496A"/>
    <w:rsid w:val="001949EE"/>
    <w:rsid w:val="00194AD1"/>
    <w:rsid w:val="00194B2E"/>
    <w:rsid w:val="00194C02"/>
    <w:rsid w:val="00194CE9"/>
    <w:rsid w:val="00194F4C"/>
    <w:rsid w:val="00195014"/>
    <w:rsid w:val="0019502F"/>
    <w:rsid w:val="0019514E"/>
    <w:rsid w:val="00195265"/>
    <w:rsid w:val="001954A3"/>
    <w:rsid w:val="0019557F"/>
    <w:rsid w:val="00195664"/>
    <w:rsid w:val="00195699"/>
    <w:rsid w:val="00195883"/>
    <w:rsid w:val="00195B71"/>
    <w:rsid w:val="00195B89"/>
    <w:rsid w:val="00195D82"/>
    <w:rsid w:val="00195D8B"/>
    <w:rsid w:val="00195E20"/>
    <w:rsid w:val="00195EAB"/>
    <w:rsid w:val="00195EB4"/>
    <w:rsid w:val="00196014"/>
    <w:rsid w:val="0019614D"/>
    <w:rsid w:val="00196251"/>
    <w:rsid w:val="001964BB"/>
    <w:rsid w:val="00196540"/>
    <w:rsid w:val="0019664A"/>
    <w:rsid w:val="00196688"/>
    <w:rsid w:val="0019668F"/>
    <w:rsid w:val="00196709"/>
    <w:rsid w:val="0019675B"/>
    <w:rsid w:val="001967D2"/>
    <w:rsid w:val="0019684C"/>
    <w:rsid w:val="0019686A"/>
    <w:rsid w:val="00196E41"/>
    <w:rsid w:val="00196F69"/>
    <w:rsid w:val="00197043"/>
    <w:rsid w:val="001970DF"/>
    <w:rsid w:val="0019748C"/>
    <w:rsid w:val="0019751F"/>
    <w:rsid w:val="0019777E"/>
    <w:rsid w:val="00197A7A"/>
    <w:rsid w:val="00197B94"/>
    <w:rsid w:val="00197B9D"/>
    <w:rsid w:val="00197C1A"/>
    <w:rsid w:val="00197D09"/>
    <w:rsid w:val="00197D64"/>
    <w:rsid w:val="00197F9A"/>
    <w:rsid w:val="001A003D"/>
    <w:rsid w:val="001A02C6"/>
    <w:rsid w:val="001A0357"/>
    <w:rsid w:val="001A062B"/>
    <w:rsid w:val="001A070F"/>
    <w:rsid w:val="001A0B86"/>
    <w:rsid w:val="001A0D03"/>
    <w:rsid w:val="001A0DA8"/>
    <w:rsid w:val="001A0E55"/>
    <w:rsid w:val="001A0FEE"/>
    <w:rsid w:val="001A106B"/>
    <w:rsid w:val="001A1119"/>
    <w:rsid w:val="001A1359"/>
    <w:rsid w:val="001A15D5"/>
    <w:rsid w:val="001A1693"/>
    <w:rsid w:val="001A1840"/>
    <w:rsid w:val="001A18DE"/>
    <w:rsid w:val="001A1C03"/>
    <w:rsid w:val="001A1C8D"/>
    <w:rsid w:val="001A1E8F"/>
    <w:rsid w:val="001A1EA1"/>
    <w:rsid w:val="001A1F2A"/>
    <w:rsid w:val="001A1F7B"/>
    <w:rsid w:val="001A2096"/>
    <w:rsid w:val="001A211A"/>
    <w:rsid w:val="001A2234"/>
    <w:rsid w:val="001A23F8"/>
    <w:rsid w:val="001A265E"/>
    <w:rsid w:val="001A2834"/>
    <w:rsid w:val="001A2881"/>
    <w:rsid w:val="001A2894"/>
    <w:rsid w:val="001A2A39"/>
    <w:rsid w:val="001A2C8C"/>
    <w:rsid w:val="001A2DDC"/>
    <w:rsid w:val="001A32B4"/>
    <w:rsid w:val="001A32C5"/>
    <w:rsid w:val="001A33F6"/>
    <w:rsid w:val="001A3467"/>
    <w:rsid w:val="001A35EB"/>
    <w:rsid w:val="001A3651"/>
    <w:rsid w:val="001A3724"/>
    <w:rsid w:val="001A372E"/>
    <w:rsid w:val="001A39C8"/>
    <w:rsid w:val="001A39D1"/>
    <w:rsid w:val="001A3C41"/>
    <w:rsid w:val="001A3D69"/>
    <w:rsid w:val="001A3E18"/>
    <w:rsid w:val="001A455E"/>
    <w:rsid w:val="001A4912"/>
    <w:rsid w:val="001A4955"/>
    <w:rsid w:val="001A4973"/>
    <w:rsid w:val="001A49D6"/>
    <w:rsid w:val="001A4A33"/>
    <w:rsid w:val="001A4B98"/>
    <w:rsid w:val="001A4C6E"/>
    <w:rsid w:val="001A4DAB"/>
    <w:rsid w:val="001A4E84"/>
    <w:rsid w:val="001A4FA9"/>
    <w:rsid w:val="001A5041"/>
    <w:rsid w:val="001A5050"/>
    <w:rsid w:val="001A510E"/>
    <w:rsid w:val="001A51B6"/>
    <w:rsid w:val="001A51C9"/>
    <w:rsid w:val="001A51E1"/>
    <w:rsid w:val="001A539F"/>
    <w:rsid w:val="001A53B5"/>
    <w:rsid w:val="001A5403"/>
    <w:rsid w:val="001A54C2"/>
    <w:rsid w:val="001A54CE"/>
    <w:rsid w:val="001A5688"/>
    <w:rsid w:val="001A56DD"/>
    <w:rsid w:val="001A5808"/>
    <w:rsid w:val="001A5894"/>
    <w:rsid w:val="001A5B7E"/>
    <w:rsid w:val="001A5C7B"/>
    <w:rsid w:val="001A5EAA"/>
    <w:rsid w:val="001A612F"/>
    <w:rsid w:val="001A6246"/>
    <w:rsid w:val="001A624E"/>
    <w:rsid w:val="001A62DB"/>
    <w:rsid w:val="001A6537"/>
    <w:rsid w:val="001A6720"/>
    <w:rsid w:val="001A6745"/>
    <w:rsid w:val="001A6876"/>
    <w:rsid w:val="001A6B0E"/>
    <w:rsid w:val="001A6B2D"/>
    <w:rsid w:val="001A6B8F"/>
    <w:rsid w:val="001A6B93"/>
    <w:rsid w:val="001A6BEF"/>
    <w:rsid w:val="001A6C9D"/>
    <w:rsid w:val="001A6D7A"/>
    <w:rsid w:val="001A6F0B"/>
    <w:rsid w:val="001A6F1F"/>
    <w:rsid w:val="001A71E9"/>
    <w:rsid w:val="001A721B"/>
    <w:rsid w:val="001A740B"/>
    <w:rsid w:val="001A7436"/>
    <w:rsid w:val="001A746C"/>
    <w:rsid w:val="001A7612"/>
    <w:rsid w:val="001A7795"/>
    <w:rsid w:val="001A78B7"/>
    <w:rsid w:val="001A7937"/>
    <w:rsid w:val="001A7BD0"/>
    <w:rsid w:val="001A7E12"/>
    <w:rsid w:val="001A7FA4"/>
    <w:rsid w:val="001A7FB7"/>
    <w:rsid w:val="001B0075"/>
    <w:rsid w:val="001B059E"/>
    <w:rsid w:val="001B0842"/>
    <w:rsid w:val="001B0B29"/>
    <w:rsid w:val="001B0BBD"/>
    <w:rsid w:val="001B0C26"/>
    <w:rsid w:val="001B0CAA"/>
    <w:rsid w:val="001B0EFF"/>
    <w:rsid w:val="001B0F51"/>
    <w:rsid w:val="001B1043"/>
    <w:rsid w:val="001B13D0"/>
    <w:rsid w:val="001B13E7"/>
    <w:rsid w:val="001B145F"/>
    <w:rsid w:val="001B15B9"/>
    <w:rsid w:val="001B17D9"/>
    <w:rsid w:val="001B1844"/>
    <w:rsid w:val="001B18BB"/>
    <w:rsid w:val="001B195F"/>
    <w:rsid w:val="001B1A72"/>
    <w:rsid w:val="001B1B8D"/>
    <w:rsid w:val="001B1D94"/>
    <w:rsid w:val="001B1E68"/>
    <w:rsid w:val="001B1F81"/>
    <w:rsid w:val="001B2135"/>
    <w:rsid w:val="001B2164"/>
    <w:rsid w:val="001B222A"/>
    <w:rsid w:val="001B240E"/>
    <w:rsid w:val="001B24A6"/>
    <w:rsid w:val="001B2832"/>
    <w:rsid w:val="001B2850"/>
    <w:rsid w:val="001B292E"/>
    <w:rsid w:val="001B293C"/>
    <w:rsid w:val="001B29D6"/>
    <w:rsid w:val="001B2A57"/>
    <w:rsid w:val="001B2AA6"/>
    <w:rsid w:val="001B2B55"/>
    <w:rsid w:val="001B2DC4"/>
    <w:rsid w:val="001B2E85"/>
    <w:rsid w:val="001B2F3B"/>
    <w:rsid w:val="001B313B"/>
    <w:rsid w:val="001B32E9"/>
    <w:rsid w:val="001B32F0"/>
    <w:rsid w:val="001B3545"/>
    <w:rsid w:val="001B3558"/>
    <w:rsid w:val="001B3584"/>
    <w:rsid w:val="001B38A9"/>
    <w:rsid w:val="001B3962"/>
    <w:rsid w:val="001B3B07"/>
    <w:rsid w:val="001B3B79"/>
    <w:rsid w:val="001B3BA1"/>
    <w:rsid w:val="001B3EBC"/>
    <w:rsid w:val="001B3F78"/>
    <w:rsid w:val="001B40AF"/>
    <w:rsid w:val="001B418C"/>
    <w:rsid w:val="001B43C7"/>
    <w:rsid w:val="001B4B56"/>
    <w:rsid w:val="001B4B77"/>
    <w:rsid w:val="001B4C22"/>
    <w:rsid w:val="001B4CB0"/>
    <w:rsid w:val="001B4DBF"/>
    <w:rsid w:val="001B51B6"/>
    <w:rsid w:val="001B51E8"/>
    <w:rsid w:val="001B536E"/>
    <w:rsid w:val="001B55E6"/>
    <w:rsid w:val="001B566D"/>
    <w:rsid w:val="001B56D3"/>
    <w:rsid w:val="001B5778"/>
    <w:rsid w:val="001B59F0"/>
    <w:rsid w:val="001B5B68"/>
    <w:rsid w:val="001B5B89"/>
    <w:rsid w:val="001B5BDD"/>
    <w:rsid w:val="001B5BF4"/>
    <w:rsid w:val="001B5D8E"/>
    <w:rsid w:val="001B5EBB"/>
    <w:rsid w:val="001B5FE0"/>
    <w:rsid w:val="001B60C0"/>
    <w:rsid w:val="001B6170"/>
    <w:rsid w:val="001B62D8"/>
    <w:rsid w:val="001B62E3"/>
    <w:rsid w:val="001B6338"/>
    <w:rsid w:val="001B673A"/>
    <w:rsid w:val="001B697E"/>
    <w:rsid w:val="001B69DD"/>
    <w:rsid w:val="001B7065"/>
    <w:rsid w:val="001B7264"/>
    <w:rsid w:val="001B7492"/>
    <w:rsid w:val="001B74F9"/>
    <w:rsid w:val="001B7516"/>
    <w:rsid w:val="001B76F9"/>
    <w:rsid w:val="001B77EC"/>
    <w:rsid w:val="001B78EE"/>
    <w:rsid w:val="001B791A"/>
    <w:rsid w:val="001B7B8F"/>
    <w:rsid w:val="001B7BC1"/>
    <w:rsid w:val="001B7C0F"/>
    <w:rsid w:val="001B7C8D"/>
    <w:rsid w:val="001B7F27"/>
    <w:rsid w:val="001C00E5"/>
    <w:rsid w:val="001C0259"/>
    <w:rsid w:val="001C034F"/>
    <w:rsid w:val="001C03C1"/>
    <w:rsid w:val="001C050B"/>
    <w:rsid w:val="001C06BA"/>
    <w:rsid w:val="001C06FB"/>
    <w:rsid w:val="001C0729"/>
    <w:rsid w:val="001C0751"/>
    <w:rsid w:val="001C07BE"/>
    <w:rsid w:val="001C080E"/>
    <w:rsid w:val="001C086E"/>
    <w:rsid w:val="001C08D8"/>
    <w:rsid w:val="001C0A7B"/>
    <w:rsid w:val="001C0CE9"/>
    <w:rsid w:val="001C0D2A"/>
    <w:rsid w:val="001C0D40"/>
    <w:rsid w:val="001C0D59"/>
    <w:rsid w:val="001C1509"/>
    <w:rsid w:val="001C17F0"/>
    <w:rsid w:val="001C181C"/>
    <w:rsid w:val="001C1915"/>
    <w:rsid w:val="001C19B9"/>
    <w:rsid w:val="001C1A36"/>
    <w:rsid w:val="001C1A48"/>
    <w:rsid w:val="001C1C36"/>
    <w:rsid w:val="001C1C96"/>
    <w:rsid w:val="001C22B2"/>
    <w:rsid w:val="001C247A"/>
    <w:rsid w:val="001C268B"/>
    <w:rsid w:val="001C2759"/>
    <w:rsid w:val="001C28A1"/>
    <w:rsid w:val="001C28E7"/>
    <w:rsid w:val="001C2B45"/>
    <w:rsid w:val="001C2C01"/>
    <w:rsid w:val="001C2D48"/>
    <w:rsid w:val="001C2DCE"/>
    <w:rsid w:val="001C2E72"/>
    <w:rsid w:val="001C2F2D"/>
    <w:rsid w:val="001C322A"/>
    <w:rsid w:val="001C3238"/>
    <w:rsid w:val="001C3294"/>
    <w:rsid w:val="001C333D"/>
    <w:rsid w:val="001C3408"/>
    <w:rsid w:val="001C3572"/>
    <w:rsid w:val="001C3819"/>
    <w:rsid w:val="001C39E3"/>
    <w:rsid w:val="001C3B4B"/>
    <w:rsid w:val="001C3BA2"/>
    <w:rsid w:val="001C3BAC"/>
    <w:rsid w:val="001C3C5C"/>
    <w:rsid w:val="001C3DBF"/>
    <w:rsid w:val="001C3EBB"/>
    <w:rsid w:val="001C4095"/>
    <w:rsid w:val="001C40E5"/>
    <w:rsid w:val="001C42C0"/>
    <w:rsid w:val="001C4504"/>
    <w:rsid w:val="001C475E"/>
    <w:rsid w:val="001C4798"/>
    <w:rsid w:val="001C4892"/>
    <w:rsid w:val="001C4B8E"/>
    <w:rsid w:val="001C4C95"/>
    <w:rsid w:val="001C4D6E"/>
    <w:rsid w:val="001C505A"/>
    <w:rsid w:val="001C5329"/>
    <w:rsid w:val="001C533A"/>
    <w:rsid w:val="001C5384"/>
    <w:rsid w:val="001C5473"/>
    <w:rsid w:val="001C54E3"/>
    <w:rsid w:val="001C559C"/>
    <w:rsid w:val="001C560B"/>
    <w:rsid w:val="001C5648"/>
    <w:rsid w:val="001C56BF"/>
    <w:rsid w:val="001C58F4"/>
    <w:rsid w:val="001C59A8"/>
    <w:rsid w:val="001C5D19"/>
    <w:rsid w:val="001C5D79"/>
    <w:rsid w:val="001C6287"/>
    <w:rsid w:val="001C62FA"/>
    <w:rsid w:val="001C6467"/>
    <w:rsid w:val="001C64FE"/>
    <w:rsid w:val="001C66C7"/>
    <w:rsid w:val="001C686B"/>
    <w:rsid w:val="001C6A58"/>
    <w:rsid w:val="001C6B51"/>
    <w:rsid w:val="001C6B81"/>
    <w:rsid w:val="001C6D2E"/>
    <w:rsid w:val="001C6DAA"/>
    <w:rsid w:val="001C6ECD"/>
    <w:rsid w:val="001C6FA1"/>
    <w:rsid w:val="001C722A"/>
    <w:rsid w:val="001C726B"/>
    <w:rsid w:val="001C7311"/>
    <w:rsid w:val="001C7549"/>
    <w:rsid w:val="001C77AA"/>
    <w:rsid w:val="001C79E4"/>
    <w:rsid w:val="001C7ABA"/>
    <w:rsid w:val="001C7B4D"/>
    <w:rsid w:val="001C7C2D"/>
    <w:rsid w:val="001C7C40"/>
    <w:rsid w:val="001C7D5C"/>
    <w:rsid w:val="001C7D8F"/>
    <w:rsid w:val="001C7F75"/>
    <w:rsid w:val="001D004D"/>
    <w:rsid w:val="001D00ED"/>
    <w:rsid w:val="001D0114"/>
    <w:rsid w:val="001D0122"/>
    <w:rsid w:val="001D0165"/>
    <w:rsid w:val="001D01BF"/>
    <w:rsid w:val="001D028C"/>
    <w:rsid w:val="001D0297"/>
    <w:rsid w:val="001D02B3"/>
    <w:rsid w:val="001D0537"/>
    <w:rsid w:val="001D0612"/>
    <w:rsid w:val="001D0689"/>
    <w:rsid w:val="001D0912"/>
    <w:rsid w:val="001D0994"/>
    <w:rsid w:val="001D0A15"/>
    <w:rsid w:val="001D0C21"/>
    <w:rsid w:val="001D0C7D"/>
    <w:rsid w:val="001D0D66"/>
    <w:rsid w:val="001D1010"/>
    <w:rsid w:val="001D1018"/>
    <w:rsid w:val="001D104A"/>
    <w:rsid w:val="001D1220"/>
    <w:rsid w:val="001D138F"/>
    <w:rsid w:val="001D1453"/>
    <w:rsid w:val="001D1473"/>
    <w:rsid w:val="001D15A5"/>
    <w:rsid w:val="001D16A0"/>
    <w:rsid w:val="001D1910"/>
    <w:rsid w:val="001D1927"/>
    <w:rsid w:val="001D1943"/>
    <w:rsid w:val="001D1954"/>
    <w:rsid w:val="001D1BED"/>
    <w:rsid w:val="001D1C2A"/>
    <w:rsid w:val="001D1E82"/>
    <w:rsid w:val="001D1F80"/>
    <w:rsid w:val="001D245B"/>
    <w:rsid w:val="001D24B1"/>
    <w:rsid w:val="001D26A4"/>
    <w:rsid w:val="001D28B0"/>
    <w:rsid w:val="001D2996"/>
    <w:rsid w:val="001D2A31"/>
    <w:rsid w:val="001D2A82"/>
    <w:rsid w:val="001D2B59"/>
    <w:rsid w:val="001D2C25"/>
    <w:rsid w:val="001D2CB1"/>
    <w:rsid w:val="001D2D0A"/>
    <w:rsid w:val="001D2EC4"/>
    <w:rsid w:val="001D2F8C"/>
    <w:rsid w:val="001D2FD3"/>
    <w:rsid w:val="001D3110"/>
    <w:rsid w:val="001D319B"/>
    <w:rsid w:val="001D31C5"/>
    <w:rsid w:val="001D3293"/>
    <w:rsid w:val="001D3516"/>
    <w:rsid w:val="001D3635"/>
    <w:rsid w:val="001D36DC"/>
    <w:rsid w:val="001D3797"/>
    <w:rsid w:val="001D37F5"/>
    <w:rsid w:val="001D38BB"/>
    <w:rsid w:val="001D38EB"/>
    <w:rsid w:val="001D3927"/>
    <w:rsid w:val="001D3930"/>
    <w:rsid w:val="001D3946"/>
    <w:rsid w:val="001D39AE"/>
    <w:rsid w:val="001D3AA3"/>
    <w:rsid w:val="001D3CAB"/>
    <w:rsid w:val="001D4089"/>
    <w:rsid w:val="001D40AC"/>
    <w:rsid w:val="001D414E"/>
    <w:rsid w:val="001D4315"/>
    <w:rsid w:val="001D432C"/>
    <w:rsid w:val="001D440C"/>
    <w:rsid w:val="001D441C"/>
    <w:rsid w:val="001D44B8"/>
    <w:rsid w:val="001D44EC"/>
    <w:rsid w:val="001D4502"/>
    <w:rsid w:val="001D451A"/>
    <w:rsid w:val="001D4522"/>
    <w:rsid w:val="001D4737"/>
    <w:rsid w:val="001D4D87"/>
    <w:rsid w:val="001D4DAA"/>
    <w:rsid w:val="001D4DF2"/>
    <w:rsid w:val="001D4E1A"/>
    <w:rsid w:val="001D5176"/>
    <w:rsid w:val="001D535D"/>
    <w:rsid w:val="001D5809"/>
    <w:rsid w:val="001D5865"/>
    <w:rsid w:val="001D5922"/>
    <w:rsid w:val="001D5A1F"/>
    <w:rsid w:val="001D5A4E"/>
    <w:rsid w:val="001D5A92"/>
    <w:rsid w:val="001D5BEC"/>
    <w:rsid w:val="001D5C78"/>
    <w:rsid w:val="001D5E0A"/>
    <w:rsid w:val="001D60AF"/>
    <w:rsid w:val="001D6148"/>
    <w:rsid w:val="001D6214"/>
    <w:rsid w:val="001D6286"/>
    <w:rsid w:val="001D63A3"/>
    <w:rsid w:val="001D652C"/>
    <w:rsid w:val="001D6576"/>
    <w:rsid w:val="001D6607"/>
    <w:rsid w:val="001D67F5"/>
    <w:rsid w:val="001D684F"/>
    <w:rsid w:val="001D685B"/>
    <w:rsid w:val="001D6CDD"/>
    <w:rsid w:val="001D706E"/>
    <w:rsid w:val="001D7093"/>
    <w:rsid w:val="001D739E"/>
    <w:rsid w:val="001D757D"/>
    <w:rsid w:val="001D7601"/>
    <w:rsid w:val="001D7629"/>
    <w:rsid w:val="001D765B"/>
    <w:rsid w:val="001D7697"/>
    <w:rsid w:val="001D7720"/>
    <w:rsid w:val="001D77FB"/>
    <w:rsid w:val="001D79C1"/>
    <w:rsid w:val="001D79D0"/>
    <w:rsid w:val="001D7C08"/>
    <w:rsid w:val="001D7EB3"/>
    <w:rsid w:val="001D7F53"/>
    <w:rsid w:val="001D7FC8"/>
    <w:rsid w:val="001E007F"/>
    <w:rsid w:val="001E0241"/>
    <w:rsid w:val="001E027D"/>
    <w:rsid w:val="001E0431"/>
    <w:rsid w:val="001E048D"/>
    <w:rsid w:val="001E04A7"/>
    <w:rsid w:val="001E06EC"/>
    <w:rsid w:val="001E0931"/>
    <w:rsid w:val="001E0CD8"/>
    <w:rsid w:val="001E0EB7"/>
    <w:rsid w:val="001E0F9C"/>
    <w:rsid w:val="001E101E"/>
    <w:rsid w:val="001E11ED"/>
    <w:rsid w:val="001E12D6"/>
    <w:rsid w:val="001E1301"/>
    <w:rsid w:val="001E16D9"/>
    <w:rsid w:val="001E1746"/>
    <w:rsid w:val="001E17DB"/>
    <w:rsid w:val="001E19EE"/>
    <w:rsid w:val="001E1ABE"/>
    <w:rsid w:val="001E1DBA"/>
    <w:rsid w:val="001E1DF3"/>
    <w:rsid w:val="001E1E18"/>
    <w:rsid w:val="001E1F0E"/>
    <w:rsid w:val="001E1F51"/>
    <w:rsid w:val="001E21A2"/>
    <w:rsid w:val="001E21CA"/>
    <w:rsid w:val="001E22C2"/>
    <w:rsid w:val="001E25B4"/>
    <w:rsid w:val="001E268B"/>
    <w:rsid w:val="001E2968"/>
    <w:rsid w:val="001E2A55"/>
    <w:rsid w:val="001E2A85"/>
    <w:rsid w:val="001E2A87"/>
    <w:rsid w:val="001E2D02"/>
    <w:rsid w:val="001E2FDD"/>
    <w:rsid w:val="001E300A"/>
    <w:rsid w:val="001E314D"/>
    <w:rsid w:val="001E3291"/>
    <w:rsid w:val="001E3352"/>
    <w:rsid w:val="001E33EA"/>
    <w:rsid w:val="001E367A"/>
    <w:rsid w:val="001E3899"/>
    <w:rsid w:val="001E38D3"/>
    <w:rsid w:val="001E3A10"/>
    <w:rsid w:val="001E3A8C"/>
    <w:rsid w:val="001E3B05"/>
    <w:rsid w:val="001E3B26"/>
    <w:rsid w:val="001E3B85"/>
    <w:rsid w:val="001E3EDF"/>
    <w:rsid w:val="001E3FB6"/>
    <w:rsid w:val="001E4023"/>
    <w:rsid w:val="001E417F"/>
    <w:rsid w:val="001E427A"/>
    <w:rsid w:val="001E43D4"/>
    <w:rsid w:val="001E43E5"/>
    <w:rsid w:val="001E4487"/>
    <w:rsid w:val="001E456D"/>
    <w:rsid w:val="001E46E4"/>
    <w:rsid w:val="001E46F8"/>
    <w:rsid w:val="001E492A"/>
    <w:rsid w:val="001E4B1D"/>
    <w:rsid w:val="001E4B9B"/>
    <w:rsid w:val="001E4BA3"/>
    <w:rsid w:val="001E4C80"/>
    <w:rsid w:val="001E4E1E"/>
    <w:rsid w:val="001E4E92"/>
    <w:rsid w:val="001E5195"/>
    <w:rsid w:val="001E5257"/>
    <w:rsid w:val="001E52C6"/>
    <w:rsid w:val="001E536C"/>
    <w:rsid w:val="001E5388"/>
    <w:rsid w:val="001E5604"/>
    <w:rsid w:val="001E58B9"/>
    <w:rsid w:val="001E5C21"/>
    <w:rsid w:val="001E5FFB"/>
    <w:rsid w:val="001E61EC"/>
    <w:rsid w:val="001E62B7"/>
    <w:rsid w:val="001E6334"/>
    <w:rsid w:val="001E6440"/>
    <w:rsid w:val="001E65B8"/>
    <w:rsid w:val="001E667C"/>
    <w:rsid w:val="001E6681"/>
    <w:rsid w:val="001E66F2"/>
    <w:rsid w:val="001E671B"/>
    <w:rsid w:val="001E69B2"/>
    <w:rsid w:val="001E6ACA"/>
    <w:rsid w:val="001E6C08"/>
    <w:rsid w:val="001E6CD9"/>
    <w:rsid w:val="001E6D37"/>
    <w:rsid w:val="001E6E1C"/>
    <w:rsid w:val="001E71CF"/>
    <w:rsid w:val="001E728B"/>
    <w:rsid w:val="001E730F"/>
    <w:rsid w:val="001E732B"/>
    <w:rsid w:val="001E73D0"/>
    <w:rsid w:val="001E751B"/>
    <w:rsid w:val="001E75B7"/>
    <w:rsid w:val="001E774F"/>
    <w:rsid w:val="001E77CC"/>
    <w:rsid w:val="001E783C"/>
    <w:rsid w:val="001E7B2A"/>
    <w:rsid w:val="001E7DD8"/>
    <w:rsid w:val="001F0154"/>
    <w:rsid w:val="001F015F"/>
    <w:rsid w:val="001F0235"/>
    <w:rsid w:val="001F02E7"/>
    <w:rsid w:val="001F0524"/>
    <w:rsid w:val="001F05B4"/>
    <w:rsid w:val="001F0622"/>
    <w:rsid w:val="001F0686"/>
    <w:rsid w:val="001F090B"/>
    <w:rsid w:val="001F092C"/>
    <w:rsid w:val="001F0AA2"/>
    <w:rsid w:val="001F0D46"/>
    <w:rsid w:val="001F0FAF"/>
    <w:rsid w:val="001F12FC"/>
    <w:rsid w:val="001F1328"/>
    <w:rsid w:val="001F143E"/>
    <w:rsid w:val="001F145B"/>
    <w:rsid w:val="001F1584"/>
    <w:rsid w:val="001F15D7"/>
    <w:rsid w:val="001F1676"/>
    <w:rsid w:val="001F1835"/>
    <w:rsid w:val="001F18C1"/>
    <w:rsid w:val="001F1905"/>
    <w:rsid w:val="001F197F"/>
    <w:rsid w:val="001F1B0D"/>
    <w:rsid w:val="001F1B25"/>
    <w:rsid w:val="001F1B35"/>
    <w:rsid w:val="001F1B41"/>
    <w:rsid w:val="001F1F53"/>
    <w:rsid w:val="001F1F9A"/>
    <w:rsid w:val="001F2461"/>
    <w:rsid w:val="001F25E6"/>
    <w:rsid w:val="001F262B"/>
    <w:rsid w:val="001F2632"/>
    <w:rsid w:val="001F26C3"/>
    <w:rsid w:val="001F26ED"/>
    <w:rsid w:val="001F2744"/>
    <w:rsid w:val="001F2913"/>
    <w:rsid w:val="001F2B9B"/>
    <w:rsid w:val="001F2BDB"/>
    <w:rsid w:val="001F2E2D"/>
    <w:rsid w:val="001F2EF1"/>
    <w:rsid w:val="001F3024"/>
    <w:rsid w:val="001F32F7"/>
    <w:rsid w:val="001F379F"/>
    <w:rsid w:val="001F39DA"/>
    <w:rsid w:val="001F3A02"/>
    <w:rsid w:val="001F3AD0"/>
    <w:rsid w:val="001F3BF1"/>
    <w:rsid w:val="001F3E44"/>
    <w:rsid w:val="001F3E9A"/>
    <w:rsid w:val="001F3F4D"/>
    <w:rsid w:val="001F400C"/>
    <w:rsid w:val="001F4238"/>
    <w:rsid w:val="001F4254"/>
    <w:rsid w:val="001F42CA"/>
    <w:rsid w:val="001F42E1"/>
    <w:rsid w:val="001F42E8"/>
    <w:rsid w:val="001F44DB"/>
    <w:rsid w:val="001F45DF"/>
    <w:rsid w:val="001F46E7"/>
    <w:rsid w:val="001F46E9"/>
    <w:rsid w:val="001F4944"/>
    <w:rsid w:val="001F4B68"/>
    <w:rsid w:val="001F4B86"/>
    <w:rsid w:val="001F4BB8"/>
    <w:rsid w:val="001F4BE5"/>
    <w:rsid w:val="001F4C5A"/>
    <w:rsid w:val="001F4CAC"/>
    <w:rsid w:val="001F4E24"/>
    <w:rsid w:val="001F4EF0"/>
    <w:rsid w:val="001F51A9"/>
    <w:rsid w:val="001F52CB"/>
    <w:rsid w:val="001F53EB"/>
    <w:rsid w:val="001F53FB"/>
    <w:rsid w:val="001F5561"/>
    <w:rsid w:val="001F58C1"/>
    <w:rsid w:val="001F590B"/>
    <w:rsid w:val="001F59E9"/>
    <w:rsid w:val="001F5B92"/>
    <w:rsid w:val="001F5D14"/>
    <w:rsid w:val="001F5D34"/>
    <w:rsid w:val="001F5D6E"/>
    <w:rsid w:val="001F5E48"/>
    <w:rsid w:val="001F5E80"/>
    <w:rsid w:val="001F5F91"/>
    <w:rsid w:val="001F600C"/>
    <w:rsid w:val="001F60C4"/>
    <w:rsid w:val="001F62BF"/>
    <w:rsid w:val="001F62CB"/>
    <w:rsid w:val="001F635C"/>
    <w:rsid w:val="001F63C7"/>
    <w:rsid w:val="001F63ED"/>
    <w:rsid w:val="001F6615"/>
    <w:rsid w:val="001F6638"/>
    <w:rsid w:val="001F66CB"/>
    <w:rsid w:val="001F68FE"/>
    <w:rsid w:val="001F6904"/>
    <w:rsid w:val="001F6A05"/>
    <w:rsid w:val="001F6AA8"/>
    <w:rsid w:val="001F6BF2"/>
    <w:rsid w:val="001F6DE0"/>
    <w:rsid w:val="001F6EA2"/>
    <w:rsid w:val="001F700B"/>
    <w:rsid w:val="001F7052"/>
    <w:rsid w:val="001F70C0"/>
    <w:rsid w:val="001F70D1"/>
    <w:rsid w:val="001F710B"/>
    <w:rsid w:val="001F710C"/>
    <w:rsid w:val="001F727C"/>
    <w:rsid w:val="001F72E5"/>
    <w:rsid w:val="001F7301"/>
    <w:rsid w:val="001F75B8"/>
    <w:rsid w:val="001F7609"/>
    <w:rsid w:val="001F782F"/>
    <w:rsid w:val="001F7899"/>
    <w:rsid w:val="001F78AB"/>
    <w:rsid w:val="001F78EA"/>
    <w:rsid w:val="001F7AE4"/>
    <w:rsid w:val="001F7B4B"/>
    <w:rsid w:val="001F7B63"/>
    <w:rsid w:val="001F7DCF"/>
    <w:rsid w:val="001F7EB4"/>
    <w:rsid w:val="00200071"/>
    <w:rsid w:val="0020008F"/>
    <w:rsid w:val="0020012A"/>
    <w:rsid w:val="00200240"/>
    <w:rsid w:val="0020029C"/>
    <w:rsid w:val="00200352"/>
    <w:rsid w:val="00200473"/>
    <w:rsid w:val="00200666"/>
    <w:rsid w:val="00200814"/>
    <w:rsid w:val="0020090A"/>
    <w:rsid w:val="0020096D"/>
    <w:rsid w:val="00200A89"/>
    <w:rsid w:val="00200B60"/>
    <w:rsid w:val="00200CC1"/>
    <w:rsid w:val="00200CE8"/>
    <w:rsid w:val="00200D74"/>
    <w:rsid w:val="00201036"/>
    <w:rsid w:val="002010A6"/>
    <w:rsid w:val="002010B9"/>
    <w:rsid w:val="00201122"/>
    <w:rsid w:val="00201123"/>
    <w:rsid w:val="00201687"/>
    <w:rsid w:val="00201689"/>
    <w:rsid w:val="002016D0"/>
    <w:rsid w:val="002019CC"/>
    <w:rsid w:val="00201D6D"/>
    <w:rsid w:val="0020232E"/>
    <w:rsid w:val="0020242D"/>
    <w:rsid w:val="0020250B"/>
    <w:rsid w:val="0020265E"/>
    <w:rsid w:val="002026BF"/>
    <w:rsid w:val="00202716"/>
    <w:rsid w:val="0020275A"/>
    <w:rsid w:val="0020283B"/>
    <w:rsid w:val="002029B4"/>
    <w:rsid w:val="00202A16"/>
    <w:rsid w:val="00202AC7"/>
    <w:rsid w:val="00202BF6"/>
    <w:rsid w:val="00202C49"/>
    <w:rsid w:val="00202DB3"/>
    <w:rsid w:val="00202DED"/>
    <w:rsid w:val="00202F3A"/>
    <w:rsid w:val="00202F3D"/>
    <w:rsid w:val="002030E6"/>
    <w:rsid w:val="002032EC"/>
    <w:rsid w:val="00203471"/>
    <w:rsid w:val="002035AD"/>
    <w:rsid w:val="00203657"/>
    <w:rsid w:val="00203730"/>
    <w:rsid w:val="0020375D"/>
    <w:rsid w:val="002038A8"/>
    <w:rsid w:val="002039BB"/>
    <w:rsid w:val="002039F7"/>
    <w:rsid w:val="00203B1E"/>
    <w:rsid w:val="00203B3D"/>
    <w:rsid w:val="00203C44"/>
    <w:rsid w:val="00203D22"/>
    <w:rsid w:val="00203ED9"/>
    <w:rsid w:val="00204220"/>
    <w:rsid w:val="00204283"/>
    <w:rsid w:val="0020445D"/>
    <w:rsid w:val="0020477E"/>
    <w:rsid w:val="00204864"/>
    <w:rsid w:val="00204B23"/>
    <w:rsid w:val="00204FC4"/>
    <w:rsid w:val="00205081"/>
    <w:rsid w:val="002050F3"/>
    <w:rsid w:val="002051FC"/>
    <w:rsid w:val="00205237"/>
    <w:rsid w:val="0020562F"/>
    <w:rsid w:val="00205631"/>
    <w:rsid w:val="00205664"/>
    <w:rsid w:val="00205751"/>
    <w:rsid w:val="00205761"/>
    <w:rsid w:val="0020591B"/>
    <w:rsid w:val="00205A2B"/>
    <w:rsid w:val="00205A3D"/>
    <w:rsid w:val="00205B99"/>
    <w:rsid w:val="00205C72"/>
    <w:rsid w:val="00205D84"/>
    <w:rsid w:val="00205DC3"/>
    <w:rsid w:val="00205FB0"/>
    <w:rsid w:val="0020606F"/>
    <w:rsid w:val="0020609B"/>
    <w:rsid w:val="00206258"/>
    <w:rsid w:val="00206293"/>
    <w:rsid w:val="002062A0"/>
    <w:rsid w:val="00206335"/>
    <w:rsid w:val="0020633A"/>
    <w:rsid w:val="00206366"/>
    <w:rsid w:val="00206552"/>
    <w:rsid w:val="0020658C"/>
    <w:rsid w:val="00206609"/>
    <w:rsid w:val="002066AF"/>
    <w:rsid w:val="002068D8"/>
    <w:rsid w:val="0020697D"/>
    <w:rsid w:val="00206BC4"/>
    <w:rsid w:val="00206D6A"/>
    <w:rsid w:val="00206DB2"/>
    <w:rsid w:val="00206DD7"/>
    <w:rsid w:val="00206E3D"/>
    <w:rsid w:val="00206EBC"/>
    <w:rsid w:val="00207007"/>
    <w:rsid w:val="00207019"/>
    <w:rsid w:val="002071A3"/>
    <w:rsid w:val="0020725D"/>
    <w:rsid w:val="002072F4"/>
    <w:rsid w:val="00207438"/>
    <w:rsid w:val="0020781D"/>
    <w:rsid w:val="00207898"/>
    <w:rsid w:val="002079A8"/>
    <w:rsid w:val="00207B91"/>
    <w:rsid w:val="00207C9D"/>
    <w:rsid w:val="00207CDA"/>
    <w:rsid w:val="00207E62"/>
    <w:rsid w:val="00207F77"/>
    <w:rsid w:val="0021006F"/>
    <w:rsid w:val="002101AF"/>
    <w:rsid w:val="0021028C"/>
    <w:rsid w:val="00210298"/>
    <w:rsid w:val="00210442"/>
    <w:rsid w:val="002105C8"/>
    <w:rsid w:val="002107FA"/>
    <w:rsid w:val="002109CF"/>
    <w:rsid w:val="00210C67"/>
    <w:rsid w:val="00210E60"/>
    <w:rsid w:val="00210F16"/>
    <w:rsid w:val="00211165"/>
    <w:rsid w:val="002111C3"/>
    <w:rsid w:val="00211221"/>
    <w:rsid w:val="002113D6"/>
    <w:rsid w:val="002113F2"/>
    <w:rsid w:val="00211487"/>
    <w:rsid w:val="00211571"/>
    <w:rsid w:val="002117E3"/>
    <w:rsid w:val="002118E7"/>
    <w:rsid w:val="002118EE"/>
    <w:rsid w:val="0021192A"/>
    <w:rsid w:val="0021199C"/>
    <w:rsid w:val="002119F7"/>
    <w:rsid w:val="00211A4D"/>
    <w:rsid w:val="00211B06"/>
    <w:rsid w:val="00211BDE"/>
    <w:rsid w:val="00211CE1"/>
    <w:rsid w:val="00211D38"/>
    <w:rsid w:val="00211E61"/>
    <w:rsid w:val="00211F0A"/>
    <w:rsid w:val="00211F1F"/>
    <w:rsid w:val="00211F36"/>
    <w:rsid w:val="00211FF5"/>
    <w:rsid w:val="002120A7"/>
    <w:rsid w:val="00212107"/>
    <w:rsid w:val="002122A5"/>
    <w:rsid w:val="002122DD"/>
    <w:rsid w:val="002122E1"/>
    <w:rsid w:val="002123A8"/>
    <w:rsid w:val="0021256E"/>
    <w:rsid w:val="00212792"/>
    <w:rsid w:val="00212876"/>
    <w:rsid w:val="0021294C"/>
    <w:rsid w:val="00212AB7"/>
    <w:rsid w:val="00212C24"/>
    <w:rsid w:val="00212DD8"/>
    <w:rsid w:val="00212E9A"/>
    <w:rsid w:val="00212F51"/>
    <w:rsid w:val="00212F8B"/>
    <w:rsid w:val="002130A2"/>
    <w:rsid w:val="002130D5"/>
    <w:rsid w:val="0021311E"/>
    <w:rsid w:val="002132E6"/>
    <w:rsid w:val="002132F2"/>
    <w:rsid w:val="002137B2"/>
    <w:rsid w:val="00213882"/>
    <w:rsid w:val="00213924"/>
    <w:rsid w:val="0021397E"/>
    <w:rsid w:val="00213B79"/>
    <w:rsid w:val="00213E8E"/>
    <w:rsid w:val="00213FC4"/>
    <w:rsid w:val="00213FDC"/>
    <w:rsid w:val="00213FFF"/>
    <w:rsid w:val="00214004"/>
    <w:rsid w:val="00214076"/>
    <w:rsid w:val="00214137"/>
    <w:rsid w:val="00214145"/>
    <w:rsid w:val="002141EE"/>
    <w:rsid w:val="00214372"/>
    <w:rsid w:val="00214584"/>
    <w:rsid w:val="00214673"/>
    <w:rsid w:val="00214699"/>
    <w:rsid w:val="002147F0"/>
    <w:rsid w:val="002148E6"/>
    <w:rsid w:val="00214A12"/>
    <w:rsid w:val="00214A37"/>
    <w:rsid w:val="00214A73"/>
    <w:rsid w:val="00214DE5"/>
    <w:rsid w:val="00215028"/>
    <w:rsid w:val="002150F7"/>
    <w:rsid w:val="0021510C"/>
    <w:rsid w:val="002151F4"/>
    <w:rsid w:val="0021520C"/>
    <w:rsid w:val="002153AF"/>
    <w:rsid w:val="002153C5"/>
    <w:rsid w:val="0021573B"/>
    <w:rsid w:val="002157CA"/>
    <w:rsid w:val="00215846"/>
    <w:rsid w:val="0021586A"/>
    <w:rsid w:val="00215BF7"/>
    <w:rsid w:val="00215C73"/>
    <w:rsid w:val="002160B3"/>
    <w:rsid w:val="002161B6"/>
    <w:rsid w:val="002161FA"/>
    <w:rsid w:val="00216260"/>
    <w:rsid w:val="00216384"/>
    <w:rsid w:val="00216438"/>
    <w:rsid w:val="00216471"/>
    <w:rsid w:val="002164D3"/>
    <w:rsid w:val="00216894"/>
    <w:rsid w:val="00216945"/>
    <w:rsid w:val="00216A9F"/>
    <w:rsid w:val="00216B6B"/>
    <w:rsid w:val="00216B95"/>
    <w:rsid w:val="00216D65"/>
    <w:rsid w:val="00216DAC"/>
    <w:rsid w:val="00216DC4"/>
    <w:rsid w:val="00216F83"/>
    <w:rsid w:val="00217075"/>
    <w:rsid w:val="0021719D"/>
    <w:rsid w:val="002171C5"/>
    <w:rsid w:val="00217241"/>
    <w:rsid w:val="00217285"/>
    <w:rsid w:val="0021753D"/>
    <w:rsid w:val="002175C7"/>
    <w:rsid w:val="00217651"/>
    <w:rsid w:val="002177CC"/>
    <w:rsid w:val="00217811"/>
    <w:rsid w:val="0021784E"/>
    <w:rsid w:val="0021785F"/>
    <w:rsid w:val="00217876"/>
    <w:rsid w:val="002178B7"/>
    <w:rsid w:val="002178BF"/>
    <w:rsid w:val="002178FB"/>
    <w:rsid w:val="00217963"/>
    <w:rsid w:val="00217A27"/>
    <w:rsid w:val="00217B21"/>
    <w:rsid w:val="00217BB5"/>
    <w:rsid w:val="00217DC6"/>
    <w:rsid w:val="00217FDF"/>
    <w:rsid w:val="00220042"/>
    <w:rsid w:val="002202DF"/>
    <w:rsid w:val="00220304"/>
    <w:rsid w:val="002204B5"/>
    <w:rsid w:val="00220543"/>
    <w:rsid w:val="002205CD"/>
    <w:rsid w:val="00220645"/>
    <w:rsid w:val="002206BE"/>
    <w:rsid w:val="00220825"/>
    <w:rsid w:val="00220929"/>
    <w:rsid w:val="00220A2B"/>
    <w:rsid w:val="00220C7A"/>
    <w:rsid w:val="00220D43"/>
    <w:rsid w:val="00220DE8"/>
    <w:rsid w:val="00220DE9"/>
    <w:rsid w:val="00220EF3"/>
    <w:rsid w:val="00220F2C"/>
    <w:rsid w:val="00220F68"/>
    <w:rsid w:val="00220FBF"/>
    <w:rsid w:val="0022104A"/>
    <w:rsid w:val="00221051"/>
    <w:rsid w:val="0022108E"/>
    <w:rsid w:val="00221265"/>
    <w:rsid w:val="00221309"/>
    <w:rsid w:val="002214C5"/>
    <w:rsid w:val="002214F2"/>
    <w:rsid w:val="00221528"/>
    <w:rsid w:val="002219D2"/>
    <w:rsid w:val="00221B7A"/>
    <w:rsid w:val="00221C9F"/>
    <w:rsid w:val="00221FD6"/>
    <w:rsid w:val="00222149"/>
    <w:rsid w:val="00222264"/>
    <w:rsid w:val="002222C3"/>
    <w:rsid w:val="00222304"/>
    <w:rsid w:val="0022247E"/>
    <w:rsid w:val="002225CF"/>
    <w:rsid w:val="0022268A"/>
    <w:rsid w:val="00222736"/>
    <w:rsid w:val="00222750"/>
    <w:rsid w:val="0022278C"/>
    <w:rsid w:val="00222D93"/>
    <w:rsid w:val="00222DF9"/>
    <w:rsid w:val="00222F1D"/>
    <w:rsid w:val="00223020"/>
    <w:rsid w:val="00223098"/>
    <w:rsid w:val="002231F4"/>
    <w:rsid w:val="002232C3"/>
    <w:rsid w:val="00223329"/>
    <w:rsid w:val="00223368"/>
    <w:rsid w:val="002233A3"/>
    <w:rsid w:val="002233EC"/>
    <w:rsid w:val="00223441"/>
    <w:rsid w:val="00223483"/>
    <w:rsid w:val="00223518"/>
    <w:rsid w:val="002236A2"/>
    <w:rsid w:val="002236A9"/>
    <w:rsid w:val="002237CE"/>
    <w:rsid w:val="002237FB"/>
    <w:rsid w:val="002238BA"/>
    <w:rsid w:val="00223A5E"/>
    <w:rsid w:val="00223A8A"/>
    <w:rsid w:val="00223BDE"/>
    <w:rsid w:val="00223C23"/>
    <w:rsid w:val="00223C92"/>
    <w:rsid w:val="00223DFA"/>
    <w:rsid w:val="002240AC"/>
    <w:rsid w:val="0022411D"/>
    <w:rsid w:val="00224299"/>
    <w:rsid w:val="00224300"/>
    <w:rsid w:val="002243ED"/>
    <w:rsid w:val="00224618"/>
    <w:rsid w:val="0022463F"/>
    <w:rsid w:val="002246F2"/>
    <w:rsid w:val="0022473D"/>
    <w:rsid w:val="00224823"/>
    <w:rsid w:val="00224DD4"/>
    <w:rsid w:val="00224EFC"/>
    <w:rsid w:val="0022501A"/>
    <w:rsid w:val="0022503A"/>
    <w:rsid w:val="002250EC"/>
    <w:rsid w:val="002250FE"/>
    <w:rsid w:val="0022549A"/>
    <w:rsid w:val="0022591B"/>
    <w:rsid w:val="00225BE5"/>
    <w:rsid w:val="00225DD6"/>
    <w:rsid w:val="00225E1B"/>
    <w:rsid w:val="00225EE5"/>
    <w:rsid w:val="00226014"/>
    <w:rsid w:val="002260DF"/>
    <w:rsid w:val="00226218"/>
    <w:rsid w:val="00226282"/>
    <w:rsid w:val="00226398"/>
    <w:rsid w:val="00226531"/>
    <w:rsid w:val="00226646"/>
    <w:rsid w:val="002269FD"/>
    <w:rsid w:val="00226B70"/>
    <w:rsid w:val="00226F0A"/>
    <w:rsid w:val="00226F2A"/>
    <w:rsid w:val="00226F3E"/>
    <w:rsid w:val="00227068"/>
    <w:rsid w:val="002270A5"/>
    <w:rsid w:val="002271C9"/>
    <w:rsid w:val="002271E1"/>
    <w:rsid w:val="002274A4"/>
    <w:rsid w:val="0022762D"/>
    <w:rsid w:val="00227744"/>
    <w:rsid w:val="002277D9"/>
    <w:rsid w:val="00227896"/>
    <w:rsid w:val="00227ED0"/>
    <w:rsid w:val="00227ED8"/>
    <w:rsid w:val="00227EE5"/>
    <w:rsid w:val="00227F11"/>
    <w:rsid w:val="00227F25"/>
    <w:rsid w:val="00227F3A"/>
    <w:rsid w:val="0023028C"/>
    <w:rsid w:val="002303B4"/>
    <w:rsid w:val="0023059A"/>
    <w:rsid w:val="00230874"/>
    <w:rsid w:val="002309CF"/>
    <w:rsid w:val="002309EA"/>
    <w:rsid w:val="00230B2C"/>
    <w:rsid w:val="00230BB7"/>
    <w:rsid w:val="00230C65"/>
    <w:rsid w:val="00230D52"/>
    <w:rsid w:val="00230D54"/>
    <w:rsid w:val="00230D9C"/>
    <w:rsid w:val="00230FF0"/>
    <w:rsid w:val="0023101E"/>
    <w:rsid w:val="0023102E"/>
    <w:rsid w:val="00231182"/>
    <w:rsid w:val="00231187"/>
    <w:rsid w:val="002311A5"/>
    <w:rsid w:val="002311B5"/>
    <w:rsid w:val="002311C2"/>
    <w:rsid w:val="00231390"/>
    <w:rsid w:val="00231424"/>
    <w:rsid w:val="0023142D"/>
    <w:rsid w:val="00231674"/>
    <w:rsid w:val="00231C29"/>
    <w:rsid w:val="00231CD8"/>
    <w:rsid w:val="00231E10"/>
    <w:rsid w:val="00231E1A"/>
    <w:rsid w:val="00231E25"/>
    <w:rsid w:val="002320C6"/>
    <w:rsid w:val="002321FA"/>
    <w:rsid w:val="0023231D"/>
    <w:rsid w:val="00232582"/>
    <w:rsid w:val="002327F6"/>
    <w:rsid w:val="002328DC"/>
    <w:rsid w:val="002328FE"/>
    <w:rsid w:val="00232B0B"/>
    <w:rsid w:val="00232C80"/>
    <w:rsid w:val="00232E00"/>
    <w:rsid w:val="00232E39"/>
    <w:rsid w:val="00232E66"/>
    <w:rsid w:val="00232F0F"/>
    <w:rsid w:val="00232F23"/>
    <w:rsid w:val="0023303B"/>
    <w:rsid w:val="00233074"/>
    <w:rsid w:val="0023323F"/>
    <w:rsid w:val="002332BF"/>
    <w:rsid w:val="002333D6"/>
    <w:rsid w:val="00233482"/>
    <w:rsid w:val="002334EC"/>
    <w:rsid w:val="0023373C"/>
    <w:rsid w:val="00233770"/>
    <w:rsid w:val="00233792"/>
    <w:rsid w:val="002337D8"/>
    <w:rsid w:val="00233972"/>
    <w:rsid w:val="00233C6E"/>
    <w:rsid w:val="00233D66"/>
    <w:rsid w:val="00233DFA"/>
    <w:rsid w:val="00233E56"/>
    <w:rsid w:val="0023429B"/>
    <w:rsid w:val="0023429F"/>
    <w:rsid w:val="002342D5"/>
    <w:rsid w:val="0023449C"/>
    <w:rsid w:val="00234588"/>
    <w:rsid w:val="002345B4"/>
    <w:rsid w:val="002349EC"/>
    <w:rsid w:val="00234B68"/>
    <w:rsid w:val="00234CA6"/>
    <w:rsid w:val="00234D89"/>
    <w:rsid w:val="00234DBF"/>
    <w:rsid w:val="00234EBB"/>
    <w:rsid w:val="0023523E"/>
    <w:rsid w:val="00235433"/>
    <w:rsid w:val="002356CF"/>
    <w:rsid w:val="002358E4"/>
    <w:rsid w:val="00235927"/>
    <w:rsid w:val="00235AAC"/>
    <w:rsid w:val="00235BBD"/>
    <w:rsid w:val="00235D81"/>
    <w:rsid w:val="00235DF4"/>
    <w:rsid w:val="00235F39"/>
    <w:rsid w:val="00235FAE"/>
    <w:rsid w:val="002361CE"/>
    <w:rsid w:val="00236271"/>
    <w:rsid w:val="00236337"/>
    <w:rsid w:val="00236340"/>
    <w:rsid w:val="0023643F"/>
    <w:rsid w:val="002364BB"/>
    <w:rsid w:val="002364CB"/>
    <w:rsid w:val="002366C5"/>
    <w:rsid w:val="002367C0"/>
    <w:rsid w:val="002368D1"/>
    <w:rsid w:val="00236A1D"/>
    <w:rsid w:val="00236AFA"/>
    <w:rsid w:val="00236B38"/>
    <w:rsid w:val="00236B5A"/>
    <w:rsid w:val="00236C65"/>
    <w:rsid w:val="00236C8C"/>
    <w:rsid w:val="00236CDB"/>
    <w:rsid w:val="00236E66"/>
    <w:rsid w:val="00236F82"/>
    <w:rsid w:val="00237126"/>
    <w:rsid w:val="00237284"/>
    <w:rsid w:val="0023763B"/>
    <w:rsid w:val="00237960"/>
    <w:rsid w:val="00237A19"/>
    <w:rsid w:val="00237AEA"/>
    <w:rsid w:val="00237B01"/>
    <w:rsid w:val="00237C6C"/>
    <w:rsid w:val="00237CC8"/>
    <w:rsid w:val="00237D01"/>
    <w:rsid w:val="00237DD1"/>
    <w:rsid w:val="00237E1C"/>
    <w:rsid w:val="00237E62"/>
    <w:rsid w:val="00237ED0"/>
    <w:rsid w:val="002402AB"/>
    <w:rsid w:val="002402E5"/>
    <w:rsid w:val="0024064E"/>
    <w:rsid w:val="002407A1"/>
    <w:rsid w:val="00240919"/>
    <w:rsid w:val="00240A0C"/>
    <w:rsid w:val="00240C7D"/>
    <w:rsid w:val="00240D3B"/>
    <w:rsid w:val="00241038"/>
    <w:rsid w:val="00241139"/>
    <w:rsid w:val="0024145B"/>
    <w:rsid w:val="00241497"/>
    <w:rsid w:val="00241534"/>
    <w:rsid w:val="0024157B"/>
    <w:rsid w:val="00241775"/>
    <w:rsid w:val="0024178F"/>
    <w:rsid w:val="002419D7"/>
    <w:rsid w:val="00241AB9"/>
    <w:rsid w:val="00241B17"/>
    <w:rsid w:val="00241C21"/>
    <w:rsid w:val="00242160"/>
    <w:rsid w:val="0024216C"/>
    <w:rsid w:val="002421EE"/>
    <w:rsid w:val="00242205"/>
    <w:rsid w:val="00242226"/>
    <w:rsid w:val="00242255"/>
    <w:rsid w:val="00242281"/>
    <w:rsid w:val="00242396"/>
    <w:rsid w:val="002424A9"/>
    <w:rsid w:val="0024258B"/>
    <w:rsid w:val="002425D2"/>
    <w:rsid w:val="002427CB"/>
    <w:rsid w:val="002428B3"/>
    <w:rsid w:val="002428CC"/>
    <w:rsid w:val="0024296A"/>
    <w:rsid w:val="00242AC3"/>
    <w:rsid w:val="00242C78"/>
    <w:rsid w:val="00242CFE"/>
    <w:rsid w:val="002431A0"/>
    <w:rsid w:val="00243235"/>
    <w:rsid w:val="0024357D"/>
    <w:rsid w:val="00243672"/>
    <w:rsid w:val="00243818"/>
    <w:rsid w:val="0024387B"/>
    <w:rsid w:val="00243C9D"/>
    <w:rsid w:val="00243CAF"/>
    <w:rsid w:val="00243CD7"/>
    <w:rsid w:val="00243E39"/>
    <w:rsid w:val="0024423E"/>
    <w:rsid w:val="002442AC"/>
    <w:rsid w:val="00244411"/>
    <w:rsid w:val="00244435"/>
    <w:rsid w:val="00244606"/>
    <w:rsid w:val="00244797"/>
    <w:rsid w:val="002449BD"/>
    <w:rsid w:val="00244BD9"/>
    <w:rsid w:val="00244F78"/>
    <w:rsid w:val="00245396"/>
    <w:rsid w:val="002453F0"/>
    <w:rsid w:val="002457E2"/>
    <w:rsid w:val="0024593F"/>
    <w:rsid w:val="00245E42"/>
    <w:rsid w:val="00245EFB"/>
    <w:rsid w:val="00245F6C"/>
    <w:rsid w:val="00245FD7"/>
    <w:rsid w:val="00246043"/>
    <w:rsid w:val="002462E0"/>
    <w:rsid w:val="0024647F"/>
    <w:rsid w:val="0024649A"/>
    <w:rsid w:val="00246584"/>
    <w:rsid w:val="00246707"/>
    <w:rsid w:val="00246713"/>
    <w:rsid w:val="0024678B"/>
    <w:rsid w:val="00246A14"/>
    <w:rsid w:val="00246BBA"/>
    <w:rsid w:val="00246DF5"/>
    <w:rsid w:val="00246E28"/>
    <w:rsid w:val="00246EA0"/>
    <w:rsid w:val="00246F87"/>
    <w:rsid w:val="00246FF4"/>
    <w:rsid w:val="0024715B"/>
    <w:rsid w:val="0024715C"/>
    <w:rsid w:val="002471FC"/>
    <w:rsid w:val="002472F8"/>
    <w:rsid w:val="002473A7"/>
    <w:rsid w:val="002476B0"/>
    <w:rsid w:val="0024773F"/>
    <w:rsid w:val="002478A2"/>
    <w:rsid w:val="00247B8D"/>
    <w:rsid w:val="00247C83"/>
    <w:rsid w:val="00247E01"/>
    <w:rsid w:val="00247E42"/>
    <w:rsid w:val="00247EF7"/>
    <w:rsid w:val="00250066"/>
    <w:rsid w:val="002501D5"/>
    <w:rsid w:val="00250381"/>
    <w:rsid w:val="00250529"/>
    <w:rsid w:val="002506A3"/>
    <w:rsid w:val="002506DB"/>
    <w:rsid w:val="00250746"/>
    <w:rsid w:val="00250779"/>
    <w:rsid w:val="00250781"/>
    <w:rsid w:val="00250836"/>
    <w:rsid w:val="0025098D"/>
    <w:rsid w:val="002509E2"/>
    <w:rsid w:val="00250A94"/>
    <w:rsid w:val="00250D51"/>
    <w:rsid w:val="00250D86"/>
    <w:rsid w:val="00250EB5"/>
    <w:rsid w:val="002511B8"/>
    <w:rsid w:val="00251334"/>
    <w:rsid w:val="002513FB"/>
    <w:rsid w:val="002513FC"/>
    <w:rsid w:val="0025141F"/>
    <w:rsid w:val="002514F9"/>
    <w:rsid w:val="0025154B"/>
    <w:rsid w:val="0025166B"/>
    <w:rsid w:val="002518D9"/>
    <w:rsid w:val="002519C3"/>
    <w:rsid w:val="00251A09"/>
    <w:rsid w:val="00251C68"/>
    <w:rsid w:val="00251CAF"/>
    <w:rsid w:val="00251CD2"/>
    <w:rsid w:val="00251EF5"/>
    <w:rsid w:val="00252213"/>
    <w:rsid w:val="00252279"/>
    <w:rsid w:val="00252394"/>
    <w:rsid w:val="002523CB"/>
    <w:rsid w:val="002524D5"/>
    <w:rsid w:val="00252504"/>
    <w:rsid w:val="00252810"/>
    <w:rsid w:val="002528C4"/>
    <w:rsid w:val="002528CB"/>
    <w:rsid w:val="00252B89"/>
    <w:rsid w:val="00252C1E"/>
    <w:rsid w:val="00252CBE"/>
    <w:rsid w:val="00252D2E"/>
    <w:rsid w:val="00252F55"/>
    <w:rsid w:val="002530D8"/>
    <w:rsid w:val="0025325E"/>
    <w:rsid w:val="0025346E"/>
    <w:rsid w:val="0025363C"/>
    <w:rsid w:val="002537C2"/>
    <w:rsid w:val="00253A4D"/>
    <w:rsid w:val="00253A8B"/>
    <w:rsid w:val="00253A91"/>
    <w:rsid w:val="00253BDF"/>
    <w:rsid w:val="00253CAB"/>
    <w:rsid w:val="00253D2C"/>
    <w:rsid w:val="00253E01"/>
    <w:rsid w:val="00253F6E"/>
    <w:rsid w:val="00253F85"/>
    <w:rsid w:val="00253FD3"/>
    <w:rsid w:val="00254006"/>
    <w:rsid w:val="0025402B"/>
    <w:rsid w:val="0025402E"/>
    <w:rsid w:val="002541AA"/>
    <w:rsid w:val="00254489"/>
    <w:rsid w:val="002545B5"/>
    <w:rsid w:val="002548E3"/>
    <w:rsid w:val="0025496D"/>
    <w:rsid w:val="00254A31"/>
    <w:rsid w:val="00254C26"/>
    <w:rsid w:val="00254E75"/>
    <w:rsid w:val="00254F52"/>
    <w:rsid w:val="00255037"/>
    <w:rsid w:val="0025508F"/>
    <w:rsid w:val="002550BC"/>
    <w:rsid w:val="00255100"/>
    <w:rsid w:val="00255166"/>
    <w:rsid w:val="002551F1"/>
    <w:rsid w:val="0025525E"/>
    <w:rsid w:val="0025549E"/>
    <w:rsid w:val="002554B2"/>
    <w:rsid w:val="00255555"/>
    <w:rsid w:val="00255569"/>
    <w:rsid w:val="00255571"/>
    <w:rsid w:val="002555CB"/>
    <w:rsid w:val="002556B2"/>
    <w:rsid w:val="002556CD"/>
    <w:rsid w:val="00255740"/>
    <w:rsid w:val="0025577C"/>
    <w:rsid w:val="0025579F"/>
    <w:rsid w:val="00255811"/>
    <w:rsid w:val="00255856"/>
    <w:rsid w:val="0025596A"/>
    <w:rsid w:val="00255C15"/>
    <w:rsid w:val="00255DF1"/>
    <w:rsid w:val="00255EC7"/>
    <w:rsid w:val="0025605B"/>
    <w:rsid w:val="00256075"/>
    <w:rsid w:val="002560FF"/>
    <w:rsid w:val="00256298"/>
    <w:rsid w:val="0025638C"/>
    <w:rsid w:val="00256438"/>
    <w:rsid w:val="002564FF"/>
    <w:rsid w:val="00256723"/>
    <w:rsid w:val="002569C0"/>
    <w:rsid w:val="002569F7"/>
    <w:rsid w:val="00256A29"/>
    <w:rsid w:val="00256A51"/>
    <w:rsid w:val="00256A8C"/>
    <w:rsid w:val="00256ABF"/>
    <w:rsid w:val="00256BDA"/>
    <w:rsid w:val="00256DFE"/>
    <w:rsid w:val="00256F8E"/>
    <w:rsid w:val="00257011"/>
    <w:rsid w:val="0025716F"/>
    <w:rsid w:val="0025727D"/>
    <w:rsid w:val="00257284"/>
    <w:rsid w:val="002573AD"/>
    <w:rsid w:val="00257408"/>
    <w:rsid w:val="00257493"/>
    <w:rsid w:val="002574AC"/>
    <w:rsid w:val="0025755E"/>
    <w:rsid w:val="0025761B"/>
    <w:rsid w:val="0025772E"/>
    <w:rsid w:val="0025796D"/>
    <w:rsid w:val="002579C8"/>
    <w:rsid w:val="00257AA1"/>
    <w:rsid w:val="00257CC9"/>
    <w:rsid w:val="00257D42"/>
    <w:rsid w:val="00257D5B"/>
    <w:rsid w:val="00257ECF"/>
    <w:rsid w:val="00257F57"/>
    <w:rsid w:val="00257F95"/>
    <w:rsid w:val="00260127"/>
    <w:rsid w:val="002602CA"/>
    <w:rsid w:val="0026053E"/>
    <w:rsid w:val="00260A44"/>
    <w:rsid w:val="00260A47"/>
    <w:rsid w:val="00260B09"/>
    <w:rsid w:val="00260BC8"/>
    <w:rsid w:val="00260C1B"/>
    <w:rsid w:val="00260C77"/>
    <w:rsid w:val="00260DEF"/>
    <w:rsid w:val="00260F39"/>
    <w:rsid w:val="002610B2"/>
    <w:rsid w:val="00261276"/>
    <w:rsid w:val="002612A8"/>
    <w:rsid w:val="002613C2"/>
    <w:rsid w:val="00261620"/>
    <w:rsid w:val="0026185D"/>
    <w:rsid w:val="00261988"/>
    <w:rsid w:val="00261A74"/>
    <w:rsid w:val="00261E0B"/>
    <w:rsid w:val="00261EA1"/>
    <w:rsid w:val="00262038"/>
    <w:rsid w:val="0026203F"/>
    <w:rsid w:val="00262042"/>
    <w:rsid w:val="002620A1"/>
    <w:rsid w:val="002620EC"/>
    <w:rsid w:val="002621EF"/>
    <w:rsid w:val="00262259"/>
    <w:rsid w:val="002622A4"/>
    <w:rsid w:val="0026259D"/>
    <w:rsid w:val="002626A2"/>
    <w:rsid w:val="0026274B"/>
    <w:rsid w:val="002627F8"/>
    <w:rsid w:val="00262873"/>
    <w:rsid w:val="00262999"/>
    <w:rsid w:val="00262AAC"/>
    <w:rsid w:val="00262CA7"/>
    <w:rsid w:val="00262CD0"/>
    <w:rsid w:val="00262EBA"/>
    <w:rsid w:val="00262EC1"/>
    <w:rsid w:val="00262F02"/>
    <w:rsid w:val="00262F7E"/>
    <w:rsid w:val="0026304E"/>
    <w:rsid w:val="00263196"/>
    <w:rsid w:val="0026329B"/>
    <w:rsid w:val="002634BE"/>
    <w:rsid w:val="002634DC"/>
    <w:rsid w:val="0026377B"/>
    <w:rsid w:val="00263A22"/>
    <w:rsid w:val="00263B64"/>
    <w:rsid w:val="00263BCF"/>
    <w:rsid w:val="00263C18"/>
    <w:rsid w:val="00263CDE"/>
    <w:rsid w:val="00263D14"/>
    <w:rsid w:val="00263D27"/>
    <w:rsid w:val="00263D2E"/>
    <w:rsid w:val="00263DA6"/>
    <w:rsid w:val="00263E9F"/>
    <w:rsid w:val="0026421A"/>
    <w:rsid w:val="00264469"/>
    <w:rsid w:val="002644E0"/>
    <w:rsid w:val="002645E9"/>
    <w:rsid w:val="00264669"/>
    <w:rsid w:val="0026467C"/>
    <w:rsid w:val="00264702"/>
    <w:rsid w:val="002647F2"/>
    <w:rsid w:val="002648D8"/>
    <w:rsid w:val="002648DB"/>
    <w:rsid w:val="002648EB"/>
    <w:rsid w:val="00264904"/>
    <w:rsid w:val="00264951"/>
    <w:rsid w:val="0026495C"/>
    <w:rsid w:val="00264ABD"/>
    <w:rsid w:val="00264B3E"/>
    <w:rsid w:val="00264D52"/>
    <w:rsid w:val="00264E27"/>
    <w:rsid w:val="00264F08"/>
    <w:rsid w:val="00264F7B"/>
    <w:rsid w:val="00264FF1"/>
    <w:rsid w:val="002651D4"/>
    <w:rsid w:val="002654F2"/>
    <w:rsid w:val="00265576"/>
    <w:rsid w:val="00265935"/>
    <w:rsid w:val="00265AD6"/>
    <w:rsid w:val="00265B52"/>
    <w:rsid w:val="00265C9E"/>
    <w:rsid w:val="00265CA6"/>
    <w:rsid w:val="00265E7C"/>
    <w:rsid w:val="00265F3A"/>
    <w:rsid w:val="002661ED"/>
    <w:rsid w:val="00266280"/>
    <w:rsid w:val="00266357"/>
    <w:rsid w:val="0026663F"/>
    <w:rsid w:val="00266758"/>
    <w:rsid w:val="00266769"/>
    <w:rsid w:val="00266837"/>
    <w:rsid w:val="00266880"/>
    <w:rsid w:val="0026691A"/>
    <w:rsid w:val="00266ACD"/>
    <w:rsid w:val="00266AE6"/>
    <w:rsid w:val="00266D59"/>
    <w:rsid w:val="00266F01"/>
    <w:rsid w:val="00266F07"/>
    <w:rsid w:val="0026704F"/>
    <w:rsid w:val="002671C1"/>
    <w:rsid w:val="0026736D"/>
    <w:rsid w:val="00267437"/>
    <w:rsid w:val="0026778E"/>
    <w:rsid w:val="00267964"/>
    <w:rsid w:val="002679B7"/>
    <w:rsid w:val="00267AC8"/>
    <w:rsid w:val="00267D4D"/>
    <w:rsid w:val="002700DC"/>
    <w:rsid w:val="002703F6"/>
    <w:rsid w:val="00270432"/>
    <w:rsid w:val="00270775"/>
    <w:rsid w:val="00270A58"/>
    <w:rsid w:val="00270AC4"/>
    <w:rsid w:val="00270B92"/>
    <w:rsid w:val="00270D5D"/>
    <w:rsid w:val="00270D8E"/>
    <w:rsid w:val="00270D98"/>
    <w:rsid w:val="00270E19"/>
    <w:rsid w:val="00271127"/>
    <w:rsid w:val="00271352"/>
    <w:rsid w:val="002713B8"/>
    <w:rsid w:val="002715A6"/>
    <w:rsid w:val="002715C9"/>
    <w:rsid w:val="00271658"/>
    <w:rsid w:val="00271920"/>
    <w:rsid w:val="00271922"/>
    <w:rsid w:val="00271B09"/>
    <w:rsid w:val="00271C2C"/>
    <w:rsid w:val="00271ECA"/>
    <w:rsid w:val="00271F48"/>
    <w:rsid w:val="002720F8"/>
    <w:rsid w:val="0027237F"/>
    <w:rsid w:val="002724A5"/>
    <w:rsid w:val="0027255C"/>
    <w:rsid w:val="00272685"/>
    <w:rsid w:val="002727BD"/>
    <w:rsid w:val="0027280D"/>
    <w:rsid w:val="00272857"/>
    <w:rsid w:val="00272F2F"/>
    <w:rsid w:val="00272F99"/>
    <w:rsid w:val="002734D2"/>
    <w:rsid w:val="002736AD"/>
    <w:rsid w:val="00273E44"/>
    <w:rsid w:val="00273EF7"/>
    <w:rsid w:val="00273FB2"/>
    <w:rsid w:val="0027403B"/>
    <w:rsid w:val="0027417A"/>
    <w:rsid w:val="0027444C"/>
    <w:rsid w:val="0027457D"/>
    <w:rsid w:val="002747AD"/>
    <w:rsid w:val="0027483E"/>
    <w:rsid w:val="00274878"/>
    <w:rsid w:val="0027487C"/>
    <w:rsid w:val="0027489C"/>
    <w:rsid w:val="00274BAB"/>
    <w:rsid w:val="00274C3C"/>
    <w:rsid w:val="00274C6B"/>
    <w:rsid w:val="00274D0A"/>
    <w:rsid w:val="00274FE0"/>
    <w:rsid w:val="0027512C"/>
    <w:rsid w:val="00275139"/>
    <w:rsid w:val="002752C1"/>
    <w:rsid w:val="002753B9"/>
    <w:rsid w:val="00275403"/>
    <w:rsid w:val="002756F8"/>
    <w:rsid w:val="0027577A"/>
    <w:rsid w:val="002757EC"/>
    <w:rsid w:val="00275862"/>
    <w:rsid w:val="00275BDA"/>
    <w:rsid w:val="00275CC5"/>
    <w:rsid w:val="00275DA2"/>
    <w:rsid w:val="00275DFB"/>
    <w:rsid w:val="00275E9B"/>
    <w:rsid w:val="00275ECB"/>
    <w:rsid w:val="00275ED3"/>
    <w:rsid w:val="00276013"/>
    <w:rsid w:val="002760C5"/>
    <w:rsid w:val="002761D0"/>
    <w:rsid w:val="0027623F"/>
    <w:rsid w:val="002763DE"/>
    <w:rsid w:val="002763E4"/>
    <w:rsid w:val="00276416"/>
    <w:rsid w:val="0027649C"/>
    <w:rsid w:val="00276734"/>
    <w:rsid w:val="00276759"/>
    <w:rsid w:val="00276765"/>
    <w:rsid w:val="002767AB"/>
    <w:rsid w:val="002767D7"/>
    <w:rsid w:val="002767E3"/>
    <w:rsid w:val="0027686D"/>
    <w:rsid w:val="0027688A"/>
    <w:rsid w:val="002768BD"/>
    <w:rsid w:val="002768F1"/>
    <w:rsid w:val="00276953"/>
    <w:rsid w:val="00276BE0"/>
    <w:rsid w:val="00276CDE"/>
    <w:rsid w:val="00276D27"/>
    <w:rsid w:val="00276EB3"/>
    <w:rsid w:val="00277091"/>
    <w:rsid w:val="0027716A"/>
    <w:rsid w:val="00277361"/>
    <w:rsid w:val="00277575"/>
    <w:rsid w:val="002776A5"/>
    <w:rsid w:val="00277790"/>
    <w:rsid w:val="002777C2"/>
    <w:rsid w:val="00277817"/>
    <w:rsid w:val="002778D5"/>
    <w:rsid w:val="002778FE"/>
    <w:rsid w:val="00277904"/>
    <w:rsid w:val="0027790E"/>
    <w:rsid w:val="00277915"/>
    <w:rsid w:val="002779DB"/>
    <w:rsid w:val="00277B30"/>
    <w:rsid w:val="00277BB9"/>
    <w:rsid w:val="00277DE2"/>
    <w:rsid w:val="00277E53"/>
    <w:rsid w:val="0028012F"/>
    <w:rsid w:val="002801CB"/>
    <w:rsid w:val="00280373"/>
    <w:rsid w:val="00280490"/>
    <w:rsid w:val="002804AD"/>
    <w:rsid w:val="002804CD"/>
    <w:rsid w:val="002804FB"/>
    <w:rsid w:val="0028083D"/>
    <w:rsid w:val="00280A11"/>
    <w:rsid w:val="00280B96"/>
    <w:rsid w:val="00280C43"/>
    <w:rsid w:val="00280DCB"/>
    <w:rsid w:val="00280E13"/>
    <w:rsid w:val="0028143F"/>
    <w:rsid w:val="00281452"/>
    <w:rsid w:val="00281608"/>
    <w:rsid w:val="002816D9"/>
    <w:rsid w:val="002816EC"/>
    <w:rsid w:val="002818E4"/>
    <w:rsid w:val="002819E9"/>
    <w:rsid w:val="00281E0F"/>
    <w:rsid w:val="00281EB2"/>
    <w:rsid w:val="00282030"/>
    <w:rsid w:val="002821B8"/>
    <w:rsid w:val="00282266"/>
    <w:rsid w:val="002822B7"/>
    <w:rsid w:val="0028233C"/>
    <w:rsid w:val="002826B3"/>
    <w:rsid w:val="0028271D"/>
    <w:rsid w:val="00282757"/>
    <w:rsid w:val="00282979"/>
    <w:rsid w:val="002829F2"/>
    <w:rsid w:val="00282A22"/>
    <w:rsid w:val="00282A6D"/>
    <w:rsid w:val="00282A96"/>
    <w:rsid w:val="00282AC7"/>
    <w:rsid w:val="00282B05"/>
    <w:rsid w:val="00282D16"/>
    <w:rsid w:val="00282DDD"/>
    <w:rsid w:val="00282F9D"/>
    <w:rsid w:val="00283039"/>
    <w:rsid w:val="002830A2"/>
    <w:rsid w:val="00283171"/>
    <w:rsid w:val="002831AA"/>
    <w:rsid w:val="002832AC"/>
    <w:rsid w:val="002832DE"/>
    <w:rsid w:val="002832DF"/>
    <w:rsid w:val="0028339A"/>
    <w:rsid w:val="00283560"/>
    <w:rsid w:val="002835BF"/>
    <w:rsid w:val="00283636"/>
    <w:rsid w:val="002836D6"/>
    <w:rsid w:val="00283721"/>
    <w:rsid w:val="00283ABE"/>
    <w:rsid w:val="00283ADD"/>
    <w:rsid w:val="00283B6B"/>
    <w:rsid w:val="00283BB0"/>
    <w:rsid w:val="00283C0F"/>
    <w:rsid w:val="00283E1B"/>
    <w:rsid w:val="00283F16"/>
    <w:rsid w:val="002844E4"/>
    <w:rsid w:val="002844E5"/>
    <w:rsid w:val="00284542"/>
    <w:rsid w:val="00284591"/>
    <w:rsid w:val="002845B5"/>
    <w:rsid w:val="00284850"/>
    <w:rsid w:val="00284981"/>
    <w:rsid w:val="00284C42"/>
    <w:rsid w:val="00284D66"/>
    <w:rsid w:val="00284E6E"/>
    <w:rsid w:val="00284E8C"/>
    <w:rsid w:val="00284F34"/>
    <w:rsid w:val="00285201"/>
    <w:rsid w:val="0028535A"/>
    <w:rsid w:val="0028564D"/>
    <w:rsid w:val="00285738"/>
    <w:rsid w:val="002857B4"/>
    <w:rsid w:val="002858F3"/>
    <w:rsid w:val="002859A1"/>
    <w:rsid w:val="00285A45"/>
    <w:rsid w:val="00285BAB"/>
    <w:rsid w:val="00285C65"/>
    <w:rsid w:val="00286055"/>
    <w:rsid w:val="00286164"/>
    <w:rsid w:val="00286209"/>
    <w:rsid w:val="002862DF"/>
    <w:rsid w:val="0028648E"/>
    <w:rsid w:val="0028659B"/>
    <w:rsid w:val="002865A4"/>
    <w:rsid w:val="0028661F"/>
    <w:rsid w:val="002867B3"/>
    <w:rsid w:val="002867BA"/>
    <w:rsid w:val="00286836"/>
    <w:rsid w:val="002868B2"/>
    <w:rsid w:val="0028695B"/>
    <w:rsid w:val="00286A45"/>
    <w:rsid w:val="00286CE8"/>
    <w:rsid w:val="00286D94"/>
    <w:rsid w:val="00286E25"/>
    <w:rsid w:val="00286EEB"/>
    <w:rsid w:val="00287436"/>
    <w:rsid w:val="002874E6"/>
    <w:rsid w:val="0028759D"/>
    <w:rsid w:val="002879BE"/>
    <w:rsid w:val="00287AB1"/>
    <w:rsid w:val="00287CE0"/>
    <w:rsid w:val="00287E2B"/>
    <w:rsid w:val="00287E71"/>
    <w:rsid w:val="00290049"/>
    <w:rsid w:val="002900FF"/>
    <w:rsid w:val="002901AC"/>
    <w:rsid w:val="002902D4"/>
    <w:rsid w:val="00290401"/>
    <w:rsid w:val="00290535"/>
    <w:rsid w:val="00290A4B"/>
    <w:rsid w:val="00290B97"/>
    <w:rsid w:val="00290CFF"/>
    <w:rsid w:val="00290D27"/>
    <w:rsid w:val="00290E84"/>
    <w:rsid w:val="002910F3"/>
    <w:rsid w:val="002910F6"/>
    <w:rsid w:val="00291381"/>
    <w:rsid w:val="002913B0"/>
    <w:rsid w:val="00291585"/>
    <w:rsid w:val="002915C4"/>
    <w:rsid w:val="00291698"/>
    <w:rsid w:val="002916C2"/>
    <w:rsid w:val="00291737"/>
    <w:rsid w:val="0029180C"/>
    <w:rsid w:val="00291A26"/>
    <w:rsid w:val="00291A8E"/>
    <w:rsid w:val="00291D6C"/>
    <w:rsid w:val="00291E6F"/>
    <w:rsid w:val="00291E7D"/>
    <w:rsid w:val="00291ED1"/>
    <w:rsid w:val="0029209F"/>
    <w:rsid w:val="0029231E"/>
    <w:rsid w:val="002923C5"/>
    <w:rsid w:val="0029252E"/>
    <w:rsid w:val="002925ED"/>
    <w:rsid w:val="00292606"/>
    <w:rsid w:val="0029268B"/>
    <w:rsid w:val="002927A1"/>
    <w:rsid w:val="00292A70"/>
    <w:rsid w:val="00292B4A"/>
    <w:rsid w:val="00292C7A"/>
    <w:rsid w:val="00292FA5"/>
    <w:rsid w:val="00293245"/>
    <w:rsid w:val="002932D8"/>
    <w:rsid w:val="00293358"/>
    <w:rsid w:val="00293722"/>
    <w:rsid w:val="00293933"/>
    <w:rsid w:val="00293B65"/>
    <w:rsid w:val="00293C4B"/>
    <w:rsid w:val="00293D47"/>
    <w:rsid w:val="00293D61"/>
    <w:rsid w:val="00293D68"/>
    <w:rsid w:val="00293DFC"/>
    <w:rsid w:val="00293E48"/>
    <w:rsid w:val="00293EA0"/>
    <w:rsid w:val="00293EF5"/>
    <w:rsid w:val="00293FB3"/>
    <w:rsid w:val="00293FED"/>
    <w:rsid w:val="002940F1"/>
    <w:rsid w:val="002940FB"/>
    <w:rsid w:val="002941D6"/>
    <w:rsid w:val="00294211"/>
    <w:rsid w:val="002942A8"/>
    <w:rsid w:val="002942C3"/>
    <w:rsid w:val="002942DE"/>
    <w:rsid w:val="002943E5"/>
    <w:rsid w:val="00294494"/>
    <w:rsid w:val="00294517"/>
    <w:rsid w:val="0029463E"/>
    <w:rsid w:val="002946EB"/>
    <w:rsid w:val="002947A6"/>
    <w:rsid w:val="002948AC"/>
    <w:rsid w:val="00294913"/>
    <w:rsid w:val="00294921"/>
    <w:rsid w:val="0029493F"/>
    <w:rsid w:val="00294BD5"/>
    <w:rsid w:val="00294E0A"/>
    <w:rsid w:val="00294E24"/>
    <w:rsid w:val="00294F6E"/>
    <w:rsid w:val="0029501E"/>
    <w:rsid w:val="002951AD"/>
    <w:rsid w:val="0029541E"/>
    <w:rsid w:val="002954F4"/>
    <w:rsid w:val="00295532"/>
    <w:rsid w:val="0029565D"/>
    <w:rsid w:val="002956BE"/>
    <w:rsid w:val="002958E8"/>
    <w:rsid w:val="00295A53"/>
    <w:rsid w:val="00295A5B"/>
    <w:rsid w:val="00295A7B"/>
    <w:rsid w:val="00295BE4"/>
    <w:rsid w:val="00295D2A"/>
    <w:rsid w:val="00295DC6"/>
    <w:rsid w:val="00295E46"/>
    <w:rsid w:val="002960A1"/>
    <w:rsid w:val="00296164"/>
    <w:rsid w:val="002961AC"/>
    <w:rsid w:val="0029644E"/>
    <w:rsid w:val="002964E2"/>
    <w:rsid w:val="002964FD"/>
    <w:rsid w:val="0029668B"/>
    <w:rsid w:val="00296751"/>
    <w:rsid w:val="00296EE6"/>
    <w:rsid w:val="00296EF1"/>
    <w:rsid w:val="002970BD"/>
    <w:rsid w:val="00297130"/>
    <w:rsid w:val="0029730E"/>
    <w:rsid w:val="00297391"/>
    <w:rsid w:val="00297433"/>
    <w:rsid w:val="00297459"/>
    <w:rsid w:val="0029751C"/>
    <w:rsid w:val="00297523"/>
    <w:rsid w:val="00297594"/>
    <w:rsid w:val="002976D5"/>
    <w:rsid w:val="00297862"/>
    <w:rsid w:val="002978CF"/>
    <w:rsid w:val="00297914"/>
    <w:rsid w:val="00297A10"/>
    <w:rsid w:val="00297BB8"/>
    <w:rsid w:val="00297C9D"/>
    <w:rsid w:val="00297D93"/>
    <w:rsid w:val="00297F7F"/>
    <w:rsid w:val="00297FB4"/>
    <w:rsid w:val="00297FF4"/>
    <w:rsid w:val="002A014D"/>
    <w:rsid w:val="002A01CC"/>
    <w:rsid w:val="002A01ED"/>
    <w:rsid w:val="002A022F"/>
    <w:rsid w:val="002A0285"/>
    <w:rsid w:val="002A0436"/>
    <w:rsid w:val="002A0493"/>
    <w:rsid w:val="002A06B2"/>
    <w:rsid w:val="002A06D8"/>
    <w:rsid w:val="002A06FC"/>
    <w:rsid w:val="002A0777"/>
    <w:rsid w:val="002A0821"/>
    <w:rsid w:val="002A0A30"/>
    <w:rsid w:val="002A0A5F"/>
    <w:rsid w:val="002A0C97"/>
    <w:rsid w:val="002A0DCE"/>
    <w:rsid w:val="002A10DA"/>
    <w:rsid w:val="002A11BC"/>
    <w:rsid w:val="002A11F1"/>
    <w:rsid w:val="002A142D"/>
    <w:rsid w:val="002A150A"/>
    <w:rsid w:val="002A157D"/>
    <w:rsid w:val="002A1BB8"/>
    <w:rsid w:val="002A1C20"/>
    <w:rsid w:val="002A1D87"/>
    <w:rsid w:val="002A1E3E"/>
    <w:rsid w:val="002A1EEC"/>
    <w:rsid w:val="002A1F7D"/>
    <w:rsid w:val="002A1F8F"/>
    <w:rsid w:val="002A20E7"/>
    <w:rsid w:val="002A2335"/>
    <w:rsid w:val="002A23F9"/>
    <w:rsid w:val="002A24F8"/>
    <w:rsid w:val="002A25C7"/>
    <w:rsid w:val="002A26CD"/>
    <w:rsid w:val="002A27AF"/>
    <w:rsid w:val="002A2839"/>
    <w:rsid w:val="002A2B09"/>
    <w:rsid w:val="002A2D5C"/>
    <w:rsid w:val="002A2FFA"/>
    <w:rsid w:val="002A30BF"/>
    <w:rsid w:val="002A3165"/>
    <w:rsid w:val="002A33EC"/>
    <w:rsid w:val="002A35B5"/>
    <w:rsid w:val="002A35F0"/>
    <w:rsid w:val="002A366C"/>
    <w:rsid w:val="002A36C7"/>
    <w:rsid w:val="002A378F"/>
    <w:rsid w:val="002A37FA"/>
    <w:rsid w:val="002A3827"/>
    <w:rsid w:val="002A3974"/>
    <w:rsid w:val="002A3985"/>
    <w:rsid w:val="002A3989"/>
    <w:rsid w:val="002A3AF1"/>
    <w:rsid w:val="002A3C33"/>
    <w:rsid w:val="002A3CD0"/>
    <w:rsid w:val="002A3CDA"/>
    <w:rsid w:val="002A3DDE"/>
    <w:rsid w:val="002A406C"/>
    <w:rsid w:val="002A41A5"/>
    <w:rsid w:val="002A41F6"/>
    <w:rsid w:val="002A4B04"/>
    <w:rsid w:val="002A4B11"/>
    <w:rsid w:val="002A4B8E"/>
    <w:rsid w:val="002A4C10"/>
    <w:rsid w:val="002A4FE5"/>
    <w:rsid w:val="002A5076"/>
    <w:rsid w:val="002A5137"/>
    <w:rsid w:val="002A5364"/>
    <w:rsid w:val="002A5408"/>
    <w:rsid w:val="002A564D"/>
    <w:rsid w:val="002A5711"/>
    <w:rsid w:val="002A5878"/>
    <w:rsid w:val="002A5915"/>
    <w:rsid w:val="002A5949"/>
    <w:rsid w:val="002A5A41"/>
    <w:rsid w:val="002A5A42"/>
    <w:rsid w:val="002A5A4D"/>
    <w:rsid w:val="002A5CCD"/>
    <w:rsid w:val="002A5E09"/>
    <w:rsid w:val="002A61D9"/>
    <w:rsid w:val="002A63D2"/>
    <w:rsid w:val="002A6423"/>
    <w:rsid w:val="002A657A"/>
    <w:rsid w:val="002A6A00"/>
    <w:rsid w:val="002A6A91"/>
    <w:rsid w:val="002A6C24"/>
    <w:rsid w:val="002A6CFC"/>
    <w:rsid w:val="002A733E"/>
    <w:rsid w:val="002A74B9"/>
    <w:rsid w:val="002A74FF"/>
    <w:rsid w:val="002A7796"/>
    <w:rsid w:val="002A77DC"/>
    <w:rsid w:val="002A79AC"/>
    <w:rsid w:val="002A79C8"/>
    <w:rsid w:val="002A7CEC"/>
    <w:rsid w:val="002A7DBD"/>
    <w:rsid w:val="002A7E45"/>
    <w:rsid w:val="002A7F41"/>
    <w:rsid w:val="002B01E1"/>
    <w:rsid w:val="002B02D6"/>
    <w:rsid w:val="002B02E2"/>
    <w:rsid w:val="002B02ED"/>
    <w:rsid w:val="002B02FC"/>
    <w:rsid w:val="002B04F4"/>
    <w:rsid w:val="002B0535"/>
    <w:rsid w:val="002B0591"/>
    <w:rsid w:val="002B059E"/>
    <w:rsid w:val="002B05C2"/>
    <w:rsid w:val="002B072E"/>
    <w:rsid w:val="002B07F8"/>
    <w:rsid w:val="002B0CD3"/>
    <w:rsid w:val="002B0E5E"/>
    <w:rsid w:val="002B0E97"/>
    <w:rsid w:val="002B1040"/>
    <w:rsid w:val="002B106C"/>
    <w:rsid w:val="002B11FB"/>
    <w:rsid w:val="002B1598"/>
    <w:rsid w:val="002B163C"/>
    <w:rsid w:val="002B1702"/>
    <w:rsid w:val="002B17B1"/>
    <w:rsid w:val="002B18A1"/>
    <w:rsid w:val="002B18FC"/>
    <w:rsid w:val="002B1A12"/>
    <w:rsid w:val="002B209A"/>
    <w:rsid w:val="002B20F1"/>
    <w:rsid w:val="002B210D"/>
    <w:rsid w:val="002B2588"/>
    <w:rsid w:val="002B2623"/>
    <w:rsid w:val="002B27E5"/>
    <w:rsid w:val="002B2929"/>
    <w:rsid w:val="002B2B93"/>
    <w:rsid w:val="002B2CB7"/>
    <w:rsid w:val="002B2EAE"/>
    <w:rsid w:val="002B2EF6"/>
    <w:rsid w:val="002B3341"/>
    <w:rsid w:val="002B33D3"/>
    <w:rsid w:val="002B33E9"/>
    <w:rsid w:val="002B35CD"/>
    <w:rsid w:val="002B3606"/>
    <w:rsid w:val="002B3635"/>
    <w:rsid w:val="002B36DE"/>
    <w:rsid w:val="002B3700"/>
    <w:rsid w:val="002B3715"/>
    <w:rsid w:val="002B39D6"/>
    <w:rsid w:val="002B3B38"/>
    <w:rsid w:val="002B3D4D"/>
    <w:rsid w:val="002B3E8E"/>
    <w:rsid w:val="002B3EE6"/>
    <w:rsid w:val="002B3F51"/>
    <w:rsid w:val="002B3F75"/>
    <w:rsid w:val="002B4016"/>
    <w:rsid w:val="002B43C3"/>
    <w:rsid w:val="002B445D"/>
    <w:rsid w:val="002B4490"/>
    <w:rsid w:val="002B456E"/>
    <w:rsid w:val="002B49D7"/>
    <w:rsid w:val="002B4B24"/>
    <w:rsid w:val="002B4C32"/>
    <w:rsid w:val="002B4F2F"/>
    <w:rsid w:val="002B4F9B"/>
    <w:rsid w:val="002B5065"/>
    <w:rsid w:val="002B50D8"/>
    <w:rsid w:val="002B5207"/>
    <w:rsid w:val="002B522A"/>
    <w:rsid w:val="002B522E"/>
    <w:rsid w:val="002B5270"/>
    <w:rsid w:val="002B5308"/>
    <w:rsid w:val="002B5454"/>
    <w:rsid w:val="002B5521"/>
    <w:rsid w:val="002B5608"/>
    <w:rsid w:val="002B57C2"/>
    <w:rsid w:val="002B5940"/>
    <w:rsid w:val="002B5AA3"/>
    <w:rsid w:val="002B5AC4"/>
    <w:rsid w:val="002B5B46"/>
    <w:rsid w:val="002B5B88"/>
    <w:rsid w:val="002B5C97"/>
    <w:rsid w:val="002B5CA5"/>
    <w:rsid w:val="002B5DC3"/>
    <w:rsid w:val="002B5DF3"/>
    <w:rsid w:val="002B5E85"/>
    <w:rsid w:val="002B5FFD"/>
    <w:rsid w:val="002B60CF"/>
    <w:rsid w:val="002B61A6"/>
    <w:rsid w:val="002B6405"/>
    <w:rsid w:val="002B643A"/>
    <w:rsid w:val="002B64A8"/>
    <w:rsid w:val="002B6783"/>
    <w:rsid w:val="002B67C3"/>
    <w:rsid w:val="002B6811"/>
    <w:rsid w:val="002B6829"/>
    <w:rsid w:val="002B6907"/>
    <w:rsid w:val="002B69F7"/>
    <w:rsid w:val="002B6A0A"/>
    <w:rsid w:val="002B6D5F"/>
    <w:rsid w:val="002B6FB3"/>
    <w:rsid w:val="002B7108"/>
    <w:rsid w:val="002B71DD"/>
    <w:rsid w:val="002B71EB"/>
    <w:rsid w:val="002B728E"/>
    <w:rsid w:val="002B731D"/>
    <w:rsid w:val="002B754A"/>
    <w:rsid w:val="002B75B1"/>
    <w:rsid w:val="002B7633"/>
    <w:rsid w:val="002B7836"/>
    <w:rsid w:val="002B7896"/>
    <w:rsid w:val="002B7C72"/>
    <w:rsid w:val="002B7C99"/>
    <w:rsid w:val="002B7E18"/>
    <w:rsid w:val="002B7E5F"/>
    <w:rsid w:val="002B7EA2"/>
    <w:rsid w:val="002C0052"/>
    <w:rsid w:val="002C009F"/>
    <w:rsid w:val="002C0184"/>
    <w:rsid w:val="002C01A4"/>
    <w:rsid w:val="002C033D"/>
    <w:rsid w:val="002C0485"/>
    <w:rsid w:val="002C0671"/>
    <w:rsid w:val="002C0678"/>
    <w:rsid w:val="002C07C8"/>
    <w:rsid w:val="002C0881"/>
    <w:rsid w:val="002C097D"/>
    <w:rsid w:val="002C0B41"/>
    <w:rsid w:val="002C0B92"/>
    <w:rsid w:val="002C0B98"/>
    <w:rsid w:val="002C0BDC"/>
    <w:rsid w:val="002C0DCB"/>
    <w:rsid w:val="002C0E62"/>
    <w:rsid w:val="002C105F"/>
    <w:rsid w:val="002C1202"/>
    <w:rsid w:val="002C12B7"/>
    <w:rsid w:val="002C13AB"/>
    <w:rsid w:val="002C14E8"/>
    <w:rsid w:val="002C1507"/>
    <w:rsid w:val="002C18A5"/>
    <w:rsid w:val="002C1AA2"/>
    <w:rsid w:val="002C1B28"/>
    <w:rsid w:val="002C1BC0"/>
    <w:rsid w:val="002C1E1F"/>
    <w:rsid w:val="002C1E31"/>
    <w:rsid w:val="002C1EA0"/>
    <w:rsid w:val="002C1F5E"/>
    <w:rsid w:val="002C1F94"/>
    <w:rsid w:val="002C20EA"/>
    <w:rsid w:val="002C2288"/>
    <w:rsid w:val="002C25CE"/>
    <w:rsid w:val="002C26ED"/>
    <w:rsid w:val="002C274E"/>
    <w:rsid w:val="002C2A0D"/>
    <w:rsid w:val="002C2AB4"/>
    <w:rsid w:val="002C2D9F"/>
    <w:rsid w:val="002C2E9E"/>
    <w:rsid w:val="002C2F8B"/>
    <w:rsid w:val="002C2FDA"/>
    <w:rsid w:val="002C308C"/>
    <w:rsid w:val="002C317B"/>
    <w:rsid w:val="002C34A1"/>
    <w:rsid w:val="002C3696"/>
    <w:rsid w:val="002C37DB"/>
    <w:rsid w:val="002C382F"/>
    <w:rsid w:val="002C3849"/>
    <w:rsid w:val="002C38B7"/>
    <w:rsid w:val="002C39A9"/>
    <w:rsid w:val="002C3AD5"/>
    <w:rsid w:val="002C3AFC"/>
    <w:rsid w:val="002C3BE0"/>
    <w:rsid w:val="002C3D04"/>
    <w:rsid w:val="002C3E4C"/>
    <w:rsid w:val="002C3E61"/>
    <w:rsid w:val="002C3F58"/>
    <w:rsid w:val="002C40C7"/>
    <w:rsid w:val="002C41F0"/>
    <w:rsid w:val="002C440F"/>
    <w:rsid w:val="002C4444"/>
    <w:rsid w:val="002C46DD"/>
    <w:rsid w:val="002C4B2D"/>
    <w:rsid w:val="002C4BB2"/>
    <w:rsid w:val="002C4C9C"/>
    <w:rsid w:val="002C4E41"/>
    <w:rsid w:val="002C5230"/>
    <w:rsid w:val="002C52C7"/>
    <w:rsid w:val="002C52CE"/>
    <w:rsid w:val="002C5397"/>
    <w:rsid w:val="002C53F0"/>
    <w:rsid w:val="002C53F9"/>
    <w:rsid w:val="002C5442"/>
    <w:rsid w:val="002C5505"/>
    <w:rsid w:val="002C551D"/>
    <w:rsid w:val="002C55AB"/>
    <w:rsid w:val="002C5724"/>
    <w:rsid w:val="002C59EB"/>
    <w:rsid w:val="002C5B13"/>
    <w:rsid w:val="002C5B1C"/>
    <w:rsid w:val="002C5B74"/>
    <w:rsid w:val="002C5B81"/>
    <w:rsid w:val="002C5F11"/>
    <w:rsid w:val="002C5F9E"/>
    <w:rsid w:val="002C5FBA"/>
    <w:rsid w:val="002C5FD4"/>
    <w:rsid w:val="002C6020"/>
    <w:rsid w:val="002C6394"/>
    <w:rsid w:val="002C63CE"/>
    <w:rsid w:val="002C6679"/>
    <w:rsid w:val="002C677E"/>
    <w:rsid w:val="002C67CD"/>
    <w:rsid w:val="002C698E"/>
    <w:rsid w:val="002C69DE"/>
    <w:rsid w:val="002C6A62"/>
    <w:rsid w:val="002C6CCC"/>
    <w:rsid w:val="002C6E29"/>
    <w:rsid w:val="002C6E35"/>
    <w:rsid w:val="002C7209"/>
    <w:rsid w:val="002C7415"/>
    <w:rsid w:val="002C74F8"/>
    <w:rsid w:val="002C74FE"/>
    <w:rsid w:val="002C77F0"/>
    <w:rsid w:val="002C7A07"/>
    <w:rsid w:val="002C7D75"/>
    <w:rsid w:val="002C7FE2"/>
    <w:rsid w:val="002D02E3"/>
    <w:rsid w:val="002D03AE"/>
    <w:rsid w:val="002D043C"/>
    <w:rsid w:val="002D048C"/>
    <w:rsid w:val="002D04D0"/>
    <w:rsid w:val="002D056F"/>
    <w:rsid w:val="002D077B"/>
    <w:rsid w:val="002D0803"/>
    <w:rsid w:val="002D083C"/>
    <w:rsid w:val="002D09DA"/>
    <w:rsid w:val="002D0B66"/>
    <w:rsid w:val="002D0B7D"/>
    <w:rsid w:val="002D0C4A"/>
    <w:rsid w:val="002D0C84"/>
    <w:rsid w:val="002D0DD5"/>
    <w:rsid w:val="002D109A"/>
    <w:rsid w:val="002D1324"/>
    <w:rsid w:val="002D13EB"/>
    <w:rsid w:val="002D18FB"/>
    <w:rsid w:val="002D194D"/>
    <w:rsid w:val="002D1A9C"/>
    <w:rsid w:val="002D1AF1"/>
    <w:rsid w:val="002D1B14"/>
    <w:rsid w:val="002D1C55"/>
    <w:rsid w:val="002D1CED"/>
    <w:rsid w:val="002D1FD4"/>
    <w:rsid w:val="002D220D"/>
    <w:rsid w:val="002D2292"/>
    <w:rsid w:val="002D243F"/>
    <w:rsid w:val="002D2646"/>
    <w:rsid w:val="002D26CB"/>
    <w:rsid w:val="002D2843"/>
    <w:rsid w:val="002D2915"/>
    <w:rsid w:val="002D2A65"/>
    <w:rsid w:val="002D2C2C"/>
    <w:rsid w:val="002D2C68"/>
    <w:rsid w:val="002D2C8F"/>
    <w:rsid w:val="002D2CD5"/>
    <w:rsid w:val="002D2E60"/>
    <w:rsid w:val="002D2EEB"/>
    <w:rsid w:val="002D2F28"/>
    <w:rsid w:val="002D2F56"/>
    <w:rsid w:val="002D2F5A"/>
    <w:rsid w:val="002D2FDB"/>
    <w:rsid w:val="002D3012"/>
    <w:rsid w:val="002D3418"/>
    <w:rsid w:val="002D34A4"/>
    <w:rsid w:val="002D375A"/>
    <w:rsid w:val="002D389A"/>
    <w:rsid w:val="002D38FC"/>
    <w:rsid w:val="002D3AE6"/>
    <w:rsid w:val="002D3C54"/>
    <w:rsid w:val="002D3D16"/>
    <w:rsid w:val="002D3DAC"/>
    <w:rsid w:val="002D3F3A"/>
    <w:rsid w:val="002D3F67"/>
    <w:rsid w:val="002D3F6C"/>
    <w:rsid w:val="002D3FC7"/>
    <w:rsid w:val="002D4036"/>
    <w:rsid w:val="002D405B"/>
    <w:rsid w:val="002D40D4"/>
    <w:rsid w:val="002D4204"/>
    <w:rsid w:val="002D4495"/>
    <w:rsid w:val="002D4520"/>
    <w:rsid w:val="002D453E"/>
    <w:rsid w:val="002D4543"/>
    <w:rsid w:val="002D460D"/>
    <w:rsid w:val="002D4D46"/>
    <w:rsid w:val="002D4D76"/>
    <w:rsid w:val="002D4F27"/>
    <w:rsid w:val="002D4F51"/>
    <w:rsid w:val="002D4F55"/>
    <w:rsid w:val="002D5138"/>
    <w:rsid w:val="002D525D"/>
    <w:rsid w:val="002D527C"/>
    <w:rsid w:val="002D529A"/>
    <w:rsid w:val="002D53C1"/>
    <w:rsid w:val="002D5922"/>
    <w:rsid w:val="002D5962"/>
    <w:rsid w:val="002D5AA7"/>
    <w:rsid w:val="002D5AC6"/>
    <w:rsid w:val="002D5C5B"/>
    <w:rsid w:val="002D5D39"/>
    <w:rsid w:val="002D5FEA"/>
    <w:rsid w:val="002D6088"/>
    <w:rsid w:val="002D60D1"/>
    <w:rsid w:val="002D616F"/>
    <w:rsid w:val="002D61C1"/>
    <w:rsid w:val="002D63E8"/>
    <w:rsid w:val="002D6494"/>
    <w:rsid w:val="002D64DE"/>
    <w:rsid w:val="002D64F2"/>
    <w:rsid w:val="002D6523"/>
    <w:rsid w:val="002D654D"/>
    <w:rsid w:val="002D6576"/>
    <w:rsid w:val="002D664F"/>
    <w:rsid w:val="002D677C"/>
    <w:rsid w:val="002D6788"/>
    <w:rsid w:val="002D6836"/>
    <w:rsid w:val="002D6A2C"/>
    <w:rsid w:val="002D6AE3"/>
    <w:rsid w:val="002D6BB8"/>
    <w:rsid w:val="002D6CAD"/>
    <w:rsid w:val="002D6DC1"/>
    <w:rsid w:val="002D6E4A"/>
    <w:rsid w:val="002D70D2"/>
    <w:rsid w:val="002D71BD"/>
    <w:rsid w:val="002D7280"/>
    <w:rsid w:val="002D7294"/>
    <w:rsid w:val="002D7416"/>
    <w:rsid w:val="002D7425"/>
    <w:rsid w:val="002D7609"/>
    <w:rsid w:val="002D761D"/>
    <w:rsid w:val="002D7A42"/>
    <w:rsid w:val="002D7AAC"/>
    <w:rsid w:val="002D7BEE"/>
    <w:rsid w:val="002D7C18"/>
    <w:rsid w:val="002D7C82"/>
    <w:rsid w:val="002D7C8A"/>
    <w:rsid w:val="002D7CC6"/>
    <w:rsid w:val="002D7D26"/>
    <w:rsid w:val="002D7DC1"/>
    <w:rsid w:val="002D7FAE"/>
    <w:rsid w:val="002E0099"/>
    <w:rsid w:val="002E0176"/>
    <w:rsid w:val="002E0334"/>
    <w:rsid w:val="002E0485"/>
    <w:rsid w:val="002E0498"/>
    <w:rsid w:val="002E0507"/>
    <w:rsid w:val="002E066A"/>
    <w:rsid w:val="002E06A1"/>
    <w:rsid w:val="002E06AF"/>
    <w:rsid w:val="002E098F"/>
    <w:rsid w:val="002E0A6F"/>
    <w:rsid w:val="002E0AB3"/>
    <w:rsid w:val="002E0B97"/>
    <w:rsid w:val="002E0BD7"/>
    <w:rsid w:val="002E0E4A"/>
    <w:rsid w:val="002E0FE1"/>
    <w:rsid w:val="002E1031"/>
    <w:rsid w:val="002E114F"/>
    <w:rsid w:val="002E12A0"/>
    <w:rsid w:val="002E1706"/>
    <w:rsid w:val="002E183D"/>
    <w:rsid w:val="002E194C"/>
    <w:rsid w:val="002E1A68"/>
    <w:rsid w:val="002E1C0D"/>
    <w:rsid w:val="002E1CDE"/>
    <w:rsid w:val="002E1DD1"/>
    <w:rsid w:val="002E1F38"/>
    <w:rsid w:val="002E202A"/>
    <w:rsid w:val="002E2137"/>
    <w:rsid w:val="002E2267"/>
    <w:rsid w:val="002E25FC"/>
    <w:rsid w:val="002E27B7"/>
    <w:rsid w:val="002E2877"/>
    <w:rsid w:val="002E29AC"/>
    <w:rsid w:val="002E29D8"/>
    <w:rsid w:val="002E29F7"/>
    <w:rsid w:val="002E2A54"/>
    <w:rsid w:val="002E2C50"/>
    <w:rsid w:val="002E2F5A"/>
    <w:rsid w:val="002E3144"/>
    <w:rsid w:val="002E3395"/>
    <w:rsid w:val="002E345D"/>
    <w:rsid w:val="002E345E"/>
    <w:rsid w:val="002E3565"/>
    <w:rsid w:val="002E362C"/>
    <w:rsid w:val="002E36B2"/>
    <w:rsid w:val="002E3851"/>
    <w:rsid w:val="002E38DD"/>
    <w:rsid w:val="002E3952"/>
    <w:rsid w:val="002E3963"/>
    <w:rsid w:val="002E3970"/>
    <w:rsid w:val="002E3985"/>
    <w:rsid w:val="002E3987"/>
    <w:rsid w:val="002E3A47"/>
    <w:rsid w:val="002E3C22"/>
    <w:rsid w:val="002E3E32"/>
    <w:rsid w:val="002E3EBA"/>
    <w:rsid w:val="002E4113"/>
    <w:rsid w:val="002E413A"/>
    <w:rsid w:val="002E421C"/>
    <w:rsid w:val="002E4314"/>
    <w:rsid w:val="002E43A5"/>
    <w:rsid w:val="002E43E8"/>
    <w:rsid w:val="002E4407"/>
    <w:rsid w:val="002E44BC"/>
    <w:rsid w:val="002E490F"/>
    <w:rsid w:val="002E4A61"/>
    <w:rsid w:val="002E4AAE"/>
    <w:rsid w:val="002E4AB4"/>
    <w:rsid w:val="002E4D3A"/>
    <w:rsid w:val="002E4F48"/>
    <w:rsid w:val="002E5090"/>
    <w:rsid w:val="002E5463"/>
    <w:rsid w:val="002E548A"/>
    <w:rsid w:val="002E5713"/>
    <w:rsid w:val="002E5842"/>
    <w:rsid w:val="002E5A07"/>
    <w:rsid w:val="002E5BDB"/>
    <w:rsid w:val="002E5C1D"/>
    <w:rsid w:val="002E5F10"/>
    <w:rsid w:val="002E61AD"/>
    <w:rsid w:val="002E63D1"/>
    <w:rsid w:val="002E63EF"/>
    <w:rsid w:val="002E6545"/>
    <w:rsid w:val="002E65C1"/>
    <w:rsid w:val="002E66C8"/>
    <w:rsid w:val="002E66C9"/>
    <w:rsid w:val="002E66E6"/>
    <w:rsid w:val="002E66F2"/>
    <w:rsid w:val="002E68F9"/>
    <w:rsid w:val="002E6928"/>
    <w:rsid w:val="002E6B4E"/>
    <w:rsid w:val="002E6D9A"/>
    <w:rsid w:val="002E72F8"/>
    <w:rsid w:val="002E7797"/>
    <w:rsid w:val="002E78B6"/>
    <w:rsid w:val="002E78DF"/>
    <w:rsid w:val="002E797F"/>
    <w:rsid w:val="002E7B2A"/>
    <w:rsid w:val="002E7CB2"/>
    <w:rsid w:val="002E7CFF"/>
    <w:rsid w:val="002E7D17"/>
    <w:rsid w:val="002E7D33"/>
    <w:rsid w:val="002E7E44"/>
    <w:rsid w:val="002E7EC5"/>
    <w:rsid w:val="002F009F"/>
    <w:rsid w:val="002F0225"/>
    <w:rsid w:val="002F0358"/>
    <w:rsid w:val="002F03AD"/>
    <w:rsid w:val="002F053B"/>
    <w:rsid w:val="002F06F0"/>
    <w:rsid w:val="002F07A2"/>
    <w:rsid w:val="002F086B"/>
    <w:rsid w:val="002F0932"/>
    <w:rsid w:val="002F099B"/>
    <w:rsid w:val="002F09E0"/>
    <w:rsid w:val="002F10B2"/>
    <w:rsid w:val="002F11A2"/>
    <w:rsid w:val="002F11F7"/>
    <w:rsid w:val="002F1211"/>
    <w:rsid w:val="002F131D"/>
    <w:rsid w:val="002F15EC"/>
    <w:rsid w:val="002F161E"/>
    <w:rsid w:val="002F162D"/>
    <w:rsid w:val="002F16A0"/>
    <w:rsid w:val="002F170A"/>
    <w:rsid w:val="002F178C"/>
    <w:rsid w:val="002F1A22"/>
    <w:rsid w:val="002F1A5E"/>
    <w:rsid w:val="002F1D91"/>
    <w:rsid w:val="002F1E1F"/>
    <w:rsid w:val="002F1E96"/>
    <w:rsid w:val="002F1EDD"/>
    <w:rsid w:val="002F1EEE"/>
    <w:rsid w:val="002F21B4"/>
    <w:rsid w:val="002F2277"/>
    <w:rsid w:val="002F2384"/>
    <w:rsid w:val="002F23B2"/>
    <w:rsid w:val="002F24C0"/>
    <w:rsid w:val="002F24DE"/>
    <w:rsid w:val="002F2797"/>
    <w:rsid w:val="002F27EA"/>
    <w:rsid w:val="002F27FD"/>
    <w:rsid w:val="002F2B23"/>
    <w:rsid w:val="002F2B84"/>
    <w:rsid w:val="002F2BA2"/>
    <w:rsid w:val="002F2BE0"/>
    <w:rsid w:val="002F2CA0"/>
    <w:rsid w:val="002F2D31"/>
    <w:rsid w:val="002F2F68"/>
    <w:rsid w:val="002F335E"/>
    <w:rsid w:val="002F3603"/>
    <w:rsid w:val="002F36F3"/>
    <w:rsid w:val="002F37C0"/>
    <w:rsid w:val="002F389E"/>
    <w:rsid w:val="002F3ACF"/>
    <w:rsid w:val="002F3C30"/>
    <w:rsid w:val="002F3CEF"/>
    <w:rsid w:val="002F3D51"/>
    <w:rsid w:val="002F3E50"/>
    <w:rsid w:val="002F3F3A"/>
    <w:rsid w:val="002F4096"/>
    <w:rsid w:val="002F4100"/>
    <w:rsid w:val="002F432E"/>
    <w:rsid w:val="002F43D7"/>
    <w:rsid w:val="002F4476"/>
    <w:rsid w:val="002F463E"/>
    <w:rsid w:val="002F46A3"/>
    <w:rsid w:val="002F48B8"/>
    <w:rsid w:val="002F48EE"/>
    <w:rsid w:val="002F4D68"/>
    <w:rsid w:val="002F4FD1"/>
    <w:rsid w:val="002F5061"/>
    <w:rsid w:val="002F52A2"/>
    <w:rsid w:val="002F54ED"/>
    <w:rsid w:val="002F5586"/>
    <w:rsid w:val="002F55BF"/>
    <w:rsid w:val="002F5DB8"/>
    <w:rsid w:val="002F5E27"/>
    <w:rsid w:val="002F5E5A"/>
    <w:rsid w:val="002F5F11"/>
    <w:rsid w:val="002F607B"/>
    <w:rsid w:val="002F60D6"/>
    <w:rsid w:val="002F621B"/>
    <w:rsid w:val="002F6424"/>
    <w:rsid w:val="002F64B6"/>
    <w:rsid w:val="002F650D"/>
    <w:rsid w:val="002F65C9"/>
    <w:rsid w:val="002F68E4"/>
    <w:rsid w:val="002F6B27"/>
    <w:rsid w:val="002F6B56"/>
    <w:rsid w:val="002F6C64"/>
    <w:rsid w:val="002F6CF7"/>
    <w:rsid w:val="002F6D4A"/>
    <w:rsid w:val="002F6E7C"/>
    <w:rsid w:val="002F6FD8"/>
    <w:rsid w:val="002F706D"/>
    <w:rsid w:val="002F712F"/>
    <w:rsid w:val="002F71CA"/>
    <w:rsid w:val="002F7392"/>
    <w:rsid w:val="002F741C"/>
    <w:rsid w:val="002F7505"/>
    <w:rsid w:val="002F75A4"/>
    <w:rsid w:val="002F770A"/>
    <w:rsid w:val="002F789E"/>
    <w:rsid w:val="002F78A5"/>
    <w:rsid w:val="002F7A20"/>
    <w:rsid w:val="002F7DF1"/>
    <w:rsid w:val="003000D4"/>
    <w:rsid w:val="00300110"/>
    <w:rsid w:val="00300427"/>
    <w:rsid w:val="003005A7"/>
    <w:rsid w:val="003005BB"/>
    <w:rsid w:val="00300676"/>
    <w:rsid w:val="003006F6"/>
    <w:rsid w:val="003008A5"/>
    <w:rsid w:val="003008A7"/>
    <w:rsid w:val="00300994"/>
    <w:rsid w:val="00300B1F"/>
    <w:rsid w:val="00300B73"/>
    <w:rsid w:val="00300BDB"/>
    <w:rsid w:val="00300D21"/>
    <w:rsid w:val="00300E03"/>
    <w:rsid w:val="00300EF6"/>
    <w:rsid w:val="00301093"/>
    <w:rsid w:val="003011CF"/>
    <w:rsid w:val="003011D8"/>
    <w:rsid w:val="003012C5"/>
    <w:rsid w:val="00301359"/>
    <w:rsid w:val="0030149D"/>
    <w:rsid w:val="003015BA"/>
    <w:rsid w:val="003016DE"/>
    <w:rsid w:val="00301975"/>
    <w:rsid w:val="00301AB3"/>
    <w:rsid w:val="00301B06"/>
    <w:rsid w:val="00301EDB"/>
    <w:rsid w:val="003020CD"/>
    <w:rsid w:val="0030215B"/>
    <w:rsid w:val="003022CC"/>
    <w:rsid w:val="00302560"/>
    <w:rsid w:val="00302576"/>
    <w:rsid w:val="0030257B"/>
    <w:rsid w:val="00302605"/>
    <w:rsid w:val="00302741"/>
    <w:rsid w:val="0030291E"/>
    <w:rsid w:val="00302A41"/>
    <w:rsid w:val="00302A44"/>
    <w:rsid w:val="00302BAA"/>
    <w:rsid w:val="00302F5B"/>
    <w:rsid w:val="00302F91"/>
    <w:rsid w:val="0030309A"/>
    <w:rsid w:val="003031E3"/>
    <w:rsid w:val="00303347"/>
    <w:rsid w:val="00303356"/>
    <w:rsid w:val="0030338B"/>
    <w:rsid w:val="003033B5"/>
    <w:rsid w:val="003033EF"/>
    <w:rsid w:val="003037B9"/>
    <w:rsid w:val="003037C4"/>
    <w:rsid w:val="00303A6A"/>
    <w:rsid w:val="00303B71"/>
    <w:rsid w:val="00303BBB"/>
    <w:rsid w:val="00303BF1"/>
    <w:rsid w:val="00303CA3"/>
    <w:rsid w:val="00303CBC"/>
    <w:rsid w:val="00303DE5"/>
    <w:rsid w:val="00303DE6"/>
    <w:rsid w:val="00303FCA"/>
    <w:rsid w:val="003040EE"/>
    <w:rsid w:val="00304261"/>
    <w:rsid w:val="003044D1"/>
    <w:rsid w:val="00304530"/>
    <w:rsid w:val="003045A0"/>
    <w:rsid w:val="00304616"/>
    <w:rsid w:val="0030478C"/>
    <w:rsid w:val="0030479E"/>
    <w:rsid w:val="00304936"/>
    <w:rsid w:val="00304A40"/>
    <w:rsid w:val="00304D97"/>
    <w:rsid w:val="0030502E"/>
    <w:rsid w:val="003052C6"/>
    <w:rsid w:val="0030537D"/>
    <w:rsid w:val="00305449"/>
    <w:rsid w:val="003054CB"/>
    <w:rsid w:val="0030564F"/>
    <w:rsid w:val="00305843"/>
    <w:rsid w:val="003059ED"/>
    <w:rsid w:val="00305A23"/>
    <w:rsid w:val="00305B7E"/>
    <w:rsid w:val="00305C79"/>
    <w:rsid w:val="00305D05"/>
    <w:rsid w:val="00305E2C"/>
    <w:rsid w:val="00305F54"/>
    <w:rsid w:val="00306012"/>
    <w:rsid w:val="00306203"/>
    <w:rsid w:val="003064B2"/>
    <w:rsid w:val="003067C6"/>
    <w:rsid w:val="00306803"/>
    <w:rsid w:val="00306887"/>
    <w:rsid w:val="003068A5"/>
    <w:rsid w:val="003068C1"/>
    <w:rsid w:val="003068CE"/>
    <w:rsid w:val="00306914"/>
    <w:rsid w:val="00306A09"/>
    <w:rsid w:val="00306B15"/>
    <w:rsid w:val="00306DC1"/>
    <w:rsid w:val="00306E77"/>
    <w:rsid w:val="00306FAB"/>
    <w:rsid w:val="003070F8"/>
    <w:rsid w:val="0030710E"/>
    <w:rsid w:val="00307199"/>
    <w:rsid w:val="0030719A"/>
    <w:rsid w:val="003071BD"/>
    <w:rsid w:val="003071CB"/>
    <w:rsid w:val="00307250"/>
    <w:rsid w:val="003073D3"/>
    <w:rsid w:val="00307439"/>
    <w:rsid w:val="003074FD"/>
    <w:rsid w:val="00307610"/>
    <w:rsid w:val="00307658"/>
    <w:rsid w:val="003076A6"/>
    <w:rsid w:val="003077B5"/>
    <w:rsid w:val="0030784C"/>
    <w:rsid w:val="0030791E"/>
    <w:rsid w:val="0030794D"/>
    <w:rsid w:val="00307960"/>
    <w:rsid w:val="003079A1"/>
    <w:rsid w:val="00307B2F"/>
    <w:rsid w:val="00307B8B"/>
    <w:rsid w:val="00307C14"/>
    <w:rsid w:val="00307CEA"/>
    <w:rsid w:val="00307E8E"/>
    <w:rsid w:val="003100E8"/>
    <w:rsid w:val="00310185"/>
    <w:rsid w:val="00310436"/>
    <w:rsid w:val="0031044E"/>
    <w:rsid w:val="0031057A"/>
    <w:rsid w:val="003105C7"/>
    <w:rsid w:val="003106EE"/>
    <w:rsid w:val="00310D8A"/>
    <w:rsid w:val="00310DFD"/>
    <w:rsid w:val="00310E0B"/>
    <w:rsid w:val="00310E26"/>
    <w:rsid w:val="00310EA6"/>
    <w:rsid w:val="00310F0E"/>
    <w:rsid w:val="003111C7"/>
    <w:rsid w:val="003114B7"/>
    <w:rsid w:val="003117A0"/>
    <w:rsid w:val="00311825"/>
    <w:rsid w:val="00311BF7"/>
    <w:rsid w:val="00311F6E"/>
    <w:rsid w:val="00311FCF"/>
    <w:rsid w:val="003124D0"/>
    <w:rsid w:val="003125F5"/>
    <w:rsid w:val="00312636"/>
    <w:rsid w:val="003128BC"/>
    <w:rsid w:val="00312BBD"/>
    <w:rsid w:val="00312D73"/>
    <w:rsid w:val="00312DEC"/>
    <w:rsid w:val="00312EBF"/>
    <w:rsid w:val="00312EE6"/>
    <w:rsid w:val="00312EEB"/>
    <w:rsid w:val="00312F2F"/>
    <w:rsid w:val="003131D2"/>
    <w:rsid w:val="0031324F"/>
    <w:rsid w:val="00313267"/>
    <w:rsid w:val="0031327A"/>
    <w:rsid w:val="00313510"/>
    <w:rsid w:val="003136BA"/>
    <w:rsid w:val="00313828"/>
    <w:rsid w:val="0031396F"/>
    <w:rsid w:val="0031398E"/>
    <w:rsid w:val="00313996"/>
    <w:rsid w:val="003139F3"/>
    <w:rsid w:val="00313BD9"/>
    <w:rsid w:val="00313C4D"/>
    <w:rsid w:val="00313DB4"/>
    <w:rsid w:val="00313E98"/>
    <w:rsid w:val="00314186"/>
    <w:rsid w:val="00314440"/>
    <w:rsid w:val="0031457F"/>
    <w:rsid w:val="00314731"/>
    <w:rsid w:val="003147BB"/>
    <w:rsid w:val="003147DF"/>
    <w:rsid w:val="00314896"/>
    <w:rsid w:val="00314D87"/>
    <w:rsid w:val="00314D9B"/>
    <w:rsid w:val="00314E3C"/>
    <w:rsid w:val="00314EC7"/>
    <w:rsid w:val="00314F65"/>
    <w:rsid w:val="00314FEF"/>
    <w:rsid w:val="00314FF2"/>
    <w:rsid w:val="00314FF9"/>
    <w:rsid w:val="003152F4"/>
    <w:rsid w:val="003153B5"/>
    <w:rsid w:val="00315747"/>
    <w:rsid w:val="00315778"/>
    <w:rsid w:val="00315804"/>
    <w:rsid w:val="00315A51"/>
    <w:rsid w:val="00315B12"/>
    <w:rsid w:val="00315B53"/>
    <w:rsid w:val="00315C81"/>
    <w:rsid w:val="00315D40"/>
    <w:rsid w:val="00315D64"/>
    <w:rsid w:val="00315E4D"/>
    <w:rsid w:val="0031639B"/>
    <w:rsid w:val="00316684"/>
    <w:rsid w:val="003167ED"/>
    <w:rsid w:val="00316852"/>
    <w:rsid w:val="00316890"/>
    <w:rsid w:val="00316C57"/>
    <w:rsid w:val="00316DB4"/>
    <w:rsid w:val="00316DB5"/>
    <w:rsid w:val="00317142"/>
    <w:rsid w:val="003171E4"/>
    <w:rsid w:val="003173C7"/>
    <w:rsid w:val="00317461"/>
    <w:rsid w:val="003174B9"/>
    <w:rsid w:val="003174BB"/>
    <w:rsid w:val="003174C4"/>
    <w:rsid w:val="00317513"/>
    <w:rsid w:val="0031753F"/>
    <w:rsid w:val="003176BA"/>
    <w:rsid w:val="00317759"/>
    <w:rsid w:val="003178AC"/>
    <w:rsid w:val="00317B88"/>
    <w:rsid w:val="00317E4B"/>
    <w:rsid w:val="0032024A"/>
    <w:rsid w:val="003204DB"/>
    <w:rsid w:val="00320562"/>
    <w:rsid w:val="0032060A"/>
    <w:rsid w:val="00320677"/>
    <w:rsid w:val="0032072A"/>
    <w:rsid w:val="0032074C"/>
    <w:rsid w:val="00320794"/>
    <w:rsid w:val="003208EC"/>
    <w:rsid w:val="00320A8E"/>
    <w:rsid w:val="00320B57"/>
    <w:rsid w:val="00320B98"/>
    <w:rsid w:val="00320CEE"/>
    <w:rsid w:val="00320D91"/>
    <w:rsid w:val="00320FB4"/>
    <w:rsid w:val="00321217"/>
    <w:rsid w:val="00321264"/>
    <w:rsid w:val="00321315"/>
    <w:rsid w:val="003215C8"/>
    <w:rsid w:val="003215E2"/>
    <w:rsid w:val="00321755"/>
    <w:rsid w:val="003217B1"/>
    <w:rsid w:val="0032180C"/>
    <w:rsid w:val="00321A18"/>
    <w:rsid w:val="00321BD8"/>
    <w:rsid w:val="00321EBB"/>
    <w:rsid w:val="00321F6F"/>
    <w:rsid w:val="003220BA"/>
    <w:rsid w:val="0032210C"/>
    <w:rsid w:val="00322174"/>
    <w:rsid w:val="00322418"/>
    <w:rsid w:val="003226BC"/>
    <w:rsid w:val="00322805"/>
    <w:rsid w:val="00322A8A"/>
    <w:rsid w:val="00322B31"/>
    <w:rsid w:val="00322B36"/>
    <w:rsid w:val="00322BEF"/>
    <w:rsid w:val="00322DB3"/>
    <w:rsid w:val="0032320E"/>
    <w:rsid w:val="0032369D"/>
    <w:rsid w:val="00323727"/>
    <w:rsid w:val="00323838"/>
    <w:rsid w:val="00323881"/>
    <w:rsid w:val="003238EA"/>
    <w:rsid w:val="00323910"/>
    <w:rsid w:val="00323971"/>
    <w:rsid w:val="003239DA"/>
    <w:rsid w:val="00323A3C"/>
    <w:rsid w:val="00323B37"/>
    <w:rsid w:val="00323BEF"/>
    <w:rsid w:val="00324125"/>
    <w:rsid w:val="003241EF"/>
    <w:rsid w:val="00324280"/>
    <w:rsid w:val="003242D6"/>
    <w:rsid w:val="00324386"/>
    <w:rsid w:val="00324591"/>
    <w:rsid w:val="003245C1"/>
    <w:rsid w:val="0032467B"/>
    <w:rsid w:val="003247BA"/>
    <w:rsid w:val="00324845"/>
    <w:rsid w:val="00324908"/>
    <w:rsid w:val="00324D00"/>
    <w:rsid w:val="00324D1C"/>
    <w:rsid w:val="00325070"/>
    <w:rsid w:val="00325113"/>
    <w:rsid w:val="00325255"/>
    <w:rsid w:val="003252AD"/>
    <w:rsid w:val="003252DF"/>
    <w:rsid w:val="0032530A"/>
    <w:rsid w:val="0032532F"/>
    <w:rsid w:val="00325644"/>
    <w:rsid w:val="003258F6"/>
    <w:rsid w:val="003259BA"/>
    <w:rsid w:val="003259C4"/>
    <w:rsid w:val="00325DA6"/>
    <w:rsid w:val="00326099"/>
    <w:rsid w:val="00326106"/>
    <w:rsid w:val="0032614A"/>
    <w:rsid w:val="003265E5"/>
    <w:rsid w:val="0032669E"/>
    <w:rsid w:val="0032686E"/>
    <w:rsid w:val="003268D7"/>
    <w:rsid w:val="003269A8"/>
    <w:rsid w:val="00326A4B"/>
    <w:rsid w:val="00326B76"/>
    <w:rsid w:val="00326BD6"/>
    <w:rsid w:val="00326C9F"/>
    <w:rsid w:val="00326CA5"/>
    <w:rsid w:val="00326CB2"/>
    <w:rsid w:val="00326D8F"/>
    <w:rsid w:val="00326D93"/>
    <w:rsid w:val="00326DBB"/>
    <w:rsid w:val="00326DC2"/>
    <w:rsid w:val="00326F1A"/>
    <w:rsid w:val="00326F57"/>
    <w:rsid w:val="00326FB2"/>
    <w:rsid w:val="003270DC"/>
    <w:rsid w:val="003270FA"/>
    <w:rsid w:val="003271E1"/>
    <w:rsid w:val="00327374"/>
    <w:rsid w:val="003273A3"/>
    <w:rsid w:val="00327446"/>
    <w:rsid w:val="0032747B"/>
    <w:rsid w:val="003275A9"/>
    <w:rsid w:val="00327825"/>
    <w:rsid w:val="00327835"/>
    <w:rsid w:val="00327888"/>
    <w:rsid w:val="0032788E"/>
    <w:rsid w:val="00327993"/>
    <w:rsid w:val="003279EB"/>
    <w:rsid w:val="00327B4E"/>
    <w:rsid w:val="00327CB6"/>
    <w:rsid w:val="00327CD2"/>
    <w:rsid w:val="00327DAC"/>
    <w:rsid w:val="00327E49"/>
    <w:rsid w:val="00330098"/>
    <w:rsid w:val="00330352"/>
    <w:rsid w:val="00330414"/>
    <w:rsid w:val="00330812"/>
    <w:rsid w:val="0033094E"/>
    <w:rsid w:val="00330A48"/>
    <w:rsid w:val="00330C18"/>
    <w:rsid w:val="00330C49"/>
    <w:rsid w:val="00330C85"/>
    <w:rsid w:val="00330D63"/>
    <w:rsid w:val="00330EAB"/>
    <w:rsid w:val="0033114B"/>
    <w:rsid w:val="0033141F"/>
    <w:rsid w:val="003314B6"/>
    <w:rsid w:val="0033154B"/>
    <w:rsid w:val="00331597"/>
    <w:rsid w:val="003317FB"/>
    <w:rsid w:val="0033194F"/>
    <w:rsid w:val="00331C68"/>
    <w:rsid w:val="00331E58"/>
    <w:rsid w:val="00331E60"/>
    <w:rsid w:val="00331F19"/>
    <w:rsid w:val="0033203B"/>
    <w:rsid w:val="00332193"/>
    <w:rsid w:val="00332241"/>
    <w:rsid w:val="00332309"/>
    <w:rsid w:val="00332400"/>
    <w:rsid w:val="00332475"/>
    <w:rsid w:val="00332960"/>
    <w:rsid w:val="00332996"/>
    <w:rsid w:val="00332A58"/>
    <w:rsid w:val="00332C7E"/>
    <w:rsid w:val="00332E06"/>
    <w:rsid w:val="00332FC7"/>
    <w:rsid w:val="0033313B"/>
    <w:rsid w:val="003333A7"/>
    <w:rsid w:val="00333471"/>
    <w:rsid w:val="003334F5"/>
    <w:rsid w:val="0033364E"/>
    <w:rsid w:val="00333735"/>
    <w:rsid w:val="00333886"/>
    <w:rsid w:val="00333FE0"/>
    <w:rsid w:val="0033460F"/>
    <w:rsid w:val="00334627"/>
    <w:rsid w:val="00334709"/>
    <w:rsid w:val="00334878"/>
    <w:rsid w:val="003348C3"/>
    <w:rsid w:val="00334BAE"/>
    <w:rsid w:val="00334ECB"/>
    <w:rsid w:val="00335323"/>
    <w:rsid w:val="003355A5"/>
    <w:rsid w:val="003357A6"/>
    <w:rsid w:val="00335829"/>
    <w:rsid w:val="00335D8A"/>
    <w:rsid w:val="00335F8D"/>
    <w:rsid w:val="0033628F"/>
    <w:rsid w:val="00336369"/>
    <w:rsid w:val="00336617"/>
    <w:rsid w:val="00336671"/>
    <w:rsid w:val="00336766"/>
    <w:rsid w:val="00336836"/>
    <w:rsid w:val="003368C2"/>
    <w:rsid w:val="00336E8D"/>
    <w:rsid w:val="00337332"/>
    <w:rsid w:val="0033745E"/>
    <w:rsid w:val="003374CF"/>
    <w:rsid w:val="00337584"/>
    <w:rsid w:val="0033760A"/>
    <w:rsid w:val="003376A9"/>
    <w:rsid w:val="0033775D"/>
    <w:rsid w:val="00337850"/>
    <w:rsid w:val="00337854"/>
    <w:rsid w:val="00337900"/>
    <w:rsid w:val="00337918"/>
    <w:rsid w:val="003379FA"/>
    <w:rsid w:val="00337A33"/>
    <w:rsid w:val="00337BC2"/>
    <w:rsid w:val="00337BF4"/>
    <w:rsid w:val="00337CB8"/>
    <w:rsid w:val="00337CFF"/>
    <w:rsid w:val="00337D33"/>
    <w:rsid w:val="00337D6C"/>
    <w:rsid w:val="00337DE1"/>
    <w:rsid w:val="00337FD4"/>
    <w:rsid w:val="0034011D"/>
    <w:rsid w:val="00340185"/>
    <w:rsid w:val="00340344"/>
    <w:rsid w:val="0034041E"/>
    <w:rsid w:val="0034052B"/>
    <w:rsid w:val="0034097F"/>
    <w:rsid w:val="00340AC4"/>
    <w:rsid w:val="00340E4A"/>
    <w:rsid w:val="00340F6F"/>
    <w:rsid w:val="00341003"/>
    <w:rsid w:val="0034101B"/>
    <w:rsid w:val="003410E8"/>
    <w:rsid w:val="003410FA"/>
    <w:rsid w:val="00341180"/>
    <w:rsid w:val="00341300"/>
    <w:rsid w:val="003414E1"/>
    <w:rsid w:val="00341553"/>
    <w:rsid w:val="00341680"/>
    <w:rsid w:val="0034179F"/>
    <w:rsid w:val="00341962"/>
    <w:rsid w:val="00341D2A"/>
    <w:rsid w:val="003420A0"/>
    <w:rsid w:val="003420B7"/>
    <w:rsid w:val="0034229A"/>
    <w:rsid w:val="003423D0"/>
    <w:rsid w:val="00342958"/>
    <w:rsid w:val="00342BCD"/>
    <w:rsid w:val="00342DB7"/>
    <w:rsid w:val="00342DBC"/>
    <w:rsid w:val="00342E25"/>
    <w:rsid w:val="00342F6A"/>
    <w:rsid w:val="00342F7D"/>
    <w:rsid w:val="003433EC"/>
    <w:rsid w:val="00343472"/>
    <w:rsid w:val="00343593"/>
    <w:rsid w:val="003435B8"/>
    <w:rsid w:val="0034379E"/>
    <w:rsid w:val="00343A20"/>
    <w:rsid w:val="00343F15"/>
    <w:rsid w:val="00343F42"/>
    <w:rsid w:val="00344411"/>
    <w:rsid w:val="003447C6"/>
    <w:rsid w:val="00344800"/>
    <w:rsid w:val="00344A9B"/>
    <w:rsid w:val="00344AA3"/>
    <w:rsid w:val="00344AC3"/>
    <w:rsid w:val="00344B21"/>
    <w:rsid w:val="00344B8B"/>
    <w:rsid w:val="00344BC2"/>
    <w:rsid w:val="00344CD9"/>
    <w:rsid w:val="00344D1D"/>
    <w:rsid w:val="00344D50"/>
    <w:rsid w:val="00344EC3"/>
    <w:rsid w:val="00344EFA"/>
    <w:rsid w:val="00345178"/>
    <w:rsid w:val="003452D5"/>
    <w:rsid w:val="0034548E"/>
    <w:rsid w:val="003454CA"/>
    <w:rsid w:val="00345668"/>
    <w:rsid w:val="003456DF"/>
    <w:rsid w:val="00345C98"/>
    <w:rsid w:val="00345D96"/>
    <w:rsid w:val="00345DEA"/>
    <w:rsid w:val="00345F41"/>
    <w:rsid w:val="003460BA"/>
    <w:rsid w:val="0034651A"/>
    <w:rsid w:val="003466F2"/>
    <w:rsid w:val="003467B7"/>
    <w:rsid w:val="003468CD"/>
    <w:rsid w:val="00346975"/>
    <w:rsid w:val="00346D16"/>
    <w:rsid w:val="00346DCD"/>
    <w:rsid w:val="00346E30"/>
    <w:rsid w:val="00346E7B"/>
    <w:rsid w:val="00346EAA"/>
    <w:rsid w:val="00346F37"/>
    <w:rsid w:val="003470D6"/>
    <w:rsid w:val="00347106"/>
    <w:rsid w:val="00347481"/>
    <w:rsid w:val="003476B4"/>
    <w:rsid w:val="00347988"/>
    <w:rsid w:val="00347A6F"/>
    <w:rsid w:val="00347D63"/>
    <w:rsid w:val="00347DF1"/>
    <w:rsid w:val="00347E08"/>
    <w:rsid w:val="00347EC5"/>
    <w:rsid w:val="00347ED9"/>
    <w:rsid w:val="00347EEA"/>
    <w:rsid w:val="00347FEA"/>
    <w:rsid w:val="00347FF0"/>
    <w:rsid w:val="003500D9"/>
    <w:rsid w:val="00350332"/>
    <w:rsid w:val="003504D7"/>
    <w:rsid w:val="0035057F"/>
    <w:rsid w:val="0035069C"/>
    <w:rsid w:val="003506FC"/>
    <w:rsid w:val="00350A3E"/>
    <w:rsid w:val="00350AB4"/>
    <w:rsid w:val="00350B1B"/>
    <w:rsid w:val="00350DE4"/>
    <w:rsid w:val="00350F2E"/>
    <w:rsid w:val="00350F83"/>
    <w:rsid w:val="003510C4"/>
    <w:rsid w:val="0035138E"/>
    <w:rsid w:val="0035168B"/>
    <w:rsid w:val="003516A3"/>
    <w:rsid w:val="00351813"/>
    <w:rsid w:val="003518C1"/>
    <w:rsid w:val="00351929"/>
    <w:rsid w:val="00351A5C"/>
    <w:rsid w:val="00351A98"/>
    <w:rsid w:val="00351AC7"/>
    <w:rsid w:val="00351B0C"/>
    <w:rsid w:val="00351B26"/>
    <w:rsid w:val="00351BF7"/>
    <w:rsid w:val="00351C78"/>
    <w:rsid w:val="00351D3A"/>
    <w:rsid w:val="0035204F"/>
    <w:rsid w:val="00352394"/>
    <w:rsid w:val="003524CA"/>
    <w:rsid w:val="003525C3"/>
    <w:rsid w:val="003526A1"/>
    <w:rsid w:val="0035281A"/>
    <w:rsid w:val="003528AF"/>
    <w:rsid w:val="00352A50"/>
    <w:rsid w:val="00352C8E"/>
    <w:rsid w:val="00352FCE"/>
    <w:rsid w:val="0035338B"/>
    <w:rsid w:val="0035349D"/>
    <w:rsid w:val="00353523"/>
    <w:rsid w:val="00353652"/>
    <w:rsid w:val="003536D6"/>
    <w:rsid w:val="003537B7"/>
    <w:rsid w:val="003537CB"/>
    <w:rsid w:val="00353A78"/>
    <w:rsid w:val="003540F1"/>
    <w:rsid w:val="00354129"/>
    <w:rsid w:val="0035413B"/>
    <w:rsid w:val="00354160"/>
    <w:rsid w:val="0035430F"/>
    <w:rsid w:val="0035433F"/>
    <w:rsid w:val="003544BF"/>
    <w:rsid w:val="0035482F"/>
    <w:rsid w:val="0035491C"/>
    <w:rsid w:val="0035497C"/>
    <w:rsid w:val="00354991"/>
    <w:rsid w:val="003549D9"/>
    <w:rsid w:val="003549FB"/>
    <w:rsid w:val="00354ACC"/>
    <w:rsid w:val="00354AFB"/>
    <w:rsid w:val="00354C09"/>
    <w:rsid w:val="00354C7F"/>
    <w:rsid w:val="00354CAA"/>
    <w:rsid w:val="00354D95"/>
    <w:rsid w:val="00354E10"/>
    <w:rsid w:val="00354E25"/>
    <w:rsid w:val="00354EA4"/>
    <w:rsid w:val="00355159"/>
    <w:rsid w:val="00355385"/>
    <w:rsid w:val="00355439"/>
    <w:rsid w:val="0035549C"/>
    <w:rsid w:val="00355502"/>
    <w:rsid w:val="003556BA"/>
    <w:rsid w:val="003558D6"/>
    <w:rsid w:val="003559AC"/>
    <w:rsid w:val="00355B77"/>
    <w:rsid w:val="00355B7B"/>
    <w:rsid w:val="00355C38"/>
    <w:rsid w:val="00355D84"/>
    <w:rsid w:val="00355E3C"/>
    <w:rsid w:val="00355E7C"/>
    <w:rsid w:val="00355F99"/>
    <w:rsid w:val="00355FF3"/>
    <w:rsid w:val="0035602A"/>
    <w:rsid w:val="00356043"/>
    <w:rsid w:val="0035623D"/>
    <w:rsid w:val="00356263"/>
    <w:rsid w:val="00356602"/>
    <w:rsid w:val="00356783"/>
    <w:rsid w:val="00356BBA"/>
    <w:rsid w:val="00356C3D"/>
    <w:rsid w:val="00356C9E"/>
    <w:rsid w:val="00356E2C"/>
    <w:rsid w:val="00356F05"/>
    <w:rsid w:val="00356FA2"/>
    <w:rsid w:val="00356FEA"/>
    <w:rsid w:val="003572AD"/>
    <w:rsid w:val="003572CF"/>
    <w:rsid w:val="003572D6"/>
    <w:rsid w:val="00357629"/>
    <w:rsid w:val="003578C1"/>
    <w:rsid w:val="00357CDE"/>
    <w:rsid w:val="00357D63"/>
    <w:rsid w:val="00357D6C"/>
    <w:rsid w:val="00357DD1"/>
    <w:rsid w:val="00357E87"/>
    <w:rsid w:val="00357EE5"/>
    <w:rsid w:val="00357FE1"/>
    <w:rsid w:val="00360171"/>
    <w:rsid w:val="00360253"/>
    <w:rsid w:val="00360358"/>
    <w:rsid w:val="00360539"/>
    <w:rsid w:val="00360638"/>
    <w:rsid w:val="00360698"/>
    <w:rsid w:val="00360937"/>
    <w:rsid w:val="00360AC2"/>
    <w:rsid w:val="00360C0A"/>
    <w:rsid w:val="00360C99"/>
    <w:rsid w:val="00360D0A"/>
    <w:rsid w:val="00360D9A"/>
    <w:rsid w:val="00361068"/>
    <w:rsid w:val="0036114C"/>
    <w:rsid w:val="003611F1"/>
    <w:rsid w:val="003612D4"/>
    <w:rsid w:val="003612D8"/>
    <w:rsid w:val="00361712"/>
    <w:rsid w:val="00361725"/>
    <w:rsid w:val="0036176E"/>
    <w:rsid w:val="0036197E"/>
    <w:rsid w:val="00361A65"/>
    <w:rsid w:val="00361C84"/>
    <w:rsid w:val="00361D72"/>
    <w:rsid w:val="00361E67"/>
    <w:rsid w:val="00362045"/>
    <w:rsid w:val="003620D4"/>
    <w:rsid w:val="00362124"/>
    <w:rsid w:val="00362159"/>
    <w:rsid w:val="00362217"/>
    <w:rsid w:val="003623A3"/>
    <w:rsid w:val="003625A2"/>
    <w:rsid w:val="0036282C"/>
    <w:rsid w:val="00362B8F"/>
    <w:rsid w:val="00362BA7"/>
    <w:rsid w:val="00362CC9"/>
    <w:rsid w:val="00362F0D"/>
    <w:rsid w:val="0036313C"/>
    <w:rsid w:val="003631AE"/>
    <w:rsid w:val="00363275"/>
    <w:rsid w:val="00363306"/>
    <w:rsid w:val="00363613"/>
    <w:rsid w:val="003637B7"/>
    <w:rsid w:val="003639E2"/>
    <w:rsid w:val="00363C41"/>
    <w:rsid w:val="00363CD2"/>
    <w:rsid w:val="00363ED6"/>
    <w:rsid w:val="00363FE8"/>
    <w:rsid w:val="00364101"/>
    <w:rsid w:val="0036414B"/>
    <w:rsid w:val="00364237"/>
    <w:rsid w:val="0036426F"/>
    <w:rsid w:val="0036431C"/>
    <w:rsid w:val="003644AE"/>
    <w:rsid w:val="00364585"/>
    <w:rsid w:val="003645AE"/>
    <w:rsid w:val="003648F6"/>
    <w:rsid w:val="00364B66"/>
    <w:rsid w:val="00364B81"/>
    <w:rsid w:val="00364B89"/>
    <w:rsid w:val="00364BB6"/>
    <w:rsid w:val="00364DF9"/>
    <w:rsid w:val="00364FB3"/>
    <w:rsid w:val="00365032"/>
    <w:rsid w:val="0036511D"/>
    <w:rsid w:val="003654BC"/>
    <w:rsid w:val="00365548"/>
    <w:rsid w:val="00365592"/>
    <w:rsid w:val="00365630"/>
    <w:rsid w:val="00365784"/>
    <w:rsid w:val="00365849"/>
    <w:rsid w:val="00365867"/>
    <w:rsid w:val="00365902"/>
    <w:rsid w:val="00365906"/>
    <w:rsid w:val="0036599B"/>
    <w:rsid w:val="00365A77"/>
    <w:rsid w:val="00365D78"/>
    <w:rsid w:val="003661DD"/>
    <w:rsid w:val="00366275"/>
    <w:rsid w:val="003665A6"/>
    <w:rsid w:val="0036661F"/>
    <w:rsid w:val="0036663B"/>
    <w:rsid w:val="00366643"/>
    <w:rsid w:val="003666DB"/>
    <w:rsid w:val="00366827"/>
    <w:rsid w:val="003668E9"/>
    <w:rsid w:val="00366CD8"/>
    <w:rsid w:val="00367163"/>
    <w:rsid w:val="003673EF"/>
    <w:rsid w:val="0036751C"/>
    <w:rsid w:val="0036754B"/>
    <w:rsid w:val="003675C2"/>
    <w:rsid w:val="003679B1"/>
    <w:rsid w:val="00367B2F"/>
    <w:rsid w:val="00367BE3"/>
    <w:rsid w:val="00367D16"/>
    <w:rsid w:val="00367D2F"/>
    <w:rsid w:val="00367ECA"/>
    <w:rsid w:val="003700CC"/>
    <w:rsid w:val="00370275"/>
    <w:rsid w:val="003702F6"/>
    <w:rsid w:val="00370398"/>
    <w:rsid w:val="00370610"/>
    <w:rsid w:val="00370628"/>
    <w:rsid w:val="0037069B"/>
    <w:rsid w:val="003706E5"/>
    <w:rsid w:val="00370754"/>
    <w:rsid w:val="0037087D"/>
    <w:rsid w:val="003708E7"/>
    <w:rsid w:val="00370A51"/>
    <w:rsid w:val="00371208"/>
    <w:rsid w:val="0037123D"/>
    <w:rsid w:val="003712B0"/>
    <w:rsid w:val="00371308"/>
    <w:rsid w:val="003713A7"/>
    <w:rsid w:val="003713EE"/>
    <w:rsid w:val="00371510"/>
    <w:rsid w:val="003716E7"/>
    <w:rsid w:val="003716FE"/>
    <w:rsid w:val="00371AFE"/>
    <w:rsid w:val="00371B68"/>
    <w:rsid w:val="00371B79"/>
    <w:rsid w:val="00371C66"/>
    <w:rsid w:val="00371F21"/>
    <w:rsid w:val="00372048"/>
    <w:rsid w:val="0037231E"/>
    <w:rsid w:val="00372449"/>
    <w:rsid w:val="00372519"/>
    <w:rsid w:val="00372859"/>
    <w:rsid w:val="00372989"/>
    <w:rsid w:val="00372C81"/>
    <w:rsid w:val="00372D43"/>
    <w:rsid w:val="00372D91"/>
    <w:rsid w:val="0037316B"/>
    <w:rsid w:val="003731A9"/>
    <w:rsid w:val="003732D3"/>
    <w:rsid w:val="003738CA"/>
    <w:rsid w:val="00373AA2"/>
    <w:rsid w:val="00373B4B"/>
    <w:rsid w:val="00373B62"/>
    <w:rsid w:val="00373B6C"/>
    <w:rsid w:val="00373B8B"/>
    <w:rsid w:val="00373BDF"/>
    <w:rsid w:val="00373C10"/>
    <w:rsid w:val="00373CB4"/>
    <w:rsid w:val="003743EA"/>
    <w:rsid w:val="003743F6"/>
    <w:rsid w:val="00374480"/>
    <w:rsid w:val="00374798"/>
    <w:rsid w:val="003747BD"/>
    <w:rsid w:val="00374870"/>
    <w:rsid w:val="003748F4"/>
    <w:rsid w:val="00374942"/>
    <w:rsid w:val="00374A9B"/>
    <w:rsid w:val="00374AE5"/>
    <w:rsid w:val="00374B77"/>
    <w:rsid w:val="00374BFC"/>
    <w:rsid w:val="00374C5D"/>
    <w:rsid w:val="00374D6C"/>
    <w:rsid w:val="00374F6D"/>
    <w:rsid w:val="00375107"/>
    <w:rsid w:val="003752B8"/>
    <w:rsid w:val="003752DB"/>
    <w:rsid w:val="0037540F"/>
    <w:rsid w:val="00375865"/>
    <w:rsid w:val="003758BA"/>
    <w:rsid w:val="00375A66"/>
    <w:rsid w:val="00375A9C"/>
    <w:rsid w:val="00375BDC"/>
    <w:rsid w:val="00375D3B"/>
    <w:rsid w:val="00375E95"/>
    <w:rsid w:val="00375F1E"/>
    <w:rsid w:val="00375F33"/>
    <w:rsid w:val="00376038"/>
    <w:rsid w:val="003760AD"/>
    <w:rsid w:val="0037616C"/>
    <w:rsid w:val="003761BC"/>
    <w:rsid w:val="0037647C"/>
    <w:rsid w:val="0037664C"/>
    <w:rsid w:val="00376768"/>
    <w:rsid w:val="00376847"/>
    <w:rsid w:val="0037693E"/>
    <w:rsid w:val="00376D9A"/>
    <w:rsid w:val="00376E29"/>
    <w:rsid w:val="00376F04"/>
    <w:rsid w:val="00376F14"/>
    <w:rsid w:val="003770FC"/>
    <w:rsid w:val="00377178"/>
    <w:rsid w:val="00377340"/>
    <w:rsid w:val="00377700"/>
    <w:rsid w:val="0037775A"/>
    <w:rsid w:val="00377981"/>
    <w:rsid w:val="00377ADF"/>
    <w:rsid w:val="00377B9A"/>
    <w:rsid w:val="00377C39"/>
    <w:rsid w:val="00377E5B"/>
    <w:rsid w:val="00377E86"/>
    <w:rsid w:val="00377E8F"/>
    <w:rsid w:val="00380196"/>
    <w:rsid w:val="00380323"/>
    <w:rsid w:val="003804CE"/>
    <w:rsid w:val="003804E1"/>
    <w:rsid w:val="00380529"/>
    <w:rsid w:val="0038083D"/>
    <w:rsid w:val="003809B5"/>
    <w:rsid w:val="00380C69"/>
    <w:rsid w:val="00380D6E"/>
    <w:rsid w:val="00380F4F"/>
    <w:rsid w:val="00381170"/>
    <w:rsid w:val="003815C6"/>
    <w:rsid w:val="00381617"/>
    <w:rsid w:val="0038162C"/>
    <w:rsid w:val="00381695"/>
    <w:rsid w:val="0038169F"/>
    <w:rsid w:val="00381753"/>
    <w:rsid w:val="003817D5"/>
    <w:rsid w:val="00381847"/>
    <w:rsid w:val="00381A97"/>
    <w:rsid w:val="00381B32"/>
    <w:rsid w:val="00381BC0"/>
    <w:rsid w:val="00381C9E"/>
    <w:rsid w:val="00381D07"/>
    <w:rsid w:val="00381E2A"/>
    <w:rsid w:val="00381E5B"/>
    <w:rsid w:val="00381F8F"/>
    <w:rsid w:val="003820E7"/>
    <w:rsid w:val="003821FE"/>
    <w:rsid w:val="00382449"/>
    <w:rsid w:val="0038253E"/>
    <w:rsid w:val="00382607"/>
    <w:rsid w:val="003826BB"/>
    <w:rsid w:val="00382717"/>
    <w:rsid w:val="0038276B"/>
    <w:rsid w:val="00382805"/>
    <w:rsid w:val="0038296C"/>
    <w:rsid w:val="00382AD0"/>
    <w:rsid w:val="00382D17"/>
    <w:rsid w:val="00382DFB"/>
    <w:rsid w:val="00382F91"/>
    <w:rsid w:val="00383117"/>
    <w:rsid w:val="00383124"/>
    <w:rsid w:val="00383181"/>
    <w:rsid w:val="00383193"/>
    <w:rsid w:val="00383283"/>
    <w:rsid w:val="003832B4"/>
    <w:rsid w:val="003832E3"/>
    <w:rsid w:val="003832EF"/>
    <w:rsid w:val="00383433"/>
    <w:rsid w:val="00383513"/>
    <w:rsid w:val="00383682"/>
    <w:rsid w:val="0038384E"/>
    <w:rsid w:val="003838E2"/>
    <w:rsid w:val="00383A8D"/>
    <w:rsid w:val="00383A93"/>
    <w:rsid w:val="00383BF6"/>
    <w:rsid w:val="00383D18"/>
    <w:rsid w:val="00383DB9"/>
    <w:rsid w:val="00383E0F"/>
    <w:rsid w:val="00383E5D"/>
    <w:rsid w:val="00383EBC"/>
    <w:rsid w:val="00383FB1"/>
    <w:rsid w:val="00384226"/>
    <w:rsid w:val="0038425A"/>
    <w:rsid w:val="003844E0"/>
    <w:rsid w:val="003845BD"/>
    <w:rsid w:val="00384849"/>
    <w:rsid w:val="003849F8"/>
    <w:rsid w:val="00384AEE"/>
    <w:rsid w:val="00384B69"/>
    <w:rsid w:val="00384C5A"/>
    <w:rsid w:val="00384CD0"/>
    <w:rsid w:val="00384D61"/>
    <w:rsid w:val="00384E66"/>
    <w:rsid w:val="00384FD6"/>
    <w:rsid w:val="0038507C"/>
    <w:rsid w:val="003851C5"/>
    <w:rsid w:val="003851E0"/>
    <w:rsid w:val="00385324"/>
    <w:rsid w:val="00385355"/>
    <w:rsid w:val="003853BE"/>
    <w:rsid w:val="003854D6"/>
    <w:rsid w:val="003857E0"/>
    <w:rsid w:val="00385926"/>
    <w:rsid w:val="00385986"/>
    <w:rsid w:val="00385AD8"/>
    <w:rsid w:val="00385B7A"/>
    <w:rsid w:val="00385B9A"/>
    <w:rsid w:val="00385C35"/>
    <w:rsid w:val="00385CE4"/>
    <w:rsid w:val="00385EDC"/>
    <w:rsid w:val="00385F01"/>
    <w:rsid w:val="003861AC"/>
    <w:rsid w:val="00386220"/>
    <w:rsid w:val="00386284"/>
    <w:rsid w:val="0038655E"/>
    <w:rsid w:val="003866B0"/>
    <w:rsid w:val="003866FA"/>
    <w:rsid w:val="003867E6"/>
    <w:rsid w:val="003867F8"/>
    <w:rsid w:val="00386816"/>
    <w:rsid w:val="003869C5"/>
    <w:rsid w:val="00386CA8"/>
    <w:rsid w:val="00386CE2"/>
    <w:rsid w:val="00386EA8"/>
    <w:rsid w:val="00386EE3"/>
    <w:rsid w:val="00386F0D"/>
    <w:rsid w:val="00387330"/>
    <w:rsid w:val="00387534"/>
    <w:rsid w:val="00387576"/>
    <w:rsid w:val="003875C5"/>
    <w:rsid w:val="0038760A"/>
    <w:rsid w:val="0038763B"/>
    <w:rsid w:val="003876AF"/>
    <w:rsid w:val="003876EB"/>
    <w:rsid w:val="003878D8"/>
    <w:rsid w:val="003879BC"/>
    <w:rsid w:val="00387B44"/>
    <w:rsid w:val="00387B9A"/>
    <w:rsid w:val="00387C0C"/>
    <w:rsid w:val="00387C16"/>
    <w:rsid w:val="00387DDF"/>
    <w:rsid w:val="00387F52"/>
    <w:rsid w:val="00390141"/>
    <w:rsid w:val="00390180"/>
    <w:rsid w:val="0039024A"/>
    <w:rsid w:val="0039066E"/>
    <w:rsid w:val="00390680"/>
    <w:rsid w:val="0039068B"/>
    <w:rsid w:val="003907C2"/>
    <w:rsid w:val="003907EE"/>
    <w:rsid w:val="0039094F"/>
    <w:rsid w:val="00390FE8"/>
    <w:rsid w:val="00391087"/>
    <w:rsid w:val="0039117A"/>
    <w:rsid w:val="003912B2"/>
    <w:rsid w:val="00391438"/>
    <w:rsid w:val="00391714"/>
    <w:rsid w:val="003917EF"/>
    <w:rsid w:val="00391A2C"/>
    <w:rsid w:val="00391A8B"/>
    <w:rsid w:val="00391ACA"/>
    <w:rsid w:val="00391B9E"/>
    <w:rsid w:val="00391BCA"/>
    <w:rsid w:val="00391E5F"/>
    <w:rsid w:val="00391FE0"/>
    <w:rsid w:val="00392044"/>
    <w:rsid w:val="0039229F"/>
    <w:rsid w:val="003923E4"/>
    <w:rsid w:val="00392475"/>
    <w:rsid w:val="003927BC"/>
    <w:rsid w:val="00392879"/>
    <w:rsid w:val="003928E7"/>
    <w:rsid w:val="00392A11"/>
    <w:rsid w:val="00392A81"/>
    <w:rsid w:val="00392B25"/>
    <w:rsid w:val="00392D0D"/>
    <w:rsid w:val="00392DB6"/>
    <w:rsid w:val="00392ED0"/>
    <w:rsid w:val="00392F7C"/>
    <w:rsid w:val="00393214"/>
    <w:rsid w:val="0039341F"/>
    <w:rsid w:val="003934AF"/>
    <w:rsid w:val="00393695"/>
    <w:rsid w:val="00393738"/>
    <w:rsid w:val="0039390A"/>
    <w:rsid w:val="00393AFC"/>
    <w:rsid w:val="00393DDF"/>
    <w:rsid w:val="003941E8"/>
    <w:rsid w:val="0039437C"/>
    <w:rsid w:val="00394910"/>
    <w:rsid w:val="00394B5A"/>
    <w:rsid w:val="00394BA2"/>
    <w:rsid w:val="00394E91"/>
    <w:rsid w:val="00394EBC"/>
    <w:rsid w:val="0039505B"/>
    <w:rsid w:val="003951DC"/>
    <w:rsid w:val="003951E5"/>
    <w:rsid w:val="00395284"/>
    <w:rsid w:val="0039529B"/>
    <w:rsid w:val="00395352"/>
    <w:rsid w:val="003956BF"/>
    <w:rsid w:val="00395743"/>
    <w:rsid w:val="003959D8"/>
    <w:rsid w:val="00395C2F"/>
    <w:rsid w:val="00395C87"/>
    <w:rsid w:val="00395CD1"/>
    <w:rsid w:val="00396069"/>
    <w:rsid w:val="00396116"/>
    <w:rsid w:val="00396140"/>
    <w:rsid w:val="003962B8"/>
    <w:rsid w:val="003963A2"/>
    <w:rsid w:val="003964B9"/>
    <w:rsid w:val="00396599"/>
    <w:rsid w:val="0039667C"/>
    <w:rsid w:val="003966BB"/>
    <w:rsid w:val="00396782"/>
    <w:rsid w:val="00396874"/>
    <w:rsid w:val="00396A0F"/>
    <w:rsid w:val="00396A8B"/>
    <w:rsid w:val="00396AED"/>
    <w:rsid w:val="00396B15"/>
    <w:rsid w:val="00396E1E"/>
    <w:rsid w:val="00396E56"/>
    <w:rsid w:val="00396EDF"/>
    <w:rsid w:val="00396FB7"/>
    <w:rsid w:val="00396FCB"/>
    <w:rsid w:val="003971AC"/>
    <w:rsid w:val="0039745E"/>
    <w:rsid w:val="003976C7"/>
    <w:rsid w:val="0039781F"/>
    <w:rsid w:val="00397859"/>
    <w:rsid w:val="00397976"/>
    <w:rsid w:val="00397987"/>
    <w:rsid w:val="00397995"/>
    <w:rsid w:val="00397E44"/>
    <w:rsid w:val="003A0181"/>
    <w:rsid w:val="003A01AE"/>
    <w:rsid w:val="003A03A0"/>
    <w:rsid w:val="003A0445"/>
    <w:rsid w:val="003A0587"/>
    <w:rsid w:val="003A0706"/>
    <w:rsid w:val="003A074D"/>
    <w:rsid w:val="003A083C"/>
    <w:rsid w:val="003A08AF"/>
    <w:rsid w:val="003A0905"/>
    <w:rsid w:val="003A0CCB"/>
    <w:rsid w:val="003A0E4B"/>
    <w:rsid w:val="003A0E73"/>
    <w:rsid w:val="003A0FAA"/>
    <w:rsid w:val="003A11E2"/>
    <w:rsid w:val="003A121C"/>
    <w:rsid w:val="003A1264"/>
    <w:rsid w:val="003A1414"/>
    <w:rsid w:val="003A1602"/>
    <w:rsid w:val="003A178A"/>
    <w:rsid w:val="003A1867"/>
    <w:rsid w:val="003A1878"/>
    <w:rsid w:val="003A196A"/>
    <w:rsid w:val="003A19BA"/>
    <w:rsid w:val="003A19FC"/>
    <w:rsid w:val="003A1A8A"/>
    <w:rsid w:val="003A1BAA"/>
    <w:rsid w:val="003A1D86"/>
    <w:rsid w:val="003A1E3D"/>
    <w:rsid w:val="003A1E4E"/>
    <w:rsid w:val="003A1EAA"/>
    <w:rsid w:val="003A1EB5"/>
    <w:rsid w:val="003A1F33"/>
    <w:rsid w:val="003A21BD"/>
    <w:rsid w:val="003A21EB"/>
    <w:rsid w:val="003A23E9"/>
    <w:rsid w:val="003A24E3"/>
    <w:rsid w:val="003A24EF"/>
    <w:rsid w:val="003A2503"/>
    <w:rsid w:val="003A2672"/>
    <w:rsid w:val="003A2723"/>
    <w:rsid w:val="003A2821"/>
    <w:rsid w:val="003A2A54"/>
    <w:rsid w:val="003A2A82"/>
    <w:rsid w:val="003A2BC7"/>
    <w:rsid w:val="003A2CCE"/>
    <w:rsid w:val="003A2D4D"/>
    <w:rsid w:val="003A306D"/>
    <w:rsid w:val="003A3101"/>
    <w:rsid w:val="003A318F"/>
    <w:rsid w:val="003A3323"/>
    <w:rsid w:val="003A3578"/>
    <w:rsid w:val="003A35BB"/>
    <w:rsid w:val="003A38E7"/>
    <w:rsid w:val="003A392D"/>
    <w:rsid w:val="003A399F"/>
    <w:rsid w:val="003A3A38"/>
    <w:rsid w:val="003A3ADF"/>
    <w:rsid w:val="003A3D14"/>
    <w:rsid w:val="003A3E3E"/>
    <w:rsid w:val="003A3FD3"/>
    <w:rsid w:val="003A3FEB"/>
    <w:rsid w:val="003A4227"/>
    <w:rsid w:val="003A4374"/>
    <w:rsid w:val="003A43D4"/>
    <w:rsid w:val="003A44E8"/>
    <w:rsid w:val="003A4548"/>
    <w:rsid w:val="003A456F"/>
    <w:rsid w:val="003A47E4"/>
    <w:rsid w:val="003A4800"/>
    <w:rsid w:val="003A49CB"/>
    <w:rsid w:val="003A4AC8"/>
    <w:rsid w:val="003A4B27"/>
    <w:rsid w:val="003A4B45"/>
    <w:rsid w:val="003A4B67"/>
    <w:rsid w:val="003A4D17"/>
    <w:rsid w:val="003A4F7A"/>
    <w:rsid w:val="003A4F87"/>
    <w:rsid w:val="003A50FB"/>
    <w:rsid w:val="003A51BC"/>
    <w:rsid w:val="003A51EF"/>
    <w:rsid w:val="003A53B0"/>
    <w:rsid w:val="003A544E"/>
    <w:rsid w:val="003A55CE"/>
    <w:rsid w:val="003A56AE"/>
    <w:rsid w:val="003A5AAB"/>
    <w:rsid w:val="003A5B94"/>
    <w:rsid w:val="003A5C05"/>
    <w:rsid w:val="003A5C45"/>
    <w:rsid w:val="003A5C8B"/>
    <w:rsid w:val="003A5EC7"/>
    <w:rsid w:val="003A5EE4"/>
    <w:rsid w:val="003A5EEA"/>
    <w:rsid w:val="003A6144"/>
    <w:rsid w:val="003A6396"/>
    <w:rsid w:val="003A649A"/>
    <w:rsid w:val="003A64F0"/>
    <w:rsid w:val="003A655C"/>
    <w:rsid w:val="003A656C"/>
    <w:rsid w:val="003A6700"/>
    <w:rsid w:val="003A6866"/>
    <w:rsid w:val="003A6A21"/>
    <w:rsid w:val="003A6B01"/>
    <w:rsid w:val="003A6B97"/>
    <w:rsid w:val="003A6CEC"/>
    <w:rsid w:val="003A6D28"/>
    <w:rsid w:val="003A71C9"/>
    <w:rsid w:val="003A7208"/>
    <w:rsid w:val="003A7274"/>
    <w:rsid w:val="003A72D6"/>
    <w:rsid w:val="003A733E"/>
    <w:rsid w:val="003A744E"/>
    <w:rsid w:val="003A745F"/>
    <w:rsid w:val="003A7608"/>
    <w:rsid w:val="003A762E"/>
    <w:rsid w:val="003A76DB"/>
    <w:rsid w:val="003A7744"/>
    <w:rsid w:val="003A7801"/>
    <w:rsid w:val="003A78DB"/>
    <w:rsid w:val="003A7B78"/>
    <w:rsid w:val="003B0002"/>
    <w:rsid w:val="003B0397"/>
    <w:rsid w:val="003B0711"/>
    <w:rsid w:val="003B0794"/>
    <w:rsid w:val="003B0832"/>
    <w:rsid w:val="003B08BE"/>
    <w:rsid w:val="003B099D"/>
    <w:rsid w:val="003B0D8C"/>
    <w:rsid w:val="003B0DFA"/>
    <w:rsid w:val="003B10F0"/>
    <w:rsid w:val="003B1260"/>
    <w:rsid w:val="003B1363"/>
    <w:rsid w:val="003B1487"/>
    <w:rsid w:val="003B14A8"/>
    <w:rsid w:val="003B162F"/>
    <w:rsid w:val="003B1658"/>
    <w:rsid w:val="003B1790"/>
    <w:rsid w:val="003B17C4"/>
    <w:rsid w:val="003B17F7"/>
    <w:rsid w:val="003B18EA"/>
    <w:rsid w:val="003B1BFF"/>
    <w:rsid w:val="003B1C13"/>
    <w:rsid w:val="003B1DD1"/>
    <w:rsid w:val="003B1EFA"/>
    <w:rsid w:val="003B21F8"/>
    <w:rsid w:val="003B2257"/>
    <w:rsid w:val="003B22F1"/>
    <w:rsid w:val="003B239B"/>
    <w:rsid w:val="003B23AE"/>
    <w:rsid w:val="003B23C3"/>
    <w:rsid w:val="003B24ED"/>
    <w:rsid w:val="003B24EE"/>
    <w:rsid w:val="003B25C9"/>
    <w:rsid w:val="003B29F7"/>
    <w:rsid w:val="003B2C71"/>
    <w:rsid w:val="003B2D41"/>
    <w:rsid w:val="003B2DB0"/>
    <w:rsid w:val="003B2DCB"/>
    <w:rsid w:val="003B2EF4"/>
    <w:rsid w:val="003B301B"/>
    <w:rsid w:val="003B3134"/>
    <w:rsid w:val="003B31E2"/>
    <w:rsid w:val="003B323A"/>
    <w:rsid w:val="003B324B"/>
    <w:rsid w:val="003B3383"/>
    <w:rsid w:val="003B33B7"/>
    <w:rsid w:val="003B33DD"/>
    <w:rsid w:val="003B3593"/>
    <w:rsid w:val="003B3595"/>
    <w:rsid w:val="003B36A6"/>
    <w:rsid w:val="003B36F6"/>
    <w:rsid w:val="003B3792"/>
    <w:rsid w:val="003B380B"/>
    <w:rsid w:val="003B3927"/>
    <w:rsid w:val="003B39ED"/>
    <w:rsid w:val="003B3AB0"/>
    <w:rsid w:val="003B3AE5"/>
    <w:rsid w:val="003B3B34"/>
    <w:rsid w:val="003B3D79"/>
    <w:rsid w:val="003B3FC5"/>
    <w:rsid w:val="003B42A9"/>
    <w:rsid w:val="003B4397"/>
    <w:rsid w:val="003B44E7"/>
    <w:rsid w:val="003B45A1"/>
    <w:rsid w:val="003B464E"/>
    <w:rsid w:val="003B46FC"/>
    <w:rsid w:val="003B49E2"/>
    <w:rsid w:val="003B4A9F"/>
    <w:rsid w:val="003B4B39"/>
    <w:rsid w:val="003B4E7A"/>
    <w:rsid w:val="003B509D"/>
    <w:rsid w:val="003B52A2"/>
    <w:rsid w:val="003B5328"/>
    <w:rsid w:val="003B53E0"/>
    <w:rsid w:val="003B5425"/>
    <w:rsid w:val="003B54A6"/>
    <w:rsid w:val="003B57ED"/>
    <w:rsid w:val="003B59C0"/>
    <w:rsid w:val="003B5AF9"/>
    <w:rsid w:val="003B5CFF"/>
    <w:rsid w:val="003B5DAA"/>
    <w:rsid w:val="003B5E46"/>
    <w:rsid w:val="003B5EE9"/>
    <w:rsid w:val="003B6539"/>
    <w:rsid w:val="003B6587"/>
    <w:rsid w:val="003B6B4E"/>
    <w:rsid w:val="003B6EFF"/>
    <w:rsid w:val="003B6F66"/>
    <w:rsid w:val="003B6F6A"/>
    <w:rsid w:val="003B6FBA"/>
    <w:rsid w:val="003B7207"/>
    <w:rsid w:val="003B73B5"/>
    <w:rsid w:val="003B758F"/>
    <w:rsid w:val="003B773C"/>
    <w:rsid w:val="003B773F"/>
    <w:rsid w:val="003B79AC"/>
    <w:rsid w:val="003B7C6B"/>
    <w:rsid w:val="003B7CF8"/>
    <w:rsid w:val="003B7CFF"/>
    <w:rsid w:val="003B7E36"/>
    <w:rsid w:val="003B7E4B"/>
    <w:rsid w:val="003B7E54"/>
    <w:rsid w:val="003B7F66"/>
    <w:rsid w:val="003C0012"/>
    <w:rsid w:val="003C006B"/>
    <w:rsid w:val="003C00BF"/>
    <w:rsid w:val="003C0491"/>
    <w:rsid w:val="003C04FA"/>
    <w:rsid w:val="003C05BE"/>
    <w:rsid w:val="003C068B"/>
    <w:rsid w:val="003C0AF5"/>
    <w:rsid w:val="003C0BDF"/>
    <w:rsid w:val="003C0D41"/>
    <w:rsid w:val="003C0E52"/>
    <w:rsid w:val="003C0EAE"/>
    <w:rsid w:val="003C11FC"/>
    <w:rsid w:val="003C1240"/>
    <w:rsid w:val="003C130B"/>
    <w:rsid w:val="003C1565"/>
    <w:rsid w:val="003C1577"/>
    <w:rsid w:val="003C1749"/>
    <w:rsid w:val="003C178C"/>
    <w:rsid w:val="003C19F4"/>
    <w:rsid w:val="003C1B23"/>
    <w:rsid w:val="003C1B2C"/>
    <w:rsid w:val="003C1B54"/>
    <w:rsid w:val="003C1C39"/>
    <w:rsid w:val="003C1C69"/>
    <w:rsid w:val="003C1CA6"/>
    <w:rsid w:val="003C1F9B"/>
    <w:rsid w:val="003C1FF0"/>
    <w:rsid w:val="003C2225"/>
    <w:rsid w:val="003C2422"/>
    <w:rsid w:val="003C246D"/>
    <w:rsid w:val="003C2673"/>
    <w:rsid w:val="003C26C8"/>
    <w:rsid w:val="003C2920"/>
    <w:rsid w:val="003C2957"/>
    <w:rsid w:val="003C296C"/>
    <w:rsid w:val="003C29B8"/>
    <w:rsid w:val="003C2AFC"/>
    <w:rsid w:val="003C2E3B"/>
    <w:rsid w:val="003C2E3D"/>
    <w:rsid w:val="003C2F34"/>
    <w:rsid w:val="003C31E1"/>
    <w:rsid w:val="003C31F7"/>
    <w:rsid w:val="003C3493"/>
    <w:rsid w:val="003C3552"/>
    <w:rsid w:val="003C373D"/>
    <w:rsid w:val="003C3765"/>
    <w:rsid w:val="003C37E3"/>
    <w:rsid w:val="003C39AE"/>
    <w:rsid w:val="003C3AE7"/>
    <w:rsid w:val="003C3D5E"/>
    <w:rsid w:val="003C3E7F"/>
    <w:rsid w:val="003C3EFC"/>
    <w:rsid w:val="003C3FB3"/>
    <w:rsid w:val="003C4033"/>
    <w:rsid w:val="003C40BE"/>
    <w:rsid w:val="003C40EE"/>
    <w:rsid w:val="003C4176"/>
    <w:rsid w:val="003C417A"/>
    <w:rsid w:val="003C4245"/>
    <w:rsid w:val="003C46B3"/>
    <w:rsid w:val="003C4A4A"/>
    <w:rsid w:val="003C4B5A"/>
    <w:rsid w:val="003C4DB7"/>
    <w:rsid w:val="003C4F6F"/>
    <w:rsid w:val="003C4F71"/>
    <w:rsid w:val="003C4FBD"/>
    <w:rsid w:val="003C50C7"/>
    <w:rsid w:val="003C54D9"/>
    <w:rsid w:val="003C550A"/>
    <w:rsid w:val="003C568C"/>
    <w:rsid w:val="003C56BC"/>
    <w:rsid w:val="003C5723"/>
    <w:rsid w:val="003C57B3"/>
    <w:rsid w:val="003C5A2A"/>
    <w:rsid w:val="003C5A35"/>
    <w:rsid w:val="003C5C97"/>
    <w:rsid w:val="003C5C98"/>
    <w:rsid w:val="003C5D0F"/>
    <w:rsid w:val="003C5F17"/>
    <w:rsid w:val="003C6009"/>
    <w:rsid w:val="003C62CA"/>
    <w:rsid w:val="003C62D0"/>
    <w:rsid w:val="003C62DB"/>
    <w:rsid w:val="003C633C"/>
    <w:rsid w:val="003C6358"/>
    <w:rsid w:val="003C638C"/>
    <w:rsid w:val="003C6566"/>
    <w:rsid w:val="003C661D"/>
    <w:rsid w:val="003C67CC"/>
    <w:rsid w:val="003C6AC5"/>
    <w:rsid w:val="003C6AD6"/>
    <w:rsid w:val="003C6C31"/>
    <w:rsid w:val="003C6C86"/>
    <w:rsid w:val="003C6CA5"/>
    <w:rsid w:val="003C6F52"/>
    <w:rsid w:val="003C6F88"/>
    <w:rsid w:val="003C70A9"/>
    <w:rsid w:val="003C717E"/>
    <w:rsid w:val="003C73B1"/>
    <w:rsid w:val="003C74CA"/>
    <w:rsid w:val="003C7763"/>
    <w:rsid w:val="003C77A6"/>
    <w:rsid w:val="003C78AF"/>
    <w:rsid w:val="003C79E3"/>
    <w:rsid w:val="003C7C03"/>
    <w:rsid w:val="003C7C5C"/>
    <w:rsid w:val="003C7C9A"/>
    <w:rsid w:val="003C7D09"/>
    <w:rsid w:val="003D003A"/>
    <w:rsid w:val="003D0069"/>
    <w:rsid w:val="003D01EB"/>
    <w:rsid w:val="003D0316"/>
    <w:rsid w:val="003D039A"/>
    <w:rsid w:val="003D0502"/>
    <w:rsid w:val="003D0539"/>
    <w:rsid w:val="003D053F"/>
    <w:rsid w:val="003D063C"/>
    <w:rsid w:val="003D072A"/>
    <w:rsid w:val="003D07C4"/>
    <w:rsid w:val="003D082F"/>
    <w:rsid w:val="003D0852"/>
    <w:rsid w:val="003D09D8"/>
    <w:rsid w:val="003D0DAC"/>
    <w:rsid w:val="003D0E14"/>
    <w:rsid w:val="003D0E9A"/>
    <w:rsid w:val="003D0F39"/>
    <w:rsid w:val="003D1021"/>
    <w:rsid w:val="003D1226"/>
    <w:rsid w:val="003D13AA"/>
    <w:rsid w:val="003D1481"/>
    <w:rsid w:val="003D165F"/>
    <w:rsid w:val="003D17FE"/>
    <w:rsid w:val="003D184B"/>
    <w:rsid w:val="003D1A59"/>
    <w:rsid w:val="003D1C7B"/>
    <w:rsid w:val="003D1E89"/>
    <w:rsid w:val="003D1FF3"/>
    <w:rsid w:val="003D21A1"/>
    <w:rsid w:val="003D225C"/>
    <w:rsid w:val="003D22E7"/>
    <w:rsid w:val="003D23E9"/>
    <w:rsid w:val="003D24AE"/>
    <w:rsid w:val="003D24FD"/>
    <w:rsid w:val="003D2582"/>
    <w:rsid w:val="003D2640"/>
    <w:rsid w:val="003D2668"/>
    <w:rsid w:val="003D28DB"/>
    <w:rsid w:val="003D28F0"/>
    <w:rsid w:val="003D2AAB"/>
    <w:rsid w:val="003D2B3B"/>
    <w:rsid w:val="003D31C4"/>
    <w:rsid w:val="003D330D"/>
    <w:rsid w:val="003D3536"/>
    <w:rsid w:val="003D3667"/>
    <w:rsid w:val="003D3A3F"/>
    <w:rsid w:val="003D3A90"/>
    <w:rsid w:val="003D3D49"/>
    <w:rsid w:val="003D3F8F"/>
    <w:rsid w:val="003D402A"/>
    <w:rsid w:val="003D41DB"/>
    <w:rsid w:val="003D4414"/>
    <w:rsid w:val="003D4500"/>
    <w:rsid w:val="003D4573"/>
    <w:rsid w:val="003D45B1"/>
    <w:rsid w:val="003D45ED"/>
    <w:rsid w:val="003D4623"/>
    <w:rsid w:val="003D4799"/>
    <w:rsid w:val="003D494D"/>
    <w:rsid w:val="003D4ADB"/>
    <w:rsid w:val="003D4D92"/>
    <w:rsid w:val="003D4E0A"/>
    <w:rsid w:val="003D4E92"/>
    <w:rsid w:val="003D4F1B"/>
    <w:rsid w:val="003D5013"/>
    <w:rsid w:val="003D50EB"/>
    <w:rsid w:val="003D5102"/>
    <w:rsid w:val="003D51E3"/>
    <w:rsid w:val="003D52A3"/>
    <w:rsid w:val="003D533C"/>
    <w:rsid w:val="003D5448"/>
    <w:rsid w:val="003D5642"/>
    <w:rsid w:val="003D573B"/>
    <w:rsid w:val="003D5839"/>
    <w:rsid w:val="003D5876"/>
    <w:rsid w:val="003D5950"/>
    <w:rsid w:val="003D5977"/>
    <w:rsid w:val="003D59DE"/>
    <w:rsid w:val="003D5AAA"/>
    <w:rsid w:val="003D5C2F"/>
    <w:rsid w:val="003D5C73"/>
    <w:rsid w:val="003D5C8D"/>
    <w:rsid w:val="003D5D45"/>
    <w:rsid w:val="003D5DE6"/>
    <w:rsid w:val="003D5FB6"/>
    <w:rsid w:val="003D60C0"/>
    <w:rsid w:val="003D6284"/>
    <w:rsid w:val="003D6349"/>
    <w:rsid w:val="003D688F"/>
    <w:rsid w:val="003D6CF0"/>
    <w:rsid w:val="003D6D36"/>
    <w:rsid w:val="003D703E"/>
    <w:rsid w:val="003D71FD"/>
    <w:rsid w:val="003D7430"/>
    <w:rsid w:val="003D7662"/>
    <w:rsid w:val="003D78F3"/>
    <w:rsid w:val="003D794F"/>
    <w:rsid w:val="003D7AB1"/>
    <w:rsid w:val="003D7BD0"/>
    <w:rsid w:val="003D7C0F"/>
    <w:rsid w:val="003D7EA5"/>
    <w:rsid w:val="003D7F36"/>
    <w:rsid w:val="003E0082"/>
    <w:rsid w:val="003E00DF"/>
    <w:rsid w:val="003E0194"/>
    <w:rsid w:val="003E0308"/>
    <w:rsid w:val="003E041E"/>
    <w:rsid w:val="003E063E"/>
    <w:rsid w:val="003E066E"/>
    <w:rsid w:val="003E0737"/>
    <w:rsid w:val="003E0768"/>
    <w:rsid w:val="003E08F5"/>
    <w:rsid w:val="003E0C79"/>
    <w:rsid w:val="003E0DF4"/>
    <w:rsid w:val="003E15A3"/>
    <w:rsid w:val="003E16ED"/>
    <w:rsid w:val="003E172D"/>
    <w:rsid w:val="003E18F8"/>
    <w:rsid w:val="003E1AE5"/>
    <w:rsid w:val="003E1C65"/>
    <w:rsid w:val="003E1F06"/>
    <w:rsid w:val="003E1FA3"/>
    <w:rsid w:val="003E1FA8"/>
    <w:rsid w:val="003E2331"/>
    <w:rsid w:val="003E2443"/>
    <w:rsid w:val="003E2685"/>
    <w:rsid w:val="003E273D"/>
    <w:rsid w:val="003E27F0"/>
    <w:rsid w:val="003E2930"/>
    <w:rsid w:val="003E2DC1"/>
    <w:rsid w:val="003E2E74"/>
    <w:rsid w:val="003E2E82"/>
    <w:rsid w:val="003E3025"/>
    <w:rsid w:val="003E30B9"/>
    <w:rsid w:val="003E342E"/>
    <w:rsid w:val="003E342F"/>
    <w:rsid w:val="003E346C"/>
    <w:rsid w:val="003E34ED"/>
    <w:rsid w:val="003E3662"/>
    <w:rsid w:val="003E36A6"/>
    <w:rsid w:val="003E373F"/>
    <w:rsid w:val="003E37A7"/>
    <w:rsid w:val="003E38D6"/>
    <w:rsid w:val="003E3957"/>
    <w:rsid w:val="003E3980"/>
    <w:rsid w:val="003E399F"/>
    <w:rsid w:val="003E3B3B"/>
    <w:rsid w:val="003E3B66"/>
    <w:rsid w:val="003E3D6A"/>
    <w:rsid w:val="003E3F83"/>
    <w:rsid w:val="003E3FDD"/>
    <w:rsid w:val="003E409A"/>
    <w:rsid w:val="003E4632"/>
    <w:rsid w:val="003E479B"/>
    <w:rsid w:val="003E47C5"/>
    <w:rsid w:val="003E4826"/>
    <w:rsid w:val="003E4880"/>
    <w:rsid w:val="003E49A0"/>
    <w:rsid w:val="003E4AAF"/>
    <w:rsid w:val="003E4B38"/>
    <w:rsid w:val="003E4C30"/>
    <w:rsid w:val="003E4F15"/>
    <w:rsid w:val="003E4F3A"/>
    <w:rsid w:val="003E52AD"/>
    <w:rsid w:val="003E5321"/>
    <w:rsid w:val="003E5393"/>
    <w:rsid w:val="003E5495"/>
    <w:rsid w:val="003E5516"/>
    <w:rsid w:val="003E566B"/>
    <w:rsid w:val="003E5696"/>
    <w:rsid w:val="003E5748"/>
    <w:rsid w:val="003E57A7"/>
    <w:rsid w:val="003E588C"/>
    <w:rsid w:val="003E5973"/>
    <w:rsid w:val="003E5B20"/>
    <w:rsid w:val="003E5B46"/>
    <w:rsid w:val="003E5F5A"/>
    <w:rsid w:val="003E5FAD"/>
    <w:rsid w:val="003E60D7"/>
    <w:rsid w:val="003E60F0"/>
    <w:rsid w:val="003E6412"/>
    <w:rsid w:val="003E651E"/>
    <w:rsid w:val="003E659F"/>
    <w:rsid w:val="003E668A"/>
    <w:rsid w:val="003E675F"/>
    <w:rsid w:val="003E67DC"/>
    <w:rsid w:val="003E67E6"/>
    <w:rsid w:val="003E67EB"/>
    <w:rsid w:val="003E6976"/>
    <w:rsid w:val="003E6995"/>
    <w:rsid w:val="003E6AC5"/>
    <w:rsid w:val="003E6AE1"/>
    <w:rsid w:val="003E6B45"/>
    <w:rsid w:val="003E6BBC"/>
    <w:rsid w:val="003E6C6B"/>
    <w:rsid w:val="003E6E44"/>
    <w:rsid w:val="003E7096"/>
    <w:rsid w:val="003E7165"/>
    <w:rsid w:val="003E73D4"/>
    <w:rsid w:val="003E740D"/>
    <w:rsid w:val="003E7587"/>
    <w:rsid w:val="003E76E1"/>
    <w:rsid w:val="003E78FF"/>
    <w:rsid w:val="003E7BD2"/>
    <w:rsid w:val="003E7E9C"/>
    <w:rsid w:val="003E7F00"/>
    <w:rsid w:val="003E7F2C"/>
    <w:rsid w:val="003E7FC8"/>
    <w:rsid w:val="003F003C"/>
    <w:rsid w:val="003F01D1"/>
    <w:rsid w:val="003F020B"/>
    <w:rsid w:val="003F0321"/>
    <w:rsid w:val="003F0497"/>
    <w:rsid w:val="003F0570"/>
    <w:rsid w:val="003F05D5"/>
    <w:rsid w:val="003F09FE"/>
    <w:rsid w:val="003F0A32"/>
    <w:rsid w:val="003F0A67"/>
    <w:rsid w:val="003F0AF1"/>
    <w:rsid w:val="003F0B8E"/>
    <w:rsid w:val="003F0B99"/>
    <w:rsid w:val="003F0BE9"/>
    <w:rsid w:val="003F0E9A"/>
    <w:rsid w:val="003F0EB4"/>
    <w:rsid w:val="003F101B"/>
    <w:rsid w:val="003F113C"/>
    <w:rsid w:val="003F119B"/>
    <w:rsid w:val="003F135B"/>
    <w:rsid w:val="003F13B8"/>
    <w:rsid w:val="003F13BD"/>
    <w:rsid w:val="003F144E"/>
    <w:rsid w:val="003F1500"/>
    <w:rsid w:val="003F155A"/>
    <w:rsid w:val="003F1615"/>
    <w:rsid w:val="003F16BE"/>
    <w:rsid w:val="003F1780"/>
    <w:rsid w:val="003F1BF0"/>
    <w:rsid w:val="003F1CB1"/>
    <w:rsid w:val="003F1D9B"/>
    <w:rsid w:val="003F2045"/>
    <w:rsid w:val="003F2193"/>
    <w:rsid w:val="003F22FF"/>
    <w:rsid w:val="003F254F"/>
    <w:rsid w:val="003F25E6"/>
    <w:rsid w:val="003F2847"/>
    <w:rsid w:val="003F287D"/>
    <w:rsid w:val="003F29F4"/>
    <w:rsid w:val="003F2C58"/>
    <w:rsid w:val="003F2E37"/>
    <w:rsid w:val="003F2EC5"/>
    <w:rsid w:val="003F312B"/>
    <w:rsid w:val="003F31FA"/>
    <w:rsid w:val="003F3210"/>
    <w:rsid w:val="003F328F"/>
    <w:rsid w:val="003F3346"/>
    <w:rsid w:val="003F390F"/>
    <w:rsid w:val="003F396D"/>
    <w:rsid w:val="003F3AD2"/>
    <w:rsid w:val="003F3BDF"/>
    <w:rsid w:val="003F3C78"/>
    <w:rsid w:val="003F3E37"/>
    <w:rsid w:val="003F3F12"/>
    <w:rsid w:val="003F4173"/>
    <w:rsid w:val="003F42B8"/>
    <w:rsid w:val="003F4401"/>
    <w:rsid w:val="003F47AB"/>
    <w:rsid w:val="003F4831"/>
    <w:rsid w:val="003F489D"/>
    <w:rsid w:val="003F4950"/>
    <w:rsid w:val="003F4AC2"/>
    <w:rsid w:val="003F4AD9"/>
    <w:rsid w:val="003F4B88"/>
    <w:rsid w:val="003F4D95"/>
    <w:rsid w:val="003F4DA1"/>
    <w:rsid w:val="003F4DEF"/>
    <w:rsid w:val="003F4E82"/>
    <w:rsid w:val="003F4FB6"/>
    <w:rsid w:val="003F4FBA"/>
    <w:rsid w:val="003F5031"/>
    <w:rsid w:val="003F5301"/>
    <w:rsid w:val="003F5381"/>
    <w:rsid w:val="003F5747"/>
    <w:rsid w:val="003F5752"/>
    <w:rsid w:val="003F57AF"/>
    <w:rsid w:val="003F5A83"/>
    <w:rsid w:val="003F5DAE"/>
    <w:rsid w:val="003F5F1A"/>
    <w:rsid w:val="003F5FDE"/>
    <w:rsid w:val="003F6062"/>
    <w:rsid w:val="003F6273"/>
    <w:rsid w:val="003F6275"/>
    <w:rsid w:val="003F631E"/>
    <w:rsid w:val="003F635B"/>
    <w:rsid w:val="003F6392"/>
    <w:rsid w:val="003F64BA"/>
    <w:rsid w:val="003F66E3"/>
    <w:rsid w:val="003F6748"/>
    <w:rsid w:val="003F6852"/>
    <w:rsid w:val="003F68E7"/>
    <w:rsid w:val="003F6909"/>
    <w:rsid w:val="003F6A84"/>
    <w:rsid w:val="003F6AAA"/>
    <w:rsid w:val="003F6DB4"/>
    <w:rsid w:val="003F6FCD"/>
    <w:rsid w:val="003F7380"/>
    <w:rsid w:val="003F7532"/>
    <w:rsid w:val="003F755E"/>
    <w:rsid w:val="003F757C"/>
    <w:rsid w:val="003F7827"/>
    <w:rsid w:val="003F7BA1"/>
    <w:rsid w:val="003F7E0B"/>
    <w:rsid w:val="003F7E32"/>
    <w:rsid w:val="003F7F49"/>
    <w:rsid w:val="003F7FB3"/>
    <w:rsid w:val="00400053"/>
    <w:rsid w:val="004003B4"/>
    <w:rsid w:val="0040046F"/>
    <w:rsid w:val="00400550"/>
    <w:rsid w:val="0040065D"/>
    <w:rsid w:val="00400807"/>
    <w:rsid w:val="004009EA"/>
    <w:rsid w:val="00400CC2"/>
    <w:rsid w:val="00400FF4"/>
    <w:rsid w:val="00401293"/>
    <w:rsid w:val="004012AE"/>
    <w:rsid w:val="00401433"/>
    <w:rsid w:val="0040147E"/>
    <w:rsid w:val="004014BA"/>
    <w:rsid w:val="0040159C"/>
    <w:rsid w:val="004018B8"/>
    <w:rsid w:val="00401904"/>
    <w:rsid w:val="00401A5D"/>
    <w:rsid w:val="00401CE9"/>
    <w:rsid w:val="00401E65"/>
    <w:rsid w:val="00401E94"/>
    <w:rsid w:val="00401EC1"/>
    <w:rsid w:val="00402045"/>
    <w:rsid w:val="004020B5"/>
    <w:rsid w:val="00402209"/>
    <w:rsid w:val="0040223C"/>
    <w:rsid w:val="00402380"/>
    <w:rsid w:val="004024E0"/>
    <w:rsid w:val="00402659"/>
    <w:rsid w:val="00402704"/>
    <w:rsid w:val="00402744"/>
    <w:rsid w:val="0040275C"/>
    <w:rsid w:val="004028C5"/>
    <w:rsid w:val="00402A6E"/>
    <w:rsid w:val="00402AFC"/>
    <w:rsid w:val="00402D62"/>
    <w:rsid w:val="00402DCB"/>
    <w:rsid w:val="00402F30"/>
    <w:rsid w:val="00403098"/>
    <w:rsid w:val="0040322A"/>
    <w:rsid w:val="0040348F"/>
    <w:rsid w:val="004036B9"/>
    <w:rsid w:val="0040385E"/>
    <w:rsid w:val="004038FA"/>
    <w:rsid w:val="00403D5B"/>
    <w:rsid w:val="00403D9D"/>
    <w:rsid w:val="00403E25"/>
    <w:rsid w:val="00403EED"/>
    <w:rsid w:val="004040D3"/>
    <w:rsid w:val="0040427E"/>
    <w:rsid w:val="004042FE"/>
    <w:rsid w:val="00404368"/>
    <w:rsid w:val="0040452D"/>
    <w:rsid w:val="004046C5"/>
    <w:rsid w:val="00404794"/>
    <w:rsid w:val="0040480E"/>
    <w:rsid w:val="00404881"/>
    <w:rsid w:val="004049A5"/>
    <w:rsid w:val="004049B8"/>
    <w:rsid w:val="00404DF8"/>
    <w:rsid w:val="00404EAB"/>
    <w:rsid w:val="00404F96"/>
    <w:rsid w:val="00405009"/>
    <w:rsid w:val="00405095"/>
    <w:rsid w:val="004050A8"/>
    <w:rsid w:val="004050DC"/>
    <w:rsid w:val="0040510E"/>
    <w:rsid w:val="004054E2"/>
    <w:rsid w:val="00405855"/>
    <w:rsid w:val="004059BB"/>
    <w:rsid w:val="00405BAA"/>
    <w:rsid w:val="00405CD7"/>
    <w:rsid w:val="00405CF4"/>
    <w:rsid w:val="00405E0C"/>
    <w:rsid w:val="00405E87"/>
    <w:rsid w:val="00405EB6"/>
    <w:rsid w:val="00405FBE"/>
    <w:rsid w:val="0040604A"/>
    <w:rsid w:val="004063E8"/>
    <w:rsid w:val="004063F8"/>
    <w:rsid w:val="00406406"/>
    <w:rsid w:val="004064C0"/>
    <w:rsid w:val="00406656"/>
    <w:rsid w:val="00406710"/>
    <w:rsid w:val="004067C2"/>
    <w:rsid w:val="0040691E"/>
    <w:rsid w:val="00406AC5"/>
    <w:rsid w:val="00406B18"/>
    <w:rsid w:val="00406D7D"/>
    <w:rsid w:val="00406E13"/>
    <w:rsid w:val="00406F72"/>
    <w:rsid w:val="00406F9C"/>
    <w:rsid w:val="00407081"/>
    <w:rsid w:val="004074F0"/>
    <w:rsid w:val="00407726"/>
    <w:rsid w:val="00407780"/>
    <w:rsid w:val="00407797"/>
    <w:rsid w:val="00407A32"/>
    <w:rsid w:val="00407AA3"/>
    <w:rsid w:val="00407B39"/>
    <w:rsid w:val="00407C62"/>
    <w:rsid w:val="00407E60"/>
    <w:rsid w:val="00410026"/>
    <w:rsid w:val="004100D9"/>
    <w:rsid w:val="004100F5"/>
    <w:rsid w:val="0041030A"/>
    <w:rsid w:val="00410446"/>
    <w:rsid w:val="00410480"/>
    <w:rsid w:val="00410612"/>
    <w:rsid w:val="00410651"/>
    <w:rsid w:val="004107A1"/>
    <w:rsid w:val="0041080D"/>
    <w:rsid w:val="00410849"/>
    <w:rsid w:val="00410873"/>
    <w:rsid w:val="00410A0D"/>
    <w:rsid w:val="00410D63"/>
    <w:rsid w:val="00410EEB"/>
    <w:rsid w:val="00410EF0"/>
    <w:rsid w:val="00410FC0"/>
    <w:rsid w:val="004110A6"/>
    <w:rsid w:val="004110DA"/>
    <w:rsid w:val="00411235"/>
    <w:rsid w:val="004112D6"/>
    <w:rsid w:val="004115BB"/>
    <w:rsid w:val="004115F7"/>
    <w:rsid w:val="00411739"/>
    <w:rsid w:val="00411873"/>
    <w:rsid w:val="004118FB"/>
    <w:rsid w:val="004119B2"/>
    <w:rsid w:val="004119F1"/>
    <w:rsid w:val="00411A35"/>
    <w:rsid w:val="00411B20"/>
    <w:rsid w:val="00411B8C"/>
    <w:rsid w:val="00411DCF"/>
    <w:rsid w:val="00411DE7"/>
    <w:rsid w:val="00411F37"/>
    <w:rsid w:val="00411F6D"/>
    <w:rsid w:val="00411FEF"/>
    <w:rsid w:val="0041217A"/>
    <w:rsid w:val="004121C7"/>
    <w:rsid w:val="004121CC"/>
    <w:rsid w:val="00412334"/>
    <w:rsid w:val="00412506"/>
    <w:rsid w:val="0041252D"/>
    <w:rsid w:val="004125BF"/>
    <w:rsid w:val="0041263C"/>
    <w:rsid w:val="00412692"/>
    <w:rsid w:val="0041269A"/>
    <w:rsid w:val="004127B7"/>
    <w:rsid w:val="0041280E"/>
    <w:rsid w:val="0041289E"/>
    <w:rsid w:val="00412998"/>
    <w:rsid w:val="004129F1"/>
    <w:rsid w:val="004129FD"/>
    <w:rsid w:val="00412AA2"/>
    <w:rsid w:val="00412B4F"/>
    <w:rsid w:val="00412BBB"/>
    <w:rsid w:val="00412C80"/>
    <w:rsid w:val="00412CE1"/>
    <w:rsid w:val="00412D15"/>
    <w:rsid w:val="00412D8A"/>
    <w:rsid w:val="00412E61"/>
    <w:rsid w:val="00412E8C"/>
    <w:rsid w:val="00412EB2"/>
    <w:rsid w:val="00412EB6"/>
    <w:rsid w:val="00413011"/>
    <w:rsid w:val="004131AB"/>
    <w:rsid w:val="00413214"/>
    <w:rsid w:val="00413388"/>
    <w:rsid w:val="00413417"/>
    <w:rsid w:val="00413481"/>
    <w:rsid w:val="004134B8"/>
    <w:rsid w:val="0041365E"/>
    <w:rsid w:val="00413763"/>
    <w:rsid w:val="0041395C"/>
    <w:rsid w:val="00413B55"/>
    <w:rsid w:val="00413BAC"/>
    <w:rsid w:val="00413F4D"/>
    <w:rsid w:val="0041414D"/>
    <w:rsid w:val="004141F9"/>
    <w:rsid w:val="0041420A"/>
    <w:rsid w:val="00414234"/>
    <w:rsid w:val="004142A1"/>
    <w:rsid w:val="004142A5"/>
    <w:rsid w:val="0041439D"/>
    <w:rsid w:val="004143AC"/>
    <w:rsid w:val="00414523"/>
    <w:rsid w:val="00414605"/>
    <w:rsid w:val="00414627"/>
    <w:rsid w:val="004146CB"/>
    <w:rsid w:val="0041491B"/>
    <w:rsid w:val="004149FB"/>
    <w:rsid w:val="00414C18"/>
    <w:rsid w:val="00414E4B"/>
    <w:rsid w:val="004151AC"/>
    <w:rsid w:val="00415251"/>
    <w:rsid w:val="00415308"/>
    <w:rsid w:val="00415868"/>
    <w:rsid w:val="0041598B"/>
    <w:rsid w:val="00415BCD"/>
    <w:rsid w:val="00415C3A"/>
    <w:rsid w:val="00415E41"/>
    <w:rsid w:val="00415E76"/>
    <w:rsid w:val="00415F8C"/>
    <w:rsid w:val="004162B0"/>
    <w:rsid w:val="004164FD"/>
    <w:rsid w:val="00416597"/>
    <w:rsid w:val="0041659A"/>
    <w:rsid w:val="004165D6"/>
    <w:rsid w:val="0041670C"/>
    <w:rsid w:val="00416853"/>
    <w:rsid w:val="00416963"/>
    <w:rsid w:val="00416BB7"/>
    <w:rsid w:val="00416D27"/>
    <w:rsid w:val="00416E4B"/>
    <w:rsid w:val="00416EB0"/>
    <w:rsid w:val="00416F2A"/>
    <w:rsid w:val="0041715B"/>
    <w:rsid w:val="0041720A"/>
    <w:rsid w:val="0041728C"/>
    <w:rsid w:val="004172AF"/>
    <w:rsid w:val="00417611"/>
    <w:rsid w:val="00417652"/>
    <w:rsid w:val="00417775"/>
    <w:rsid w:val="004178EF"/>
    <w:rsid w:val="0041798C"/>
    <w:rsid w:val="00417AF8"/>
    <w:rsid w:val="00417DFD"/>
    <w:rsid w:val="00417EB6"/>
    <w:rsid w:val="0042000C"/>
    <w:rsid w:val="004201B7"/>
    <w:rsid w:val="00420229"/>
    <w:rsid w:val="004202C0"/>
    <w:rsid w:val="004203AE"/>
    <w:rsid w:val="004204A3"/>
    <w:rsid w:val="0042052B"/>
    <w:rsid w:val="004206BC"/>
    <w:rsid w:val="004206BD"/>
    <w:rsid w:val="004208B2"/>
    <w:rsid w:val="00420C45"/>
    <w:rsid w:val="00420E72"/>
    <w:rsid w:val="004210D4"/>
    <w:rsid w:val="004212BC"/>
    <w:rsid w:val="004213D5"/>
    <w:rsid w:val="00421426"/>
    <w:rsid w:val="00421526"/>
    <w:rsid w:val="004215FC"/>
    <w:rsid w:val="00421732"/>
    <w:rsid w:val="00421805"/>
    <w:rsid w:val="00421B20"/>
    <w:rsid w:val="00421EC9"/>
    <w:rsid w:val="00421F26"/>
    <w:rsid w:val="00422004"/>
    <w:rsid w:val="00422026"/>
    <w:rsid w:val="0042220E"/>
    <w:rsid w:val="00422245"/>
    <w:rsid w:val="00422347"/>
    <w:rsid w:val="004223F1"/>
    <w:rsid w:val="004224A1"/>
    <w:rsid w:val="00422502"/>
    <w:rsid w:val="004225CB"/>
    <w:rsid w:val="00422684"/>
    <w:rsid w:val="00422742"/>
    <w:rsid w:val="0042286B"/>
    <w:rsid w:val="00422910"/>
    <w:rsid w:val="00422A58"/>
    <w:rsid w:val="0042307C"/>
    <w:rsid w:val="004230C0"/>
    <w:rsid w:val="00423102"/>
    <w:rsid w:val="00423477"/>
    <w:rsid w:val="00423605"/>
    <w:rsid w:val="00423704"/>
    <w:rsid w:val="0042381F"/>
    <w:rsid w:val="00423B88"/>
    <w:rsid w:val="00423BA1"/>
    <w:rsid w:val="00423D40"/>
    <w:rsid w:val="00423F66"/>
    <w:rsid w:val="004240D7"/>
    <w:rsid w:val="004240F6"/>
    <w:rsid w:val="00424119"/>
    <w:rsid w:val="004242FB"/>
    <w:rsid w:val="00424347"/>
    <w:rsid w:val="004243FA"/>
    <w:rsid w:val="00424482"/>
    <w:rsid w:val="00424510"/>
    <w:rsid w:val="00424592"/>
    <w:rsid w:val="00424596"/>
    <w:rsid w:val="00424773"/>
    <w:rsid w:val="00424975"/>
    <w:rsid w:val="00424984"/>
    <w:rsid w:val="004249D0"/>
    <w:rsid w:val="00424A76"/>
    <w:rsid w:val="00424DFE"/>
    <w:rsid w:val="00424EAB"/>
    <w:rsid w:val="00424F44"/>
    <w:rsid w:val="00424FB0"/>
    <w:rsid w:val="0042514E"/>
    <w:rsid w:val="004251F1"/>
    <w:rsid w:val="0042535C"/>
    <w:rsid w:val="00425379"/>
    <w:rsid w:val="00425480"/>
    <w:rsid w:val="00425546"/>
    <w:rsid w:val="00425669"/>
    <w:rsid w:val="004256D8"/>
    <w:rsid w:val="0042580C"/>
    <w:rsid w:val="004259DE"/>
    <w:rsid w:val="00425B3D"/>
    <w:rsid w:val="00425B54"/>
    <w:rsid w:val="00425C85"/>
    <w:rsid w:val="00425E54"/>
    <w:rsid w:val="004260A1"/>
    <w:rsid w:val="0042622A"/>
    <w:rsid w:val="00426249"/>
    <w:rsid w:val="00426277"/>
    <w:rsid w:val="00426481"/>
    <w:rsid w:val="004264E9"/>
    <w:rsid w:val="00426657"/>
    <w:rsid w:val="0042670F"/>
    <w:rsid w:val="00426880"/>
    <w:rsid w:val="00426883"/>
    <w:rsid w:val="004268D6"/>
    <w:rsid w:val="004268E8"/>
    <w:rsid w:val="00426943"/>
    <w:rsid w:val="00426C59"/>
    <w:rsid w:val="00426D21"/>
    <w:rsid w:val="00426ECD"/>
    <w:rsid w:val="00426FC6"/>
    <w:rsid w:val="00426FEF"/>
    <w:rsid w:val="0042716A"/>
    <w:rsid w:val="004272F4"/>
    <w:rsid w:val="004272FC"/>
    <w:rsid w:val="00427468"/>
    <w:rsid w:val="00427574"/>
    <w:rsid w:val="00427595"/>
    <w:rsid w:val="00427637"/>
    <w:rsid w:val="00427808"/>
    <w:rsid w:val="004278B5"/>
    <w:rsid w:val="00427961"/>
    <w:rsid w:val="00427A2D"/>
    <w:rsid w:val="00427D05"/>
    <w:rsid w:val="00427D60"/>
    <w:rsid w:val="00427F21"/>
    <w:rsid w:val="00430013"/>
    <w:rsid w:val="00430113"/>
    <w:rsid w:val="00430116"/>
    <w:rsid w:val="00430448"/>
    <w:rsid w:val="004305E6"/>
    <w:rsid w:val="00430649"/>
    <w:rsid w:val="004308DC"/>
    <w:rsid w:val="00430997"/>
    <w:rsid w:val="00430A53"/>
    <w:rsid w:val="00430C63"/>
    <w:rsid w:val="00430CB1"/>
    <w:rsid w:val="00430CE5"/>
    <w:rsid w:val="00430E5C"/>
    <w:rsid w:val="00431126"/>
    <w:rsid w:val="00431223"/>
    <w:rsid w:val="0043123E"/>
    <w:rsid w:val="004314F3"/>
    <w:rsid w:val="00431712"/>
    <w:rsid w:val="004318FA"/>
    <w:rsid w:val="0043192E"/>
    <w:rsid w:val="00431A6E"/>
    <w:rsid w:val="00431B3B"/>
    <w:rsid w:val="00431D1C"/>
    <w:rsid w:val="00431D42"/>
    <w:rsid w:val="00432377"/>
    <w:rsid w:val="00432418"/>
    <w:rsid w:val="00432479"/>
    <w:rsid w:val="004324FF"/>
    <w:rsid w:val="0043252F"/>
    <w:rsid w:val="00432599"/>
    <w:rsid w:val="00432655"/>
    <w:rsid w:val="0043267D"/>
    <w:rsid w:val="004326AC"/>
    <w:rsid w:val="004329A8"/>
    <w:rsid w:val="004329B5"/>
    <w:rsid w:val="00432A23"/>
    <w:rsid w:val="00432B01"/>
    <w:rsid w:val="00432C04"/>
    <w:rsid w:val="00432C7A"/>
    <w:rsid w:val="00432DB3"/>
    <w:rsid w:val="00432EB4"/>
    <w:rsid w:val="00433101"/>
    <w:rsid w:val="004331D8"/>
    <w:rsid w:val="004331E9"/>
    <w:rsid w:val="0043331D"/>
    <w:rsid w:val="00433520"/>
    <w:rsid w:val="004336D4"/>
    <w:rsid w:val="004339E4"/>
    <w:rsid w:val="00433E43"/>
    <w:rsid w:val="00433E8F"/>
    <w:rsid w:val="00433E9C"/>
    <w:rsid w:val="00434046"/>
    <w:rsid w:val="004340E7"/>
    <w:rsid w:val="00434258"/>
    <w:rsid w:val="00434277"/>
    <w:rsid w:val="00434688"/>
    <w:rsid w:val="004346DD"/>
    <w:rsid w:val="00434975"/>
    <w:rsid w:val="00434A17"/>
    <w:rsid w:val="00434D58"/>
    <w:rsid w:val="00434D97"/>
    <w:rsid w:val="00434DCA"/>
    <w:rsid w:val="00434EE2"/>
    <w:rsid w:val="00435019"/>
    <w:rsid w:val="00435169"/>
    <w:rsid w:val="00435204"/>
    <w:rsid w:val="00435208"/>
    <w:rsid w:val="00435272"/>
    <w:rsid w:val="00435288"/>
    <w:rsid w:val="004353F1"/>
    <w:rsid w:val="0043557F"/>
    <w:rsid w:val="00435637"/>
    <w:rsid w:val="0043586D"/>
    <w:rsid w:val="004359E0"/>
    <w:rsid w:val="00435D86"/>
    <w:rsid w:val="00435E3F"/>
    <w:rsid w:val="00435F9C"/>
    <w:rsid w:val="00436449"/>
    <w:rsid w:val="00436477"/>
    <w:rsid w:val="004364B2"/>
    <w:rsid w:val="004365EC"/>
    <w:rsid w:val="0043677E"/>
    <w:rsid w:val="00436B2E"/>
    <w:rsid w:val="00436B8F"/>
    <w:rsid w:val="00436C04"/>
    <w:rsid w:val="00436D56"/>
    <w:rsid w:val="00436D87"/>
    <w:rsid w:val="00436F03"/>
    <w:rsid w:val="00436F66"/>
    <w:rsid w:val="0043707D"/>
    <w:rsid w:val="00437099"/>
    <w:rsid w:val="004370BD"/>
    <w:rsid w:val="00437226"/>
    <w:rsid w:val="00437458"/>
    <w:rsid w:val="00437800"/>
    <w:rsid w:val="0043794C"/>
    <w:rsid w:val="0043795D"/>
    <w:rsid w:val="00437985"/>
    <w:rsid w:val="00437DCF"/>
    <w:rsid w:val="00437E06"/>
    <w:rsid w:val="0044016E"/>
    <w:rsid w:val="00440201"/>
    <w:rsid w:val="004405A2"/>
    <w:rsid w:val="00440648"/>
    <w:rsid w:val="00440704"/>
    <w:rsid w:val="00440757"/>
    <w:rsid w:val="00440817"/>
    <w:rsid w:val="004408E3"/>
    <w:rsid w:val="00440A08"/>
    <w:rsid w:val="00440A5B"/>
    <w:rsid w:val="00440AF4"/>
    <w:rsid w:val="00440CFF"/>
    <w:rsid w:val="00440D2B"/>
    <w:rsid w:val="004413C7"/>
    <w:rsid w:val="00441536"/>
    <w:rsid w:val="0044164E"/>
    <w:rsid w:val="00441791"/>
    <w:rsid w:val="004417E5"/>
    <w:rsid w:val="00441958"/>
    <w:rsid w:val="00441AC4"/>
    <w:rsid w:val="00441DC3"/>
    <w:rsid w:val="00441EAA"/>
    <w:rsid w:val="00441FB1"/>
    <w:rsid w:val="00441FE2"/>
    <w:rsid w:val="0044217E"/>
    <w:rsid w:val="004422CC"/>
    <w:rsid w:val="004422F0"/>
    <w:rsid w:val="004423E5"/>
    <w:rsid w:val="00442505"/>
    <w:rsid w:val="004425BB"/>
    <w:rsid w:val="0044287A"/>
    <w:rsid w:val="00442ACA"/>
    <w:rsid w:val="00442B64"/>
    <w:rsid w:val="00442C0C"/>
    <w:rsid w:val="00442E31"/>
    <w:rsid w:val="00442E3D"/>
    <w:rsid w:val="00442E56"/>
    <w:rsid w:val="00442F5A"/>
    <w:rsid w:val="0044308F"/>
    <w:rsid w:val="004434E0"/>
    <w:rsid w:val="00443525"/>
    <w:rsid w:val="00443593"/>
    <w:rsid w:val="004435ED"/>
    <w:rsid w:val="0044377C"/>
    <w:rsid w:val="004437F3"/>
    <w:rsid w:val="004438B5"/>
    <w:rsid w:val="00443980"/>
    <w:rsid w:val="00443A8C"/>
    <w:rsid w:val="00443AF0"/>
    <w:rsid w:val="00443AF3"/>
    <w:rsid w:val="00443B9C"/>
    <w:rsid w:val="00443CCE"/>
    <w:rsid w:val="00443D2A"/>
    <w:rsid w:val="00443E46"/>
    <w:rsid w:val="00444005"/>
    <w:rsid w:val="00444103"/>
    <w:rsid w:val="00444154"/>
    <w:rsid w:val="004442B6"/>
    <w:rsid w:val="0044444B"/>
    <w:rsid w:val="004444CA"/>
    <w:rsid w:val="0044458A"/>
    <w:rsid w:val="004445FD"/>
    <w:rsid w:val="00444848"/>
    <w:rsid w:val="00444942"/>
    <w:rsid w:val="00444964"/>
    <w:rsid w:val="00444969"/>
    <w:rsid w:val="004449DD"/>
    <w:rsid w:val="00444B2F"/>
    <w:rsid w:val="00444C92"/>
    <w:rsid w:val="00444F99"/>
    <w:rsid w:val="00445138"/>
    <w:rsid w:val="00445393"/>
    <w:rsid w:val="00445461"/>
    <w:rsid w:val="00445533"/>
    <w:rsid w:val="0044561C"/>
    <w:rsid w:val="00445708"/>
    <w:rsid w:val="0044572A"/>
    <w:rsid w:val="0044579F"/>
    <w:rsid w:val="004457A4"/>
    <w:rsid w:val="00445821"/>
    <w:rsid w:val="00445AB0"/>
    <w:rsid w:val="00445BD5"/>
    <w:rsid w:val="00445D7A"/>
    <w:rsid w:val="00445FDC"/>
    <w:rsid w:val="0044601B"/>
    <w:rsid w:val="004463D0"/>
    <w:rsid w:val="00446587"/>
    <w:rsid w:val="0044659C"/>
    <w:rsid w:val="004465BF"/>
    <w:rsid w:val="004466BC"/>
    <w:rsid w:val="00446984"/>
    <w:rsid w:val="00446D00"/>
    <w:rsid w:val="00446D6E"/>
    <w:rsid w:val="00446E4D"/>
    <w:rsid w:val="00446ED8"/>
    <w:rsid w:val="00447108"/>
    <w:rsid w:val="00447136"/>
    <w:rsid w:val="0044716C"/>
    <w:rsid w:val="004471F8"/>
    <w:rsid w:val="004477A6"/>
    <w:rsid w:val="00447904"/>
    <w:rsid w:val="00447AED"/>
    <w:rsid w:val="00447D2F"/>
    <w:rsid w:val="00447D7E"/>
    <w:rsid w:val="00447D92"/>
    <w:rsid w:val="00447DB1"/>
    <w:rsid w:val="00450234"/>
    <w:rsid w:val="004502B6"/>
    <w:rsid w:val="0045043E"/>
    <w:rsid w:val="00450532"/>
    <w:rsid w:val="004505ED"/>
    <w:rsid w:val="0045072F"/>
    <w:rsid w:val="00450740"/>
    <w:rsid w:val="004507CF"/>
    <w:rsid w:val="00450863"/>
    <w:rsid w:val="0045098D"/>
    <w:rsid w:val="0045099D"/>
    <w:rsid w:val="00450B4F"/>
    <w:rsid w:val="00450DC1"/>
    <w:rsid w:val="00450F42"/>
    <w:rsid w:val="00451118"/>
    <w:rsid w:val="00451576"/>
    <w:rsid w:val="004515C2"/>
    <w:rsid w:val="0045187E"/>
    <w:rsid w:val="00451931"/>
    <w:rsid w:val="00451B3A"/>
    <w:rsid w:val="00451BB2"/>
    <w:rsid w:val="00451C6A"/>
    <w:rsid w:val="00451DC5"/>
    <w:rsid w:val="00451E38"/>
    <w:rsid w:val="00451ECF"/>
    <w:rsid w:val="00452177"/>
    <w:rsid w:val="004521B4"/>
    <w:rsid w:val="00452333"/>
    <w:rsid w:val="00452344"/>
    <w:rsid w:val="004524ED"/>
    <w:rsid w:val="004526B4"/>
    <w:rsid w:val="00452765"/>
    <w:rsid w:val="004527E4"/>
    <w:rsid w:val="0045283A"/>
    <w:rsid w:val="004529EE"/>
    <w:rsid w:val="00452AF7"/>
    <w:rsid w:val="00452C89"/>
    <w:rsid w:val="00452C8C"/>
    <w:rsid w:val="00452D01"/>
    <w:rsid w:val="00452EA3"/>
    <w:rsid w:val="00452EBE"/>
    <w:rsid w:val="00452F1E"/>
    <w:rsid w:val="00452FB7"/>
    <w:rsid w:val="0045308C"/>
    <w:rsid w:val="004533B2"/>
    <w:rsid w:val="00453484"/>
    <w:rsid w:val="00453574"/>
    <w:rsid w:val="0045361B"/>
    <w:rsid w:val="00453755"/>
    <w:rsid w:val="004538DC"/>
    <w:rsid w:val="0045392A"/>
    <w:rsid w:val="00453A57"/>
    <w:rsid w:val="00453B8F"/>
    <w:rsid w:val="00453BA9"/>
    <w:rsid w:val="00453BCE"/>
    <w:rsid w:val="00453F42"/>
    <w:rsid w:val="00453FB3"/>
    <w:rsid w:val="0045432B"/>
    <w:rsid w:val="0045443C"/>
    <w:rsid w:val="0045460D"/>
    <w:rsid w:val="004547D4"/>
    <w:rsid w:val="00454858"/>
    <w:rsid w:val="0045486A"/>
    <w:rsid w:val="00454BF1"/>
    <w:rsid w:val="00454C54"/>
    <w:rsid w:val="00454C6B"/>
    <w:rsid w:val="00454DDF"/>
    <w:rsid w:val="00454E7E"/>
    <w:rsid w:val="00455035"/>
    <w:rsid w:val="00455121"/>
    <w:rsid w:val="00455127"/>
    <w:rsid w:val="004554F5"/>
    <w:rsid w:val="004555DB"/>
    <w:rsid w:val="00455657"/>
    <w:rsid w:val="004556EA"/>
    <w:rsid w:val="0045586E"/>
    <w:rsid w:val="004560B3"/>
    <w:rsid w:val="0045610B"/>
    <w:rsid w:val="0045624E"/>
    <w:rsid w:val="004562AD"/>
    <w:rsid w:val="00456474"/>
    <w:rsid w:val="00456555"/>
    <w:rsid w:val="0045655B"/>
    <w:rsid w:val="004567D5"/>
    <w:rsid w:val="00456838"/>
    <w:rsid w:val="004569F6"/>
    <w:rsid w:val="00456AA3"/>
    <w:rsid w:val="00456AFE"/>
    <w:rsid w:val="00456C89"/>
    <w:rsid w:val="00456C8B"/>
    <w:rsid w:val="00456D47"/>
    <w:rsid w:val="00456F18"/>
    <w:rsid w:val="0045700A"/>
    <w:rsid w:val="00457157"/>
    <w:rsid w:val="0045723B"/>
    <w:rsid w:val="0045727A"/>
    <w:rsid w:val="0045736A"/>
    <w:rsid w:val="0045738D"/>
    <w:rsid w:val="0045742C"/>
    <w:rsid w:val="00457581"/>
    <w:rsid w:val="004576E2"/>
    <w:rsid w:val="004578B7"/>
    <w:rsid w:val="00457DBA"/>
    <w:rsid w:val="00457E7C"/>
    <w:rsid w:val="004600EF"/>
    <w:rsid w:val="0046032E"/>
    <w:rsid w:val="004603ED"/>
    <w:rsid w:val="004604C4"/>
    <w:rsid w:val="00460733"/>
    <w:rsid w:val="00460827"/>
    <w:rsid w:val="00460B85"/>
    <w:rsid w:val="00460BF8"/>
    <w:rsid w:val="00460CEB"/>
    <w:rsid w:val="00460DA6"/>
    <w:rsid w:val="00460FB8"/>
    <w:rsid w:val="00461069"/>
    <w:rsid w:val="004611BE"/>
    <w:rsid w:val="004613D0"/>
    <w:rsid w:val="004615E1"/>
    <w:rsid w:val="00461666"/>
    <w:rsid w:val="004616B1"/>
    <w:rsid w:val="004619D6"/>
    <w:rsid w:val="00461D95"/>
    <w:rsid w:val="00461E3A"/>
    <w:rsid w:val="00461F7A"/>
    <w:rsid w:val="004620C9"/>
    <w:rsid w:val="0046210D"/>
    <w:rsid w:val="004621EA"/>
    <w:rsid w:val="0046222B"/>
    <w:rsid w:val="0046234E"/>
    <w:rsid w:val="00462752"/>
    <w:rsid w:val="00462791"/>
    <w:rsid w:val="00462799"/>
    <w:rsid w:val="004627BE"/>
    <w:rsid w:val="00462830"/>
    <w:rsid w:val="00462C4E"/>
    <w:rsid w:val="00462D63"/>
    <w:rsid w:val="00462E02"/>
    <w:rsid w:val="004633B6"/>
    <w:rsid w:val="004636B2"/>
    <w:rsid w:val="00463763"/>
    <w:rsid w:val="00463875"/>
    <w:rsid w:val="00463AAF"/>
    <w:rsid w:val="00463B11"/>
    <w:rsid w:val="00463B1C"/>
    <w:rsid w:val="00463BF6"/>
    <w:rsid w:val="00463C29"/>
    <w:rsid w:val="00463D06"/>
    <w:rsid w:val="00463D19"/>
    <w:rsid w:val="00463DD2"/>
    <w:rsid w:val="00463EBC"/>
    <w:rsid w:val="00463F28"/>
    <w:rsid w:val="00464143"/>
    <w:rsid w:val="004643BF"/>
    <w:rsid w:val="0046451D"/>
    <w:rsid w:val="00464526"/>
    <w:rsid w:val="00464904"/>
    <w:rsid w:val="00464B10"/>
    <w:rsid w:val="00464C9D"/>
    <w:rsid w:val="00464CDB"/>
    <w:rsid w:val="00464D06"/>
    <w:rsid w:val="00464D63"/>
    <w:rsid w:val="00464DA4"/>
    <w:rsid w:val="00464ED6"/>
    <w:rsid w:val="00464FA1"/>
    <w:rsid w:val="00465182"/>
    <w:rsid w:val="004653C8"/>
    <w:rsid w:val="00465492"/>
    <w:rsid w:val="00465524"/>
    <w:rsid w:val="004655F3"/>
    <w:rsid w:val="0046565E"/>
    <w:rsid w:val="00465695"/>
    <w:rsid w:val="004659D5"/>
    <w:rsid w:val="00465AC5"/>
    <w:rsid w:val="00465B02"/>
    <w:rsid w:val="00465BD6"/>
    <w:rsid w:val="00465C14"/>
    <w:rsid w:val="00465C62"/>
    <w:rsid w:val="00465D60"/>
    <w:rsid w:val="00465FF0"/>
    <w:rsid w:val="0046604F"/>
    <w:rsid w:val="004660D7"/>
    <w:rsid w:val="004664E7"/>
    <w:rsid w:val="0046653F"/>
    <w:rsid w:val="00466585"/>
    <w:rsid w:val="004666E3"/>
    <w:rsid w:val="00466708"/>
    <w:rsid w:val="00466819"/>
    <w:rsid w:val="0046690A"/>
    <w:rsid w:val="00466A9D"/>
    <w:rsid w:val="00466B97"/>
    <w:rsid w:val="00466C48"/>
    <w:rsid w:val="00466F50"/>
    <w:rsid w:val="00466F7A"/>
    <w:rsid w:val="00467210"/>
    <w:rsid w:val="0046721B"/>
    <w:rsid w:val="00467233"/>
    <w:rsid w:val="004672A4"/>
    <w:rsid w:val="00467469"/>
    <w:rsid w:val="00467504"/>
    <w:rsid w:val="0046750C"/>
    <w:rsid w:val="00467798"/>
    <w:rsid w:val="00467822"/>
    <w:rsid w:val="0046787C"/>
    <w:rsid w:val="004678C1"/>
    <w:rsid w:val="0046790B"/>
    <w:rsid w:val="00467933"/>
    <w:rsid w:val="00467BE1"/>
    <w:rsid w:val="00467CD8"/>
    <w:rsid w:val="00467E45"/>
    <w:rsid w:val="0047006B"/>
    <w:rsid w:val="004700E1"/>
    <w:rsid w:val="00470188"/>
    <w:rsid w:val="0047021B"/>
    <w:rsid w:val="004703A5"/>
    <w:rsid w:val="004703B3"/>
    <w:rsid w:val="00470490"/>
    <w:rsid w:val="00470548"/>
    <w:rsid w:val="004705E5"/>
    <w:rsid w:val="00470663"/>
    <w:rsid w:val="0047066F"/>
    <w:rsid w:val="0047088E"/>
    <w:rsid w:val="00470988"/>
    <w:rsid w:val="00470996"/>
    <w:rsid w:val="00470BD6"/>
    <w:rsid w:val="00470D7A"/>
    <w:rsid w:val="00470DD0"/>
    <w:rsid w:val="00470F48"/>
    <w:rsid w:val="00471155"/>
    <w:rsid w:val="004711BD"/>
    <w:rsid w:val="004711FB"/>
    <w:rsid w:val="0047144A"/>
    <w:rsid w:val="004715CF"/>
    <w:rsid w:val="004715F1"/>
    <w:rsid w:val="004716E7"/>
    <w:rsid w:val="004719BB"/>
    <w:rsid w:val="00471A77"/>
    <w:rsid w:val="00471AEA"/>
    <w:rsid w:val="00471CCE"/>
    <w:rsid w:val="00471D3B"/>
    <w:rsid w:val="00471DCF"/>
    <w:rsid w:val="00472171"/>
    <w:rsid w:val="0047219D"/>
    <w:rsid w:val="004721C2"/>
    <w:rsid w:val="0047230B"/>
    <w:rsid w:val="004725A0"/>
    <w:rsid w:val="004725D0"/>
    <w:rsid w:val="004725D4"/>
    <w:rsid w:val="004725D6"/>
    <w:rsid w:val="00472764"/>
    <w:rsid w:val="004729E2"/>
    <w:rsid w:val="00472A39"/>
    <w:rsid w:val="00472B95"/>
    <w:rsid w:val="00472D78"/>
    <w:rsid w:val="00472DA1"/>
    <w:rsid w:val="00472F81"/>
    <w:rsid w:val="00472FFA"/>
    <w:rsid w:val="004730CA"/>
    <w:rsid w:val="00473213"/>
    <w:rsid w:val="00473476"/>
    <w:rsid w:val="00473583"/>
    <w:rsid w:val="0047359A"/>
    <w:rsid w:val="00473634"/>
    <w:rsid w:val="0047387D"/>
    <w:rsid w:val="00473886"/>
    <w:rsid w:val="00473908"/>
    <w:rsid w:val="00473937"/>
    <w:rsid w:val="004739C8"/>
    <w:rsid w:val="00473AE6"/>
    <w:rsid w:val="00473C2B"/>
    <w:rsid w:val="00473CB0"/>
    <w:rsid w:val="00473F51"/>
    <w:rsid w:val="00474046"/>
    <w:rsid w:val="004742BB"/>
    <w:rsid w:val="004742D3"/>
    <w:rsid w:val="004742EA"/>
    <w:rsid w:val="0047430B"/>
    <w:rsid w:val="00474976"/>
    <w:rsid w:val="0047499C"/>
    <w:rsid w:val="00474B23"/>
    <w:rsid w:val="00474BC6"/>
    <w:rsid w:val="00474CBE"/>
    <w:rsid w:val="00474E6A"/>
    <w:rsid w:val="00474F7A"/>
    <w:rsid w:val="0047506C"/>
    <w:rsid w:val="004750D2"/>
    <w:rsid w:val="00475163"/>
    <w:rsid w:val="0047533E"/>
    <w:rsid w:val="00475415"/>
    <w:rsid w:val="00475550"/>
    <w:rsid w:val="004756AE"/>
    <w:rsid w:val="00475767"/>
    <w:rsid w:val="004758EC"/>
    <w:rsid w:val="00475BFC"/>
    <w:rsid w:val="00475C0B"/>
    <w:rsid w:val="004762DF"/>
    <w:rsid w:val="004762EC"/>
    <w:rsid w:val="0047638C"/>
    <w:rsid w:val="00476402"/>
    <w:rsid w:val="00476451"/>
    <w:rsid w:val="00476BF9"/>
    <w:rsid w:val="00476C4A"/>
    <w:rsid w:val="004770A4"/>
    <w:rsid w:val="004770BD"/>
    <w:rsid w:val="00477101"/>
    <w:rsid w:val="0047710E"/>
    <w:rsid w:val="004771A7"/>
    <w:rsid w:val="004772C0"/>
    <w:rsid w:val="0047765E"/>
    <w:rsid w:val="00477806"/>
    <w:rsid w:val="00477CCA"/>
    <w:rsid w:val="00477DAC"/>
    <w:rsid w:val="00477DC6"/>
    <w:rsid w:val="00477E8C"/>
    <w:rsid w:val="00480072"/>
    <w:rsid w:val="00480239"/>
    <w:rsid w:val="0048039B"/>
    <w:rsid w:val="00480511"/>
    <w:rsid w:val="004805D5"/>
    <w:rsid w:val="00480711"/>
    <w:rsid w:val="0048098C"/>
    <w:rsid w:val="004809FB"/>
    <w:rsid w:val="00480C57"/>
    <w:rsid w:val="00480DAC"/>
    <w:rsid w:val="00480E38"/>
    <w:rsid w:val="00481262"/>
    <w:rsid w:val="004814D3"/>
    <w:rsid w:val="004814F5"/>
    <w:rsid w:val="0048153E"/>
    <w:rsid w:val="0048158E"/>
    <w:rsid w:val="00481654"/>
    <w:rsid w:val="0048169F"/>
    <w:rsid w:val="0048173A"/>
    <w:rsid w:val="0048175B"/>
    <w:rsid w:val="0048191E"/>
    <w:rsid w:val="00481944"/>
    <w:rsid w:val="004819C6"/>
    <w:rsid w:val="00481A06"/>
    <w:rsid w:val="00481A55"/>
    <w:rsid w:val="00481BB6"/>
    <w:rsid w:val="00481BF9"/>
    <w:rsid w:val="00481D48"/>
    <w:rsid w:val="00481EA5"/>
    <w:rsid w:val="00482232"/>
    <w:rsid w:val="004822BB"/>
    <w:rsid w:val="00482360"/>
    <w:rsid w:val="004825FA"/>
    <w:rsid w:val="004826EB"/>
    <w:rsid w:val="0048273A"/>
    <w:rsid w:val="00482802"/>
    <w:rsid w:val="004829A5"/>
    <w:rsid w:val="00482A1B"/>
    <w:rsid w:val="00482BB7"/>
    <w:rsid w:val="00482BDD"/>
    <w:rsid w:val="00482CA5"/>
    <w:rsid w:val="00482DE4"/>
    <w:rsid w:val="00482E82"/>
    <w:rsid w:val="00482FF4"/>
    <w:rsid w:val="00483668"/>
    <w:rsid w:val="00483695"/>
    <w:rsid w:val="00483745"/>
    <w:rsid w:val="00483750"/>
    <w:rsid w:val="00483863"/>
    <w:rsid w:val="0048399B"/>
    <w:rsid w:val="004839C9"/>
    <w:rsid w:val="00483B11"/>
    <w:rsid w:val="00483BA2"/>
    <w:rsid w:val="00483CB5"/>
    <w:rsid w:val="00483CD9"/>
    <w:rsid w:val="00483EDA"/>
    <w:rsid w:val="00484331"/>
    <w:rsid w:val="0048434E"/>
    <w:rsid w:val="004844C3"/>
    <w:rsid w:val="00484581"/>
    <w:rsid w:val="00484607"/>
    <w:rsid w:val="004849BE"/>
    <w:rsid w:val="00484E18"/>
    <w:rsid w:val="00484F9D"/>
    <w:rsid w:val="0048501B"/>
    <w:rsid w:val="004855D5"/>
    <w:rsid w:val="004857B4"/>
    <w:rsid w:val="00485A6A"/>
    <w:rsid w:val="00485B2B"/>
    <w:rsid w:val="00485CC3"/>
    <w:rsid w:val="00485CC7"/>
    <w:rsid w:val="00485D7F"/>
    <w:rsid w:val="00485DC8"/>
    <w:rsid w:val="00485E0C"/>
    <w:rsid w:val="004860A4"/>
    <w:rsid w:val="0048618E"/>
    <w:rsid w:val="0048624E"/>
    <w:rsid w:val="0048654D"/>
    <w:rsid w:val="00486688"/>
    <w:rsid w:val="004867AB"/>
    <w:rsid w:val="004868E2"/>
    <w:rsid w:val="0048696A"/>
    <w:rsid w:val="00486986"/>
    <w:rsid w:val="00486989"/>
    <w:rsid w:val="00486B7B"/>
    <w:rsid w:val="00486C7A"/>
    <w:rsid w:val="00486C7B"/>
    <w:rsid w:val="00486C9D"/>
    <w:rsid w:val="00486D4F"/>
    <w:rsid w:val="0048715E"/>
    <w:rsid w:val="00487176"/>
    <w:rsid w:val="004871A6"/>
    <w:rsid w:val="004872BF"/>
    <w:rsid w:val="0048732C"/>
    <w:rsid w:val="0048747C"/>
    <w:rsid w:val="004874B5"/>
    <w:rsid w:val="004876B1"/>
    <w:rsid w:val="0048774A"/>
    <w:rsid w:val="004878FD"/>
    <w:rsid w:val="00487B31"/>
    <w:rsid w:val="00487BF0"/>
    <w:rsid w:val="00487CEF"/>
    <w:rsid w:val="00487DF9"/>
    <w:rsid w:val="00487EA0"/>
    <w:rsid w:val="004900E5"/>
    <w:rsid w:val="004900F0"/>
    <w:rsid w:val="0049023E"/>
    <w:rsid w:val="0049056C"/>
    <w:rsid w:val="004905F7"/>
    <w:rsid w:val="00490614"/>
    <w:rsid w:val="00490709"/>
    <w:rsid w:val="0049073F"/>
    <w:rsid w:val="00490750"/>
    <w:rsid w:val="00490831"/>
    <w:rsid w:val="004909BB"/>
    <w:rsid w:val="00490A41"/>
    <w:rsid w:val="00490B18"/>
    <w:rsid w:val="00490DBF"/>
    <w:rsid w:val="00490DEF"/>
    <w:rsid w:val="00490EE1"/>
    <w:rsid w:val="0049103B"/>
    <w:rsid w:val="004911D4"/>
    <w:rsid w:val="00491547"/>
    <w:rsid w:val="004915C5"/>
    <w:rsid w:val="0049171E"/>
    <w:rsid w:val="004917DD"/>
    <w:rsid w:val="004917ED"/>
    <w:rsid w:val="0049188B"/>
    <w:rsid w:val="004918DF"/>
    <w:rsid w:val="00491A9B"/>
    <w:rsid w:val="00491AB6"/>
    <w:rsid w:val="00491B41"/>
    <w:rsid w:val="00491BD6"/>
    <w:rsid w:val="00491CA9"/>
    <w:rsid w:val="00491E77"/>
    <w:rsid w:val="00491E93"/>
    <w:rsid w:val="00491EAB"/>
    <w:rsid w:val="00491F91"/>
    <w:rsid w:val="0049203C"/>
    <w:rsid w:val="004921BD"/>
    <w:rsid w:val="00492212"/>
    <w:rsid w:val="00492377"/>
    <w:rsid w:val="00492414"/>
    <w:rsid w:val="004924CE"/>
    <w:rsid w:val="0049276E"/>
    <w:rsid w:val="00492795"/>
    <w:rsid w:val="0049282F"/>
    <w:rsid w:val="00492907"/>
    <w:rsid w:val="00492977"/>
    <w:rsid w:val="00492A1A"/>
    <w:rsid w:val="00492B4B"/>
    <w:rsid w:val="00492C28"/>
    <w:rsid w:val="00492E67"/>
    <w:rsid w:val="00492FF8"/>
    <w:rsid w:val="0049308E"/>
    <w:rsid w:val="004930F0"/>
    <w:rsid w:val="004931E5"/>
    <w:rsid w:val="004934F4"/>
    <w:rsid w:val="004936A4"/>
    <w:rsid w:val="00493706"/>
    <w:rsid w:val="0049386A"/>
    <w:rsid w:val="00493CA1"/>
    <w:rsid w:val="00493E18"/>
    <w:rsid w:val="00493E98"/>
    <w:rsid w:val="00493EAF"/>
    <w:rsid w:val="00493F9D"/>
    <w:rsid w:val="00494018"/>
    <w:rsid w:val="00494044"/>
    <w:rsid w:val="004940A0"/>
    <w:rsid w:val="004941DB"/>
    <w:rsid w:val="00494269"/>
    <w:rsid w:val="004942A8"/>
    <w:rsid w:val="004942CB"/>
    <w:rsid w:val="004943F2"/>
    <w:rsid w:val="004944BF"/>
    <w:rsid w:val="004946F7"/>
    <w:rsid w:val="0049486B"/>
    <w:rsid w:val="00494976"/>
    <w:rsid w:val="00494AD3"/>
    <w:rsid w:val="00494C8A"/>
    <w:rsid w:val="00494F22"/>
    <w:rsid w:val="004951EE"/>
    <w:rsid w:val="004952D0"/>
    <w:rsid w:val="004954EE"/>
    <w:rsid w:val="00495596"/>
    <w:rsid w:val="004955B9"/>
    <w:rsid w:val="0049566C"/>
    <w:rsid w:val="00495710"/>
    <w:rsid w:val="004958E9"/>
    <w:rsid w:val="00495AB8"/>
    <w:rsid w:val="00495AC4"/>
    <w:rsid w:val="00495C66"/>
    <w:rsid w:val="00495C8E"/>
    <w:rsid w:val="00495DA5"/>
    <w:rsid w:val="00495FA9"/>
    <w:rsid w:val="00495FD0"/>
    <w:rsid w:val="004960CE"/>
    <w:rsid w:val="004960E4"/>
    <w:rsid w:val="00496176"/>
    <w:rsid w:val="0049621A"/>
    <w:rsid w:val="00496340"/>
    <w:rsid w:val="0049687C"/>
    <w:rsid w:val="00496914"/>
    <w:rsid w:val="00496AD6"/>
    <w:rsid w:val="00496C51"/>
    <w:rsid w:val="00496C55"/>
    <w:rsid w:val="00496C69"/>
    <w:rsid w:val="00496C8C"/>
    <w:rsid w:val="00496D77"/>
    <w:rsid w:val="00496D9E"/>
    <w:rsid w:val="00496E7D"/>
    <w:rsid w:val="004970C9"/>
    <w:rsid w:val="0049715A"/>
    <w:rsid w:val="004972AE"/>
    <w:rsid w:val="0049749A"/>
    <w:rsid w:val="00497955"/>
    <w:rsid w:val="00497B3D"/>
    <w:rsid w:val="00497CE0"/>
    <w:rsid w:val="00497D1C"/>
    <w:rsid w:val="00497EDC"/>
    <w:rsid w:val="004A00B2"/>
    <w:rsid w:val="004A01B3"/>
    <w:rsid w:val="004A02E5"/>
    <w:rsid w:val="004A0579"/>
    <w:rsid w:val="004A0769"/>
    <w:rsid w:val="004A07A6"/>
    <w:rsid w:val="004A080E"/>
    <w:rsid w:val="004A0A13"/>
    <w:rsid w:val="004A0D3B"/>
    <w:rsid w:val="004A0E51"/>
    <w:rsid w:val="004A0E8F"/>
    <w:rsid w:val="004A1060"/>
    <w:rsid w:val="004A1157"/>
    <w:rsid w:val="004A1193"/>
    <w:rsid w:val="004A12C5"/>
    <w:rsid w:val="004A1398"/>
    <w:rsid w:val="004A1410"/>
    <w:rsid w:val="004A153D"/>
    <w:rsid w:val="004A15C0"/>
    <w:rsid w:val="004A161A"/>
    <w:rsid w:val="004A169B"/>
    <w:rsid w:val="004A1703"/>
    <w:rsid w:val="004A1726"/>
    <w:rsid w:val="004A1745"/>
    <w:rsid w:val="004A1969"/>
    <w:rsid w:val="004A1999"/>
    <w:rsid w:val="004A1A3A"/>
    <w:rsid w:val="004A1AFE"/>
    <w:rsid w:val="004A1B70"/>
    <w:rsid w:val="004A1BB5"/>
    <w:rsid w:val="004A1C94"/>
    <w:rsid w:val="004A1E6E"/>
    <w:rsid w:val="004A1F5D"/>
    <w:rsid w:val="004A2022"/>
    <w:rsid w:val="004A20A4"/>
    <w:rsid w:val="004A219D"/>
    <w:rsid w:val="004A21E9"/>
    <w:rsid w:val="004A21FA"/>
    <w:rsid w:val="004A2238"/>
    <w:rsid w:val="004A22D5"/>
    <w:rsid w:val="004A253D"/>
    <w:rsid w:val="004A2571"/>
    <w:rsid w:val="004A258F"/>
    <w:rsid w:val="004A25D7"/>
    <w:rsid w:val="004A2823"/>
    <w:rsid w:val="004A28C2"/>
    <w:rsid w:val="004A2BAD"/>
    <w:rsid w:val="004A2D55"/>
    <w:rsid w:val="004A2F23"/>
    <w:rsid w:val="004A3174"/>
    <w:rsid w:val="004A3253"/>
    <w:rsid w:val="004A32C0"/>
    <w:rsid w:val="004A333F"/>
    <w:rsid w:val="004A33C4"/>
    <w:rsid w:val="004A3566"/>
    <w:rsid w:val="004A35C4"/>
    <w:rsid w:val="004A361E"/>
    <w:rsid w:val="004A37F3"/>
    <w:rsid w:val="004A3923"/>
    <w:rsid w:val="004A3DCE"/>
    <w:rsid w:val="004A3F2C"/>
    <w:rsid w:val="004A3FB1"/>
    <w:rsid w:val="004A4219"/>
    <w:rsid w:val="004A44FB"/>
    <w:rsid w:val="004A48DF"/>
    <w:rsid w:val="004A4974"/>
    <w:rsid w:val="004A49CE"/>
    <w:rsid w:val="004A4D77"/>
    <w:rsid w:val="004A4F9C"/>
    <w:rsid w:val="004A53E8"/>
    <w:rsid w:val="004A5431"/>
    <w:rsid w:val="004A5671"/>
    <w:rsid w:val="004A5682"/>
    <w:rsid w:val="004A56C2"/>
    <w:rsid w:val="004A57A9"/>
    <w:rsid w:val="004A5966"/>
    <w:rsid w:val="004A59A3"/>
    <w:rsid w:val="004A5ABC"/>
    <w:rsid w:val="004A5F5A"/>
    <w:rsid w:val="004A5FC4"/>
    <w:rsid w:val="004A5FF5"/>
    <w:rsid w:val="004A5FFA"/>
    <w:rsid w:val="004A60D5"/>
    <w:rsid w:val="004A611F"/>
    <w:rsid w:val="004A6130"/>
    <w:rsid w:val="004A6142"/>
    <w:rsid w:val="004A61A2"/>
    <w:rsid w:val="004A62A6"/>
    <w:rsid w:val="004A6456"/>
    <w:rsid w:val="004A64A4"/>
    <w:rsid w:val="004A64ED"/>
    <w:rsid w:val="004A6546"/>
    <w:rsid w:val="004A65A0"/>
    <w:rsid w:val="004A65E2"/>
    <w:rsid w:val="004A65FC"/>
    <w:rsid w:val="004A6792"/>
    <w:rsid w:val="004A67A8"/>
    <w:rsid w:val="004A6C39"/>
    <w:rsid w:val="004A6D4E"/>
    <w:rsid w:val="004A6EB1"/>
    <w:rsid w:val="004A7172"/>
    <w:rsid w:val="004A7272"/>
    <w:rsid w:val="004A7741"/>
    <w:rsid w:val="004A7B5A"/>
    <w:rsid w:val="004A7C69"/>
    <w:rsid w:val="004A7D00"/>
    <w:rsid w:val="004A7D21"/>
    <w:rsid w:val="004A7F57"/>
    <w:rsid w:val="004B010A"/>
    <w:rsid w:val="004B033E"/>
    <w:rsid w:val="004B03DF"/>
    <w:rsid w:val="004B0672"/>
    <w:rsid w:val="004B0810"/>
    <w:rsid w:val="004B0A06"/>
    <w:rsid w:val="004B0A97"/>
    <w:rsid w:val="004B0AB8"/>
    <w:rsid w:val="004B0B6C"/>
    <w:rsid w:val="004B0B7D"/>
    <w:rsid w:val="004B0CA6"/>
    <w:rsid w:val="004B0CCC"/>
    <w:rsid w:val="004B0E51"/>
    <w:rsid w:val="004B0FA9"/>
    <w:rsid w:val="004B124C"/>
    <w:rsid w:val="004B14E5"/>
    <w:rsid w:val="004B155B"/>
    <w:rsid w:val="004B15B5"/>
    <w:rsid w:val="004B1704"/>
    <w:rsid w:val="004B1A81"/>
    <w:rsid w:val="004B1ACB"/>
    <w:rsid w:val="004B1BDD"/>
    <w:rsid w:val="004B1CD4"/>
    <w:rsid w:val="004B1CD5"/>
    <w:rsid w:val="004B2093"/>
    <w:rsid w:val="004B264A"/>
    <w:rsid w:val="004B27A4"/>
    <w:rsid w:val="004B287D"/>
    <w:rsid w:val="004B2A3C"/>
    <w:rsid w:val="004B2B7C"/>
    <w:rsid w:val="004B2BD8"/>
    <w:rsid w:val="004B2D93"/>
    <w:rsid w:val="004B2DB9"/>
    <w:rsid w:val="004B2DC3"/>
    <w:rsid w:val="004B2F47"/>
    <w:rsid w:val="004B3027"/>
    <w:rsid w:val="004B34DA"/>
    <w:rsid w:val="004B3559"/>
    <w:rsid w:val="004B35A1"/>
    <w:rsid w:val="004B36E2"/>
    <w:rsid w:val="004B36FE"/>
    <w:rsid w:val="004B37E0"/>
    <w:rsid w:val="004B3929"/>
    <w:rsid w:val="004B394B"/>
    <w:rsid w:val="004B3A60"/>
    <w:rsid w:val="004B3E1A"/>
    <w:rsid w:val="004B3F1E"/>
    <w:rsid w:val="004B4060"/>
    <w:rsid w:val="004B4200"/>
    <w:rsid w:val="004B423B"/>
    <w:rsid w:val="004B47F3"/>
    <w:rsid w:val="004B47F8"/>
    <w:rsid w:val="004B49D9"/>
    <w:rsid w:val="004B4AAF"/>
    <w:rsid w:val="004B4BDC"/>
    <w:rsid w:val="004B4D4D"/>
    <w:rsid w:val="004B4D73"/>
    <w:rsid w:val="004B4EB1"/>
    <w:rsid w:val="004B4FBF"/>
    <w:rsid w:val="004B4FF9"/>
    <w:rsid w:val="004B5169"/>
    <w:rsid w:val="004B52CC"/>
    <w:rsid w:val="004B5332"/>
    <w:rsid w:val="004B54CA"/>
    <w:rsid w:val="004B5575"/>
    <w:rsid w:val="004B5723"/>
    <w:rsid w:val="004B582A"/>
    <w:rsid w:val="004B58F7"/>
    <w:rsid w:val="004B5909"/>
    <w:rsid w:val="004B5980"/>
    <w:rsid w:val="004B59AC"/>
    <w:rsid w:val="004B59B2"/>
    <w:rsid w:val="004B5B0C"/>
    <w:rsid w:val="004B5B54"/>
    <w:rsid w:val="004B5CF7"/>
    <w:rsid w:val="004B5DA6"/>
    <w:rsid w:val="004B5E5F"/>
    <w:rsid w:val="004B5EAD"/>
    <w:rsid w:val="004B5F96"/>
    <w:rsid w:val="004B60AB"/>
    <w:rsid w:val="004B61DD"/>
    <w:rsid w:val="004B6208"/>
    <w:rsid w:val="004B6235"/>
    <w:rsid w:val="004B6893"/>
    <w:rsid w:val="004B6A57"/>
    <w:rsid w:val="004B6A5E"/>
    <w:rsid w:val="004B6AC9"/>
    <w:rsid w:val="004B6BBF"/>
    <w:rsid w:val="004B6BF1"/>
    <w:rsid w:val="004B6CD9"/>
    <w:rsid w:val="004B6D15"/>
    <w:rsid w:val="004B6D7D"/>
    <w:rsid w:val="004B6E2B"/>
    <w:rsid w:val="004B6EB2"/>
    <w:rsid w:val="004B6EE1"/>
    <w:rsid w:val="004B6EFB"/>
    <w:rsid w:val="004B6FF3"/>
    <w:rsid w:val="004B7085"/>
    <w:rsid w:val="004B70C3"/>
    <w:rsid w:val="004B715E"/>
    <w:rsid w:val="004B71B9"/>
    <w:rsid w:val="004B71DD"/>
    <w:rsid w:val="004B77BB"/>
    <w:rsid w:val="004B7819"/>
    <w:rsid w:val="004B78F5"/>
    <w:rsid w:val="004B791E"/>
    <w:rsid w:val="004B7948"/>
    <w:rsid w:val="004B7997"/>
    <w:rsid w:val="004B7ABC"/>
    <w:rsid w:val="004B7C4E"/>
    <w:rsid w:val="004B7E9B"/>
    <w:rsid w:val="004B7F43"/>
    <w:rsid w:val="004C0136"/>
    <w:rsid w:val="004C01A6"/>
    <w:rsid w:val="004C02AC"/>
    <w:rsid w:val="004C02CB"/>
    <w:rsid w:val="004C02EF"/>
    <w:rsid w:val="004C03C5"/>
    <w:rsid w:val="004C0490"/>
    <w:rsid w:val="004C056D"/>
    <w:rsid w:val="004C05FD"/>
    <w:rsid w:val="004C0A66"/>
    <w:rsid w:val="004C0C3E"/>
    <w:rsid w:val="004C0D3C"/>
    <w:rsid w:val="004C0F42"/>
    <w:rsid w:val="004C1098"/>
    <w:rsid w:val="004C122D"/>
    <w:rsid w:val="004C1326"/>
    <w:rsid w:val="004C137F"/>
    <w:rsid w:val="004C15D7"/>
    <w:rsid w:val="004C15DD"/>
    <w:rsid w:val="004C1663"/>
    <w:rsid w:val="004C1714"/>
    <w:rsid w:val="004C178C"/>
    <w:rsid w:val="004C1847"/>
    <w:rsid w:val="004C18EA"/>
    <w:rsid w:val="004C190B"/>
    <w:rsid w:val="004C1BC1"/>
    <w:rsid w:val="004C1D28"/>
    <w:rsid w:val="004C1EE1"/>
    <w:rsid w:val="004C1F98"/>
    <w:rsid w:val="004C22D2"/>
    <w:rsid w:val="004C24F8"/>
    <w:rsid w:val="004C2688"/>
    <w:rsid w:val="004C2825"/>
    <w:rsid w:val="004C285C"/>
    <w:rsid w:val="004C2A5B"/>
    <w:rsid w:val="004C2B08"/>
    <w:rsid w:val="004C2BE7"/>
    <w:rsid w:val="004C2C94"/>
    <w:rsid w:val="004C2D09"/>
    <w:rsid w:val="004C2DB2"/>
    <w:rsid w:val="004C2E0B"/>
    <w:rsid w:val="004C2F38"/>
    <w:rsid w:val="004C2F90"/>
    <w:rsid w:val="004C3087"/>
    <w:rsid w:val="004C310C"/>
    <w:rsid w:val="004C311F"/>
    <w:rsid w:val="004C31C8"/>
    <w:rsid w:val="004C32A8"/>
    <w:rsid w:val="004C34DC"/>
    <w:rsid w:val="004C3509"/>
    <w:rsid w:val="004C38C5"/>
    <w:rsid w:val="004C399F"/>
    <w:rsid w:val="004C3A79"/>
    <w:rsid w:val="004C3C30"/>
    <w:rsid w:val="004C3CB9"/>
    <w:rsid w:val="004C3DBB"/>
    <w:rsid w:val="004C3DDF"/>
    <w:rsid w:val="004C3F99"/>
    <w:rsid w:val="004C416F"/>
    <w:rsid w:val="004C431B"/>
    <w:rsid w:val="004C4326"/>
    <w:rsid w:val="004C4539"/>
    <w:rsid w:val="004C4564"/>
    <w:rsid w:val="004C459E"/>
    <w:rsid w:val="004C4681"/>
    <w:rsid w:val="004C480F"/>
    <w:rsid w:val="004C49F8"/>
    <w:rsid w:val="004C4A8B"/>
    <w:rsid w:val="004C4B33"/>
    <w:rsid w:val="004C4B8D"/>
    <w:rsid w:val="004C4B8E"/>
    <w:rsid w:val="004C4D2E"/>
    <w:rsid w:val="004C4DB1"/>
    <w:rsid w:val="004C4E1D"/>
    <w:rsid w:val="004C4E81"/>
    <w:rsid w:val="004C4FB2"/>
    <w:rsid w:val="004C5023"/>
    <w:rsid w:val="004C5275"/>
    <w:rsid w:val="004C52CD"/>
    <w:rsid w:val="004C5306"/>
    <w:rsid w:val="004C533F"/>
    <w:rsid w:val="004C5380"/>
    <w:rsid w:val="004C5416"/>
    <w:rsid w:val="004C546C"/>
    <w:rsid w:val="004C55B5"/>
    <w:rsid w:val="004C56EF"/>
    <w:rsid w:val="004C56FB"/>
    <w:rsid w:val="004C5769"/>
    <w:rsid w:val="004C5BB6"/>
    <w:rsid w:val="004C5C73"/>
    <w:rsid w:val="004C5CA5"/>
    <w:rsid w:val="004C5CE0"/>
    <w:rsid w:val="004C5D8D"/>
    <w:rsid w:val="004C5DC9"/>
    <w:rsid w:val="004C5E44"/>
    <w:rsid w:val="004C5F25"/>
    <w:rsid w:val="004C62DF"/>
    <w:rsid w:val="004C63EA"/>
    <w:rsid w:val="004C641C"/>
    <w:rsid w:val="004C645E"/>
    <w:rsid w:val="004C6476"/>
    <w:rsid w:val="004C6542"/>
    <w:rsid w:val="004C66CC"/>
    <w:rsid w:val="004C691B"/>
    <w:rsid w:val="004C6C60"/>
    <w:rsid w:val="004C6DF9"/>
    <w:rsid w:val="004C6F6E"/>
    <w:rsid w:val="004C7077"/>
    <w:rsid w:val="004C70A0"/>
    <w:rsid w:val="004C714D"/>
    <w:rsid w:val="004C7340"/>
    <w:rsid w:val="004C7767"/>
    <w:rsid w:val="004C78B5"/>
    <w:rsid w:val="004C7A72"/>
    <w:rsid w:val="004C7AF3"/>
    <w:rsid w:val="004C7B82"/>
    <w:rsid w:val="004C7BF5"/>
    <w:rsid w:val="004C7CD5"/>
    <w:rsid w:val="004C7FF9"/>
    <w:rsid w:val="004D0203"/>
    <w:rsid w:val="004D02A5"/>
    <w:rsid w:val="004D0396"/>
    <w:rsid w:val="004D03AB"/>
    <w:rsid w:val="004D0406"/>
    <w:rsid w:val="004D047D"/>
    <w:rsid w:val="004D06FA"/>
    <w:rsid w:val="004D0916"/>
    <w:rsid w:val="004D09A0"/>
    <w:rsid w:val="004D0A13"/>
    <w:rsid w:val="004D0B07"/>
    <w:rsid w:val="004D0D8A"/>
    <w:rsid w:val="004D0FF8"/>
    <w:rsid w:val="004D11D4"/>
    <w:rsid w:val="004D13C2"/>
    <w:rsid w:val="004D144C"/>
    <w:rsid w:val="004D158C"/>
    <w:rsid w:val="004D168A"/>
    <w:rsid w:val="004D1765"/>
    <w:rsid w:val="004D1795"/>
    <w:rsid w:val="004D1D9F"/>
    <w:rsid w:val="004D1F40"/>
    <w:rsid w:val="004D1FED"/>
    <w:rsid w:val="004D2187"/>
    <w:rsid w:val="004D21CF"/>
    <w:rsid w:val="004D2286"/>
    <w:rsid w:val="004D23C3"/>
    <w:rsid w:val="004D23F6"/>
    <w:rsid w:val="004D25B4"/>
    <w:rsid w:val="004D25CF"/>
    <w:rsid w:val="004D25FA"/>
    <w:rsid w:val="004D2629"/>
    <w:rsid w:val="004D26AD"/>
    <w:rsid w:val="004D28DA"/>
    <w:rsid w:val="004D29DE"/>
    <w:rsid w:val="004D2E84"/>
    <w:rsid w:val="004D2F94"/>
    <w:rsid w:val="004D2F9D"/>
    <w:rsid w:val="004D30C0"/>
    <w:rsid w:val="004D325C"/>
    <w:rsid w:val="004D3407"/>
    <w:rsid w:val="004D3741"/>
    <w:rsid w:val="004D3769"/>
    <w:rsid w:val="004D377B"/>
    <w:rsid w:val="004D3838"/>
    <w:rsid w:val="004D3858"/>
    <w:rsid w:val="004D38C4"/>
    <w:rsid w:val="004D395C"/>
    <w:rsid w:val="004D398C"/>
    <w:rsid w:val="004D3E00"/>
    <w:rsid w:val="004D3E8D"/>
    <w:rsid w:val="004D3ECB"/>
    <w:rsid w:val="004D3FDF"/>
    <w:rsid w:val="004D405C"/>
    <w:rsid w:val="004D4124"/>
    <w:rsid w:val="004D41FE"/>
    <w:rsid w:val="004D42F4"/>
    <w:rsid w:val="004D430A"/>
    <w:rsid w:val="004D44AA"/>
    <w:rsid w:val="004D468E"/>
    <w:rsid w:val="004D479E"/>
    <w:rsid w:val="004D48BB"/>
    <w:rsid w:val="004D49D7"/>
    <w:rsid w:val="004D49F3"/>
    <w:rsid w:val="004D4A18"/>
    <w:rsid w:val="004D4A60"/>
    <w:rsid w:val="004D4A6F"/>
    <w:rsid w:val="004D4AE0"/>
    <w:rsid w:val="004D4C84"/>
    <w:rsid w:val="004D517A"/>
    <w:rsid w:val="004D5697"/>
    <w:rsid w:val="004D56D6"/>
    <w:rsid w:val="004D59DE"/>
    <w:rsid w:val="004D5A20"/>
    <w:rsid w:val="004D5ADA"/>
    <w:rsid w:val="004D5B12"/>
    <w:rsid w:val="004D5BA8"/>
    <w:rsid w:val="004D5C4C"/>
    <w:rsid w:val="004D5D56"/>
    <w:rsid w:val="004D5D72"/>
    <w:rsid w:val="004D6216"/>
    <w:rsid w:val="004D635E"/>
    <w:rsid w:val="004D63F0"/>
    <w:rsid w:val="004D650B"/>
    <w:rsid w:val="004D665D"/>
    <w:rsid w:val="004D66C2"/>
    <w:rsid w:val="004D68B8"/>
    <w:rsid w:val="004D6B0E"/>
    <w:rsid w:val="004D6BB1"/>
    <w:rsid w:val="004D6C93"/>
    <w:rsid w:val="004D6CA0"/>
    <w:rsid w:val="004D6FC5"/>
    <w:rsid w:val="004D6FE2"/>
    <w:rsid w:val="004D71E9"/>
    <w:rsid w:val="004D7349"/>
    <w:rsid w:val="004D7399"/>
    <w:rsid w:val="004D73F4"/>
    <w:rsid w:val="004D740C"/>
    <w:rsid w:val="004D760B"/>
    <w:rsid w:val="004D780B"/>
    <w:rsid w:val="004D7843"/>
    <w:rsid w:val="004D795A"/>
    <w:rsid w:val="004D7BE7"/>
    <w:rsid w:val="004D7D97"/>
    <w:rsid w:val="004D7E47"/>
    <w:rsid w:val="004D7F6F"/>
    <w:rsid w:val="004E01DF"/>
    <w:rsid w:val="004E0228"/>
    <w:rsid w:val="004E08CA"/>
    <w:rsid w:val="004E0B4D"/>
    <w:rsid w:val="004E0B8E"/>
    <w:rsid w:val="004E0E65"/>
    <w:rsid w:val="004E0E90"/>
    <w:rsid w:val="004E0FE0"/>
    <w:rsid w:val="004E102F"/>
    <w:rsid w:val="004E103D"/>
    <w:rsid w:val="004E1195"/>
    <w:rsid w:val="004E11CD"/>
    <w:rsid w:val="004E14EB"/>
    <w:rsid w:val="004E172F"/>
    <w:rsid w:val="004E17C0"/>
    <w:rsid w:val="004E1812"/>
    <w:rsid w:val="004E1898"/>
    <w:rsid w:val="004E1AE6"/>
    <w:rsid w:val="004E1CBD"/>
    <w:rsid w:val="004E1F54"/>
    <w:rsid w:val="004E1F9E"/>
    <w:rsid w:val="004E1FB0"/>
    <w:rsid w:val="004E2118"/>
    <w:rsid w:val="004E2278"/>
    <w:rsid w:val="004E23ED"/>
    <w:rsid w:val="004E2408"/>
    <w:rsid w:val="004E2460"/>
    <w:rsid w:val="004E25B0"/>
    <w:rsid w:val="004E25DB"/>
    <w:rsid w:val="004E2631"/>
    <w:rsid w:val="004E283E"/>
    <w:rsid w:val="004E2862"/>
    <w:rsid w:val="004E2A65"/>
    <w:rsid w:val="004E2A98"/>
    <w:rsid w:val="004E2B3A"/>
    <w:rsid w:val="004E2C2F"/>
    <w:rsid w:val="004E2C70"/>
    <w:rsid w:val="004E2E38"/>
    <w:rsid w:val="004E2E45"/>
    <w:rsid w:val="004E2F3B"/>
    <w:rsid w:val="004E2F4A"/>
    <w:rsid w:val="004E329D"/>
    <w:rsid w:val="004E3380"/>
    <w:rsid w:val="004E373E"/>
    <w:rsid w:val="004E3746"/>
    <w:rsid w:val="004E3965"/>
    <w:rsid w:val="004E396E"/>
    <w:rsid w:val="004E3B03"/>
    <w:rsid w:val="004E3B34"/>
    <w:rsid w:val="004E3BEE"/>
    <w:rsid w:val="004E3C3A"/>
    <w:rsid w:val="004E3DCC"/>
    <w:rsid w:val="004E3E98"/>
    <w:rsid w:val="004E3F28"/>
    <w:rsid w:val="004E3F8D"/>
    <w:rsid w:val="004E3FB7"/>
    <w:rsid w:val="004E4106"/>
    <w:rsid w:val="004E41B6"/>
    <w:rsid w:val="004E42DF"/>
    <w:rsid w:val="004E4459"/>
    <w:rsid w:val="004E46E5"/>
    <w:rsid w:val="004E46EF"/>
    <w:rsid w:val="004E4831"/>
    <w:rsid w:val="004E4865"/>
    <w:rsid w:val="004E4A3E"/>
    <w:rsid w:val="004E4B40"/>
    <w:rsid w:val="004E4D36"/>
    <w:rsid w:val="004E4E42"/>
    <w:rsid w:val="004E51FC"/>
    <w:rsid w:val="004E5497"/>
    <w:rsid w:val="004E550C"/>
    <w:rsid w:val="004E5564"/>
    <w:rsid w:val="004E55C7"/>
    <w:rsid w:val="004E5C8D"/>
    <w:rsid w:val="004E5CBD"/>
    <w:rsid w:val="004E5D49"/>
    <w:rsid w:val="004E5D9B"/>
    <w:rsid w:val="004E5ECD"/>
    <w:rsid w:val="004E615C"/>
    <w:rsid w:val="004E6242"/>
    <w:rsid w:val="004E63B9"/>
    <w:rsid w:val="004E65E8"/>
    <w:rsid w:val="004E65F3"/>
    <w:rsid w:val="004E660B"/>
    <w:rsid w:val="004E6751"/>
    <w:rsid w:val="004E6896"/>
    <w:rsid w:val="004E68F7"/>
    <w:rsid w:val="004E6963"/>
    <w:rsid w:val="004E6B1A"/>
    <w:rsid w:val="004E6BBC"/>
    <w:rsid w:val="004E6BE8"/>
    <w:rsid w:val="004E6D35"/>
    <w:rsid w:val="004E6D6D"/>
    <w:rsid w:val="004E6DC9"/>
    <w:rsid w:val="004E7194"/>
    <w:rsid w:val="004E7573"/>
    <w:rsid w:val="004E76D4"/>
    <w:rsid w:val="004E7AFF"/>
    <w:rsid w:val="004E7CDA"/>
    <w:rsid w:val="004E7D72"/>
    <w:rsid w:val="004E7EF8"/>
    <w:rsid w:val="004E7F5A"/>
    <w:rsid w:val="004E7FF8"/>
    <w:rsid w:val="004F01C5"/>
    <w:rsid w:val="004F025C"/>
    <w:rsid w:val="004F02B9"/>
    <w:rsid w:val="004F0334"/>
    <w:rsid w:val="004F068F"/>
    <w:rsid w:val="004F070E"/>
    <w:rsid w:val="004F08FE"/>
    <w:rsid w:val="004F0935"/>
    <w:rsid w:val="004F0D17"/>
    <w:rsid w:val="004F0D75"/>
    <w:rsid w:val="004F10D4"/>
    <w:rsid w:val="004F1638"/>
    <w:rsid w:val="004F18CB"/>
    <w:rsid w:val="004F1B49"/>
    <w:rsid w:val="004F1E38"/>
    <w:rsid w:val="004F1FB7"/>
    <w:rsid w:val="004F2064"/>
    <w:rsid w:val="004F209A"/>
    <w:rsid w:val="004F2120"/>
    <w:rsid w:val="004F2177"/>
    <w:rsid w:val="004F21FD"/>
    <w:rsid w:val="004F2230"/>
    <w:rsid w:val="004F22CF"/>
    <w:rsid w:val="004F2339"/>
    <w:rsid w:val="004F23B0"/>
    <w:rsid w:val="004F2659"/>
    <w:rsid w:val="004F26A4"/>
    <w:rsid w:val="004F27E7"/>
    <w:rsid w:val="004F27F7"/>
    <w:rsid w:val="004F2819"/>
    <w:rsid w:val="004F282B"/>
    <w:rsid w:val="004F2CAA"/>
    <w:rsid w:val="004F2E0A"/>
    <w:rsid w:val="004F2EAA"/>
    <w:rsid w:val="004F2FD0"/>
    <w:rsid w:val="004F3068"/>
    <w:rsid w:val="004F30DC"/>
    <w:rsid w:val="004F32A2"/>
    <w:rsid w:val="004F3390"/>
    <w:rsid w:val="004F348E"/>
    <w:rsid w:val="004F3515"/>
    <w:rsid w:val="004F36C1"/>
    <w:rsid w:val="004F370E"/>
    <w:rsid w:val="004F3A9A"/>
    <w:rsid w:val="004F3B25"/>
    <w:rsid w:val="004F3B8B"/>
    <w:rsid w:val="004F3C11"/>
    <w:rsid w:val="004F3C76"/>
    <w:rsid w:val="004F3C81"/>
    <w:rsid w:val="004F3D33"/>
    <w:rsid w:val="004F436F"/>
    <w:rsid w:val="004F4395"/>
    <w:rsid w:val="004F445E"/>
    <w:rsid w:val="004F446C"/>
    <w:rsid w:val="004F448E"/>
    <w:rsid w:val="004F45DD"/>
    <w:rsid w:val="004F470F"/>
    <w:rsid w:val="004F47D5"/>
    <w:rsid w:val="004F4862"/>
    <w:rsid w:val="004F4988"/>
    <w:rsid w:val="004F499E"/>
    <w:rsid w:val="004F4BA3"/>
    <w:rsid w:val="004F4BED"/>
    <w:rsid w:val="004F4EA7"/>
    <w:rsid w:val="004F50DA"/>
    <w:rsid w:val="004F510E"/>
    <w:rsid w:val="004F5248"/>
    <w:rsid w:val="004F547C"/>
    <w:rsid w:val="004F566C"/>
    <w:rsid w:val="004F5825"/>
    <w:rsid w:val="004F5A56"/>
    <w:rsid w:val="004F5A5E"/>
    <w:rsid w:val="004F5A88"/>
    <w:rsid w:val="004F5BED"/>
    <w:rsid w:val="004F5C9D"/>
    <w:rsid w:val="004F5D49"/>
    <w:rsid w:val="004F5D8C"/>
    <w:rsid w:val="004F5E1A"/>
    <w:rsid w:val="004F5F70"/>
    <w:rsid w:val="004F5F76"/>
    <w:rsid w:val="004F60A0"/>
    <w:rsid w:val="004F6108"/>
    <w:rsid w:val="004F6159"/>
    <w:rsid w:val="004F61A9"/>
    <w:rsid w:val="004F6218"/>
    <w:rsid w:val="004F6318"/>
    <w:rsid w:val="004F6452"/>
    <w:rsid w:val="004F6688"/>
    <w:rsid w:val="004F66ED"/>
    <w:rsid w:val="004F67D0"/>
    <w:rsid w:val="004F687D"/>
    <w:rsid w:val="004F68EF"/>
    <w:rsid w:val="004F6B2A"/>
    <w:rsid w:val="004F6C10"/>
    <w:rsid w:val="004F6D54"/>
    <w:rsid w:val="004F6D8D"/>
    <w:rsid w:val="004F6FDE"/>
    <w:rsid w:val="004F708E"/>
    <w:rsid w:val="004F71EC"/>
    <w:rsid w:val="004F729A"/>
    <w:rsid w:val="004F73C2"/>
    <w:rsid w:val="004F7570"/>
    <w:rsid w:val="004F7787"/>
    <w:rsid w:val="004F793B"/>
    <w:rsid w:val="004F7A1C"/>
    <w:rsid w:val="004F7AE1"/>
    <w:rsid w:val="004F7B15"/>
    <w:rsid w:val="004F7BC7"/>
    <w:rsid w:val="004F7D3E"/>
    <w:rsid w:val="004F7EAC"/>
    <w:rsid w:val="004F7FD3"/>
    <w:rsid w:val="004F7FE6"/>
    <w:rsid w:val="00500241"/>
    <w:rsid w:val="0050024C"/>
    <w:rsid w:val="005002FA"/>
    <w:rsid w:val="005003AC"/>
    <w:rsid w:val="005004C4"/>
    <w:rsid w:val="00500907"/>
    <w:rsid w:val="00500968"/>
    <w:rsid w:val="00500ABF"/>
    <w:rsid w:val="00500BC5"/>
    <w:rsid w:val="00500D0F"/>
    <w:rsid w:val="00500E3A"/>
    <w:rsid w:val="00500E65"/>
    <w:rsid w:val="00500EB0"/>
    <w:rsid w:val="00501092"/>
    <w:rsid w:val="00501185"/>
    <w:rsid w:val="005013F2"/>
    <w:rsid w:val="00501480"/>
    <w:rsid w:val="00501683"/>
    <w:rsid w:val="00501744"/>
    <w:rsid w:val="0050175A"/>
    <w:rsid w:val="0050176D"/>
    <w:rsid w:val="00501833"/>
    <w:rsid w:val="00501893"/>
    <w:rsid w:val="0050189C"/>
    <w:rsid w:val="005018B4"/>
    <w:rsid w:val="00501A6C"/>
    <w:rsid w:val="00501BBF"/>
    <w:rsid w:val="00501BF6"/>
    <w:rsid w:val="00501C90"/>
    <w:rsid w:val="00501F15"/>
    <w:rsid w:val="00501FDB"/>
    <w:rsid w:val="00502166"/>
    <w:rsid w:val="00502383"/>
    <w:rsid w:val="0050238A"/>
    <w:rsid w:val="0050242F"/>
    <w:rsid w:val="005025C9"/>
    <w:rsid w:val="005026C5"/>
    <w:rsid w:val="00502724"/>
    <w:rsid w:val="00502C52"/>
    <w:rsid w:val="00502D3A"/>
    <w:rsid w:val="00503102"/>
    <w:rsid w:val="00503344"/>
    <w:rsid w:val="00503579"/>
    <w:rsid w:val="00503644"/>
    <w:rsid w:val="0050365A"/>
    <w:rsid w:val="00503A23"/>
    <w:rsid w:val="00503D85"/>
    <w:rsid w:val="00503DA9"/>
    <w:rsid w:val="00503DD6"/>
    <w:rsid w:val="00504021"/>
    <w:rsid w:val="0050422A"/>
    <w:rsid w:val="00504249"/>
    <w:rsid w:val="00504714"/>
    <w:rsid w:val="00504997"/>
    <w:rsid w:val="00504B4F"/>
    <w:rsid w:val="00504BF7"/>
    <w:rsid w:val="00504EDA"/>
    <w:rsid w:val="00504F7E"/>
    <w:rsid w:val="00504FF8"/>
    <w:rsid w:val="00505119"/>
    <w:rsid w:val="0050515D"/>
    <w:rsid w:val="00505200"/>
    <w:rsid w:val="00505233"/>
    <w:rsid w:val="005052E2"/>
    <w:rsid w:val="0050536C"/>
    <w:rsid w:val="005053B9"/>
    <w:rsid w:val="00505715"/>
    <w:rsid w:val="005057E6"/>
    <w:rsid w:val="00505828"/>
    <w:rsid w:val="00505840"/>
    <w:rsid w:val="005058C9"/>
    <w:rsid w:val="005059A2"/>
    <w:rsid w:val="00505AB0"/>
    <w:rsid w:val="00505AF5"/>
    <w:rsid w:val="00505C90"/>
    <w:rsid w:val="00506039"/>
    <w:rsid w:val="00506194"/>
    <w:rsid w:val="0050650B"/>
    <w:rsid w:val="00506512"/>
    <w:rsid w:val="00506800"/>
    <w:rsid w:val="0050687E"/>
    <w:rsid w:val="00506AD4"/>
    <w:rsid w:val="00506C9B"/>
    <w:rsid w:val="00506F35"/>
    <w:rsid w:val="005070A8"/>
    <w:rsid w:val="0050712A"/>
    <w:rsid w:val="0050726A"/>
    <w:rsid w:val="00507293"/>
    <w:rsid w:val="005075C2"/>
    <w:rsid w:val="005076C3"/>
    <w:rsid w:val="00507889"/>
    <w:rsid w:val="00507A88"/>
    <w:rsid w:val="00507BB6"/>
    <w:rsid w:val="00507D07"/>
    <w:rsid w:val="00507DB4"/>
    <w:rsid w:val="00507F83"/>
    <w:rsid w:val="00507F9F"/>
    <w:rsid w:val="0051004B"/>
    <w:rsid w:val="0051004D"/>
    <w:rsid w:val="0051013A"/>
    <w:rsid w:val="00510309"/>
    <w:rsid w:val="005103DA"/>
    <w:rsid w:val="0051055E"/>
    <w:rsid w:val="0051075C"/>
    <w:rsid w:val="0051080D"/>
    <w:rsid w:val="00510856"/>
    <w:rsid w:val="00510916"/>
    <w:rsid w:val="00510BDF"/>
    <w:rsid w:val="00510BF1"/>
    <w:rsid w:val="00510CBE"/>
    <w:rsid w:val="00510D05"/>
    <w:rsid w:val="00510E5A"/>
    <w:rsid w:val="00511033"/>
    <w:rsid w:val="0051110C"/>
    <w:rsid w:val="005111AA"/>
    <w:rsid w:val="005112A3"/>
    <w:rsid w:val="005112BE"/>
    <w:rsid w:val="0051136D"/>
    <w:rsid w:val="00511413"/>
    <w:rsid w:val="005115D1"/>
    <w:rsid w:val="00511683"/>
    <w:rsid w:val="00511766"/>
    <w:rsid w:val="00511B7F"/>
    <w:rsid w:val="00511B90"/>
    <w:rsid w:val="00511BBC"/>
    <w:rsid w:val="00511CA1"/>
    <w:rsid w:val="00511EAC"/>
    <w:rsid w:val="0051237D"/>
    <w:rsid w:val="005123B1"/>
    <w:rsid w:val="00512454"/>
    <w:rsid w:val="005125A9"/>
    <w:rsid w:val="00512676"/>
    <w:rsid w:val="005126CC"/>
    <w:rsid w:val="005126D3"/>
    <w:rsid w:val="00512747"/>
    <w:rsid w:val="0051298F"/>
    <w:rsid w:val="00512A81"/>
    <w:rsid w:val="00512D00"/>
    <w:rsid w:val="00512D40"/>
    <w:rsid w:val="00512E96"/>
    <w:rsid w:val="00512EC3"/>
    <w:rsid w:val="00512F4A"/>
    <w:rsid w:val="00513098"/>
    <w:rsid w:val="0051311F"/>
    <w:rsid w:val="005131F3"/>
    <w:rsid w:val="0051324B"/>
    <w:rsid w:val="0051327B"/>
    <w:rsid w:val="005134EF"/>
    <w:rsid w:val="00513504"/>
    <w:rsid w:val="00513760"/>
    <w:rsid w:val="00513C3D"/>
    <w:rsid w:val="00513C88"/>
    <w:rsid w:val="00513C90"/>
    <w:rsid w:val="00513E63"/>
    <w:rsid w:val="00513F14"/>
    <w:rsid w:val="00513FBA"/>
    <w:rsid w:val="00514264"/>
    <w:rsid w:val="005144EB"/>
    <w:rsid w:val="00514565"/>
    <w:rsid w:val="005145CC"/>
    <w:rsid w:val="005148C8"/>
    <w:rsid w:val="005149F1"/>
    <w:rsid w:val="00514AB1"/>
    <w:rsid w:val="00514AC9"/>
    <w:rsid w:val="00514C53"/>
    <w:rsid w:val="00514ED1"/>
    <w:rsid w:val="00514F55"/>
    <w:rsid w:val="005150B5"/>
    <w:rsid w:val="005150D6"/>
    <w:rsid w:val="00515282"/>
    <w:rsid w:val="005154F4"/>
    <w:rsid w:val="00515618"/>
    <w:rsid w:val="0051567B"/>
    <w:rsid w:val="0051572A"/>
    <w:rsid w:val="005157DF"/>
    <w:rsid w:val="00515854"/>
    <w:rsid w:val="005158C1"/>
    <w:rsid w:val="005158D3"/>
    <w:rsid w:val="005159FA"/>
    <w:rsid w:val="00515B3F"/>
    <w:rsid w:val="00515BBB"/>
    <w:rsid w:val="00515D56"/>
    <w:rsid w:val="00515D66"/>
    <w:rsid w:val="00515E40"/>
    <w:rsid w:val="00515E4E"/>
    <w:rsid w:val="00515EF9"/>
    <w:rsid w:val="00516058"/>
    <w:rsid w:val="00516099"/>
    <w:rsid w:val="0051637E"/>
    <w:rsid w:val="005163A2"/>
    <w:rsid w:val="005163EB"/>
    <w:rsid w:val="0051677E"/>
    <w:rsid w:val="005167AF"/>
    <w:rsid w:val="005169B1"/>
    <w:rsid w:val="00516A04"/>
    <w:rsid w:val="00516BF2"/>
    <w:rsid w:val="00516C49"/>
    <w:rsid w:val="005170A1"/>
    <w:rsid w:val="005172B5"/>
    <w:rsid w:val="005173A0"/>
    <w:rsid w:val="005173E8"/>
    <w:rsid w:val="0051753A"/>
    <w:rsid w:val="00517555"/>
    <w:rsid w:val="00517726"/>
    <w:rsid w:val="0051774B"/>
    <w:rsid w:val="005178B2"/>
    <w:rsid w:val="0051791B"/>
    <w:rsid w:val="005179BF"/>
    <w:rsid w:val="00517A24"/>
    <w:rsid w:val="00517D58"/>
    <w:rsid w:val="00517DFF"/>
    <w:rsid w:val="00520132"/>
    <w:rsid w:val="00520545"/>
    <w:rsid w:val="005205FE"/>
    <w:rsid w:val="0052068E"/>
    <w:rsid w:val="005206C5"/>
    <w:rsid w:val="00520759"/>
    <w:rsid w:val="00520764"/>
    <w:rsid w:val="005208B9"/>
    <w:rsid w:val="005209D7"/>
    <w:rsid w:val="00520AF4"/>
    <w:rsid w:val="00520C22"/>
    <w:rsid w:val="00520D76"/>
    <w:rsid w:val="00520DD7"/>
    <w:rsid w:val="00520E3B"/>
    <w:rsid w:val="00520E45"/>
    <w:rsid w:val="00521204"/>
    <w:rsid w:val="005214DB"/>
    <w:rsid w:val="00521845"/>
    <w:rsid w:val="005218D2"/>
    <w:rsid w:val="00521957"/>
    <w:rsid w:val="00521C5A"/>
    <w:rsid w:val="00521D2E"/>
    <w:rsid w:val="00521DB4"/>
    <w:rsid w:val="00521EBC"/>
    <w:rsid w:val="00521ED6"/>
    <w:rsid w:val="00521EFC"/>
    <w:rsid w:val="00521F34"/>
    <w:rsid w:val="00521F7F"/>
    <w:rsid w:val="00522043"/>
    <w:rsid w:val="0052208A"/>
    <w:rsid w:val="00522116"/>
    <w:rsid w:val="0052285E"/>
    <w:rsid w:val="00522AA7"/>
    <w:rsid w:val="00522B69"/>
    <w:rsid w:val="00522C98"/>
    <w:rsid w:val="00522D59"/>
    <w:rsid w:val="00522DD4"/>
    <w:rsid w:val="00522E84"/>
    <w:rsid w:val="005230B4"/>
    <w:rsid w:val="0052335D"/>
    <w:rsid w:val="0052380F"/>
    <w:rsid w:val="00523B11"/>
    <w:rsid w:val="00523B82"/>
    <w:rsid w:val="00523DB3"/>
    <w:rsid w:val="00524090"/>
    <w:rsid w:val="0052409D"/>
    <w:rsid w:val="0052416B"/>
    <w:rsid w:val="005248A7"/>
    <w:rsid w:val="00524A0E"/>
    <w:rsid w:val="00524AF3"/>
    <w:rsid w:val="00524F5D"/>
    <w:rsid w:val="00524F5F"/>
    <w:rsid w:val="0052508C"/>
    <w:rsid w:val="005251D7"/>
    <w:rsid w:val="0052525E"/>
    <w:rsid w:val="00525266"/>
    <w:rsid w:val="00525286"/>
    <w:rsid w:val="00525504"/>
    <w:rsid w:val="0052551C"/>
    <w:rsid w:val="00525542"/>
    <w:rsid w:val="00525546"/>
    <w:rsid w:val="005255B3"/>
    <w:rsid w:val="0052568D"/>
    <w:rsid w:val="0052576B"/>
    <w:rsid w:val="00525835"/>
    <w:rsid w:val="00525865"/>
    <w:rsid w:val="00525A3C"/>
    <w:rsid w:val="00525BDA"/>
    <w:rsid w:val="00525D78"/>
    <w:rsid w:val="00525D9D"/>
    <w:rsid w:val="00525E4B"/>
    <w:rsid w:val="00525F9B"/>
    <w:rsid w:val="0052605A"/>
    <w:rsid w:val="0052614D"/>
    <w:rsid w:val="005262CD"/>
    <w:rsid w:val="00526375"/>
    <w:rsid w:val="00526610"/>
    <w:rsid w:val="00526683"/>
    <w:rsid w:val="00526781"/>
    <w:rsid w:val="00526832"/>
    <w:rsid w:val="00526933"/>
    <w:rsid w:val="00526A7B"/>
    <w:rsid w:val="00526B1C"/>
    <w:rsid w:val="00526CC1"/>
    <w:rsid w:val="00526DE4"/>
    <w:rsid w:val="005273C0"/>
    <w:rsid w:val="00527440"/>
    <w:rsid w:val="00527542"/>
    <w:rsid w:val="00527700"/>
    <w:rsid w:val="0052772E"/>
    <w:rsid w:val="005278AA"/>
    <w:rsid w:val="005278B9"/>
    <w:rsid w:val="005278E0"/>
    <w:rsid w:val="00527B4F"/>
    <w:rsid w:val="00527EF2"/>
    <w:rsid w:val="00527F12"/>
    <w:rsid w:val="00527FB8"/>
    <w:rsid w:val="005300BB"/>
    <w:rsid w:val="0053046E"/>
    <w:rsid w:val="005305E6"/>
    <w:rsid w:val="00530A73"/>
    <w:rsid w:val="00530DB5"/>
    <w:rsid w:val="00530E29"/>
    <w:rsid w:val="00530EE1"/>
    <w:rsid w:val="00530F2B"/>
    <w:rsid w:val="0053132E"/>
    <w:rsid w:val="00531398"/>
    <w:rsid w:val="00531501"/>
    <w:rsid w:val="005315B9"/>
    <w:rsid w:val="00531A29"/>
    <w:rsid w:val="00531A2C"/>
    <w:rsid w:val="00531A3D"/>
    <w:rsid w:val="00531B7A"/>
    <w:rsid w:val="00531CB6"/>
    <w:rsid w:val="00531F4D"/>
    <w:rsid w:val="00532077"/>
    <w:rsid w:val="005320D1"/>
    <w:rsid w:val="005322D5"/>
    <w:rsid w:val="005322E7"/>
    <w:rsid w:val="00532432"/>
    <w:rsid w:val="0053260F"/>
    <w:rsid w:val="00532713"/>
    <w:rsid w:val="00532735"/>
    <w:rsid w:val="00532768"/>
    <w:rsid w:val="00532905"/>
    <w:rsid w:val="00532C65"/>
    <w:rsid w:val="00532CB5"/>
    <w:rsid w:val="00532CD9"/>
    <w:rsid w:val="00532DE5"/>
    <w:rsid w:val="00532E5B"/>
    <w:rsid w:val="00532F3A"/>
    <w:rsid w:val="00533037"/>
    <w:rsid w:val="0053347A"/>
    <w:rsid w:val="005334A2"/>
    <w:rsid w:val="0053359C"/>
    <w:rsid w:val="005335FB"/>
    <w:rsid w:val="0053399D"/>
    <w:rsid w:val="00533A44"/>
    <w:rsid w:val="00533B85"/>
    <w:rsid w:val="00533E46"/>
    <w:rsid w:val="00533EC0"/>
    <w:rsid w:val="00533ED8"/>
    <w:rsid w:val="00533F25"/>
    <w:rsid w:val="0053408D"/>
    <w:rsid w:val="00534222"/>
    <w:rsid w:val="005342A2"/>
    <w:rsid w:val="005342B3"/>
    <w:rsid w:val="0053436B"/>
    <w:rsid w:val="005344E1"/>
    <w:rsid w:val="0053454F"/>
    <w:rsid w:val="00534977"/>
    <w:rsid w:val="00534A54"/>
    <w:rsid w:val="00534A65"/>
    <w:rsid w:val="00534D01"/>
    <w:rsid w:val="0053527C"/>
    <w:rsid w:val="00535491"/>
    <w:rsid w:val="005355CC"/>
    <w:rsid w:val="005356A7"/>
    <w:rsid w:val="005356AC"/>
    <w:rsid w:val="005356E4"/>
    <w:rsid w:val="00535738"/>
    <w:rsid w:val="00535814"/>
    <w:rsid w:val="00535915"/>
    <w:rsid w:val="00535B09"/>
    <w:rsid w:val="00535B33"/>
    <w:rsid w:val="00535B6B"/>
    <w:rsid w:val="00535BCD"/>
    <w:rsid w:val="00535BDA"/>
    <w:rsid w:val="00535CEB"/>
    <w:rsid w:val="00535D51"/>
    <w:rsid w:val="00535F18"/>
    <w:rsid w:val="00535F58"/>
    <w:rsid w:val="00535FD6"/>
    <w:rsid w:val="005361C5"/>
    <w:rsid w:val="00536375"/>
    <w:rsid w:val="005363FB"/>
    <w:rsid w:val="00536621"/>
    <w:rsid w:val="0053669C"/>
    <w:rsid w:val="00536739"/>
    <w:rsid w:val="0053675C"/>
    <w:rsid w:val="005367FD"/>
    <w:rsid w:val="00536CDB"/>
    <w:rsid w:val="00536CE7"/>
    <w:rsid w:val="00536E5F"/>
    <w:rsid w:val="00536F56"/>
    <w:rsid w:val="00536FC6"/>
    <w:rsid w:val="00536FF7"/>
    <w:rsid w:val="005370D6"/>
    <w:rsid w:val="005370EC"/>
    <w:rsid w:val="00537384"/>
    <w:rsid w:val="005374CC"/>
    <w:rsid w:val="005375BE"/>
    <w:rsid w:val="005375F6"/>
    <w:rsid w:val="0053782F"/>
    <w:rsid w:val="005378E9"/>
    <w:rsid w:val="00537931"/>
    <w:rsid w:val="005379EC"/>
    <w:rsid w:val="00537B12"/>
    <w:rsid w:val="00540073"/>
    <w:rsid w:val="00540107"/>
    <w:rsid w:val="005401D5"/>
    <w:rsid w:val="0054042B"/>
    <w:rsid w:val="00540445"/>
    <w:rsid w:val="00540558"/>
    <w:rsid w:val="005405F0"/>
    <w:rsid w:val="005406EA"/>
    <w:rsid w:val="00540823"/>
    <w:rsid w:val="005409F2"/>
    <w:rsid w:val="00540A8F"/>
    <w:rsid w:val="00540E3F"/>
    <w:rsid w:val="00541082"/>
    <w:rsid w:val="005411B8"/>
    <w:rsid w:val="005412B0"/>
    <w:rsid w:val="005413D4"/>
    <w:rsid w:val="005413E0"/>
    <w:rsid w:val="00541421"/>
    <w:rsid w:val="00541496"/>
    <w:rsid w:val="00541500"/>
    <w:rsid w:val="005416B6"/>
    <w:rsid w:val="00541706"/>
    <w:rsid w:val="00541A09"/>
    <w:rsid w:val="00541A96"/>
    <w:rsid w:val="00541AD8"/>
    <w:rsid w:val="00541CF9"/>
    <w:rsid w:val="00541E22"/>
    <w:rsid w:val="00541E53"/>
    <w:rsid w:val="00541E6D"/>
    <w:rsid w:val="005420A7"/>
    <w:rsid w:val="0054224D"/>
    <w:rsid w:val="00542626"/>
    <w:rsid w:val="005426C5"/>
    <w:rsid w:val="00542780"/>
    <w:rsid w:val="005428D8"/>
    <w:rsid w:val="00542A0C"/>
    <w:rsid w:val="00542A27"/>
    <w:rsid w:val="00542CBA"/>
    <w:rsid w:val="00542CDF"/>
    <w:rsid w:val="00542EC7"/>
    <w:rsid w:val="00543073"/>
    <w:rsid w:val="005430DE"/>
    <w:rsid w:val="005432FA"/>
    <w:rsid w:val="0054348F"/>
    <w:rsid w:val="00543508"/>
    <w:rsid w:val="0054353A"/>
    <w:rsid w:val="0054355A"/>
    <w:rsid w:val="0054364D"/>
    <w:rsid w:val="005437DC"/>
    <w:rsid w:val="0054391E"/>
    <w:rsid w:val="0054398A"/>
    <w:rsid w:val="00543A39"/>
    <w:rsid w:val="00543AB3"/>
    <w:rsid w:val="00543B03"/>
    <w:rsid w:val="00543D3B"/>
    <w:rsid w:val="00543DC3"/>
    <w:rsid w:val="00543E8C"/>
    <w:rsid w:val="00543FB8"/>
    <w:rsid w:val="0054400B"/>
    <w:rsid w:val="0054407D"/>
    <w:rsid w:val="005440D9"/>
    <w:rsid w:val="005440E2"/>
    <w:rsid w:val="00544161"/>
    <w:rsid w:val="005448B9"/>
    <w:rsid w:val="00544AD3"/>
    <w:rsid w:val="00544C70"/>
    <w:rsid w:val="00544D4B"/>
    <w:rsid w:val="00544D74"/>
    <w:rsid w:val="00544E9A"/>
    <w:rsid w:val="00544E9D"/>
    <w:rsid w:val="0054514D"/>
    <w:rsid w:val="00545203"/>
    <w:rsid w:val="005453D4"/>
    <w:rsid w:val="00545415"/>
    <w:rsid w:val="00545464"/>
    <w:rsid w:val="005454B3"/>
    <w:rsid w:val="0054554A"/>
    <w:rsid w:val="00545783"/>
    <w:rsid w:val="00545864"/>
    <w:rsid w:val="005459AB"/>
    <w:rsid w:val="00545AB6"/>
    <w:rsid w:val="00545B54"/>
    <w:rsid w:val="00545BDC"/>
    <w:rsid w:val="00545CE8"/>
    <w:rsid w:val="00545DC4"/>
    <w:rsid w:val="00545F17"/>
    <w:rsid w:val="00546046"/>
    <w:rsid w:val="005461E4"/>
    <w:rsid w:val="005462BD"/>
    <w:rsid w:val="00546400"/>
    <w:rsid w:val="00546528"/>
    <w:rsid w:val="00546589"/>
    <w:rsid w:val="005465A8"/>
    <w:rsid w:val="005466A6"/>
    <w:rsid w:val="005466BB"/>
    <w:rsid w:val="005467AC"/>
    <w:rsid w:val="00546A2C"/>
    <w:rsid w:val="00546A32"/>
    <w:rsid w:val="00546A5C"/>
    <w:rsid w:val="00546C80"/>
    <w:rsid w:val="00546DF3"/>
    <w:rsid w:val="00546E29"/>
    <w:rsid w:val="00546FF8"/>
    <w:rsid w:val="0054707D"/>
    <w:rsid w:val="00547153"/>
    <w:rsid w:val="005471C5"/>
    <w:rsid w:val="005472C8"/>
    <w:rsid w:val="005473A6"/>
    <w:rsid w:val="0054779B"/>
    <w:rsid w:val="005477DF"/>
    <w:rsid w:val="00547928"/>
    <w:rsid w:val="00547BB7"/>
    <w:rsid w:val="00547BE7"/>
    <w:rsid w:val="00547D57"/>
    <w:rsid w:val="00547DFB"/>
    <w:rsid w:val="00547EBC"/>
    <w:rsid w:val="00547F12"/>
    <w:rsid w:val="005500D4"/>
    <w:rsid w:val="0055073A"/>
    <w:rsid w:val="0055089E"/>
    <w:rsid w:val="005508C8"/>
    <w:rsid w:val="005508E8"/>
    <w:rsid w:val="00550962"/>
    <w:rsid w:val="00550993"/>
    <w:rsid w:val="005509E8"/>
    <w:rsid w:val="00550A97"/>
    <w:rsid w:val="00550A9E"/>
    <w:rsid w:val="00550B79"/>
    <w:rsid w:val="00550C01"/>
    <w:rsid w:val="005510DA"/>
    <w:rsid w:val="005513AE"/>
    <w:rsid w:val="00551678"/>
    <w:rsid w:val="0055187F"/>
    <w:rsid w:val="00551A40"/>
    <w:rsid w:val="00551BEA"/>
    <w:rsid w:val="00551C71"/>
    <w:rsid w:val="00551E4D"/>
    <w:rsid w:val="00551EFC"/>
    <w:rsid w:val="00551F54"/>
    <w:rsid w:val="00551F6C"/>
    <w:rsid w:val="005524EB"/>
    <w:rsid w:val="0055266F"/>
    <w:rsid w:val="005526CF"/>
    <w:rsid w:val="005527C5"/>
    <w:rsid w:val="0055280E"/>
    <w:rsid w:val="005528AA"/>
    <w:rsid w:val="005528CF"/>
    <w:rsid w:val="00552945"/>
    <w:rsid w:val="00552E3C"/>
    <w:rsid w:val="00552E4C"/>
    <w:rsid w:val="0055305A"/>
    <w:rsid w:val="0055328B"/>
    <w:rsid w:val="0055332F"/>
    <w:rsid w:val="0055349F"/>
    <w:rsid w:val="00553559"/>
    <w:rsid w:val="005535F4"/>
    <w:rsid w:val="00553655"/>
    <w:rsid w:val="00553705"/>
    <w:rsid w:val="005537E5"/>
    <w:rsid w:val="00553869"/>
    <w:rsid w:val="005538D5"/>
    <w:rsid w:val="005538D7"/>
    <w:rsid w:val="00553A2D"/>
    <w:rsid w:val="00553B71"/>
    <w:rsid w:val="00553C7E"/>
    <w:rsid w:val="00553C8D"/>
    <w:rsid w:val="00553CB5"/>
    <w:rsid w:val="00553DD6"/>
    <w:rsid w:val="00553E0F"/>
    <w:rsid w:val="00553FFC"/>
    <w:rsid w:val="0055400A"/>
    <w:rsid w:val="005540DA"/>
    <w:rsid w:val="005540F9"/>
    <w:rsid w:val="00554161"/>
    <w:rsid w:val="005543DE"/>
    <w:rsid w:val="005544AC"/>
    <w:rsid w:val="00554517"/>
    <w:rsid w:val="005545B6"/>
    <w:rsid w:val="005545CF"/>
    <w:rsid w:val="00554637"/>
    <w:rsid w:val="00554986"/>
    <w:rsid w:val="005549FD"/>
    <w:rsid w:val="00554BA6"/>
    <w:rsid w:val="00554D1C"/>
    <w:rsid w:val="00554D92"/>
    <w:rsid w:val="00554DC8"/>
    <w:rsid w:val="00554E2A"/>
    <w:rsid w:val="00554E70"/>
    <w:rsid w:val="00554F9D"/>
    <w:rsid w:val="005551BE"/>
    <w:rsid w:val="005551F0"/>
    <w:rsid w:val="00555389"/>
    <w:rsid w:val="00555414"/>
    <w:rsid w:val="0055541A"/>
    <w:rsid w:val="0055548B"/>
    <w:rsid w:val="00555513"/>
    <w:rsid w:val="00555821"/>
    <w:rsid w:val="00555A40"/>
    <w:rsid w:val="00555D09"/>
    <w:rsid w:val="00555DA0"/>
    <w:rsid w:val="005560D8"/>
    <w:rsid w:val="00556141"/>
    <w:rsid w:val="0055634C"/>
    <w:rsid w:val="0055649F"/>
    <w:rsid w:val="005565D0"/>
    <w:rsid w:val="0055688B"/>
    <w:rsid w:val="005569BA"/>
    <w:rsid w:val="005569C9"/>
    <w:rsid w:val="005569F0"/>
    <w:rsid w:val="00556A04"/>
    <w:rsid w:val="00556A05"/>
    <w:rsid w:val="00556B6D"/>
    <w:rsid w:val="00556CA4"/>
    <w:rsid w:val="00556D46"/>
    <w:rsid w:val="00556DE9"/>
    <w:rsid w:val="00556EC6"/>
    <w:rsid w:val="00557005"/>
    <w:rsid w:val="005570DC"/>
    <w:rsid w:val="00557141"/>
    <w:rsid w:val="005571CA"/>
    <w:rsid w:val="00557287"/>
    <w:rsid w:val="00557345"/>
    <w:rsid w:val="00557446"/>
    <w:rsid w:val="00557456"/>
    <w:rsid w:val="005574C9"/>
    <w:rsid w:val="005574FE"/>
    <w:rsid w:val="0055756D"/>
    <w:rsid w:val="005575F0"/>
    <w:rsid w:val="0055761F"/>
    <w:rsid w:val="005577AD"/>
    <w:rsid w:val="00557833"/>
    <w:rsid w:val="00557848"/>
    <w:rsid w:val="00557895"/>
    <w:rsid w:val="00557F89"/>
    <w:rsid w:val="00560085"/>
    <w:rsid w:val="00560226"/>
    <w:rsid w:val="00560428"/>
    <w:rsid w:val="0056047D"/>
    <w:rsid w:val="00560485"/>
    <w:rsid w:val="00560493"/>
    <w:rsid w:val="00560693"/>
    <w:rsid w:val="005608E4"/>
    <w:rsid w:val="005609BA"/>
    <w:rsid w:val="00560AB9"/>
    <w:rsid w:val="00560B85"/>
    <w:rsid w:val="00560BD6"/>
    <w:rsid w:val="00560C44"/>
    <w:rsid w:val="00560CA0"/>
    <w:rsid w:val="00560CE1"/>
    <w:rsid w:val="0056107D"/>
    <w:rsid w:val="0056109D"/>
    <w:rsid w:val="005610BD"/>
    <w:rsid w:val="005610CD"/>
    <w:rsid w:val="0056123C"/>
    <w:rsid w:val="00561487"/>
    <w:rsid w:val="00561560"/>
    <w:rsid w:val="00561693"/>
    <w:rsid w:val="005616CD"/>
    <w:rsid w:val="00561756"/>
    <w:rsid w:val="00561C8C"/>
    <w:rsid w:val="00561EAC"/>
    <w:rsid w:val="00561EF7"/>
    <w:rsid w:val="0056205B"/>
    <w:rsid w:val="0056213A"/>
    <w:rsid w:val="005623E0"/>
    <w:rsid w:val="005625D1"/>
    <w:rsid w:val="005625D6"/>
    <w:rsid w:val="005625EB"/>
    <w:rsid w:val="00562753"/>
    <w:rsid w:val="0056288A"/>
    <w:rsid w:val="0056290F"/>
    <w:rsid w:val="005629D3"/>
    <w:rsid w:val="00562BAD"/>
    <w:rsid w:val="00562BDB"/>
    <w:rsid w:val="00562DE6"/>
    <w:rsid w:val="00562F6E"/>
    <w:rsid w:val="00562FDE"/>
    <w:rsid w:val="00562FF3"/>
    <w:rsid w:val="0056318B"/>
    <w:rsid w:val="0056326E"/>
    <w:rsid w:val="00563286"/>
    <w:rsid w:val="00563290"/>
    <w:rsid w:val="005632E1"/>
    <w:rsid w:val="00563317"/>
    <w:rsid w:val="005633E6"/>
    <w:rsid w:val="0056348E"/>
    <w:rsid w:val="005634C7"/>
    <w:rsid w:val="00563533"/>
    <w:rsid w:val="005638D8"/>
    <w:rsid w:val="005639B6"/>
    <w:rsid w:val="00563A1D"/>
    <w:rsid w:val="00563AFC"/>
    <w:rsid w:val="00563BA9"/>
    <w:rsid w:val="00563DBA"/>
    <w:rsid w:val="00563E33"/>
    <w:rsid w:val="00564061"/>
    <w:rsid w:val="0056410B"/>
    <w:rsid w:val="0056423E"/>
    <w:rsid w:val="00564290"/>
    <w:rsid w:val="00564439"/>
    <w:rsid w:val="00564650"/>
    <w:rsid w:val="00564969"/>
    <w:rsid w:val="00564CA2"/>
    <w:rsid w:val="00564E8E"/>
    <w:rsid w:val="00564FC0"/>
    <w:rsid w:val="00565033"/>
    <w:rsid w:val="00565097"/>
    <w:rsid w:val="00565301"/>
    <w:rsid w:val="00565385"/>
    <w:rsid w:val="0056547C"/>
    <w:rsid w:val="0056567E"/>
    <w:rsid w:val="005657F6"/>
    <w:rsid w:val="005658DD"/>
    <w:rsid w:val="005658F3"/>
    <w:rsid w:val="00565A73"/>
    <w:rsid w:val="00565B5D"/>
    <w:rsid w:val="00565C85"/>
    <w:rsid w:val="00565E28"/>
    <w:rsid w:val="00565E66"/>
    <w:rsid w:val="00565E9F"/>
    <w:rsid w:val="00565ED7"/>
    <w:rsid w:val="00565F00"/>
    <w:rsid w:val="00565FA5"/>
    <w:rsid w:val="00566088"/>
    <w:rsid w:val="0056623E"/>
    <w:rsid w:val="0056633E"/>
    <w:rsid w:val="00566352"/>
    <w:rsid w:val="00566666"/>
    <w:rsid w:val="00566719"/>
    <w:rsid w:val="00566745"/>
    <w:rsid w:val="00566775"/>
    <w:rsid w:val="005667FB"/>
    <w:rsid w:val="005669C2"/>
    <w:rsid w:val="00566A30"/>
    <w:rsid w:val="00566AE7"/>
    <w:rsid w:val="00566C49"/>
    <w:rsid w:val="00566C88"/>
    <w:rsid w:val="005670EF"/>
    <w:rsid w:val="0056716A"/>
    <w:rsid w:val="005671AF"/>
    <w:rsid w:val="00567201"/>
    <w:rsid w:val="005673E7"/>
    <w:rsid w:val="0056742F"/>
    <w:rsid w:val="0056749F"/>
    <w:rsid w:val="005674D8"/>
    <w:rsid w:val="00567590"/>
    <w:rsid w:val="00567599"/>
    <w:rsid w:val="005675B7"/>
    <w:rsid w:val="005675B8"/>
    <w:rsid w:val="00567636"/>
    <w:rsid w:val="0056786E"/>
    <w:rsid w:val="00567939"/>
    <w:rsid w:val="0056798A"/>
    <w:rsid w:val="00567B05"/>
    <w:rsid w:val="00567E57"/>
    <w:rsid w:val="00567FAE"/>
    <w:rsid w:val="0057003E"/>
    <w:rsid w:val="005702A8"/>
    <w:rsid w:val="005702B6"/>
    <w:rsid w:val="0057041E"/>
    <w:rsid w:val="0057053F"/>
    <w:rsid w:val="0057073E"/>
    <w:rsid w:val="00570789"/>
    <w:rsid w:val="005707A0"/>
    <w:rsid w:val="00570BB4"/>
    <w:rsid w:val="00570C57"/>
    <w:rsid w:val="0057107A"/>
    <w:rsid w:val="00571085"/>
    <w:rsid w:val="005712CB"/>
    <w:rsid w:val="005713C7"/>
    <w:rsid w:val="005713ED"/>
    <w:rsid w:val="005715DF"/>
    <w:rsid w:val="0057160C"/>
    <w:rsid w:val="00571AE5"/>
    <w:rsid w:val="00571CA7"/>
    <w:rsid w:val="00571D34"/>
    <w:rsid w:val="00571E90"/>
    <w:rsid w:val="00571F05"/>
    <w:rsid w:val="0057217E"/>
    <w:rsid w:val="00572296"/>
    <w:rsid w:val="00572453"/>
    <w:rsid w:val="005724A6"/>
    <w:rsid w:val="005725B7"/>
    <w:rsid w:val="005725CB"/>
    <w:rsid w:val="00572709"/>
    <w:rsid w:val="00572867"/>
    <w:rsid w:val="00572934"/>
    <w:rsid w:val="00572A2A"/>
    <w:rsid w:val="00572AB3"/>
    <w:rsid w:val="00572C2C"/>
    <w:rsid w:val="00572D0B"/>
    <w:rsid w:val="00572DF2"/>
    <w:rsid w:val="00573085"/>
    <w:rsid w:val="00573303"/>
    <w:rsid w:val="00573370"/>
    <w:rsid w:val="00573487"/>
    <w:rsid w:val="00573549"/>
    <w:rsid w:val="0057360D"/>
    <w:rsid w:val="00573625"/>
    <w:rsid w:val="00573658"/>
    <w:rsid w:val="005736F7"/>
    <w:rsid w:val="00573921"/>
    <w:rsid w:val="0057394C"/>
    <w:rsid w:val="00573962"/>
    <w:rsid w:val="00573A84"/>
    <w:rsid w:val="00573CC2"/>
    <w:rsid w:val="00573D46"/>
    <w:rsid w:val="00573D65"/>
    <w:rsid w:val="00573D93"/>
    <w:rsid w:val="00573DC8"/>
    <w:rsid w:val="00573EA7"/>
    <w:rsid w:val="00573EE1"/>
    <w:rsid w:val="00573FE4"/>
    <w:rsid w:val="0057408E"/>
    <w:rsid w:val="005740D0"/>
    <w:rsid w:val="00574357"/>
    <w:rsid w:val="005743B2"/>
    <w:rsid w:val="0057458E"/>
    <w:rsid w:val="0057465F"/>
    <w:rsid w:val="00574757"/>
    <w:rsid w:val="00574877"/>
    <w:rsid w:val="005748DA"/>
    <w:rsid w:val="00574974"/>
    <w:rsid w:val="0057498C"/>
    <w:rsid w:val="00574AC0"/>
    <w:rsid w:val="00574D9D"/>
    <w:rsid w:val="00574DA0"/>
    <w:rsid w:val="00574F10"/>
    <w:rsid w:val="00575005"/>
    <w:rsid w:val="00575127"/>
    <w:rsid w:val="00575155"/>
    <w:rsid w:val="00575229"/>
    <w:rsid w:val="0057534D"/>
    <w:rsid w:val="005754D0"/>
    <w:rsid w:val="005755FA"/>
    <w:rsid w:val="0057575F"/>
    <w:rsid w:val="005757A2"/>
    <w:rsid w:val="005758FB"/>
    <w:rsid w:val="0057593B"/>
    <w:rsid w:val="00575C1C"/>
    <w:rsid w:val="00575E1F"/>
    <w:rsid w:val="00575E27"/>
    <w:rsid w:val="0057610C"/>
    <w:rsid w:val="005761C3"/>
    <w:rsid w:val="00576250"/>
    <w:rsid w:val="00576627"/>
    <w:rsid w:val="00576650"/>
    <w:rsid w:val="00576698"/>
    <w:rsid w:val="005766C5"/>
    <w:rsid w:val="00576714"/>
    <w:rsid w:val="00576AAD"/>
    <w:rsid w:val="00576D0A"/>
    <w:rsid w:val="00576DA7"/>
    <w:rsid w:val="00576EDF"/>
    <w:rsid w:val="00577269"/>
    <w:rsid w:val="005772AF"/>
    <w:rsid w:val="00577460"/>
    <w:rsid w:val="005775D3"/>
    <w:rsid w:val="00577725"/>
    <w:rsid w:val="0057776A"/>
    <w:rsid w:val="00577904"/>
    <w:rsid w:val="00577A2E"/>
    <w:rsid w:val="00577D6B"/>
    <w:rsid w:val="00577DBD"/>
    <w:rsid w:val="00577DD3"/>
    <w:rsid w:val="00577F17"/>
    <w:rsid w:val="00577FB6"/>
    <w:rsid w:val="005803AA"/>
    <w:rsid w:val="005803E1"/>
    <w:rsid w:val="005804CE"/>
    <w:rsid w:val="00580695"/>
    <w:rsid w:val="005806CE"/>
    <w:rsid w:val="005807C6"/>
    <w:rsid w:val="005807F6"/>
    <w:rsid w:val="005808D6"/>
    <w:rsid w:val="00580AE0"/>
    <w:rsid w:val="00580C29"/>
    <w:rsid w:val="00580CB8"/>
    <w:rsid w:val="00580D01"/>
    <w:rsid w:val="00580D4C"/>
    <w:rsid w:val="00580D71"/>
    <w:rsid w:val="005811D8"/>
    <w:rsid w:val="00581292"/>
    <w:rsid w:val="005812E5"/>
    <w:rsid w:val="00581487"/>
    <w:rsid w:val="00581538"/>
    <w:rsid w:val="00581560"/>
    <w:rsid w:val="00581609"/>
    <w:rsid w:val="00581634"/>
    <w:rsid w:val="00581836"/>
    <w:rsid w:val="0058188E"/>
    <w:rsid w:val="00581AF1"/>
    <w:rsid w:val="00581BBC"/>
    <w:rsid w:val="00581CC3"/>
    <w:rsid w:val="00581D57"/>
    <w:rsid w:val="00581E46"/>
    <w:rsid w:val="00581E4F"/>
    <w:rsid w:val="00581F94"/>
    <w:rsid w:val="00581F95"/>
    <w:rsid w:val="0058226C"/>
    <w:rsid w:val="00582394"/>
    <w:rsid w:val="005823CF"/>
    <w:rsid w:val="00582430"/>
    <w:rsid w:val="00582604"/>
    <w:rsid w:val="00582977"/>
    <w:rsid w:val="005829B9"/>
    <w:rsid w:val="00582AFF"/>
    <w:rsid w:val="00582B47"/>
    <w:rsid w:val="00582B7C"/>
    <w:rsid w:val="00582BEE"/>
    <w:rsid w:val="00582E48"/>
    <w:rsid w:val="0058305B"/>
    <w:rsid w:val="005830F2"/>
    <w:rsid w:val="005831F7"/>
    <w:rsid w:val="005833D3"/>
    <w:rsid w:val="00583C5C"/>
    <w:rsid w:val="00583CBB"/>
    <w:rsid w:val="00583CCC"/>
    <w:rsid w:val="00583EDE"/>
    <w:rsid w:val="00583F4E"/>
    <w:rsid w:val="0058417A"/>
    <w:rsid w:val="00584272"/>
    <w:rsid w:val="005842AC"/>
    <w:rsid w:val="0058443E"/>
    <w:rsid w:val="005844C1"/>
    <w:rsid w:val="0058487B"/>
    <w:rsid w:val="00584924"/>
    <w:rsid w:val="005849DB"/>
    <w:rsid w:val="00584AA9"/>
    <w:rsid w:val="00584DDE"/>
    <w:rsid w:val="00584E5A"/>
    <w:rsid w:val="00584E9F"/>
    <w:rsid w:val="00584F1D"/>
    <w:rsid w:val="00585271"/>
    <w:rsid w:val="0058531F"/>
    <w:rsid w:val="00585399"/>
    <w:rsid w:val="0058539F"/>
    <w:rsid w:val="005854C3"/>
    <w:rsid w:val="005855DC"/>
    <w:rsid w:val="005855FD"/>
    <w:rsid w:val="00585803"/>
    <w:rsid w:val="005858DD"/>
    <w:rsid w:val="005858F1"/>
    <w:rsid w:val="00585980"/>
    <w:rsid w:val="00585B25"/>
    <w:rsid w:val="00585C36"/>
    <w:rsid w:val="00585C3F"/>
    <w:rsid w:val="00585C85"/>
    <w:rsid w:val="00585D38"/>
    <w:rsid w:val="0058603B"/>
    <w:rsid w:val="005860A0"/>
    <w:rsid w:val="00586269"/>
    <w:rsid w:val="00586305"/>
    <w:rsid w:val="005864B1"/>
    <w:rsid w:val="005864B4"/>
    <w:rsid w:val="00586528"/>
    <w:rsid w:val="0058670B"/>
    <w:rsid w:val="00586909"/>
    <w:rsid w:val="00586BDC"/>
    <w:rsid w:val="00586CC7"/>
    <w:rsid w:val="00586D46"/>
    <w:rsid w:val="005870FB"/>
    <w:rsid w:val="00587129"/>
    <w:rsid w:val="0058723D"/>
    <w:rsid w:val="00587305"/>
    <w:rsid w:val="0058732E"/>
    <w:rsid w:val="0058790C"/>
    <w:rsid w:val="00587910"/>
    <w:rsid w:val="00587935"/>
    <w:rsid w:val="005879BE"/>
    <w:rsid w:val="00587B04"/>
    <w:rsid w:val="00587B1B"/>
    <w:rsid w:val="00587B8B"/>
    <w:rsid w:val="00587C4B"/>
    <w:rsid w:val="00587C5B"/>
    <w:rsid w:val="00587D65"/>
    <w:rsid w:val="00587E49"/>
    <w:rsid w:val="00587F72"/>
    <w:rsid w:val="00587F7B"/>
    <w:rsid w:val="00590010"/>
    <w:rsid w:val="00590136"/>
    <w:rsid w:val="00590228"/>
    <w:rsid w:val="0059086B"/>
    <w:rsid w:val="00590920"/>
    <w:rsid w:val="005909BA"/>
    <w:rsid w:val="00590A50"/>
    <w:rsid w:val="00590AB1"/>
    <w:rsid w:val="00590C29"/>
    <w:rsid w:val="00590DB8"/>
    <w:rsid w:val="00590DBA"/>
    <w:rsid w:val="00590F25"/>
    <w:rsid w:val="00590F6D"/>
    <w:rsid w:val="005910F8"/>
    <w:rsid w:val="0059133F"/>
    <w:rsid w:val="00591403"/>
    <w:rsid w:val="00591481"/>
    <w:rsid w:val="00591535"/>
    <w:rsid w:val="005916D8"/>
    <w:rsid w:val="00591844"/>
    <w:rsid w:val="005919FD"/>
    <w:rsid w:val="00591A07"/>
    <w:rsid w:val="00591A52"/>
    <w:rsid w:val="00591C62"/>
    <w:rsid w:val="00591C6F"/>
    <w:rsid w:val="00591CF3"/>
    <w:rsid w:val="00592297"/>
    <w:rsid w:val="005922C5"/>
    <w:rsid w:val="005922FD"/>
    <w:rsid w:val="00592531"/>
    <w:rsid w:val="00592550"/>
    <w:rsid w:val="0059261B"/>
    <w:rsid w:val="00592718"/>
    <w:rsid w:val="00592797"/>
    <w:rsid w:val="005928FC"/>
    <w:rsid w:val="00592929"/>
    <w:rsid w:val="00592A4B"/>
    <w:rsid w:val="00592BC0"/>
    <w:rsid w:val="00592E53"/>
    <w:rsid w:val="00592E6F"/>
    <w:rsid w:val="00592E8C"/>
    <w:rsid w:val="00592F0F"/>
    <w:rsid w:val="00592F7E"/>
    <w:rsid w:val="005930AD"/>
    <w:rsid w:val="0059319F"/>
    <w:rsid w:val="0059321F"/>
    <w:rsid w:val="00593387"/>
    <w:rsid w:val="00593400"/>
    <w:rsid w:val="005934B7"/>
    <w:rsid w:val="0059361D"/>
    <w:rsid w:val="0059370E"/>
    <w:rsid w:val="0059386F"/>
    <w:rsid w:val="005939FF"/>
    <w:rsid w:val="00593C37"/>
    <w:rsid w:val="00593CD0"/>
    <w:rsid w:val="00593D26"/>
    <w:rsid w:val="00593F9B"/>
    <w:rsid w:val="00594128"/>
    <w:rsid w:val="0059422B"/>
    <w:rsid w:val="005942F6"/>
    <w:rsid w:val="005943F5"/>
    <w:rsid w:val="0059448B"/>
    <w:rsid w:val="005944CE"/>
    <w:rsid w:val="00594670"/>
    <w:rsid w:val="005946DD"/>
    <w:rsid w:val="005946EE"/>
    <w:rsid w:val="0059472A"/>
    <w:rsid w:val="00594878"/>
    <w:rsid w:val="005948A6"/>
    <w:rsid w:val="005948B8"/>
    <w:rsid w:val="0059497F"/>
    <w:rsid w:val="005949E5"/>
    <w:rsid w:val="00594A0E"/>
    <w:rsid w:val="00594F63"/>
    <w:rsid w:val="00595084"/>
    <w:rsid w:val="0059512A"/>
    <w:rsid w:val="005951D9"/>
    <w:rsid w:val="0059539A"/>
    <w:rsid w:val="005955C6"/>
    <w:rsid w:val="005956D7"/>
    <w:rsid w:val="005956F1"/>
    <w:rsid w:val="005956FE"/>
    <w:rsid w:val="00595738"/>
    <w:rsid w:val="005959F7"/>
    <w:rsid w:val="00595CAE"/>
    <w:rsid w:val="00595DE3"/>
    <w:rsid w:val="0059618D"/>
    <w:rsid w:val="005963D1"/>
    <w:rsid w:val="005963F4"/>
    <w:rsid w:val="0059654A"/>
    <w:rsid w:val="00596662"/>
    <w:rsid w:val="00596924"/>
    <w:rsid w:val="00596A33"/>
    <w:rsid w:val="00596C6D"/>
    <w:rsid w:val="00596C82"/>
    <w:rsid w:val="00596F76"/>
    <w:rsid w:val="00597127"/>
    <w:rsid w:val="00597287"/>
    <w:rsid w:val="00597324"/>
    <w:rsid w:val="005973A6"/>
    <w:rsid w:val="005973BA"/>
    <w:rsid w:val="0059743A"/>
    <w:rsid w:val="00597486"/>
    <w:rsid w:val="00597560"/>
    <w:rsid w:val="00597766"/>
    <w:rsid w:val="005978B6"/>
    <w:rsid w:val="00597A98"/>
    <w:rsid w:val="00597AA9"/>
    <w:rsid w:val="00597B26"/>
    <w:rsid w:val="00597B6E"/>
    <w:rsid w:val="00597BBA"/>
    <w:rsid w:val="00597C87"/>
    <w:rsid w:val="00597DFA"/>
    <w:rsid w:val="00597E96"/>
    <w:rsid w:val="00597FD9"/>
    <w:rsid w:val="005A008C"/>
    <w:rsid w:val="005A0175"/>
    <w:rsid w:val="005A01CC"/>
    <w:rsid w:val="005A0216"/>
    <w:rsid w:val="005A0222"/>
    <w:rsid w:val="005A0353"/>
    <w:rsid w:val="005A0410"/>
    <w:rsid w:val="005A0499"/>
    <w:rsid w:val="005A05A3"/>
    <w:rsid w:val="005A0719"/>
    <w:rsid w:val="005A08BE"/>
    <w:rsid w:val="005A09B4"/>
    <w:rsid w:val="005A0B3A"/>
    <w:rsid w:val="005A0E13"/>
    <w:rsid w:val="005A0E35"/>
    <w:rsid w:val="005A0E7B"/>
    <w:rsid w:val="005A0F61"/>
    <w:rsid w:val="005A117B"/>
    <w:rsid w:val="005A11A2"/>
    <w:rsid w:val="005A1430"/>
    <w:rsid w:val="005A1482"/>
    <w:rsid w:val="005A1609"/>
    <w:rsid w:val="005A160D"/>
    <w:rsid w:val="005A17B9"/>
    <w:rsid w:val="005A1947"/>
    <w:rsid w:val="005A19F1"/>
    <w:rsid w:val="005A1E18"/>
    <w:rsid w:val="005A235B"/>
    <w:rsid w:val="005A24D9"/>
    <w:rsid w:val="005A25F0"/>
    <w:rsid w:val="005A28ED"/>
    <w:rsid w:val="005A293F"/>
    <w:rsid w:val="005A299E"/>
    <w:rsid w:val="005A2A30"/>
    <w:rsid w:val="005A2A52"/>
    <w:rsid w:val="005A2B22"/>
    <w:rsid w:val="005A2C73"/>
    <w:rsid w:val="005A2F34"/>
    <w:rsid w:val="005A2F8B"/>
    <w:rsid w:val="005A31FF"/>
    <w:rsid w:val="005A369A"/>
    <w:rsid w:val="005A36B4"/>
    <w:rsid w:val="005A3836"/>
    <w:rsid w:val="005A3994"/>
    <w:rsid w:val="005A3A35"/>
    <w:rsid w:val="005A3B82"/>
    <w:rsid w:val="005A3C0E"/>
    <w:rsid w:val="005A40A7"/>
    <w:rsid w:val="005A40DC"/>
    <w:rsid w:val="005A41C3"/>
    <w:rsid w:val="005A420F"/>
    <w:rsid w:val="005A427C"/>
    <w:rsid w:val="005A4739"/>
    <w:rsid w:val="005A489B"/>
    <w:rsid w:val="005A4BAF"/>
    <w:rsid w:val="005A4EB4"/>
    <w:rsid w:val="005A4FE7"/>
    <w:rsid w:val="005A50A2"/>
    <w:rsid w:val="005A518B"/>
    <w:rsid w:val="005A5208"/>
    <w:rsid w:val="005A5216"/>
    <w:rsid w:val="005A560D"/>
    <w:rsid w:val="005A5709"/>
    <w:rsid w:val="005A5B89"/>
    <w:rsid w:val="005A5CF6"/>
    <w:rsid w:val="005A5D56"/>
    <w:rsid w:val="005A6170"/>
    <w:rsid w:val="005A6731"/>
    <w:rsid w:val="005A683D"/>
    <w:rsid w:val="005A6A3E"/>
    <w:rsid w:val="005A6C2E"/>
    <w:rsid w:val="005A6D80"/>
    <w:rsid w:val="005A6DFB"/>
    <w:rsid w:val="005A6E4C"/>
    <w:rsid w:val="005A70C8"/>
    <w:rsid w:val="005A71E1"/>
    <w:rsid w:val="005A7200"/>
    <w:rsid w:val="005A72A9"/>
    <w:rsid w:val="005A7459"/>
    <w:rsid w:val="005A7507"/>
    <w:rsid w:val="005A75D7"/>
    <w:rsid w:val="005A7613"/>
    <w:rsid w:val="005A7936"/>
    <w:rsid w:val="005A79A9"/>
    <w:rsid w:val="005A7C58"/>
    <w:rsid w:val="005A7DC1"/>
    <w:rsid w:val="005A7F33"/>
    <w:rsid w:val="005A7FD0"/>
    <w:rsid w:val="005B0086"/>
    <w:rsid w:val="005B03BD"/>
    <w:rsid w:val="005B03E7"/>
    <w:rsid w:val="005B04B2"/>
    <w:rsid w:val="005B04F2"/>
    <w:rsid w:val="005B071F"/>
    <w:rsid w:val="005B07BD"/>
    <w:rsid w:val="005B096E"/>
    <w:rsid w:val="005B09FB"/>
    <w:rsid w:val="005B0B98"/>
    <w:rsid w:val="005B0BB1"/>
    <w:rsid w:val="005B0E12"/>
    <w:rsid w:val="005B1047"/>
    <w:rsid w:val="005B11EA"/>
    <w:rsid w:val="005B11F0"/>
    <w:rsid w:val="005B1211"/>
    <w:rsid w:val="005B12BD"/>
    <w:rsid w:val="005B13DB"/>
    <w:rsid w:val="005B1462"/>
    <w:rsid w:val="005B1534"/>
    <w:rsid w:val="005B1B01"/>
    <w:rsid w:val="005B1F4C"/>
    <w:rsid w:val="005B2057"/>
    <w:rsid w:val="005B2344"/>
    <w:rsid w:val="005B2368"/>
    <w:rsid w:val="005B2388"/>
    <w:rsid w:val="005B23D0"/>
    <w:rsid w:val="005B23DD"/>
    <w:rsid w:val="005B2400"/>
    <w:rsid w:val="005B251B"/>
    <w:rsid w:val="005B2769"/>
    <w:rsid w:val="005B27C0"/>
    <w:rsid w:val="005B27D2"/>
    <w:rsid w:val="005B286B"/>
    <w:rsid w:val="005B28E3"/>
    <w:rsid w:val="005B294A"/>
    <w:rsid w:val="005B2AB2"/>
    <w:rsid w:val="005B2D41"/>
    <w:rsid w:val="005B2D7D"/>
    <w:rsid w:val="005B2DCA"/>
    <w:rsid w:val="005B2EDE"/>
    <w:rsid w:val="005B2F10"/>
    <w:rsid w:val="005B3103"/>
    <w:rsid w:val="005B311F"/>
    <w:rsid w:val="005B31C7"/>
    <w:rsid w:val="005B328B"/>
    <w:rsid w:val="005B32B1"/>
    <w:rsid w:val="005B32F7"/>
    <w:rsid w:val="005B35AE"/>
    <w:rsid w:val="005B35CF"/>
    <w:rsid w:val="005B374D"/>
    <w:rsid w:val="005B379E"/>
    <w:rsid w:val="005B3949"/>
    <w:rsid w:val="005B39BA"/>
    <w:rsid w:val="005B3A31"/>
    <w:rsid w:val="005B3B2E"/>
    <w:rsid w:val="005B3D6D"/>
    <w:rsid w:val="005B3E42"/>
    <w:rsid w:val="005B3FE6"/>
    <w:rsid w:val="005B41EC"/>
    <w:rsid w:val="005B42A9"/>
    <w:rsid w:val="005B434D"/>
    <w:rsid w:val="005B4362"/>
    <w:rsid w:val="005B4404"/>
    <w:rsid w:val="005B4415"/>
    <w:rsid w:val="005B445F"/>
    <w:rsid w:val="005B44B5"/>
    <w:rsid w:val="005B44EF"/>
    <w:rsid w:val="005B4526"/>
    <w:rsid w:val="005B4555"/>
    <w:rsid w:val="005B46AD"/>
    <w:rsid w:val="005B4724"/>
    <w:rsid w:val="005B472C"/>
    <w:rsid w:val="005B48B3"/>
    <w:rsid w:val="005B49D8"/>
    <w:rsid w:val="005B4B63"/>
    <w:rsid w:val="005B4C68"/>
    <w:rsid w:val="005B4C71"/>
    <w:rsid w:val="005B4C8F"/>
    <w:rsid w:val="005B4D4C"/>
    <w:rsid w:val="005B51AC"/>
    <w:rsid w:val="005B539D"/>
    <w:rsid w:val="005B542E"/>
    <w:rsid w:val="005B54AF"/>
    <w:rsid w:val="005B553B"/>
    <w:rsid w:val="005B55BE"/>
    <w:rsid w:val="005B5B9D"/>
    <w:rsid w:val="005B5C19"/>
    <w:rsid w:val="005B5C52"/>
    <w:rsid w:val="005B5C72"/>
    <w:rsid w:val="005B6197"/>
    <w:rsid w:val="005B61BE"/>
    <w:rsid w:val="005B61C4"/>
    <w:rsid w:val="005B6276"/>
    <w:rsid w:val="005B653F"/>
    <w:rsid w:val="005B6557"/>
    <w:rsid w:val="005B656E"/>
    <w:rsid w:val="005B66B9"/>
    <w:rsid w:val="005B687A"/>
    <w:rsid w:val="005B6F43"/>
    <w:rsid w:val="005B6F59"/>
    <w:rsid w:val="005B7001"/>
    <w:rsid w:val="005B71A9"/>
    <w:rsid w:val="005B726A"/>
    <w:rsid w:val="005B75FD"/>
    <w:rsid w:val="005B76F1"/>
    <w:rsid w:val="005B7844"/>
    <w:rsid w:val="005B7915"/>
    <w:rsid w:val="005B7973"/>
    <w:rsid w:val="005B7BA6"/>
    <w:rsid w:val="005B7BBB"/>
    <w:rsid w:val="005B7C21"/>
    <w:rsid w:val="005B7F9F"/>
    <w:rsid w:val="005B7FA6"/>
    <w:rsid w:val="005C0318"/>
    <w:rsid w:val="005C0351"/>
    <w:rsid w:val="005C03D9"/>
    <w:rsid w:val="005C0741"/>
    <w:rsid w:val="005C083C"/>
    <w:rsid w:val="005C0935"/>
    <w:rsid w:val="005C09D0"/>
    <w:rsid w:val="005C0B77"/>
    <w:rsid w:val="005C0CC8"/>
    <w:rsid w:val="005C0D3B"/>
    <w:rsid w:val="005C0EE6"/>
    <w:rsid w:val="005C1125"/>
    <w:rsid w:val="005C1293"/>
    <w:rsid w:val="005C1364"/>
    <w:rsid w:val="005C1499"/>
    <w:rsid w:val="005C16B9"/>
    <w:rsid w:val="005C17D6"/>
    <w:rsid w:val="005C1819"/>
    <w:rsid w:val="005C185C"/>
    <w:rsid w:val="005C1873"/>
    <w:rsid w:val="005C19B6"/>
    <w:rsid w:val="005C19E5"/>
    <w:rsid w:val="005C1BCE"/>
    <w:rsid w:val="005C1C90"/>
    <w:rsid w:val="005C1F78"/>
    <w:rsid w:val="005C1F9F"/>
    <w:rsid w:val="005C1FDD"/>
    <w:rsid w:val="005C21D8"/>
    <w:rsid w:val="005C23D9"/>
    <w:rsid w:val="005C245C"/>
    <w:rsid w:val="005C2473"/>
    <w:rsid w:val="005C24FB"/>
    <w:rsid w:val="005C25B7"/>
    <w:rsid w:val="005C2627"/>
    <w:rsid w:val="005C2A08"/>
    <w:rsid w:val="005C2A91"/>
    <w:rsid w:val="005C2C3D"/>
    <w:rsid w:val="005C2C52"/>
    <w:rsid w:val="005C2CBA"/>
    <w:rsid w:val="005C2D1A"/>
    <w:rsid w:val="005C2DDC"/>
    <w:rsid w:val="005C2EC3"/>
    <w:rsid w:val="005C2F57"/>
    <w:rsid w:val="005C30EB"/>
    <w:rsid w:val="005C311F"/>
    <w:rsid w:val="005C32DA"/>
    <w:rsid w:val="005C3308"/>
    <w:rsid w:val="005C33DE"/>
    <w:rsid w:val="005C33E0"/>
    <w:rsid w:val="005C352A"/>
    <w:rsid w:val="005C37E9"/>
    <w:rsid w:val="005C38EC"/>
    <w:rsid w:val="005C3A2C"/>
    <w:rsid w:val="005C3AF8"/>
    <w:rsid w:val="005C3C3C"/>
    <w:rsid w:val="005C3D16"/>
    <w:rsid w:val="005C3D30"/>
    <w:rsid w:val="005C3D90"/>
    <w:rsid w:val="005C3DB2"/>
    <w:rsid w:val="005C3DF9"/>
    <w:rsid w:val="005C3E08"/>
    <w:rsid w:val="005C40F8"/>
    <w:rsid w:val="005C41CE"/>
    <w:rsid w:val="005C44DB"/>
    <w:rsid w:val="005C4508"/>
    <w:rsid w:val="005C4563"/>
    <w:rsid w:val="005C45E1"/>
    <w:rsid w:val="005C474D"/>
    <w:rsid w:val="005C4799"/>
    <w:rsid w:val="005C4A28"/>
    <w:rsid w:val="005C4A44"/>
    <w:rsid w:val="005C4A93"/>
    <w:rsid w:val="005C50C5"/>
    <w:rsid w:val="005C50EE"/>
    <w:rsid w:val="005C51AF"/>
    <w:rsid w:val="005C5387"/>
    <w:rsid w:val="005C559F"/>
    <w:rsid w:val="005C587F"/>
    <w:rsid w:val="005C58B9"/>
    <w:rsid w:val="005C58E1"/>
    <w:rsid w:val="005C5A21"/>
    <w:rsid w:val="005C5A8D"/>
    <w:rsid w:val="005C5D4F"/>
    <w:rsid w:val="005C636A"/>
    <w:rsid w:val="005C63C4"/>
    <w:rsid w:val="005C673D"/>
    <w:rsid w:val="005C6889"/>
    <w:rsid w:val="005C6894"/>
    <w:rsid w:val="005C6897"/>
    <w:rsid w:val="005C6A92"/>
    <w:rsid w:val="005C6AD4"/>
    <w:rsid w:val="005C6C1F"/>
    <w:rsid w:val="005C6C9D"/>
    <w:rsid w:val="005C6CA5"/>
    <w:rsid w:val="005C6CD2"/>
    <w:rsid w:val="005C6DBB"/>
    <w:rsid w:val="005C6E41"/>
    <w:rsid w:val="005C6E9A"/>
    <w:rsid w:val="005C736B"/>
    <w:rsid w:val="005C7450"/>
    <w:rsid w:val="005C7578"/>
    <w:rsid w:val="005C7664"/>
    <w:rsid w:val="005C772F"/>
    <w:rsid w:val="005C7844"/>
    <w:rsid w:val="005C7A71"/>
    <w:rsid w:val="005C7B18"/>
    <w:rsid w:val="005C7C7B"/>
    <w:rsid w:val="005C7F72"/>
    <w:rsid w:val="005C7F83"/>
    <w:rsid w:val="005D0172"/>
    <w:rsid w:val="005D0213"/>
    <w:rsid w:val="005D026D"/>
    <w:rsid w:val="005D0AC0"/>
    <w:rsid w:val="005D0ADC"/>
    <w:rsid w:val="005D0B3C"/>
    <w:rsid w:val="005D0D22"/>
    <w:rsid w:val="005D0E4E"/>
    <w:rsid w:val="005D0E80"/>
    <w:rsid w:val="005D107C"/>
    <w:rsid w:val="005D151A"/>
    <w:rsid w:val="005D168F"/>
    <w:rsid w:val="005D1AB5"/>
    <w:rsid w:val="005D1AFB"/>
    <w:rsid w:val="005D1BFF"/>
    <w:rsid w:val="005D1D32"/>
    <w:rsid w:val="005D1D60"/>
    <w:rsid w:val="005D1F06"/>
    <w:rsid w:val="005D225C"/>
    <w:rsid w:val="005D2278"/>
    <w:rsid w:val="005D241F"/>
    <w:rsid w:val="005D2485"/>
    <w:rsid w:val="005D2527"/>
    <w:rsid w:val="005D2669"/>
    <w:rsid w:val="005D2747"/>
    <w:rsid w:val="005D2854"/>
    <w:rsid w:val="005D2870"/>
    <w:rsid w:val="005D2BCA"/>
    <w:rsid w:val="005D2CAA"/>
    <w:rsid w:val="005D2F5D"/>
    <w:rsid w:val="005D3000"/>
    <w:rsid w:val="005D3175"/>
    <w:rsid w:val="005D31B8"/>
    <w:rsid w:val="005D334F"/>
    <w:rsid w:val="005D34D6"/>
    <w:rsid w:val="005D3643"/>
    <w:rsid w:val="005D3778"/>
    <w:rsid w:val="005D380E"/>
    <w:rsid w:val="005D38B1"/>
    <w:rsid w:val="005D398E"/>
    <w:rsid w:val="005D39A2"/>
    <w:rsid w:val="005D3A25"/>
    <w:rsid w:val="005D3A7A"/>
    <w:rsid w:val="005D3DCA"/>
    <w:rsid w:val="005D3E1C"/>
    <w:rsid w:val="005D4069"/>
    <w:rsid w:val="005D40A7"/>
    <w:rsid w:val="005D40FC"/>
    <w:rsid w:val="005D4108"/>
    <w:rsid w:val="005D4146"/>
    <w:rsid w:val="005D4365"/>
    <w:rsid w:val="005D459D"/>
    <w:rsid w:val="005D4677"/>
    <w:rsid w:val="005D4707"/>
    <w:rsid w:val="005D4B43"/>
    <w:rsid w:val="005D4BA7"/>
    <w:rsid w:val="005D4D43"/>
    <w:rsid w:val="005D4DD1"/>
    <w:rsid w:val="005D4EFA"/>
    <w:rsid w:val="005D4F8E"/>
    <w:rsid w:val="005D4FF8"/>
    <w:rsid w:val="005D500A"/>
    <w:rsid w:val="005D50E3"/>
    <w:rsid w:val="005D5102"/>
    <w:rsid w:val="005D5137"/>
    <w:rsid w:val="005D525E"/>
    <w:rsid w:val="005D53AB"/>
    <w:rsid w:val="005D54DB"/>
    <w:rsid w:val="005D5507"/>
    <w:rsid w:val="005D566B"/>
    <w:rsid w:val="005D56D7"/>
    <w:rsid w:val="005D578A"/>
    <w:rsid w:val="005D5846"/>
    <w:rsid w:val="005D58B1"/>
    <w:rsid w:val="005D59AE"/>
    <w:rsid w:val="005D5A1E"/>
    <w:rsid w:val="005D5B6A"/>
    <w:rsid w:val="005D6181"/>
    <w:rsid w:val="005D6195"/>
    <w:rsid w:val="005D627D"/>
    <w:rsid w:val="005D62BB"/>
    <w:rsid w:val="005D663D"/>
    <w:rsid w:val="005D66B4"/>
    <w:rsid w:val="005D672C"/>
    <w:rsid w:val="005D6842"/>
    <w:rsid w:val="005D68A7"/>
    <w:rsid w:val="005D6A03"/>
    <w:rsid w:val="005D6A62"/>
    <w:rsid w:val="005D6B3C"/>
    <w:rsid w:val="005D6E98"/>
    <w:rsid w:val="005D6ED0"/>
    <w:rsid w:val="005D6FD6"/>
    <w:rsid w:val="005D710E"/>
    <w:rsid w:val="005D7388"/>
    <w:rsid w:val="005D774D"/>
    <w:rsid w:val="005D7EF3"/>
    <w:rsid w:val="005D7FDC"/>
    <w:rsid w:val="005E0178"/>
    <w:rsid w:val="005E01DE"/>
    <w:rsid w:val="005E02D3"/>
    <w:rsid w:val="005E0330"/>
    <w:rsid w:val="005E0555"/>
    <w:rsid w:val="005E0584"/>
    <w:rsid w:val="005E05FE"/>
    <w:rsid w:val="005E074A"/>
    <w:rsid w:val="005E07FD"/>
    <w:rsid w:val="005E0BD4"/>
    <w:rsid w:val="005E0D5B"/>
    <w:rsid w:val="005E0E51"/>
    <w:rsid w:val="005E0E80"/>
    <w:rsid w:val="005E0F58"/>
    <w:rsid w:val="005E1046"/>
    <w:rsid w:val="005E15BF"/>
    <w:rsid w:val="005E1639"/>
    <w:rsid w:val="005E17AA"/>
    <w:rsid w:val="005E17DA"/>
    <w:rsid w:val="005E17EB"/>
    <w:rsid w:val="005E19EE"/>
    <w:rsid w:val="005E1DC7"/>
    <w:rsid w:val="005E1FBD"/>
    <w:rsid w:val="005E207D"/>
    <w:rsid w:val="005E2189"/>
    <w:rsid w:val="005E22B0"/>
    <w:rsid w:val="005E2316"/>
    <w:rsid w:val="005E2483"/>
    <w:rsid w:val="005E2644"/>
    <w:rsid w:val="005E2783"/>
    <w:rsid w:val="005E28C5"/>
    <w:rsid w:val="005E29B5"/>
    <w:rsid w:val="005E31EE"/>
    <w:rsid w:val="005E3387"/>
    <w:rsid w:val="005E383C"/>
    <w:rsid w:val="005E398C"/>
    <w:rsid w:val="005E39DD"/>
    <w:rsid w:val="005E3B96"/>
    <w:rsid w:val="005E3BE4"/>
    <w:rsid w:val="005E3BFC"/>
    <w:rsid w:val="005E3E14"/>
    <w:rsid w:val="005E3E6F"/>
    <w:rsid w:val="005E3F13"/>
    <w:rsid w:val="005E3FDB"/>
    <w:rsid w:val="005E3FF1"/>
    <w:rsid w:val="005E3FF9"/>
    <w:rsid w:val="005E40A5"/>
    <w:rsid w:val="005E4103"/>
    <w:rsid w:val="005E42A9"/>
    <w:rsid w:val="005E42DF"/>
    <w:rsid w:val="005E430C"/>
    <w:rsid w:val="005E46FF"/>
    <w:rsid w:val="005E4759"/>
    <w:rsid w:val="005E47AE"/>
    <w:rsid w:val="005E4AE0"/>
    <w:rsid w:val="005E4CA6"/>
    <w:rsid w:val="005E5072"/>
    <w:rsid w:val="005E5131"/>
    <w:rsid w:val="005E5209"/>
    <w:rsid w:val="005E52C5"/>
    <w:rsid w:val="005E5332"/>
    <w:rsid w:val="005E5721"/>
    <w:rsid w:val="005E59E9"/>
    <w:rsid w:val="005E5C13"/>
    <w:rsid w:val="005E5E16"/>
    <w:rsid w:val="005E5F30"/>
    <w:rsid w:val="005E61F7"/>
    <w:rsid w:val="005E62C9"/>
    <w:rsid w:val="005E6303"/>
    <w:rsid w:val="005E63E4"/>
    <w:rsid w:val="005E6753"/>
    <w:rsid w:val="005E688A"/>
    <w:rsid w:val="005E68C5"/>
    <w:rsid w:val="005E68EE"/>
    <w:rsid w:val="005E6B45"/>
    <w:rsid w:val="005E6DAB"/>
    <w:rsid w:val="005E7212"/>
    <w:rsid w:val="005E7480"/>
    <w:rsid w:val="005E74B9"/>
    <w:rsid w:val="005E78A1"/>
    <w:rsid w:val="005E78B5"/>
    <w:rsid w:val="005E7A00"/>
    <w:rsid w:val="005E7AF8"/>
    <w:rsid w:val="005E7B52"/>
    <w:rsid w:val="005E7CB4"/>
    <w:rsid w:val="005E7D4B"/>
    <w:rsid w:val="005E7ED4"/>
    <w:rsid w:val="005F01E1"/>
    <w:rsid w:val="005F0690"/>
    <w:rsid w:val="005F079E"/>
    <w:rsid w:val="005F0DF1"/>
    <w:rsid w:val="005F0E84"/>
    <w:rsid w:val="005F0F7E"/>
    <w:rsid w:val="005F0FCB"/>
    <w:rsid w:val="005F1134"/>
    <w:rsid w:val="005F1485"/>
    <w:rsid w:val="005F1486"/>
    <w:rsid w:val="005F1539"/>
    <w:rsid w:val="005F1730"/>
    <w:rsid w:val="005F17AB"/>
    <w:rsid w:val="005F187C"/>
    <w:rsid w:val="005F19E0"/>
    <w:rsid w:val="005F1B60"/>
    <w:rsid w:val="005F1DE3"/>
    <w:rsid w:val="005F1F68"/>
    <w:rsid w:val="005F20F4"/>
    <w:rsid w:val="005F2295"/>
    <w:rsid w:val="005F2317"/>
    <w:rsid w:val="005F2406"/>
    <w:rsid w:val="005F2627"/>
    <w:rsid w:val="005F2632"/>
    <w:rsid w:val="005F2649"/>
    <w:rsid w:val="005F2689"/>
    <w:rsid w:val="005F2847"/>
    <w:rsid w:val="005F2873"/>
    <w:rsid w:val="005F296D"/>
    <w:rsid w:val="005F2980"/>
    <w:rsid w:val="005F29C3"/>
    <w:rsid w:val="005F29E4"/>
    <w:rsid w:val="005F2C99"/>
    <w:rsid w:val="005F2CCA"/>
    <w:rsid w:val="005F2CE0"/>
    <w:rsid w:val="005F2CE2"/>
    <w:rsid w:val="005F2D27"/>
    <w:rsid w:val="005F2D5D"/>
    <w:rsid w:val="005F311B"/>
    <w:rsid w:val="005F34CA"/>
    <w:rsid w:val="005F35F7"/>
    <w:rsid w:val="005F3661"/>
    <w:rsid w:val="005F37C4"/>
    <w:rsid w:val="005F37CD"/>
    <w:rsid w:val="005F37F7"/>
    <w:rsid w:val="005F3A07"/>
    <w:rsid w:val="005F3B2D"/>
    <w:rsid w:val="005F3C06"/>
    <w:rsid w:val="005F3E83"/>
    <w:rsid w:val="005F401A"/>
    <w:rsid w:val="005F40BD"/>
    <w:rsid w:val="005F40ED"/>
    <w:rsid w:val="005F4100"/>
    <w:rsid w:val="005F420A"/>
    <w:rsid w:val="005F4362"/>
    <w:rsid w:val="005F4584"/>
    <w:rsid w:val="005F4675"/>
    <w:rsid w:val="005F4681"/>
    <w:rsid w:val="005F476A"/>
    <w:rsid w:val="005F4926"/>
    <w:rsid w:val="005F4A04"/>
    <w:rsid w:val="005F4C58"/>
    <w:rsid w:val="005F4CA7"/>
    <w:rsid w:val="005F4CBF"/>
    <w:rsid w:val="005F4CDC"/>
    <w:rsid w:val="005F4E9E"/>
    <w:rsid w:val="005F4F82"/>
    <w:rsid w:val="005F5005"/>
    <w:rsid w:val="005F512A"/>
    <w:rsid w:val="005F5193"/>
    <w:rsid w:val="005F5243"/>
    <w:rsid w:val="005F5311"/>
    <w:rsid w:val="005F57A2"/>
    <w:rsid w:val="005F58CB"/>
    <w:rsid w:val="005F58E8"/>
    <w:rsid w:val="005F5960"/>
    <w:rsid w:val="005F5A2D"/>
    <w:rsid w:val="005F5A3D"/>
    <w:rsid w:val="005F5BF6"/>
    <w:rsid w:val="005F5C84"/>
    <w:rsid w:val="005F615B"/>
    <w:rsid w:val="005F61D5"/>
    <w:rsid w:val="005F62AF"/>
    <w:rsid w:val="005F64E7"/>
    <w:rsid w:val="005F6638"/>
    <w:rsid w:val="005F66F9"/>
    <w:rsid w:val="005F67C0"/>
    <w:rsid w:val="005F67F0"/>
    <w:rsid w:val="005F687C"/>
    <w:rsid w:val="005F6961"/>
    <w:rsid w:val="005F697C"/>
    <w:rsid w:val="005F698E"/>
    <w:rsid w:val="005F6B06"/>
    <w:rsid w:val="005F6C74"/>
    <w:rsid w:val="005F6F1E"/>
    <w:rsid w:val="005F6F78"/>
    <w:rsid w:val="005F7050"/>
    <w:rsid w:val="005F731F"/>
    <w:rsid w:val="005F7397"/>
    <w:rsid w:val="005F73E6"/>
    <w:rsid w:val="005F7498"/>
    <w:rsid w:val="005F74F2"/>
    <w:rsid w:val="005F756C"/>
    <w:rsid w:val="005F764A"/>
    <w:rsid w:val="005F7CA7"/>
    <w:rsid w:val="005F7F5F"/>
    <w:rsid w:val="005F7F71"/>
    <w:rsid w:val="00600208"/>
    <w:rsid w:val="006002E4"/>
    <w:rsid w:val="006003EE"/>
    <w:rsid w:val="00600470"/>
    <w:rsid w:val="00600585"/>
    <w:rsid w:val="00600630"/>
    <w:rsid w:val="00600669"/>
    <w:rsid w:val="006006A5"/>
    <w:rsid w:val="0060074A"/>
    <w:rsid w:val="006007D4"/>
    <w:rsid w:val="00600832"/>
    <w:rsid w:val="006008FE"/>
    <w:rsid w:val="0060106C"/>
    <w:rsid w:val="0060112B"/>
    <w:rsid w:val="00601221"/>
    <w:rsid w:val="0060128F"/>
    <w:rsid w:val="00601366"/>
    <w:rsid w:val="006013C6"/>
    <w:rsid w:val="006020A9"/>
    <w:rsid w:val="006020D4"/>
    <w:rsid w:val="00602109"/>
    <w:rsid w:val="0060219D"/>
    <w:rsid w:val="006023D8"/>
    <w:rsid w:val="006024B5"/>
    <w:rsid w:val="006024BE"/>
    <w:rsid w:val="006026A1"/>
    <w:rsid w:val="00602702"/>
    <w:rsid w:val="006029E8"/>
    <w:rsid w:val="00602AB5"/>
    <w:rsid w:val="00602CDF"/>
    <w:rsid w:val="00602DCA"/>
    <w:rsid w:val="00602DE2"/>
    <w:rsid w:val="00602E10"/>
    <w:rsid w:val="00602E63"/>
    <w:rsid w:val="00602EBD"/>
    <w:rsid w:val="0060358C"/>
    <w:rsid w:val="006037B8"/>
    <w:rsid w:val="00603890"/>
    <w:rsid w:val="006038B1"/>
    <w:rsid w:val="0060398E"/>
    <w:rsid w:val="006039A8"/>
    <w:rsid w:val="006039B1"/>
    <w:rsid w:val="00603A73"/>
    <w:rsid w:val="00603BCD"/>
    <w:rsid w:val="00603C13"/>
    <w:rsid w:val="00603D00"/>
    <w:rsid w:val="00603F05"/>
    <w:rsid w:val="00603F13"/>
    <w:rsid w:val="00603F79"/>
    <w:rsid w:val="00603F7E"/>
    <w:rsid w:val="0060411D"/>
    <w:rsid w:val="00604277"/>
    <w:rsid w:val="00604281"/>
    <w:rsid w:val="0060429B"/>
    <w:rsid w:val="00604486"/>
    <w:rsid w:val="006044F7"/>
    <w:rsid w:val="0060451B"/>
    <w:rsid w:val="00604558"/>
    <w:rsid w:val="0060494F"/>
    <w:rsid w:val="006049A5"/>
    <w:rsid w:val="00604CC4"/>
    <w:rsid w:val="00604D16"/>
    <w:rsid w:val="00604E54"/>
    <w:rsid w:val="00604E9E"/>
    <w:rsid w:val="006050E4"/>
    <w:rsid w:val="00605433"/>
    <w:rsid w:val="0060583C"/>
    <w:rsid w:val="006058B0"/>
    <w:rsid w:val="00605B02"/>
    <w:rsid w:val="00605C08"/>
    <w:rsid w:val="00605D63"/>
    <w:rsid w:val="00605E25"/>
    <w:rsid w:val="00605ED0"/>
    <w:rsid w:val="00606102"/>
    <w:rsid w:val="0060613D"/>
    <w:rsid w:val="0060627B"/>
    <w:rsid w:val="006063DD"/>
    <w:rsid w:val="00606616"/>
    <w:rsid w:val="006066E8"/>
    <w:rsid w:val="00606812"/>
    <w:rsid w:val="006068BF"/>
    <w:rsid w:val="00606977"/>
    <w:rsid w:val="00606A53"/>
    <w:rsid w:val="00606A66"/>
    <w:rsid w:val="00606ACA"/>
    <w:rsid w:val="00606CB7"/>
    <w:rsid w:val="00606E2E"/>
    <w:rsid w:val="00606F7D"/>
    <w:rsid w:val="006070F4"/>
    <w:rsid w:val="006071C6"/>
    <w:rsid w:val="006072EE"/>
    <w:rsid w:val="006074C8"/>
    <w:rsid w:val="0060759C"/>
    <w:rsid w:val="0060765C"/>
    <w:rsid w:val="00607681"/>
    <w:rsid w:val="00607689"/>
    <w:rsid w:val="0060770A"/>
    <w:rsid w:val="00607785"/>
    <w:rsid w:val="00607A30"/>
    <w:rsid w:val="00607ADB"/>
    <w:rsid w:val="00607B26"/>
    <w:rsid w:val="00607B36"/>
    <w:rsid w:val="00607C80"/>
    <w:rsid w:val="00607EFA"/>
    <w:rsid w:val="00607F74"/>
    <w:rsid w:val="00610179"/>
    <w:rsid w:val="006101CB"/>
    <w:rsid w:val="006102CD"/>
    <w:rsid w:val="00610402"/>
    <w:rsid w:val="00610695"/>
    <w:rsid w:val="006108E2"/>
    <w:rsid w:val="0061094A"/>
    <w:rsid w:val="00610E65"/>
    <w:rsid w:val="00610E98"/>
    <w:rsid w:val="00610F0E"/>
    <w:rsid w:val="00610F38"/>
    <w:rsid w:val="00611152"/>
    <w:rsid w:val="00611506"/>
    <w:rsid w:val="006117DD"/>
    <w:rsid w:val="006117DF"/>
    <w:rsid w:val="0061180A"/>
    <w:rsid w:val="00611866"/>
    <w:rsid w:val="00611A92"/>
    <w:rsid w:val="00611AB3"/>
    <w:rsid w:val="00611B32"/>
    <w:rsid w:val="00611B53"/>
    <w:rsid w:val="00611CA9"/>
    <w:rsid w:val="00611F54"/>
    <w:rsid w:val="00612059"/>
    <w:rsid w:val="0061210A"/>
    <w:rsid w:val="006121AF"/>
    <w:rsid w:val="00612429"/>
    <w:rsid w:val="00612557"/>
    <w:rsid w:val="0061271B"/>
    <w:rsid w:val="0061277F"/>
    <w:rsid w:val="00612DBA"/>
    <w:rsid w:val="00612F62"/>
    <w:rsid w:val="0061300B"/>
    <w:rsid w:val="006130AC"/>
    <w:rsid w:val="0061325E"/>
    <w:rsid w:val="00613374"/>
    <w:rsid w:val="006135EC"/>
    <w:rsid w:val="006137EA"/>
    <w:rsid w:val="0061395F"/>
    <w:rsid w:val="00613BD8"/>
    <w:rsid w:val="00613DCC"/>
    <w:rsid w:val="00613F22"/>
    <w:rsid w:val="00613F5C"/>
    <w:rsid w:val="00614285"/>
    <w:rsid w:val="006144CE"/>
    <w:rsid w:val="0061477B"/>
    <w:rsid w:val="00614787"/>
    <w:rsid w:val="0061480A"/>
    <w:rsid w:val="0061482D"/>
    <w:rsid w:val="00614951"/>
    <w:rsid w:val="006149B0"/>
    <w:rsid w:val="00614B21"/>
    <w:rsid w:val="00614B3A"/>
    <w:rsid w:val="00614B49"/>
    <w:rsid w:val="00614D42"/>
    <w:rsid w:val="00614DA2"/>
    <w:rsid w:val="00614DED"/>
    <w:rsid w:val="00614E53"/>
    <w:rsid w:val="00615016"/>
    <w:rsid w:val="00615067"/>
    <w:rsid w:val="00615880"/>
    <w:rsid w:val="006158DC"/>
    <w:rsid w:val="0061597B"/>
    <w:rsid w:val="00615CA0"/>
    <w:rsid w:val="00615CF1"/>
    <w:rsid w:val="00615D98"/>
    <w:rsid w:val="00615F37"/>
    <w:rsid w:val="00615F4A"/>
    <w:rsid w:val="006160F1"/>
    <w:rsid w:val="006161F0"/>
    <w:rsid w:val="00616339"/>
    <w:rsid w:val="00616557"/>
    <w:rsid w:val="00616A02"/>
    <w:rsid w:val="00616A26"/>
    <w:rsid w:val="00616A6F"/>
    <w:rsid w:val="00616C63"/>
    <w:rsid w:val="00616E7B"/>
    <w:rsid w:val="00616EDB"/>
    <w:rsid w:val="00616EE3"/>
    <w:rsid w:val="00617040"/>
    <w:rsid w:val="0061716C"/>
    <w:rsid w:val="006171F7"/>
    <w:rsid w:val="006172A3"/>
    <w:rsid w:val="006172EE"/>
    <w:rsid w:val="0061739E"/>
    <w:rsid w:val="006173A5"/>
    <w:rsid w:val="0061745A"/>
    <w:rsid w:val="00617552"/>
    <w:rsid w:val="0061757A"/>
    <w:rsid w:val="00617592"/>
    <w:rsid w:val="006177E3"/>
    <w:rsid w:val="006178AD"/>
    <w:rsid w:val="00617A02"/>
    <w:rsid w:val="00617CFE"/>
    <w:rsid w:val="00617EA3"/>
    <w:rsid w:val="00617F91"/>
    <w:rsid w:val="006201D6"/>
    <w:rsid w:val="00620362"/>
    <w:rsid w:val="0062053E"/>
    <w:rsid w:val="006205D4"/>
    <w:rsid w:val="006206F5"/>
    <w:rsid w:val="00620786"/>
    <w:rsid w:val="0062079C"/>
    <w:rsid w:val="006207B6"/>
    <w:rsid w:val="006208CD"/>
    <w:rsid w:val="00620A3D"/>
    <w:rsid w:val="00620C0C"/>
    <w:rsid w:val="00620D8D"/>
    <w:rsid w:val="00620D9E"/>
    <w:rsid w:val="00620F30"/>
    <w:rsid w:val="00620FDD"/>
    <w:rsid w:val="006211B0"/>
    <w:rsid w:val="0062132E"/>
    <w:rsid w:val="00621689"/>
    <w:rsid w:val="006216DE"/>
    <w:rsid w:val="0062199F"/>
    <w:rsid w:val="00621A24"/>
    <w:rsid w:val="00621A29"/>
    <w:rsid w:val="00621BC9"/>
    <w:rsid w:val="00621EF4"/>
    <w:rsid w:val="006220B9"/>
    <w:rsid w:val="006220C8"/>
    <w:rsid w:val="00622165"/>
    <w:rsid w:val="006221E8"/>
    <w:rsid w:val="0062227B"/>
    <w:rsid w:val="00622379"/>
    <w:rsid w:val="00622434"/>
    <w:rsid w:val="0062277B"/>
    <w:rsid w:val="00622B68"/>
    <w:rsid w:val="00622C27"/>
    <w:rsid w:val="00622D4F"/>
    <w:rsid w:val="00622E17"/>
    <w:rsid w:val="00622E62"/>
    <w:rsid w:val="00622EF6"/>
    <w:rsid w:val="00622EF9"/>
    <w:rsid w:val="0062316B"/>
    <w:rsid w:val="0062358B"/>
    <w:rsid w:val="0062366B"/>
    <w:rsid w:val="0062367C"/>
    <w:rsid w:val="006236BC"/>
    <w:rsid w:val="006237D1"/>
    <w:rsid w:val="0062386F"/>
    <w:rsid w:val="00623908"/>
    <w:rsid w:val="00623B95"/>
    <w:rsid w:val="00623BAE"/>
    <w:rsid w:val="00623D13"/>
    <w:rsid w:val="00623E42"/>
    <w:rsid w:val="00623EF0"/>
    <w:rsid w:val="006241E8"/>
    <w:rsid w:val="0062427D"/>
    <w:rsid w:val="00624395"/>
    <w:rsid w:val="006244E3"/>
    <w:rsid w:val="00624525"/>
    <w:rsid w:val="0062491A"/>
    <w:rsid w:val="0062492B"/>
    <w:rsid w:val="00624934"/>
    <w:rsid w:val="006249A8"/>
    <w:rsid w:val="006249B8"/>
    <w:rsid w:val="00624B8F"/>
    <w:rsid w:val="00624C60"/>
    <w:rsid w:val="00624E7D"/>
    <w:rsid w:val="00624FA3"/>
    <w:rsid w:val="00625026"/>
    <w:rsid w:val="0062506D"/>
    <w:rsid w:val="006255F6"/>
    <w:rsid w:val="006256A4"/>
    <w:rsid w:val="00625813"/>
    <w:rsid w:val="00625939"/>
    <w:rsid w:val="006259B5"/>
    <w:rsid w:val="00625A5E"/>
    <w:rsid w:val="00625A60"/>
    <w:rsid w:val="00625B7F"/>
    <w:rsid w:val="00626077"/>
    <w:rsid w:val="00626322"/>
    <w:rsid w:val="00626411"/>
    <w:rsid w:val="0062642D"/>
    <w:rsid w:val="0062649C"/>
    <w:rsid w:val="00626566"/>
    <w:rsid w:val="006265A9"/>
    <w:rsid w:val="006266FA"/>
    <w:rsid w:val="00626768"/>
    <w:rsid w:val="0062682E"/>
    <w:rsid w:val="00626919"/>
    <w:rsid w:val="0062694B"/>
    <w:rsid w:val="00626A7B"/>
    <w:rsid w:val="00626A9E"/>
    <w:rsid w:val="00626AA2"/>
    <w:rsid w:val="00626F81"/>
    <w:rsid w:val="00627093"/>
    <w:rsid w:val="006270AA"/>
    <w:rsid w:val="006272B5"/>
    <w:rsid w:val="006275B7"/>
    <w:rsid w:val="006275E4"/>
    <w:rsid w:val="006275FD"/>
    <w:rsid w:val="006276CA"/>
    <w:rsid w:val="00627731"/>
    <w:rsid w:val="006277DD"/>
    <w:rsid w:val="0062795F"/>
    <w:rsid w:val="00627A10"/>
    <w:rsid w:val="00627AEE"/>
    <w:rsid w:val="00627BFC"/>
    <w:rsid w:val="00627ED2"/>
    <w:rsid w:val="006300C1"/>
    <w:rsid w:val="006301B0"/>
    <w:rsid w:val="006301DC"/>
    <w:rsid w:val="00630488"/>
    <w:rsid w:val="0063059C"/>
    <w:rsid w:val="006305A8"/>
    <w:rsid w:val="006306FD"/>
    <w:rsid w:val="006309C5"/>
    <w:rsid w:val="00630A09"/>
    <w:rsid w:val="00630BD9"/>
    <w:rsid w:val="00630CC9"/>
    <w:rsid w:val="00630D3F"/>
    <w:rsid w:val="00630E51"/>
    <w:rsid w:val="00630F1A"/>
    <w:rsid w:val="00630FB9"/>
    <w:rsid w:val="006312A9"/>
    <w:rsid w:val="00631360"/>
    <w:rsid w:val="006313AA"/>
    <w:rsid w:val="006313CB"/>
    <w:rsid w:val="006313CD"/>
    <w:rsid w:val="006314DC"/>
    <w:rsid w:val="006314EA"/>
    <w:rsid w:val="00631708"/>
    <w:rsid w:val="00631915"/>
    <w:rsid w:val="006319D7"/>
    <w:rsid w:val="00631A1B"/>
    <w:rsid w:val="00631A6E"/>
    <w:rsid w:val="00631ACD"/>
    <w:rsid w:val="00631D4F"/>
    <w:rsid w:val="00631E4D"/>
    <w:rsid w:val="006320C5"/>
    <w:rsid w:val="00632295"/>
    <w:rsid w:val="006322CB"/>
    <w:rsid w:val="00632459"/>
    <w:rsid w:val="00632750"/>
    <w:rsid w:val="00632A1D"/>
    <w:rsid w:val="00632BE8"/>
    <w:rsid w:val="00632D15"/>
    <w:rsid w:val="00632FA5"/>
    <w:rsid w:val="0063307C"/>
    <w:rsid w:val="006330D2"/>
    <w:rsid w:val="006330DD"/>
    <w:rsid w:val="0063314A"/>
    <w:rsid w:val="00633155"/>
    <w:rsid w:val="0063316C"/>
    <w:rsid w:val="0063324F"/>
    <w:rsid w:val="00633289"/>
    <w:rsid w:val="0063339D"/>
    <w:rsid w:val="006336D2"/>
    <w:rsid w:val="006338A7"/>
    <w:rsid w:val="00633B06"/>
    <w:rsid w:val="00633C4E"/>
    <w:rsid w:val="00633C91"/>
    <w:rsid w:val="00633FC6"/>
    <w:rsid w:val="0063426F"/>
    <w:rsid w:val="006343EC"/>
    <w:rsid w:val="006344E6"/>
    <w:rsid w:val="0063460E"/>
    <w:rsid w:val="00634998"/>
    <w:rsid w:val="00634BA1"/>
    <w:rsid w:val="00634E56"/>
    <w:rsid w:val="00634EF5"/>
    <w:rsid w:val="00634FD6"/>
    <w:rsid w:val="006350D9"/>
    <w:rsid w:val="006350FD"/>
    <w:rsid w:val="00635159"/>
    <w:rsid w:val="006351CE"/>
    <w:rsid w:val="0063564E"/>
    <w:rsid w:val="006356DA"/>
    <w:rsid w:val="0063571A"/>
    <w:rsid w:val="006357D8"/>
    <w:rsid w:val="006358CD"/>
    <w:rsid w:val="00635B58"/>
    <w:rsid w:val="00635C2D"/>
    <w:rsid w:val="00635C3B"/>
    <w:rsid w:val="00635CDD"/>
    <w:rsid w:val="00636091"/>
    <w:rsid w:val="006360D6"/>
    <w:rsid w:val="0063613A"/>
    <w:rsid w:val="00636225"/>
    <w:rsid w:val="006362A7"/>
    <w:rsid w:val="006364D7"/>
    <w:rsid w:val="0063652B"/>
    <w:rsid w:val="006367C0"/>
    <w:rsid w:val="0063687C"/>
    <w:rsid w:val="00636978"/>
    <w:rsid w:val="00636A56"/>
    <w:rsid w:val="00636CEE"/>
    <w:rsid w:val="00636D8F"/>
    <w:rsid w:val="00636E09"/>
    <w:rsid w:val="00637370"/>
    <w:rsid w:val="006373F0"/>
    <w:rsid w:val="006377FA"/>
    <w:rsid w:val="00637926"/>
    <w:rsid w:val="00637930"/>
    <w:rsid w:val="00637A3E"/>
    <w:rsid w:val="00637C43"/>
    <w:rsid w:val="00637C4A"/>
    <w:rsid w:val="00637F3D"/>
    <w:rsid w:val="00637F79"/>
    <w:rsid w:val="00637FD0"/>
    <w:rsid w:val="00640088"/>
    <w:rsid w:val="0064011C"/>
    <w:rsid w:val="0064024D"/>
    <w:rsid w:val="006407AD"/>
    <w:rsid w:val="006407F9"/>
    <w:rsid w:val="00640976"/>
    <w:rsid w:val="00640D86"/>
    <w:rsid w:val="00640E17"/>
    <w:rsid w:val="00640F8D"/>
    <w:rsid w:val="00641026"/>
    <w:rsid w:val="0064127F"/>
    <w:rsid w:val="006414AD"/>
    <w:rsid w:val="00641683"/>
    <w:rsid w:val="006416C4"/>
    <w:rsid w:val="0064189B"/>
    <w:rsid w:val="006418A2"/>
    <w:rsid w:val="006418BC"/>
    <w:rsid w:val="006418CA"/>
    <w:rsid w:val="006419B6"/>
    <w:rsid w:val="00641AB3"/>
    <w:rsid w:val="00641ACC"/>
    <w:rsid w:val="00641D1B"/>
    <w:rsid w:val="00641EF6"/>
    <w:rsid w:val="00641F13"/>
    <w:rsid w:val="00641F97"/>
    <w:rsid w:val="00642029"/>
    <w:rsid w:val="0064220A"/>
    <w:rsid w:val="006422D0"/>
    <w:rsid w:val="00642389"/>
    <w:rsid w:val="006424F7"/>
    <w:rsid w:val="0064251F"/>
    <w:rsid w:val="00642532"/>
    <w:rsid w:val="006425E9"/>
    <w:rsid w:val="00642681"/>
    <w:rsid w:val="0064284B"/>
    <w:rsid w:val="00642937"/>
    <w:rsid w:val="00642947"/>
    <w:rsid w:val="00642AAB"/>
    <w:rsid w:val="00642B0B"/>
    <w:rsid w:val="00642BE1"/>
    <w:rsid w:val="00642BE9"/>
    <w:rsid w:val="00642C74"/>
    <w:rsid w:val="00642CDE"/>
    <w:rsid w:val="00642D18"/>
    <w:rsid w:val="00642D2C"/>
    <w:rsid w:val="00642D8E"/>
    <w:rsid w:val="00642D96"/>
    <w:rsid w:val="00642E2A"/>
    <w:rsid w:val="00642F84"/>
    <w:rsid w:val="00642F88"/>
    <w:rsid w:val="006430FC"/>
    <w:rsid w:val="006434B5"/>
    <w:rsid w:val="006434BE"/>
    <w:rsid w:val="006435D4"/>
    <w:rsid w:val="00643748"/>
    <w:rsid w:val="006437FC"/>
    <w:rsid w:val="00643826"/>
    <w:rsid w:val="006438AF"/>
    <w:rsid w:val="00643AC6"/>
    <w:rsid w:val="00643B7D"/>
    <w:rsid w:val="00643CAC"/>
    <w:rsid w:val="00643D82"/>
    <w:rsid w:val="00644103"/>
    <w:rsid w:val="00644206"/>
    <w:rsid w:val="00644347"/>
    <w:rsid w:val="00644381"/>
    <w:rsid w:val="00644461"/>
    <w:rsid w:val="006444EC"/>
    <w:rsid w:val="006445C6"/>
    <w:rsid w:val="006446B5"/>
    <w:rsid w:val="00644995"/>
    <w:rsid w:val="00644AC7"/>
    <w:rsid w:val="00644CE1"/>
    <w:rsid w:val="00644CE8"/>
    <w:rsid w:val="006450CA"/>
    <w:rsid w:val="0064534B"/>
    <w:rsid w:val="00645546"/>
    <w:rsid w:val="006455E2"/>
    <w:rsid w:val="006455F0"/>
    <w:rsid w:val="0064561F"/>
    <w:rsid w:val="00645652"/>
    <w:rsid w:val="0064566C"/>
    <w:rsid w:val="006457BD"/>
    <w:rsid w:val="00645842"/>
    <w:rsid w:val="0064587C"/>
    <w:rsid w:val="0064588F"/>
    <w:rsid w:val="00645953"/>
    <w:rsid w:val="00645AC6"/>
    <w:rsid w:val="00645B4B"/>
    <w:rsid w:val="00645C08"/>
    <w:rsid w:val="00645D1F"/>
    <w:rsid w:val="00645DE5"/>
    <w:rsid w:val="00645E9D"/>
    <w:rsid w:val="00646047"/>
    <w:rsid w:val="00646054"/>
    <w:rsid w:val="00646069"/>
    <w:rsid w:val="006462D2"/>
    <w:rsid w:val="006463B0"/>
    <w:rsid w:val="00646423"/>
    <w:rsid w:val="006464F0"/>
    <w:rsid w:val="0064653F"/>
    <w:rsid w:val="006466E8"/>
    <w:rsid w:val="00646823"/>
    <w:rsid w:val="00646939"/>
    <w:rsid w:val="00646B12"/>
    <w:rsid w:val="00646BA5"/>
    <w:rsid w:val="00646BCF"/>
    <w:rsid w:val="00646E10"/>
    <w:rsid w:val="00646E39"/>
    <w:rsid w:val="00646E40"/>
    <w:rsid w:val="00646ED9"/>
    <w:rsid w:val="00646FBE"/>
    <w:rsid w:val="0064706A"/>
    <w:rsid w:val="0064722A"/>
    <w:rsid w:val="0064727C"/>
    <w:rsid w:val="0064728C"/>
    <w:rsid w:val="0064752B"/>
    <w:rsid w:val="0064752E"/>
    <w:rsid w:val="006475CF"/>
    <w:rsid w:val="0064765D"/>
    <w:rsid w:val="0064768D"/>
    <w:rsid w:val="006477AE"/>
    <w:rsid w:val="00647807"/>
    <w:rsid w:val="00647859"/>
    <w:rsid w:val="00647975"/>
    <w:rsid w:val="00647F47"/>
    <w:rsid w:val="006500F9"/>
    <w:rsid w:val="0065016F"/>
    <w:rsid w:val="006503BD"/>
    <w:rsid w:val="00650691"/>
    <w:rsid w:val="00650794"/>
    <w:rsid w:val="006508A5"/>
    <w:rsid w:val="00650A29"/>
    <w:rsid w:val="00650A7D"/>
    <w:rsid w:val="00650B8A"/>
    <w:rsid w:val="00650BA2"/>
    <w:rsid w:val="00650C0C"/>
    <w:rsid w:val="00650D43"/>
    <w:rsid w:val="006511DF"/>
    <w:rsid w:val="00651307"/>
    <w:rsid w:val="0065130C"/>
    <w:rsid w:val="006515B6"/>
    <w:rsid w:val="00651923"/>
    <w:rsid w:val="00651954"/>
    <w:rsid w:val="00651A45"/>
    <w:rsid w:val="00651C3C"/>
    <w:rsid w:val="00651C49"/>
    <w:rsid w:val="00651EBF"/>
    <w:rsid w:val="0065203E"/>
    <w:rsid w:val="006521FD"/>
    <w:rsid w:val="006522C4"/>
    <w:rsid w:val="0065239D"/>
    <w:rsid w:val="0065247A"/>
    <w:rsid w:val="00652498"/>
    <w:rsid w:val="006526C9"/>
    <w:rsid w:val="006526E4"/>
    <w:rsid w:val="00652714"/>
    <w:rsid w:val="0065286D"/>
    <w:rsid w:val="006528B9"/>
    <w:rsid w:val="00652CB8"/>
    <w:rsid w:val="00652EA5"/>
    <w:rsid w:val="00652EC7"/>
    <w:rsid w:val="00653097"/>
    <w:rsid w:val="00653182"/>
    <w:rsid w:val="006531AE"/>
    <w:rsid w:val="006532B8"/>
    <w:rsid w:val="006534FA"/>
    <w:rsid w:val="0065359E"/>
    <w:rsid w:val="0065369B"/>
    <w:rsid w:val="006536D8"/>
    <w:rsid w:val="006536E1"/>
    <w:rsid w:val="00653841"/>
    <w:rsid w:val="00653906"/>
    <w:rsid w:val="00653A24"/>
    <w:rsid w:val="00653CE0"/>
    <w:rsid w:val="00653D09"/>
    <w:rsid w:val="00653DB5"/>
    <w:rsid w:val="00653DCC"/>
    <w:rsid w:val="00653F1A"/>
    <w:rsid w:val="00653F62"/>
    <w:rsid w:val="006540D5"/>
    <w:rsid w:val="00654172"/>
    <w:rsid w:val="0065422D"/>
    <w:rsid w:val="00654429"/>
    <w:rsid w:val="0065449B"/>
    <w:rsid w:val="006544E5"/>
    <w:rsid w:val="0065451F"/>
    <w:rsid w:val="00654648"/>
    <w:rsid w:val="00654668"/>
    <w:rsid w:val="00654A22"/>
    <w:rsid w:val="00654AA0"/>
    <w:rsid w:val="00654B5A"/>
    <w:rsid w:val="00654B8F"/>
    <w:rsid w:val="00654C8B"/>
    <w:rsid w:val="00654CB1"/>
    <w:rsid w:val="00654E1D"/>
    <w:rsid w:val="00655139"/>
    <w:rsid w:val="0065516D"/>
    <w:rsid w:val="0065543C"/>
    <w:rsid w:val="00655695"/>
    <w:rsid w:val="00655746"/>
    <w:rsid w:val="006557E6"/>
    <w:rsid w:val="00655818"/>
    <w:rsid w:val="006559FF"/>
    <w:rsid w:val="00655B83"/>
    <w:rsid w:val="00655C9F"/>
    <w:rsid w:val="00655D36"/>
    <w:rsid w:val="00655DEE"/>
    <w:rsid w:val="00655E68"/>
    <w:rsid w:val="00655F65"/>
    <w:rsid w:val="006561F8"/>
    <w:rsid w:val="006563EF"/>
    <w:rsid w:val="00656417"/>
    <w:rsid w:val="00656622"/>
    <w:rsid w:val="006566E2"/>
    <w:rsid w:val="006567A7"/>
    <w:rsid w:val="006567B5"/>
    <w:rsid w:val="00656966"/>
    <w:rsid w:val="00656ABD"/>
    <w:rsid w:val="00656B9E"/>
    <w:rsid w:val="00656BD3"/>
    <w:rsid w:val="00656C6F"/>
    <w:rsid w:val="00656D48"/>
    <w:rsid w:val="00656DBA"/>
    <w:rsid w:val="00656F00"/>
    <w:rsid w:val="006574A6"/>
    <w:rsid w:val="0065756D"/>
    <w:rsid w:val="0065762C"/>
    <w:rsid w:val="006578EB"/>
    <w:rsid w:val="00657CD0"/>
    <w:rsid w:val="00657D4D"/>
    <w:rsid w:val="00657EEA"/>
    <w:rsid w:val="0066044B"/>
    <w:rsid w:val="006604D4"/>
    <w:rsid w:val="00660504"/>
    <w:rsid w:val="0066069E"/>
    <w:rsid w:val="00660794"/>
    <w:rsid w:val="0066087F"/>
    <w:rsid w:val="00660960"/>
    <w:rsid w:val="00660B26"/>
    <w:rsid w:val="00660BF0"/>
    <w:rsid w:val="00660BFB"/>
    <w:rsid w:val="00660DC0"/>
    <w:rsid w:val="00660E3A"/>
    <w:rsid w:val="006610A5"/>
    <w:rsid w:val="0066117B"/>
    <w:rsid w:val="006612F3"/>
    <w:rsid w:val="00661435"/>
    <w:rsid w:val="006614D5"/>
    <w:rsid w:val="00661779"/>
    <w:rsid w:val="006618C7"/>
    <w:rsid w:val="00661960"/>
    <w:rsid w:val="006619AE"/>
    <w:rsid w:val="00661CB7"/>
    <w:rsid w:val="00661D27"/>
    <w:rsid w:val="00661D2F"/>
    <w:rsid w:val="00661E01"/>
    <w:rsid w:val="00661E2A"/>
    <w:rsid w:val="00661ED7"/>
    <w:rsid w:val="00661FF7"/>
    <w:rsid w:val="006621E6"/>
    <w:rsid w:val="006622C1"/>
    <w:rsid w:val="00662370"/>
    <w:rsid w:val="0066279B"/>
    <w:rsid w:val="00662A23"/>
    <w:rsid w:val="00662A57"/>
    <w:rsid w:val="00662BA6"/>
    <w:rsid w:val="00662BA9"/>
    <w:rsid w:val="00662BC0"/>
    <w:rsid w:val="00662F14"/>
    <w:rsid w:val="00662FAE"/>
    <w:rsid w:val="006630BF"/>
    <w:rsid w:val="006630C4"/>
    <w:rsid w:val="0066332C"/>
    <w:rsid w:val="00663333"/>
    <w:rsid w:val="0066363C"/>
    <w:rsid w:val="0066366C"/>
    <w:rsid w:val="006637D8"/>
    <w:rsid w:val="00663829"/>
    <w:rsid w:val="00663870"/>
    <w:rsid w:val="0066389C"/>
    <w:rsid w:val="006638D6"/>
    <w:rsid w:val="00663949"/>
    <w:rsid w:val="00663A70"/>
    <w:rsid w:val="00663A83"/>
    <w:rsid w:val="00663BFB"/>
    <w:rsid w:val="00663C79"/>
    <w:rsid w:val="00663DB6"/>
    <w:rsid w:val="00663DBD"/>
    <w:rsid w:val="00663E02"/>
    <w:rsid w:val="00663EB7"/>
    <w:rsid w:val="0066455C"/>
    <w:rsid w:val="0066472B"/>
    <w:rsid w:val="006649CF"/>
    <w:rsid w:val="00664A80"/>
    <w:rsid w:val="00664ADF"/>
    <w:rsid w:val="00664CD5"/>
    <w:rsid w:val="00664F59"/>
    <w:rsid w:val="00664FD0"/>
    <w:rsid w:val="00665066"/>
    <w:rsid w:val="00665228"/>
    <w:rsid w:val="0066537C"/>
    <w:rsid w:val="0066562B"/>
    <w:rsid w:val="006656DD"/>
    <w:rsid w:val="00665AE3"/>
    <w:rsid w:val="00665C09"/>
    <w:rsid w:val="00665EF4"/>
    <w:rsid w:val="00666071"/>
    <w:rsid w:val="006660AD"/>
    <w:rsid w:val="00666170"/>
    <w:rsid w:val="006661DE"/>
    <w:rsid w:val="006661F1"/>
    <w:rsid w:val="00666339"/>
    <w:rsid w:val="006663AA"/>
    <w:rsid w:val="0066655F"/>
    <w:rsid w:val="006665DA"/>
    <w:rsid w:val="006669A5"/>
    <w:rsid w:val="00666B01"/>
    <w:rsid w:val="00666BED"/>
    <w:rsid w:val="00666DB1"/>
    <w:rsid w:val="00666F06"/>
    <w:rsid w:val="00666F30"/>
    <w:rsid w:val="00666F47"/>
    <w:rsid w:val="0066700E"/>
    <w:rsid w:val="00667048"/>
    <w:rsid w:val="006671C1"/>
    <w:rsid w:val="00667356"/>
    <w:rsid w:val="00667387"/>
    <w:rsid w:val="00667488"/>
    <w:rsid w:val="006674D2"/>
    <w:rsid w:val="006676CF"/>
    <w:rsid w:val="00667848"/>
    <w:rsid w:val="00667945"/>
    <w:rsid w:val="00667C37"/>
    <w:rsid w:val="00667E28"/>
    <w:rsid w:val="00670202"/>
    <w:rsid w:val="0067023A"/>
    <w:rsid w:val="006702EC"/>
    <w:rsid w:val="00670373"/>
    <w:rsid w:val="0067055F"/>
    <w:rsid w:val="00670648"/>
    <w:rsid w:val="00670658"/>
    <w:rsid w:val="00670849"/>
    <w:rsid w:val="0067091B"/>
    <w:rsid w:val="00670934"/>
    <w:rsid w:val="00670BE2"/>
    <w:rsid w:val="00670CA4"/>
    <w:rsid w:val="00670DE4"/>
    <w:rsid w:val="006710B5"/>
    <w:rsid w:val="006714B6"/>
    <w:rsid w:val="006714CE"/>
    <w:rsid w:val="006715E6"/>
    <w:rsid w:val="006715F2"/>
    <w:rsid w:val="00671872"/>
    <w:rsid w:val="0067188F"/>
    <w:rsid w:val="00671A83"/>
    <w:rsid w:val="00671B54"/>
    <w:rsid w:val="00671CEE"/>
    <w:rsid w:val="00671D2B"/>
    <w:rsid w:val="00671E34"/>
    <w:rsid w:val="00671E42"/>
    <w:rsid w:val="00672059"/>
    <w:rsid w:val="0067212F"/>
    <w:rsid w:val="0067238C"/>
    <w:rsid w:val="006724E8"/>
    <w:rsid w:val="00672557"/>
    <w:rsid w:val="006725A7"/>
    <w:rsid w:val="00672621"/>
    <w:rsid w:val="006727C1"/>
    <w:rsid w:val="0067293A"/>
    <w:rsid w:val="00672D96"/>
    <w:rsid w:val="00673034"/>
    <w:rsid w:val="006732D6"/>
    <w:rsid w:val="00673332"/>
    <w:rsid w:val="00673356"/>
    <w:rsid w:val="006738C5"/>
    <w:rsid w:val="00673AA0"/>
    <w:rsid w:val="00673BE6"/>
    <w:rsid w:val="00673E46"/>
    <w:rsid w:val="00673E93"/>
    <w:rsid w:val="0067416F"/>
    <w:rsid w:val="0067429A"/>
    <w:rsid w:val="00674439"/>
    <w:rsid w:val="0067466B"/>
    <w:rsid w:val="00674727"/>
    <w:rsid w:val="006748A9"/>
    <w:rsid w:val="006748BD"/>
    <w:rsid w:val="0067495F"/>
    <w:rsid w:val="006749D0"/>
    <w:rsid w:val="00674B0C"/>
    <w:rsid w:val="00674D9B"/>
    <w:rsid w:val="00674E47"/>
    <w:rsid w:val="00674E8B"/>
    <w:rsid w:val="00674F0A"/>
    <w:rsid w:val="006750CC"/>
    <w:rsid w:val="0067585B"/>
    <w:rsid w:val="0067589B"/>
    <w:rsid w:val="00675955"/>
    <w:rsid w:val="00675A12"/>
    <w:rsid w:val="00675D4F"/>
    <w:rsid w:val="0067600A"/>
    <w:rsid w:val="00676057"/>
    <w:rsid w:val="0067609F"/>
    <w:rsid w:val="006761FF"/>
    <w:rsid w:val="006763B9"/>
    <w:rsid w:val="006763BC"/>
    <w:rsid w:val="00676445"/>
    <w:rsid w:val="006764D1"/>
    <w:rsid w:val="006766DC"/>
    <w:rsid w:val="006766F5"/>
    <w:rsid w:val="006767AE"/>
    <w:rsid w:val="006767E1"/>
    <w:rsid w:val="0067690A"/>
    <w:rsid w:val="006769D9"/>
    <w:rsid w:val="00676A08"/>
    <w:rsid w:val="00676BAB"/>
    <w:rsid w:val="00676CBC"/>
    <w:rsid w:val="00676D93"/>
    <w:rsid w:val="00676E03"/>
    <w:rsid w:val="00676E84"/>
    <w:rsid w:val="006770E9"/>
    <w:rsid w:val="006770FA"/>
    <w:rsid w:val="00677226"/>
    <w:rsid w:val="00677370"/>
    <w:rsid w:val="00677403"/>
    <w:rsid w:val="006776AC"/>
    <w:rsid w:val="006777DD"/>
    <w:rsid w:val="00677A5B"/>
    <w:rsid w:val="00677AE6"/>
    <w:rsid w:val="00677AF7"/>
    <w:rsid w:val="00677BD1"/>
    <w:rsid w:val="00680036"/>
    <w:rsid w:val="0068019F"/>
    <w:rsid w:val="00680379"/>
    <w:rsid w:val="0068048D"/>
    <w:rsid w:val="006804D0"/>
    <w:rsid w:val="006806B5"/>
    <w:rsid w:val="006806F9"/>
    <w:rsid w:val="006808F7"/>
    <w:rsid w:val="00680A97"/>
    <w:rsid w:val="00680B3E"/>
    <w:rsid w:val="00680CBC"/>
    <w:rsid w:val="00680E41"/>
    <w:rsid w:val="00680EE0"/>
    <w:rsid w:val="00681176"/>
    <w:rsid w:val="006811A7"/>
    <w:rsid w:val="006811D5"/>
    <w:rsid w:val="00681225"/>
    <w:rsid w:val="006812E7"/>
    <w:rsid w:val="0068142F"/>
    <w:rsid w:val="006816B4"/>
    <w:rsid w:val="006816C4"/>
    <w:rsid w:val="006818DC"/>
    <w:rsid w:val="00681A54"/>
    <w:rsid w:val="00681C11"/>
    <w:rsid w:val="00681C57"/>
    <w:rsid w:val="00681CC2"/>
    <w:rsid w:val="00682028"/>
    <w:rsid w:val="006820B9"/>
    <w:rsid w:val="00682241"/>
    <w:rsid w:val="0068238B"/>
    <w:rsid w:val="0068246D"/>
    <w:rsid w:val="0068275E"/>
    <w:rsid w:val="00682971"/>
    <w:rsid w:val="00682985"/>
    <w:rsid w:val="00682BD4"/>
    <w:rsid w:val="00682E08"/>
    <w:rsid w:val="00682E4E"/>
    <w:rsid w:val="00682E99"/>
    <w:rsid w:val="00682FF9"/>
    <w:rsid w:val="00683054"/>
    <w:rsid w:val="00683154"/>
    <w:rsid w:val="00683359"/>
    <w:rsid w:val="00683577"/>
    <w:rsid w:val="006838AC"/>
    <w:rsid w:val="006838BB"/>
    <w:rsid w:val="006839C6"/>
    <w:rsid w:val="00683A7E"/>
    <w:rsid w:val="00683AEA"/>
    <w:rsid w:val="00683B8A"/>
    <w:rsid w:val="00683C77"/>
    <w:rsid w:val="00683FDA"/>
    <w:rsid w:val="006841B9"/>
    <w:rsid w:val="0068427D"/>
    <w:rsid w:val="0068436E"/>
    <w:rsid w:val="00684479"/>
    <w:rsid w:val="006845A6"/>
    <w:rsid w:val="006845F4"/>
    <w:rsid w:val="00684606"/>
    <w:rsid w:val="0068497E"/>
    <w:rsid w:val="006849B5"/>
    <w:rsid w:val="00684ADD"/>
    <w:rsid w:val="00685042"/>
    <w:rsid w:val="0068515F"/>
    <w:rsid w:val="0068520D"/>
    <w:rsid w:val="00685250"/>
    <w:rsid w:val="006853EB"/>
    <w:rsid w:val="0068569D"/>
    <w:rsid w:val="00685791"/>
    <w:rsid w:val="006858F4"/>
    <w:rsid w:val="00685951"/>
    <w:rsid w:val="00685B03"/>
    <w:rsid w:val="00685DBD"/>
    <w:rsid w:val="00685F1B"/>
    <w:rsid w:val="0068624C"/>
    <w:rsid w:val="0068626C"/>
    <w:rsid w:val="006862DB"/>
    <w:rsid w:val="00686357"/>
    <w:rsid w:val="0068684A"/>
    <w:rsid w:val="0068690A"/>
    <w:rsid w:val="00686AB9"/>
    <w:rsid w:val="00686B68"/>
    <w:rsid w:val="00686C5A"/>
    <w:rsid w:val="00686D0E"/>
    <w:rsid w:val="00687224"/>
    <w:rsid w:val="0068730B"/>
    <w:rsid w:val="00687478"/>
    <w:rsid w:val="0068763B"/>
    <w:rsid w:val="006878D3"/>
    <w:rsid w:val="006879C2"/>
    <w:rsid w:val="00687B87"/>
    <w:rsid w:val="00687EBA"/>
    <w:rsid w:val="00687F03"/>
    <w:rsid w:val="00687FD5"/>
    <w:rsid w:val="006900B7"/>
    <w:rsid w:val="0069014D"/>
    <w:rsid w:val="006901B6"/>
    <w:rsid w:val="00690247"/>
    <w:rsid w:val="0069034C"/>
    <w:rsid w:val="006903B5"/>
    <w:rsid w:val="00690454"/>
    <w:rsid w:val="006906E8"/>
    <w:rsid w:val="00690832"/>
    <w:rsid w:val="0069085A"/>
    <w:rsid w:val="00690982"/>
    <w:rsid w:val="006909EB"/>
    <w:rsid w:val="00690C2B"/>
    <w:rsid w:val="00690DAC"/>
    <w:rsid w:val="006911F6"/>
    <w:rsid w:val="006912C8"/>
    <w:rsid w:val="0069153D"/>
    <w:rsid w:val="0069192C"/>
    <w:rsid w:val="006919C8"/>
    <w:rsid w:val="006919E0"/>
    <w:rsid w:val="00691A3D"/>
    <w:rsid w:val="00691B2A"/>
    <w:rsid w:val="00691BC2"/>
    <w:rsid w:val="00691C9F"/>
    <w:rsid w:val="00691DD5"/>
    <w:rsid w:val="00691FED"/>
    <w:rsid w:val="006920F9"/>
    <w:rsid w:val="00692345"/>
    <w:rsid w:val="006923E4"/>
    <w:rsid w:val="00692758"/>
    <w:rsid w:val="006928D5"/>
    <w:rsid w:val="006928E7"/>
    <w:rsid w:val="00692901"/>
    <w:rsid w:val="00692968"/>
    <w:rsid w:val="00692ADF"/>
    <w:rsid w:val="00692B76"/>
    <w:rsid w:val="00692B97"/>
    <w:rsid w:val="00692C0F"/>
    <w:rsid w:val="00692F57"/>
    <w:rsid w:val="00692F75"/>
    <w:rsid w:val="00693352"/>
    <w:rsid w:val="00693391"/>
    <w:rsid w:val="00693392"/>
    <w:rsid w:val="00693681"/>
    <w:rsid w:val="00693855"/>
    <w:rsid w:val="0069395D"/>
    <w:rsid w:val="00694075"/>
    <w:rsid w:val="006942A7"/>
    <w:rsid w:val="0069445C"/>
    <w:rsid w:val="00694507"/>
    <w:rsid w:val="00694690"/>
    <w:rsid w:val="006947C6"/>
    <w:rsid w:val="006948B6"/>
    <w:rsid w:val="0069498E"/>
    <w:rsid w:val="00694AC5"/>
    <w:rsid w:val="00694BD4"/>
    <w:rsid w:val="00694ED2"/>
    <w:rsid w:val="00694F69"/>
    <w:rsid w:val="00694F94"/>
    <w:rsid w:val="006951A8"/>
    <w:rsid w:val="00695790"/>
    <w:rsid w:val="006959C4"/>
    <w:rsid w:val="006959F1"/>
    <w:rsid w:val="00695A8C"/>
    <w:rsid w:val="00695A9C"/>
    <w:rsid w:val="00695C10"/>
    <w:rsid w:val="00695DEC"/>
    <w:rsid w:val="00695E23"/>
    <w:rsid w:val="00695F3D"/>
    <w:rsid w:val="0069602E"/>
    <w:rsid w:val="00696257"/>
    <w:rsid w:val="0069637B"/>
    <w:rsid w:val="00696504"/>
    <w:rsid w:val="00696579"/>
    <w:rsid w:val="006965B9"/>
    <w:rsid w:val="006965FA"/>
    <w:rsid w:val="00696822"/>
    <w:rsid w:val="00696900"/>
    <w:rsid w:val="00696C78"/>
    <w:rsid w:val="00696E25"/>
    <w:rsid w:val="00697181"/>
    <w:rsid w:val="0069766A"/>
    <w:rsid w:val="006977EB"/>
    <w:rsid w:val="00697817"/>
    <w:rsid w:val="006978D0"/>
    <w:rsid w:val="00697963"/>
    <w:rsid w:val="00697C62"/>
    <w:rsid w:val="00697EDD"/>
    <w:rsid w:val="00697EE5"/>
    <w:rsid w:val="006A0068"/>
    <w:rsid w:val="006A0193"/>
    <w:rsid w:val="006A0216"/>
    <w:rsid w:val="006A02A7"/>
    <w:rsid w:val="006A048B"/>
    <w:rsid w:val="006A0532"/>
    <w:rsid w:val="006A0581"/>
    <w:rsid w:val="006A0794"/>
    <w:rsid w:val="006A07BC"/>
    <w:rsid w:val="006A087A"/>
    <w:rsid w:val="006A0928"/>
    <w:rsid w:val="006A095C"/>
    <w:rsid w:val="006A0A0C"/>
    <w:rsid w:val="006A0C5C"/>
    <w:rsid w:val="006A0D11"/>
    <w:rsid w:val="006A0F06"/>
    <w:rsid w:val="006A0F15"/>
    <w:rsid w:val="006A127C"/>
    <w:rsid w:val="006A1286"/>
    <w:rsid w:val="006A1646"/>
    <w:rsid w:val="006A17E5"/>
    <w:rsid w:val="006A1865"/>
    <w:rsid w:val="006A1A77"/>
    <w:rsid w:val="006A1ACA"/>
    <w:rsid w:val="006A1AFC"/>
    <w:rsid w:val="006A218C"/>
    <w:rsid w:val="006A2242"/>
    <w:rsid w:val="006A2306"/>
    <w:rsid w:val="006A2385"/>
    <w:rsid w:val="006A23EA"/>
    <w:rsid w:val="006A2512"/>
    <w:rsid w:val="006A2646"/>
    <w:rsid w:val="006A264B"/>
    <w:rsid w:val="006A275E"/>
    <w:rsid w:val="006A28E8"/>
    <w:rsid w:val="006A2A78"/>
    <w:rsid w:val="006A2EA3"/>
    <w:rsid w:val="006A2EE3"/>
    <w:rsid w:val="006A348B"/>
    <w:rsid w:val="006A3578"/>
    <w:rsid w:val="006A3673"/>
    <w:rsid w:val="006A3714"/>
    <w:rsid w:val="006A37F6"/>
    <w:rsid w:val="006A3993"/>
    <w:rsid w:val="006A3B88"/>
    <w:rsid w:val="006A3CAF"/>
    <w:rsid w:val="006A3CF0"/>
    <w:rsid w:val="006A3ED7"/>
    <w:rsid w:val="006A3F76"/>
    <w:rsid w:val="006A3F80"/>
    <w:rsid w:val="006A40EB"/>
    <w:rsid w:val="006A4103"/>
    <w:rsid w:val="006A4166"/>
    <w:rsid w:val="006A4231"/>
    <w:rsid w:val="006A4241"/>
    <w:rsid w:val="006A4364"/>
    <w:rsid w:val="006A4535"/>
    <w:rsid w:val="006A45B2"/>
    <w:rsid w:val="006A479C"/>
    <w:rsid w:val="006A48FF"/>
    <w:rsid w:val="006A4A1E"/>
    <w:rsid w:val="006A4A8D"/>
    <w:rsid w:val="006A4A97"/>
    <w:rsid w:val="006A4B2C"/>
    <w:rsid w:val="006A4B8E"/>
    <w:rsid w:val="006A4BBC"/>
    <w:rsid w:val="006A4BFD"/>
    <w:rsid w:val="006A4C2C"/>
    <w:rsid w:val="006A4C81"/>
    <w:rsid w:val="006A4DD3"/>
    <w:rsid w:val="006A4FBE"/>
    <w:rsid w:val="006A5083"/>
    <w:rsid w:val="006A5087"/>
    <w:rsid w:val="006A5110"/>
    <w:rsid w:val="006A53BF"/>
    <w:rsid w:val="006A5447"/>
    <w:rsid w:val="006A546F"/>
    <w:rsid w:val="006A54EE"/>
    <w:rsid w:val="006A5646"/>
    <w:rsid w:val="006A5659"/>
    <w:rsid w:val="006A56B8"/>
    <w:rsid w:val="006A5911"/>
    <w:rsid w:val="006A5A9B"/>
    <w:rsid w:val="006A5B48"/>
    <w:rsid w:val="006A5BFE"/>
    <w:rsid w:val="006A5D1D"/>
    <w:rsid w:val="006A5EF3"/>
    <w:rsid w:val="006A607A"/>
    <w:rsid w:val="006A6175"/>
    <w:rsid w:val="006A62F0"/>
    <w:rsid w:val="006A6425"/>
    <w:rsid w:val="006A6453"/>
    <w:rsid w:val="006A656F"/>
    <w:rsid w:val="006A65EC"/>
    <w:rsid w:val="006A67D1"/>
    <w:rsid w:val="006A6897"/>
    <w:rsid w:val="006A6A95"/>
    <w:rsid w:val="006A6AE3"/>
    <w:rsid w:val="006A6B07"/>
    <w:rsid w:val="006A6B48"/>
    <w:rsid w:val="006A6BB8"/>
    <w:rsid w:val="006A6E65"/>
    <w:rsid w:val="006A71BD"/>
    <w:rsid w:val="006A7242"/>
    <w:rsid w:val="006A7309"/>
    <w:rsid w:val="006A74CA"/>
    <w:rsid w:val="006A7577"/>
    <w:rsid w:val="006A778D"/>
    <w:rsid w:val="006A779F"/>
    <w:rsid w:val="006A79E1"/>
    <w:rsid w:val="006A7AA6"/>
    <w:rsid w:val="006A7BA2"/>
    <w:rsid w:val="006A7C45"/>
    <w:rsid w:val="006A7C97"/>
    <w:rsid w:val="006A7D3A"/>
    <w:rsid w:val="006A7D79"/>
    <w:rsid w:val="006A7DDD"/>
    <w:rsid w:val="006A7F7C"/>
    <w:rsid w:val="006A7FF8"/>
    <w:rsid w:val="006B00EA"/>
    <w:rsid w:val="006B01BA"/>
    <w:rsid w:val="006B02C8"/>
    <w:rsid w:val="006B034B"/>
    <w:rsid w:val="006B03CE"/>
    <w:rsid w:val="006B0423"/>
    <w:rsid w:val="006B044D"/>
    <w:rsid w:val="006B04D1"/>
    <w:rsid w:val="006B05E0"/>
    <w:rsid w:val="006B061A"/>
    <w:rsid w:val="006B0701"/>
    <w:rsid w:val="006B070E"/>
    <w:rsid w:val="006B0716"/>
    <w:rsid w:val="006B07CE"/>
    <w:rsid w:val="006B100F"/>
    <w:rsid w:val="006B116A"/>
    <w:rsid w:val="006B1206"/>
    <w:rsid w:val="006B12A5"/>
    <w:rsid w:val="006B1439"/>
    <w:rsid w:val="006B1768"/>
    <w:rsid w:val="006B1787"/>
    <w:rsid w:val="006B17F2"/>
    <w:rsid w:val="006B186C"/>
    <w:rsid w:val="006B18E3"/>
    <w:rsid w:val="006B197B"/>
    <w:rsid w:val="006B1B88"/>
    <w:rsid w:val="006B1C3D"/>
    <w:rsid w:val="006B1C77"/>
    <w:rsid w:val="006B1DD9"/>
    <w:rsid w:val="006B1F20"/>
    <w:rsid w:val="006B1FBA"/>
    <w:rsid w:val="006B1FCB"/>
    <w:rsid w:val="006B2230"/>
    <w:rsid w:val="006B235F"/>
    <w:rsid w:val="006B25E3"/>
    <w:rsid w:val="006B260F"/>
    <w:rsid w:val="006B2828"/>
    <w:rsid w:val="006B28BD"/>
    <w:rsid w:val="006B2910"/>
    <w:rsid w:val="006B2B07"/>
    <w:rsid w:val="006B2B72"/>
    <w:rsid w:val="006B2C3B"/>
    <w:rsid w:val="006B2EFA"/>
    <w:rsid w:val="006B2FD8"/>
    <w:rsid w:val="006B30F9"/>
    <w:rsid w:val="006B327C"/>
    <w:rsid w:val="006B334C"/>
    <w:rsid w:val="006B345D"/>
    <w:rsid w:val="006B34C8"/>
    <w:rsid w:val="006B3573"/>
    <w:rsid w:val="006B360A"/>
    <w:rsid w:val="006B363E"/>
    <w:rsid w:val="006B36B5"/>
    <w:rsid w:val="006B379F"/>
    <w:rsid w:val="006B38B6"/>
    <w:rsid w:val="006B3997"/>
    <w:rsid w:val="006B39B5"/>
    <w:rsid w:val="006B3A0A"/>
    <w:rsid w:val="006B3B27"/>
    <w:rsid w:val="006B3BD6"/>
    <w:rsid w:val="006B3D19"/>
    <w:rsid w:val="006B3DDE"/>
    <w:rsid w:val="006B3E7E"/>
    <w:rsid w:val="006B4218"/>
    <w:rsid w:val="006B424A"/>
    <w:rsid w:val="006B4374"/>
    <w:rsid w:val="006B460A"/>
    <w:rsid w:val="006B4750"/>
    <w:rsid w:val="006B47AC"/>
    <w:rsid w:val="006B4AFA"/>
    <w:rsid w:val="006B4B4A"/>
    <w:rsid w:val="006B4CE0"/>
    <w:rsid w:val="006B4E76"/>
    <w:rsid w:val="006B4F1A"/>
    <w:rsid w:val="006B4F30"/>
    <w:rsid w:val="006B4FAE"/>
    <w:rsid w:val="006B5017"/>
    <w:rsid w:val="006B50E0"/>
    <w:rsid w:val="006B516B"/>
    <w:rsid w:val="006B5383"/>
    <w:rsid w:val="006B53B0"/>
    <w:rsid w:val="006B5647"/>
    <w:rsid w:val="006B56CD"/>
    <w:rsid w:val="006B570E"/>
    <w:rsid w:val="006B5B73"/>
    <w:rsid w:val="006B5B93"/>
    <w:rsid w:val="006B5C43"/>
    <w:rsid w:val="006B5C4A"/>
    <w:rsid w:val="006B5DB0"/>
    <w:rsid w:val="006B5E20"/>
    <w:rsid w:val="006B60B6"/>
    <w:rsid w:val="006B621B"/>
    <w:rsid w:val="006B6257"/>
    <w:rsid w:val="006B629A"/>
    <w:rsid w:val="006B6310"/>
    <w:rsid w:val="006B646B"/>
    <w:rsid w:val="006B65BF"/>
    <w:rsid w:val="006B6720"/>
    <w:rsid w:val="006B6783"/>
    <w:rsid w:val="006B685F"/>
    <w:rsid w:val="006B6872"/>
    <w:rsid w:val="006B6926"/>
    <w:rsid w:val="006B6A23"/>
    <w:rsid w:val="006B6B8C"/>
    <w:rsid w:val="006B6C5C"/>
    <w:rsid w:val="006B6C61"/>
    <w:rsid w:val="006B6D1A"/>
    <w:rsid w:val="006B6F8B"/>
    <w:rsid w:val="006B706E"/>
    <w:rsid w:val="006B70AF"/>
    <w:rsid w:val="006B70B6"/>
    <w:rsid w:val="006B70EE"/>
    <w:rsid w:val="006B713E"/>
    <w:rsid w:val="006B71A2"/>
    <w:rsid w:val="006B733A"/>
    <w:rsid w:val="006B764B"/>
    <w:rsid w:val="006B773F"/>
    <w:rsid w:val="006B776D"/>
    <w:rsid w:val="006B7871"/>
    <w:rsid w:val="006B78E7"/>
    <w:rsid w:val="006B7970"/>
    <w:rsid w:val="006B7AD0"/>
    <w:rsid w:val="006B7B5E"/>
    <w:rsid w:val="006B7BD3"/>
    <w:rsid w:val="006C0090"/>
    <w:rsid w:val="006C00C7"/>
    <w:rsid w:val="006C00F7"/>
    <w:rsid w:val="006C00FB"/>
    <w:rsid w:val="006C039E"/>
    <w:rsid w:val="006C03EE"/>
    <w:rsid w:val="006C0448"/>
    <w:rsid w:val="006C046D"/>
    <w:rsid w:val="006C068E"/>
    <w:rsid w:val="006C073D"/>
    <w:rsid w:val="006C08FF"/>
    <w:rsid w:val="006C095E"/>
    <w:rsid w:val="006C098E"/>
    <w:rsid w:val="006C09A2"/>
    <w:rsid w:val="006C0AD2"/>
    <w:rsid w:val="006C0FF9"/>
    <w:rsid w:val="006C1089"/>
    <w:rsid w:val="006C1269"/>
    <w:rsid w:val="006C179A"/>
    <w:rsid w:val="006C17D8"/>
    <w:rsid w:val="006C1907"/>
    <w:rsid w:val="006C1A07"/>
    <w:rsid w:val="006C1A3F"/>
    <w:rsid w:val="006C1C57"/>
    <w:rsid w:val="006C1F3A"/>
    <w:rsid w:val="006C1FA7"/>
    <w:rsid w:val="006C2095"/>
    <w:rsid w:val="006C2279"/>
    <w:rsid w:val="006C22FB"/>
    <w:rsid w:val="006C27BE"/>
    <w:rsid w:val="006C2912"/>
    <w:rsid w:val="006C2A18"/>
    <w:rsid w:val="006C2AA0"/>
    <w:rsid w:val="006C2B50"/>
    <w:rsid w:val="006C2BA3"/>
    <w:rsid w:val="006C2E7B"/>
    <w:rsid w:val="006C2E92"/>
    <w:rsid w:val="006C2F09"/>
    <w:rsid w:val="006C31FD"/>
    <w:rsid w:val="006C3302"/>
    <w:rsid w:val="006C33BE"/>
    <w:rsid w:val="006C35D1"/>
    <w:rsid w:val="006C394D"/>
    <w:rsid w:val="006C39EE"/>
    <w:rsid w:val="006C3B5D"/>
    <w:rsid w:val="006C3B97"/>
    <w:rsid w:val="006C3D97"/>
    <w:rsid w:val="006C3F12"/>
    <w:rsid w:val="006C406D"/>
    <w:rsid w:val="006C42C1"/>
    <w:rsid w:val="006C42DE"/>
    <w:rsid w:val="006C431A"/>
    <w:rsid w:val="006C43AE"/>
    <w:rsid w:val="006C44B3"/>
    <w:rsid w:val="006C48D1"/>
    <w:rsid w:val="006C490C"/>
    <w:rsid w:val="006C4950"/>
    <w:rsid w:val="006C4994"/>
    <w:rsid w:val="006C4B54"/>
    <w:rsid w:val="006C4BD1"/>
    <w:rsid w:val="006C4C33"/>
    <w:rsid w:val="006C4DAE"/>
    <w:rsid w:val="006C4DB4"/>
    <w:rsid w:val="006C4E1C"/>
    <w:rsid w:val="006C4ED3"/>
    <w:rsid w:val="006C4ED4"/>
    <w:rsid w:val="006C5075"/>
    <w:rsid w:val="006C50D7"/>
    <w:rsid w:val="006C510D"/>
    <w:rsid w:val="006C528A"/>
    <w:rsid w:val="006C52B4"/>
    <w:rsid w:val="006C545D"/>
    <w:rsid w:val="006C5484"/>
    <w:rsid w:val="006C54C6"/>
    <w:rsid w:val="006C55C8"/>
    <w:rsid w:val="006C5861"/>
    <w:rsid w:val="006C59F3"/>
    <w:rsid w:val="006C5F8E"/>
    <w:rsid w:val="006C649B"/>
    <w:rsid w:val="006C6518"/>
    <w:rsid w:val="006C6574"/>
    <w:rsid w:val="006C65D9"/>
    <w:rsid w:val="006C6672"/>
    <w:rsid w:val="006C6727"/>
    <w:rsid w:val="006C67C0"/>
    <w:rsid w:val="006C6915"/>
    <w:rsid w:val="006C69B6"/>
    <w:rsid w:val="006C69FD"/>
    <w:rsid w:val="006C6A67"/>
    <w:rsid w:val="006C6ABA"/>
    <w:rsid w:val="006C6BA4"/>
    <w:rsid w:val="006C6D31"/>
    <w:rsid w:val="006C6D9B"/>
    <w:rsid w:val="006C6DBD"/>
    <w:rsid w:val="006C7035"/>
    <w:rsid w:val="006C73D9"/>
    <w:rsid w:val="006C7467"/>
    <w:rsid w:val="006C75CF"/>
    <w:rsid w:val="006C75E2"/>
    <w:rsid w:val="006C7988"/>
    <w:rsid w:val="006C7BDE"/>
    <w:rsid w:val="006C7DC2"/>
    <w:rsid w:val="006C7EBF"/>
    <w:rsid w:val="006C7EF0"/>
    <w:rsid w:val="006D002A"/>
    <w:rsid w:val="006D029B"/>
    <w:rsid w:val="006D02C5"/>
    <w:rsid w:val="006D0415"/>
    <w:rsid w:val="006D050D"/>
    <w:rsid w:val="006D056E"/>
    <w:rsid w:val="006D0685"/>
    <w:rsid w:val="006D06ED"/>
    <w:rsid w:val="006D073B"/>
    <w:rsid w:val="006D07D4"/>
    <w:rsid w:val="006D0A80"/>
    <w:rsid w:val="006D0BD3"/>
    <w:rsid w:val="006D0C8B"/>
    <w:rsid w:val="006D0D13"/>
    <w:rsid w:val="006D0F60"/>
    <w:rsid w:val="006D1029"/>
    <w:rsid w:val="006D108D"/>
    <w:rsid w:val="006D10BD"/>
    <w:rsid w:val="006D112C"/>
    <w:rsid w:val="006D124E"/>
    <w:rsid w:val="006D13D1"/>
    <w:rsid w:val="006D14CD"/>
    <w:rsid w:val="006D1514"/>
    <w:rsid w:val="006D15A2"/>
    <w:rsid w:val="006D15D6"/>
    <w:rsid w:val="006D18D1"/>
    <w:rsid w:val="006D18D5"/>
    <w:rsid w:val="006D1934"/>
    <w:rsid w:val="006D195A"/>
    <w:rsid w:val="006D1A8A"/>
    <w:rsid w:val="006D1EF0"/>
    <w:rsid w:val="006D21FF"/>
    <w:rsid w:val="006D2302"/>
    <w:rsid w:val="006D235A"/>
    <w:rsid w:val="006D239A"/>
    <w:rsid w:val="006D2423"/>
    <w:rsid w:val="006D2474"/>
    <w:rsid w:val="006D247D"/>
    <w:rsid w:val="006D2627"/>
    <w:rsid w:val="006D2631"/>
    <w:rsid w:val="006D2675"/>
    <w:rsid w:val="006D288B"/>
    <w:rsid w:val="006D2901"/>
    <w:rsid w:val="006D294E"/>
    <w:rsid w:val="006D2C11"/>
    <w:rsid w:val="006D2E57"/>
    <w:rsid w:val="006D3121"/>
    <w:rsid w:val="006D32C0"/>
    <w:rsid w:val="006D33E1"/>
    <w:rsid w:val="006D34B9"/>
    <w:rsid w:val="006D3652"/>
    <w:rsid w:val="006D3777"/>
    <w:rsid w:val="006D39E5"/>
    <w:rsid w:val="006D3B28"/>
    <w:rsid w:val="006D3C53"/>
    <w:rsid w:val="006D3C6D"/>
    <w:rsid w:val="006D3D2F"/>
    <w:rsid w:val="006D3DF2"/>
    <w:rsid w:val="006D3F93"/>
    <w:rsid w:val="006D415D"/>
    <w:rsid w:val="006D41D1"/>
    <w:rsid w:val="006D41EA"/>
    <w:rsid w:val="006D4285"/>
    <w:rsid w:val="006D4295"/>
    <w:rsid w:val="006D4324"/>
    <w:rsid w:val="006D432A"/>
    <w:rsid w:val="006D4339"/>
    <w:rsid w:val="006D4358"/>
    <w:rsid w:val="006D4586"/>
    <w:rsid w:val="006D46DC"/>
    <w:rsid w:val="006D4715"/>
    <w:rsid w:val="006D474B"/>
    <w:rsid w:val="006D4874"/>
    <w:rsid w:val="006D4932"/>
    <w:rsid w:val="006D49B2"/>
    <w:rsid w:val="006D4CAC"/>
    <w:rsid w:val="006D4D4C"/>
    <w:rsid w:val="006D4DAD"/>
    <w:rsid w:val="006D4DDD"/>
    <w:rsid w:val="006D4F26"/>
    <w:rsid w:val="006D4F88"/>
    <w:rsid w:val="006D5091"/>
    <w:rsid w:val="006D50DE"/>
    <w:rsid w:val="006D5119"/>
    <w:rsid w:val="006D51BD"/>
    <w:rsid w:val="006D52C2"/>
    <w:rsid w:val="006D53BA"/>
    <w:rsid w:val="006D5434"/>
    <w:rsid w:val="006D571F"/>
    <w:rsid w:val="006D5963"/>
    <w:rsid w:val="006D59AB"/>
    <w:rsid w:val="006D59EE"/>
    <w:rsid w:val="006D59F3"/>
    <w:rsid w:val="006D5B33"/>
    <w:rsid w:val="006D5E47"/>
    <w:rsid w:val="006D605E"/>
    <w:rsid w:val="006D6291"/>
    <w:rsid w:val="006D6373"/>
    <w:rsid w:val="006D6445"/>
    <w:rsid w:val="006D6515"/>
    <w:rsid w:val="006D659B"/>
    <w:rsid w:val="006D662D"/>
    <w:rsid w:val="006D6637"/>
    <w:rsid w:val="006D6920"/>
    <w:rsid w:val="006D6A3E"/>
    <w:rsid w:val="006D6AD4"/>
    <w:rsid w:val="006D6BEA"/>
    <w:rsid w:val="006D6CD9"/>
    <w:rsid w:val="006D6CE9"/>
    <w:rsid w:val="006D6DBA"/>
    <w:rsid w:val="006D73A3"/>
    <w:rsid w:val="006D73E7"/>
    <w:rsid w:val="006D74B2"/>
    <w:rsid w:val="006D75BF"/>
    <w:rsid w:val="006D75D8"/>
    <w:rsid w:val="006D75DC"/>
    <w:rsid w:val="006D768A"/>
    <w:rsid w:val="006D779B"/>
    <w:rsid w:val="006D780E"/>
    <w:rsid w:val="006D7875"/>
    <w:rsid w:val="006D78E1"/>
    <w:rsid w:val="006D7A1E"/>
    <w:rsid w:val="006D7A3D"/>
    <w:rsid w:val="006D7BBD"/>
    <w:rsid w:val="006D7CDB"/>
    <w:rsid w:val="006D7D27"/>
    <w:rsid w:val="006E02BF"/>
    <w:rsid w:val="006E043E"/>
    <w:rsid w:val="006E0497"/>
    <w:rsid w:val="006E04C8"/>
    <w:rsid w:val="006E0559"/>
    <w:rsid w:val="006E0675"/>
    <w:rsid w:val="006E068D"/>
    <w:rsid w:val="006E0704"/>
    <w:rsid w:val="006E082D"/>
    <w:rsid w:val="006E0864"/>
    <w:rsid w:val="006E093A"/>
    <w:rsid w:val="006E099D"/>
    <w:rsid w:val="006E0A89"/>
    <w:rsid w:val="006E0B90"/>
    <w:rsid w:val="006E0BDE"/>
    <w:rsid w:val="006E0CAB"/>
    <w:rsid w:val="006E0E53"/>
    <w:rsid w:val="006E0E6A"/>
    <w:rsid w:val="006E0F6D"/>
    <w:rsid w:val="006E0F91"/>
    <w:rsid w:val="006E0FF7"/>
    <w:rsid w:val="006E1031"/>
    <w:rsid w:val="006E108B"/>
    <w:rsid w:val="006E10F3"/>
    <w:rsid w:val="006E1435"/>
    <w:rsid w:val="006E15EB"/>
    <w:rsid w:val="006E193A"/>
    <w:rsid w:val="006E1A3E"/>
    <w:rsid w:val="006E1B67"/>
    <w:rsid w:val="006E1D94"/>
    <w:rsid w:val="006E1ED3"/>
    <w:rsid w:val="006E1F40"/>
    <w:rsid w:val="006E204A"/>
    <w:rsid w:val="006E2118"/>
    <w:rsid w:val="006E2361"/>
    <w:rsid w:val="006E2456"/>
    <w:rsid w:val="006E2571"/>
    <w:rsid w:val="006E27F1"/>
    <w:rsid w:val="006E2CAF"/>
    <w:rsid w:val="006E2FB1"/>
    <w:rsid w:val="006E30E1"/>
    <w:rsid w:val="006E33F9"/>
    <w:rsid w:val="006E36D0"/>
    <w:rsid w:val="006E36D4"/>
    <w:rsid w:val="006E387A"/>
    <w:rsid w:val="006E39D9"/>
    <w:rsid w:val="006E3A1A"/>
    <w:rsid w:val="006E3AAF"/>
    <w:rsid w:val="006E3CE0"/>
    <w:rsid w:val="006E3F10"/>
    <w:rsid w:val="006E3FE3"/>
    <w:rsid w:val="006E405A"/>
    <w:rsid w:val="006E40B0"/>
    <w:rsid w:val="006E4294"/>
    <w:rsid w:val="006E430A"/>
    <w:rsid w:val="006E4365"/>
    <w:rsid w:val="006E4450"/>
    <w:rsid w:val="006E44DE"/>
    <w:rsid w:val="006E47A4"/>
    <w:rsid w:val="006E48C2"/>
    <w:rsid w:val="006E48F1"/>
    <w:rsid w:val="006E49A8"/>
    <w:rsid w:val="006E4B48"/>
    <w:rsid w:val="006E4CCA"/>
    <w:rsid w:val="006E4DA7"/>
    <w:rsid w:val="006E4DF2"/>
    <w:rsid w:val="006E523B"/>
    <w:rsid w:val="006E5450"/>
    <w:rsid w:val="006E5466"/>
    <w:rsid w:val="006E561A"/>
    <w:rsid w:val="006E5655"/>
    <w:rsid w:val="006E5680"/>
    <w:rsid w:val="006E5718"/>
    <w:rsid w:val="006E571F"/>
    <w:rsid w:val="006E57C8"/>
    <w:rsid w:val="006E5845"/>
    <w:rsid w:val="006E5CC8"/>
    <w:rsid w:val="006E5D61"/>
    <w:rsid w:val="006E5EDC"/>
    <w:rsid w:val="006E5F60"/>
    <w:rsid w:val="006E5F67"/>
    <w:rsid w:val="006E5FD5"/>
    <w:rsid w:val="006E5FD9"/>
    <w:rsid w:val="006E6209"/>
    <w:rsid w:val="006E623C"/>
    <w:rsid w:val="006E64B7"/>
    <w:rsid w:val="006E64EA"/>
    <w:rsid w:val="006E64F5"/>
    <w:rsid w:val="006E65D3"/>
    <w:rsid w:val="006E65DC"/>
    <w:rsid w:val="006E69D2"/>
    <w:rsid w:val="006E69F3"/>
    <w:rsid w:val="006E6A8B"/>
    <w:rsid w:val="006E6B17"/>
    <w:rsid w:val="006E6C0F"/>
    <w:rsid w:val="006E6ECD"/>
    <w:rsid w:val="006E6FD5"/>
    <w:rsid w:val="006E715E"/>
    <w:rsid w:val="006E757A"/>
    <w:rsid w:val="006E773B"/>
    <w:rsid w:val="006E773E"/>
    <w:rsid w:val="006E7BC4"/>
    <w:rsid w:val="006E7C1C"/>
    <w:rsid w:val="006E7E6F"/>
    <w:rsid w:val="006E7FD0"/>
    <w:rsid w:val="006F001C"/>
    <w:rsid w:val="006F006D"/>
    <w:rsid w:val="006F0232"/>
    <w:rsid w:val="006F027C"/>
    <w:rsid w:val="006F054F"/>
    <w:rsid w:val="006F061B"/>
    <w:rsid w:val="006F094E"/>
    <w:rsid w:val="006F0A7E"/>
    <w:rsid w:val="006F0BCE"/>
    <w:rsid w:val="006F0BD0"/>
    <w:rsid w:val="006F0E82"/>
    <w:rsid w:val="006F0F2D"/>
    <w:rsid w:val="006F0FF5"/>
    <w:rsid w:val="006F109F"/>
    <w:rsid w:val="006F10F7"/>
    <w:rsid w:val="006F10FC"/>
    <w:rsid w:val="006F119F"/>
    <w:rsid w:val="006F11B5"/>
    <w:rsid w:val="006F121C"/>
    <w:rsid w:val="006F131F"/>
    <w:rsid w:val="006F1328"/>
    <w:rsid w:val="006F13D8"/>
    <w:rsid w:val="006F13FA"/>
    <w:rsid w:val="006F140E"/>
    <w:rsid w:val="006F145D"/>
    <w:rsid w:val="006F1480"/>
    <w:rsid w:val="006F1492"/>
    <w:rsid w:val="006F1760"/>
    <w:rsid w:val="006F17A7"/>
    <w:rsid w:val="006F1AE2"/>
    <w:rsid w:val="006F1B9B"/>
    <w:rsid w:val="006F1D04"/>
    <w:rsid w:val="006F1EA6"/>
    <w:rsid w:val="006F1F85"/>
    <w:rsid w:val="006F2024"/>
    <w:rsid w:val="006F20C6"/>
    <w:rsid w:val="006F2100"/>
    <w:rsid w:val="006F225D"/>
    <w:rsid w:val="006F2369"/>
    <w:rsid w:val="006F250E"/>
    <w:rsid w:val="006F2A61"/>
    <w:rsid w:val="006F2C02"/>
    <w:rsid w:val="006F2C9F"/>
    <w:rsid w:val="006F2CEB"/>
    <w:rsid w:val="006F2E57"/>
    <w:rsid w:val="006F2E6C"/>
    <w:rsid w:val="006F2E94"/>
    <w:rsid w:val="006F2F5A"/>
    <w:rsid w:val="006F31B7"/>
    <w:rsid w:val="006F3454"/>
    <w:rsid w:val="006F34F2"/>
    <w:rsid w:val="006F3514"/>
    <w:rsid w:val="006F359D"/>
    <w:rsid w:val="006F391C"/>
    <w:rsid w:val="006F3B1E"/>
    <w:rsid w:val="006F3BE9"/>
    <w:rsid w:val="006F3C47"/>
    <w:rsid w:val="006F3D88"/>
    <w:rsid w:val="006F3E1F"/>
    <w:rsid w:val="006F3F7F"/>
    <w:rsid w:val="006F4206"/>
    <w:rsid w:val="006F42AD"/>
    <w:rsid w:val="006F4439"/>
    <w:rsid w:val="006F4466"/>
    <w:rsid w:val="006F4599"/>
    <w:rsid w:val="006F45AA"/>
    <w:rsid w:val="006F45D9"/>
    <w:rsid w:val="006F4660"/>
    <w:rsid w:val="006F471F"/>
    <w:rsid w:val="006F49B9"/>
    <w:rsid w:val="006F49E7"/>
    <w:rsid w:val="006F4BC8"/>
    <w:rsid w:val="006F4BEA"/>
    <w:rsid w:val="006F4C9B"/>
    <w:rsid w:val="006F4D37"/>
    <w:rsid w:val="006F4F3B"/>
    <w:rsid w:val="006F4F4E"/>
    <w:rsid w:val="006F4F5A"/>
    <w:rsid w:val="006F50CA"/>
    <w:rsid w:val="006F55E7"/>
    <w:rsid w:val="006F5705"/>
    <w:rsid w:val="006F5792"/>
    <w:rsid w:val="006F5916"/>
    <w:rsid w:val="006F5AA1"/>
    <w:rsid w:val="006F5AA5"/>
    <w:rsid w:val="006F5AF8"/>
    <w:rsid w:val="006F5B34"/>
    <w:rsid w:val="006F5D18"/>
    <w:rsid w:val="006F6047"/>
    <w:rsid w:val="006F6152"/>
    <w:rsid w:val="006F617D"/>
    <w:rsid w:val="006F6337"/>
    <w:rsid w:val="006F63FE"/>
    <w:rsid w:val="006F6490"/>
    <w:rsid w:val="006F6663"/>
    <w:rsid w:val="006F6704"/>
    <w:rsid w:val="006F6909"/>
    <w:rsid w:val="006F6921"/>
    <w:rsid w:val="006F6AA9"/>
    <w:rsid w:val="006F6AEE"/>
    <w:rsid w:val="006F6B10"/>
    <w:rsid w:val="006F6B64"/>
    <w:rsid w:val="006F6BD8"/>
    <w:rsid w:val="006F6DB0"/>
    <w:rsid w:val="006F6DFA"/>
    <w:rsid w:val="006F6FA5"/>
    <w:rsid w:val="006F72F1"/>
    <w:rsid w:val="006F750D"/>
    <w:rsid w:val="006F75C9"/>
    <w:rsid w:val="006F7887"/>
    <w:rsid w:val="006F78BE"/>
    <w:rsid w:val="006F7A8C"/>
    <w:rsid w:val="006F7AD2"/>
    <w:rsid w:val="006F7B34"/>
    <w:rsid w:val="006F7BA3"/>
    <w:rsid w:val="006F7C18"/>
    <w:rsid w:val="006F7C74"/>
    <w:rsid w:val="006F7D29"/>
    <w:rsid w:val="006F7D75"/>
    <w:rsid w:val="006F7DF3"/>
    <w:rsid w:val="006F7E27"/>
    <w:rsid w:val="006F7E9E"/>
    <w:rsid w:val="006F7F73"/>
    <w:rsid w:val="00700565"/>
    <w:rsid w:val="007005D0"/>
    <w:rsid w:val="00700614"/>
    <w:rsid w:val="007006D0"/>
    <w:rsid w:val="007008D8"/>
    <w:rsid w:val="00700B43"/>
    <w:rsid w:val="00700B84"/>
    <w:rsid w:val="00700C0D"/>
    <w:rsid w:val="00700C48"/>
    <w:rsid w:val="00700F18"/>
    <w:rsid w:val="00700F69"/>
    <w:rsid w:val="00701073"/>
    <w:rsid w:val="007010AF"/>
    <w:rsid w:val="00701254"/>
    <w:rsid w:val="00701600"/>
    <w:rsid w:val="00701767"/>
    <w:rsid w:val="0070177C"/>
    <w:rsid w:val="00701AE2"/>
    <w:rsid w:val="00701B2F"/>
    <w:rsid w:val="00701B7E"/>
    <w:rsid w:val="00701DBA"/>
    <w:rsid w:val="00701DBD"/>
    <w:rsid w:val="00701DC9"/>
    <w:rsid w:val="00701DCA"/>
    <w:rsid w:val="00701E1F"/>
    <w:rsid w:val="00701E3A"/>
    <w:rsid w:val="00701FAA"/>
    <w:rsid w:val="00701FB9"/>
    <w:rsid w:val="00701FF9"/>
    <w:rsid w:val="007020DC"/>
    <w:rsid w:val="00702155"/>
    <w:rsid w:val="007021CD"/>
    <w:rsid w:val="00702223"/>
    <w:rsid w:val="00702262"/>
    <w:rsid w:val="007023C1"/>
    <w:rsid w:val="00702479"/>
    <w:rsid w:val="00702570"/>
    <w:rsid w:val="0070263F"/>
    <w:rsid w:val="00702733"/>
    <w:rsid w:val="00702862"/>
    <w:rsid w:val="00702879"/>
    <w:rsid w:val="00702B8C"/>
    <w:rsid w:val="00702CDD"/>
    <w:rsid w:val="00702D77"/>
    <w:rsid w:val="00702DC4"/>
    <w:rsid w:val="00702E72"/>
    <w:rsid w:val="00702E82"/>
    <w:rsid w:val="00703127"/>
    <w:rsid w:val="007034F8"/>
    <w:rsid w:val="0070350C"/>
    <w:rsid w:val="00703937"/>
    <w:rsid w:val="007039AC"/>
    <w:rsid w:val="00703DF9"/>
    <w:rsid w:val="00703E30"/>
    <w:rsid w:val="00703E53"/>
    <w:rsid w:val="00703E90"/>
    <w:rsid w:val="00704166"/>
    <w:rsid w:val="00704200"/>
    <w:rsid w:val="00704233"/>
    <w:rsid w:val="0070428B"/>
    <w:rsid w:val="007042B5"/>
    <w:rsid w:val="007042F5"/>
    <w:rsid w:val="00704389"/>
    <w:rsid w:val="00704403"/>
    <w:rsid w:val="00704510"/>
    <w:rsid w:val="00704511"/>
    <w:rsid w:val="0070462F"/>
    <w:rsid w:val="007047AF"/>
    <w:rsid w:val="00704929"/>
    <w:rsid w:val="00704951"/>
    <w:rsid w:val="00704967"/>
    <w:rsid w:val="00704A44"/>
    <w:rsid w:val="00704C54"/>
    <w:rsid w:val="00704F8E"/>
    <w:rsid w:val="0070502B"/>
    <w:rsid w:val="00705039"/>
    <w:rsid w:val="0070535D"/>
    <w:rsid w:val="007053C7"/>
    <w:rsid w:val="0070547F"/>
    <w:rsid w:val="00705595"/>
    <w:rsid w:val="00705843"/>
    <w:rsid w:val="007058F2"/>
    <w:rsid w:val="00705F36"/>
    <w:rsid w:val="00705F9E"/>
    <w:rsid w:val="0070601F"/>
    <w:rsid w:val="00706137"/>
    <w:rsid w:val="007063C8"/>
    <w:rsid w:val="0070644E"/>
    <w:rsid w:val="007065D5"/>
    <w:rsid w:val="0070668F"/>
    <w:rsid w:val="007067AC"/>
    <w:rsid w:val="00706831"/>
    <w:rsid w:val="00706B10"/>
    <w:rsid w:val="00706B54"/>
    <w:rsid w:val="00706E86"/>
    <w:rsid w:val="00707260"/>
    <w:rsid w:val="00707285"/>
    <w:rsid w:val="007073AD"/>
    <w:rsid w:val="007073B6"/>
    <w:rsid w:val="0070744D"/>
    <w:rsid w:val="00707464"/>
    <w:rsid w:val="00707705"/>
    <w:rsid w:val="007077CE"/>
    <w:rsid w:val="00707904"/>
    <w:rsid w:val="0070793F"/>
    <w:rsid w:val="00707953"/>
    <w:rsid w:val="00707B2C"/>
    <w:rsid w:val="00707D9E"/>
    <w:rsid w:val="00707DD7"/>
    <w:rsid w:val="00707DF3"/>
    <w:rsid w:val="00707E00"/>
    <w:rsid w:val="00707FDD"/>
    <w:rsid w:val="00710037"/>
    <w:rsid w:val="00710176"/>
    <w:rsid w:val="00710325"/>
    <w:rsid w:val="007103E2"/>
    <w:rsid w:val="0071060F"/>
    <w:rsid w:val="0071062E"/>
    <w:rsid w:val="007106A7"/>
    <w:rsid w:val="00710880"/>
    <w:rsid w:val="007108E3"/>
    <w:rsid w:val="00710C90"/>
    <w:rsid w:val="00710D11"/>
    <w:rsid w:val="00710D69"/>
    <w:rsid w:val="00710FD8"/>
    <w:rsid w:val="00711262"/>
    <w:rsid w:val="007112B0"/>
    <w:rsid w:val="007113C5"/>
    <w:rsid w:val="007114C5"/>
    <w:rsid w:val="0071151D"/>
    <w:rsid w:val="007115F8"/>
    <w:rsid w:val="007117BE"/>
    <w:rsid w:val="007118D9"/>
    <w:rsid w:val="00711927"/>
    <w:rsid w:val="00711986"/>
    <w:rsid w:val="00711A1B"/>
    <w:rsid w:val="00711B3B"/>
    <w:rsid w:val="00711CC4"/>
    <w:rsid w:val="00711F33"/>
    <w:rsid w:val="00712069"/>
    <w:rsid w:val="007120B0"/>
    <w:rsid w:val="007123E7"/>
    <w:rsid w:val="0071242F"/>
    <w:rsid w:val="007124C2"/>
    <w:rsid w:val="0071260C"/>
    <w:rsid w:val="00712618"/>
    <w:rsid w:val="007127E7"/>
    <w:rsid w:val="00712E27"/>
    <w:rsid w:val="007131A2"/>
    <w:rsid w:val="0071337D"/>
    <w:rsid w:val="007133AD"/>
    <w:rsid w:val="0071355E"/>
    <w:rsid w:val="00713579"/>
    <w:rsid w:val="007138E4"/>
    <w:rsid w:val="00713A38"/>
    <w:rsid w:val="00713D25"/>
    <w:rsid w:val="00713D62"/>
    <w:rsid w:val="00713DFA"/>
    <w:rsid w:val="0071405E"/>
    <w:rsid w:val="00714077"/>
    <w:rsid w:val="0071413C"/>
    <w:rsid w:val="007141CA"/>
    <w:rsid w:val="007141FD"/>
    <w:rsid w:val="00714281"/>
    <w:rsid w:val="0071428D"/>
    <w:rsid w:val="00714470"/>
    <w:rsid w:val="0071471A"/>
    <w:rsid w:val="0071480C"/>
    <w:rsid w:val="0071489D"/>
    <w:rsid w:val="007148C1"/>
    <w:rsid w:val="00714BF3"/>
    <w:rsid w:val="00714C32"/>
    <w:rsid w:val="00714C3F"/>
    <w:rsid w:val="00714D64"/>
    <w:rsid w:val="00714FDC"/>
    <w:rsid w:val="0071502B"/>
    <w:rsid w:val="007150EB"/>
    <w:rsid w:val="0071516C"/>
    <w:rsid w:val="0071545D"/>
    <w:rsid w:val="00715492"/>
    <w:rsid w:val="0071552B"/>
    <w:rsid w:val="00715542"/>
    <w:rsid w:val="0071560A"/>
    <w:rsid w:val="00715743"/>
    <w:rsid w:val="007157B9"/>
    <w:rsid w:val="0071589D"/>
    <w:rsid w:val="007159F0"/>
    <w:rsid w:val="00715ABE"/>
    <w:rsid w:val="00715B0C"/>
    <w:rsid w:val="00715BB3"/>
    <w:rsid w:val="00715C88"/>
    <w:rsid w:val="00715D62"/>
    <w:rsid w:val="00715DFE"/>
    <w:rsid w:val="00715F65"/>
    <w:rsid w:val="007162B2"/>
    <w:rsid w:val="00716308"/>
    <w:rsid w:val="0071632D"/>
    <w:rsid w:val="0071636A"/>
    <w:rsid w:val="00716617"/>
    <w:rsid w:val="00716650"/>
    <w:rsid w:val="00716691"/>
    <w:rsid w:val="007166EE"/>
    <w:rsid w:val="00716713"/>
    <w:rsid w:val="00716AAA"/>
    <w:rsid w:val="00716ADB"/>
    <w:rsid w:val="00716AEF"/>
    <w:rsid w:val="00716B58"/>
    <w:rsid w:val="00716DB6"/>
    <w:rsid w:val="0071760C"/>
    <w:rsid w:val="007176BF"/>
    <w:rsid w:val="00717715"/>
    <w:rsid w:val="00717882"/>
    <w:rsid w:val="0071795F"/>
    <w:rsid w:val="00717A47"/>
    <w:rsid w:val="00717A68"/>
    <w:rsid w:val="00717B81"/>
    <w:rsid w:val="00717C98"/>
    <w:rsid w:val="00717D46"/>
    <w:rsid w:val="00717E49"/>
    <w:rsid w:val="00720032"/>
    <w:rsid w:val="007200E0"/>
    <w:rsid w:val="0072038B"/>
    <w:rsid w:val="007203E1"/>
    <w:rsid w:val="00720534"/>
    <w:rsid w:val="0072061E"/>
    <w:rsid w:val="00720671"/>
    <w:rsid w:val="007207AB"/>
    <w:rsid w:val="007207E0"/>
    <w:rsid w:val="0072086C"/>
    <w:rsid w:val="00720934"/>
    <w:rsid w:val="00720AC0"/>
    <w:rsid w:val="00720BED"/>
    <w:rsid w:val="00720C0C"/>
    <w:rsid w:val="00720F06"/>
    <w:rsid w:val="00720F1F"/>
    <w:rsid w:val="0072108D"/>
    <w:rsid w:val="00721185"/>
    <w:rsid w:val="007212E0"/>
    <w:rsid w:val="0072136B"/>
    <w:rsid w:val="007214AD"/>
    <w:rsid w:val="00721764"/>
    <w:rsid w:val="007217AF"/>
    <w:rsid w:val="0072185C"/>
    <w:rsid w:val="00721A68"/>
    <w:rsid w:val="00721B0F"/>
    <w:rsid w:val="00721BAD"/>
    <w:rsid w:val="00721D25"/>
    <w:rsid w:val="00721F60"/>
    <w:rsid w:val="00722022"/>
    <w:rsid w:val="00722054"/>
    <w:rsid w:val="00722082"/>
    <w:rsid w:val="007222A1"/>
    <w:rsid w:val="0072231E"/>
    <w:rsid w:val="00722495"/>
    <w:rsid w:val="007226A0"/>
    <w:rsid w:val="00722906"/>
    <w:rsid w:val="00722DAE"/>
    <w:rsid w:val="00722E1B"/>
    <w:rsid w:val="00722F89"/>
    <w:rsid w:val="00722FB6"/>
    <w:rsid w:val="00723192"/>
    <w:rsid w:val="007235F7"/>
    <w:rsid w:val="00723AD2"/>
    <w:rsid w:val="00723BC8"/>
    <w:rsid w:val="00723C95"/>
    <w:rsid w:val="00723CEE"/>
    <w:rsid w:val="00723ED5"/>
    <w:rsid w:val="00723EEC"/>
    <w:rsid w:val="007241A1"/>
    <w:rsid w:val="00724273"/>
    <w:rsid w:val="00724328"/>
    <w:rsid w:val="00724345"/>
    <w:rsid w:val="0072441E"/>
    <w:rsid w:val="007244E0"/>
    <w:rsid w:val="007244E4"/>
    <w:rsid w:val="0072457B"/>
    <w:rsid w:val="007245BE"/>
    <w:rsid w:val="007245C2"/>
    <w:rsid w:val="0072466C"/>
    <w:rsid w:val="00724854"/>
    <w:rsid w:val="0072493A"/>
    <w:rsid w:val="00724A0F"/>
    <w:rsid w:val="00724A2F"/>
    <w:rsid w:val="00724A4B"/>
    <w:rsid w:val="00724B45"/>
    <w:rsid w:val="00724CD6"/>
    <w:rsid w:val="00724DAD"/>
    <w:rsid w:val="00724F01"/>
    <w:rsid w:val="00724F17"/>
    <w:rsid w:val="00724F1B"/>
    <w:rsid w:val="00725042"/>
    <w:rsid w:val="0072512C"/>
    <w:rsid w:val="0072517F"/>
    <w:rsid w:val="0072542B"/>
    <w:rsid w:val="00725461"/>
    <w:rsid w:val="0072547D"/>
    <w:rsid w:val="007255F8"/>
    <w:rsid w:val="00725953"/>
    <w:rsid w:val="00725A81"/>
    <w:rsid w:val="00725A9F"/>
    <w:rsid w:val="00725AA1"/>
    <w:rsid w:val="00725CE0"/>
    <w:rsid w:val="00725E27"/>
    <w:rsid w:val="00725FE7"/>
    <w:rsid w:val="0072603F"/>
    <w:rsid w:val="00726041"/>
    <w:rsid w:val="007260A5"/>
    <w:rsid w:val="00726280"/>
    <w:rsid w:val="007262C6"/>
    <w:rsid w:val="00726552"/>
    <w:rsid w:val="00726577"/>
    <w:rsid w:val="00726723"/>
    <w:rsid w:val="00726950"/>
    <w:rsid w:val="00726A75"/>
    <w:rsid w:val="00726BF1"/>
    <w:rsid w:val="00726BF3"/>
    <w:rsid w:val="00726C10"/>
    <w:rsid w:val="00726C71"/>
    <w:rsid w:val="00726E04"/>
    <w:rsid w:val="00726F62"/>
    <w:rsid w:val="00726FF3"/>
    <w:rsid w:val="00727007"/>
    <w:rsid w:val="0072723D"/>
    <w:rsid w:val="007274D8"/>
    <w:rsid w:val="0072780A"/>
    <w:rsid w:val="0072796B"/>
    <w:rsid w:val="007279D1"/>
    <w:rsid w:val="00727AD8"/>
    <w:rsid w:val="00727BB7"/>
    <w:rsid w:val="00727C43"/>
    <w:rsid w:val="00727D51"/>
    <w:rsid w:val="00727EB2"/>
    <w:rsid w:val="00727F7A"/>
    <w:rsid w:val="00727FEE"/>
    <w:rsid w:val="007302B6"/>
    <w:rsid w:val="007302E6"/>
    <w:rsid w:val="00730504"/>
    <w:rsid w:val="007305AF"/>
    <w:rsid w:val="0073065A"/>
    <w:rsid w:val="0073068D"/>
    <w:rsid w:val="00730729"/>
    <w:rsid w:val="00730F5D"/>
    <w:rsid w:val="00730FD7"/>
    <w:rsid w:val="00731252"/>
    <w:rsid w:val="0073150B"/>
    <w:rsid w:val="007316F3"/>
    <w:rsid w:val="00731948"/>
    <w:rsid w:val="007319A8"/>
    <w:rsid w:val="007319E2"/>
    <w:rsid w:val="00731B2E"/>
    <w:rsid w:val="00731B54"/>
    <w:rsid w:val="00731B6B"/>
    <w:rsid w:val="00731BFF"/>
    <w:rsid w:val="00731FB5"/>
    <w:rsid w:val="0073221A"/>
    <w:rsid w:val="007322C7"/>
    <w:rsid w:val="00732447"/>
    <w:rsid w:val="007324E5"/>
    <w:rsid w:val="007328DF"/>
    <w:rsid w:val="007329B6"/>
    <w:rsid w:val="007329DF"/>
    <w:rsid w:val="00732B57"/>
    <w:rsid w:val="00732B87"/>
    <w:rsid w:val="00732BC3"/>
    <w:rsid w:val="00732C36"/>
    <w:rsid w:val="00732D50"/>
    <w:rsid w:val="00732FB9"/>
    <w:rsid w:val="00733163"/>
    <w:rsid w:val="007332E2"/>
    <w:rsid w:val="00733386"/>
    <w:rsid w:val="007335D7"/>
    <w:rsid w:val="00733767"/>
    <w:rsid w:val="0073380A"/>
    <w:rsid w:val="007339EF"/>
    <w:rsid w:val="00733A58"/>
    <w:rsid w:val="00733C12"/>
    <w:rsid w:val="00733CCC"/>
    <w:rsid w:val="00733E01"/>
    <w:rsid w:val="00733F9B"/>
    <w:rsid w:val="007340B6"/>
    <w:rsid w:val="0073419D"/>
    <w:rsid w:val="0073427A"/>
    <w:rsid w:val="0073436A"/>
    <w:rsid w:val="007344C1"/>
    <w:rsid w:val="007344F0"/>
    <w:rsid w:val="007344FD"/>
    <w:rsid w:val="00734566"/>
    <w:rsid w:val="007345B8"/>
    <w:rsid w:val="007346F7"/>
    <w:rsid w:val="0073488A"/>
    <w:rsid w:val="00734978"/>
    <w:rsid w:val="00734A4E"/>
    <w:rsid w:val="00734CB1"/>
    <w:rsid w:val="00734E60"/>
    <w:rsid w:val="0073535B"/>
    <w:rsid w:val="00735374"/>
    <w:rsid w:val="00735413"/>
    <w:rsid w:val="007354B8"/>
    <w:rsid w:val="007354B9"/>
    <w:rsid w:val="007354FD"/>
    <w:rsid w:val="0073585B"/>
    <w:rsid w:val="0073597F"/>
    <w:rsid w:val="00735A73"/>
    <w:rsid w:val="00735B88"/>
    <w:rsid w:val="00735C02"/>
    <w:rsid w:val="00735C24"/>
    <w:rsid w:val="00735CA9"/>
    <w:rsid w:val="00735DC5"/>
    <w:rsid w:val="00735DF2"/>
    <w:rsid w:val="00735E23"/>
    <w:rsid w:val="00735E99"/>
    <w:rsid w:val="0073609D"/>
    <w:rsid w:val="007367B6"/>
    <w:rsid w:val="00736A7E"/>
    <w:rsid w:val="00736BF4"/>
    <w:rsid w:val="00736DEB"/>
    <w:rsid w:val="00736F2F"/>
    <w:rsid w:val="00736F7C"/>
    <w:rsid w:val="00736FFB"/>
    <w:rsid w:val="00737007"/>
    <w:rsid w:val="007372CE"/>
    <w:rsid w:val="00737343"/>
    <w:rsid w:val="0073735A"/>
    <w:rsid w:val="007376E9"/>
    <w:rsid w:val="00737D04"/>
    <w:rsid w:val="00737DAE"/>
    <w:rsid w:val="00737DC4"/>
    <w:rsid w:val="00737E49"/>
    <w:rsid w:val="00737E9F"/>
    <w:rsid w:val="007400BF"/>
    <w:rsid w:val="007400D8"/>
    <w:rsid w:val="00740243"/>
    <w:rsid w:val="00740412"/>
    <w:rsid w:val="00740681"/>
    <w:rsid w:val="007406C9"/>
    <w:rsid w:val="0074095F"/>
    <w:rsid w:val="00740C16"/>
    <w:rsid w:val="00740CE8"/>
    <w:rsid w:val="00740DE1"/>
    <w:rsid w:val="0074107B"/>
    <w:rsid w:val="00741413"/>
    <w:rsid w:val="0074148B"/>
    <w:rsid w:val="007414EB"/>
    <w:rsid w:val="0074169A"/>
    <w:rsid w:val="007416DA"/>
    <w:rsid w:val="00741A45"/>
    <w:rsid w:val="00741B1D"/>
    <w:rsid w:val="00741B82"/>
    <w:rsid w:val="00741D0E"/>
    <w:rsid w:val="007421EA"/>
    <w:rsid w:val="00742319"/>
    <w:rsid w:val="0074238C"/>
    <w:rsid w:val="007425E2"/>
    <w:rsid w:val="007429F7"/>
    <w:rsid w:val="00742A06"/>
    <w:rsid w:val="00742BA3"/>
    <w:rsid w:val="00742CE6"/>
    <w:rsid w:val="00742D08"/>
    <w:rsid w:val="00742DC2"/>
    <w:rsid w:val="00742FC6"/>
    <w:rsid w:val="007430FE"/>
    <w:rsid w:val="0074316F"/>
    <w:rsid w:val="00743551"/>
    <w:rsid w:val="0074377F"/>
    <w:rsid w:val="007437D3"/>
    <w:rsid w:val="00743923"/>
    <w:rsid w:val="0074392B"/>
    <w:rsid w:val="00743AAA"/>
    <w:rsid w:val="00743CDE"/>
    <w:rsid w:val="00743DC1"/>
    <w:rsid w:val="00743E3F"/>
    <w:rsid w:val="00743F92"/>
    <w:rsid w:val="00743F9B"/>
    <w:rsid w:val="00744262"/>
    <w:rsid w:val="007444FB"/>
    <w:rsid w:val="00744570"/>
    <w:rsid w:val="0074462A"/>
    <w:rsid w:val="00744807"/>
    <w:rsid w:val="007448CB"/>
    <w:rsid w:val="0074499D"/>
    <w:rsid w:val="00744A17"/>
    <w:rsid w:val="00744CBC"/>
    <w:rsid w:val="00744DA0"/>
    <w:rsid w:val="00744DF5"/>
    <w:rsid w:val="007451A0"/>
    <w:rsid w:val="00745323"/>
    <w:rsid w:val="0074539B"/>
    <w:rsid w:val="007453B9"/>
    <w:rsid w:val="0074563F"/>
    <w:rsid w:val="00745665"/>
    <w:rsid w:val="00745A1F"/>
    <w:rsid w:val="00745AE5"/>
    <w:rsid w:val="00745CA0"/>
    <w:rsid w:val="00745D49"/>
    <w:rsid w:val="00745E14"/>
    <w:rsid w:val="007460D5"/>
    <w:rsid w:val="00746175"/>
    <w:rsid w:val="0074635C"/>
    <w:rsid w:val="0074682A"/>
    <w:rsid w:val="00746885"/>
    <w:rsid w:val="00746A35"/>
    <w:rsid w:val="00746D45"/>
    <w:rsid w:val="00746FDF"/>
    <w:rsid w:val="0074746A"/>
    <w:rsid w:val="00747490"/>
    <w:rsid w:val="007474F0"/>
    <w:rsid w:val="00747655"/>
    <w:rsid w:val="0074765A"/>
    <w:rsid w:val="00747785"/>
    <w:rsid w:val="007477DA"/>
    <w:rsid w:val="00747969"/>
    <w:rsid w:val="00747C28"/>
    <w:rsid w:val="00747D24"/>
    <w:rsid w:val="00747D41"/>
    <w:rsid w:val="00747F4C"/>
    <w:rsid w:val="0075013C"/>
    <w:rsid w:val="007502EA"/>
    <w:rsid w:val="00750329"/>
    <w:rsid w:val="00750420"/>
    <w:rsid w:val="00750609"/>
    <w:rsid w:val="007506B7"/>
    <w:rsid w:val="00750707"/>
    <w:rsid w:val="00750917"/>
    <w:rsid w:val="00750BCB"/>
    <w:rsid w:val="00750C04"/>
    <w:rsid w:val="00750C49"/>
    <w:rsid w:val="00750E69"/>
    <w:rsid w:val="00750EB5"/>
    <w:rsid w:val="007511D4"/>
    <w:rsid w:val="00751200"/>
    <w:rsid w:val="007512D2"/>
    <w:rsid w:val="00751542"/>
    <w:rsid w:val="007515CE"/>
    <w:rsid w:val="007516B7"/>
    <w:rsid w:val="0075179E"/>
    <w:rsid w:val="007517D1"/>
    <w:rsid w:val="0075190E"/>
    <w:rsid w:val="00751A3B"/>
    <w:rsid w:val="00751C10"/>
    <w:rsid w:val="00751D80"/>
    <w:rsid w:val="00751F30"/>
    <w:rsid w:val="007520A8"/>
    <w:rsid w:val="007522AA"/>
    <w:rsid w:val="007522B3"/>
    <w:rsid w:val="00752483"/>
    <w:rsid w:val="007524CA"/>
    <w:rsid w:val="00752549"/>
    <w:rsid w:val="007525D9"/>
    <w:rsid w:val="007525DA"/>
    <w:rsid w:val="00752901"/>
    <w:rsid w:val="00752906"/>
    <w:rsid w:val="00752B1B"/>
    <w:rsid w:val="00752E5E"/>
    <w:rsid w:val="0075327C"/>
    <w:rsid w:val="0075329E"/>
    <w:rsid w:val="00753434"/>
    <w:rsid w:val="007536A7"/>
    <w:rsid w:val="007536C7"/>
    <w:rsid w:val="0075373A"/>
    <w:rsid w:val="007537B9"/>
    <w:rsid w:val="00753898"/>
    <w:rsid w:val="00753A2C"/>
    <w:rsid w:val="00753B70"/>
    <w:rsid w:val="00753BA0"/>
    <w:rsid w:val="00753D97"/>
    <w:rsid w:val="00753F7F"/>
    <w:rsid w:val="00753FF7"/>
    <w:rsid w:val="0075407E"/>
    <w:rsid w:val="00754163"/>
    <w:rsid w:val="00754438"/>
    <w:rsid w:val="007544C0"/>
    <w:rsid w:val="007544ED"/>
    <w:rsid w:val="0075475B"/>
    <w:rsid w:val="007547DA"/>
    <w:rsid w:val="00754850"/>
    <w:rsid w:val="00754951"/>
    <w:rsid w:val="00754A5E"/>
    <w:rsid w:val="00754A6B"/>
    <w:rsid w:val="00754C58"/>
    <w:rsid w:val="00754EAE"/>
    <w:rsid w:val="007550F3"/>
    <w:rsid w:val="00755209"/>
    <w:rsid w:val="007553FD"/>
    <w:rsid w:val="00755456"/>
    <w:rsid w:val="00755507"/>
    <w:rsid w:val="007555C7"/>
    <w:rsid w:val="0075566B"/>
    <w:rsid w:val="007556D5"/>
    <w:rsid w:val="0075570D"/>
    <w:rsid w:val="0075573B"/>
    <w:rsid w:val="00755FB7"/>
    <w:rsid w:val="00755FD2"/>
    <w:rsid w:val="0075602D"/>
    <w:rsid w:val="007563D5"/>
    <w:rsid w:val="00756617"/>
    <w:rsid w:val="00756695"/>
    <w:rsid w:val="007566B4"/>
    <w:rsid w:val="007567E7"/>
    <w:rsid w:val="0075695A"/>
    <w:rsid w:val="00756ADD"/>
    <w:rsid w:val="00756B84"/>
    <w:rsid w:val="00756CBF"/>
    <w:rsid w:val="00756DC9"/>
    <w:rsid w:val="00756ED2"/>
    <w:rsid w:val="00756F61"/>
    <w:rsid w:val="00756F87"/>
    <w:rsid w:val="00757182"/>
    <w:rsid w:val="00757240"/>
    <w:rsid w:val="007576A2"/>
    <w:rsid w:val="00757B15"/>
    <w:rsid w:val="00757B9B"/>
    <w:rsid w:val="00757CE0"/>
    <w:rsid w:val="00757D72"/>
    <w:rsid w:val="00757DE2"/>
    <w:rsid w:val="00757F01"/>
    <w:rsid w:val="00757F0C"/>
    <w:rsid w:val="00760498"/>
    <w:rsid w:val="00760701"/>
    <w:rsid w:val="0076089D"/>
    <w:rsid w:val="00760AE5"/>
    <w:rsid w:val="00760D7C"/>
    <w:rsid w:val="00760E44"/>
    <w:rsid w:val="00760E5F"/>
    <w:rsid w:val="00760FE4"/>
    <w:rsid w:val="00761071"/>
    <w:rsid w:val="0076108A"/>
    <w:rsid w:val="00761143"/>
    <w:rsid w:val="007612CA"/>
    <w:rsid w:val="00761413"/>
    <w:rsid w:val="00761776"/>
    <w:rsid w:val="00761845"/>
    <w:rsid w:val="007618FB"/>
    <w:rsid w:val="0076195C"/>
    <w:rsid w:val="00761C94"/>
    <w:rsid w:val="00761FAC"/>
    <w:rsid w:val="00762162"/>
    <w:rsid w:val="007621A6"/>
    <w:rsid w:val="007621EC"/>
    <w:rsid w:val="007623AB"/>
    <w:rsid w:val="00762550"/>
    <w:rsid w:val="007627B3"/>
    <w:rsid w:val="0076281C"/>
    <w:rsid w:val="007628E2"/>
    <w:rsid w:val="00762B64"/>
    <w:rsid w:val="00762C18"/>
    <w:rsid w:val="00762C3E"/>
    <w:rsid w:val="00762D97"/>
    <w:rsid w:val="00762DFA"/>
    <w:rsid w:val="00762EAE"/>
    <w:rsid w:val="00763269"/>
    <w:rsid w:val="00763272"/>
    <w:rsid w:val="007638DF"/>
    <w:rsid w:val="00763AD3"/>
    <w:rsid w:val="00763B77"/>
    <w:rsid w:val="00763FBE"/>
    <w:rsid w:val="00763FFB"/>
    <w:rsid w:val="007640DE"/>
    <w:rsid w:val="00764108"/>
    <w:rsid w:val="007641C4"/>
    <w:rsid w:val="00764385"/>
    <w:rsid w:val="0076465E"/>
    <w:rsid w:val="00764664"/>
    <w:rsid w:val="00764811"/>
    <w:rsid w:val="00764836"/>
    <w:rsid w:val="00764923"/>
    <w:rsid w:val="007649BA"/>
    <w:rsid w:val="007649E0"/>
    <w:rsid w:val="00764C0A"/>
    <w:rsid w:val="00764DD9"/>
    <w:rsid w:val="00764ED1"/>
    <w:rsid w:val="007650E1"/>
    <w:rsid w:val="0076513B"/>
    <w:rsid w:val="0076515A"/>
    <w:rsid w:val="00765233"/>
    <w:rsid w:val="007652DB"/>
    <w:rsid w:val="00765852"/>
    <w:rsid w:val="00765994"/>
    <w:rsid w:val="007659A5"/>
    <w:rsid w:val="00765B19"/>
    <w:rsid w:val="00765B8D"/>
    <w:rsid w:val="00765BC8"/>
    <w:rsid w:val="00765C92"/>
    <w:rsid w:val="00765DDF"/>
    <w:rsid w:val="00765F6B"/>
    <w:rsid w:val="00765F91"/>
    <w:rsid w:val="007660F7"/>
    <w:rsid w:val="0076619B"/>
    <w:rsid w:val="00766256"/>
    <w:rsid w:val="0076635A"/>
    <w:rsid w:val="007664A6"/>
    <w:rsid w:val="007664AC"/>
    <w:rsid w:val="0076656E"/>
    <w:rsid w:val="0076688D"/>
    <w:rsid w:val="007669C6"/>
    <w:rsid w:val="007669F7"/>
    <w:rsid w:val="00766AB0"/>
    <w:rsid w:val="00766B7A"/>
    <w:rsid w:val="00766BD1"/>
    <w:rsid w:val="00766C1F"/>
    <w:rsid w:val="00766D99"/>
    <w:rsid w:val="00766E9A"/>
    <w:rsid w:val="0076709E"/>
    <w:rsid w:val="007670B2"/>
    <w:rsid w:val="007670E4"/>
    <w:rsid w:val="0076711F"/>
    <w:rsid w:val="007671DB"/>
    <w:rsid w:val="00767348"/>
    <w:rsid w:val="00767353"/>
    <w:rsid w:val="00767377"/>
    <w:rsid w:val="00767565"/>
    <w:rsid w:val="00767590"/>
    <w:rsid w:val="00767771"/>
    <w:rsid w:val="00767A4A"/>
    <w:rsid w:val="00767D8B"/>
    <w:rsid w:val="00767DFC"/>
    <w:rsid w:val="00767E13"/>
    <w:rsid w:val="00767EBF"/>
    <w:rsid w:val="00767F47"/>
    <w:rsid w:val="0077026C"/>
    <w:rsid w:val="00770520"/>
    <w:rsid w:val="00770912"/>
    <w:rsid w:val="00770A6D"/>
    <w:rsid w:val="00770A8D"/>
    <w:rsid w:val="00770AFC"/>
    <w:rsid w:val="00770B70"/>
    <w:rsid w:val="00770C8B"/>
    <w:rsid w:val="00771007"/>
    <w:rsid w:val="0077105C"/>
    <w:rsid w:val="00771124"/>
    <w:rsid w:val="00771140"/>
    <w:rsid w:val="00771267"/>
    <w:rsid w:val="007714C8"/>
    <w:rsid w:val="00771A97"/>
    <w:rsid w:val="00771B67"/>
    <w:rsid w:val="00771BCD"/>
    <w:rsid w:val="00771C4C"/>
    <w:rsid w:val="00771CA4"/>
    <w:rsid w:val="00771D1B"/>
    <w:rsid w:val="00771FBC"/>
    <w:rsid w:val="00772248"/>
    <w:rsid w:val="00772386"/>
    <w:rsid w:val="0077255B"/>
    <w:rsid w:val="0077259A"/>
    <w:rsid w:val="0077285C"/>
    <w:rsid w:val="0077286B"/>
    <w:rsid w:val="007728F8"/>
    <w:rsid w:val="00772955"/>
    <w:rsid w:val="00772ADD"/>
    <w:rsid w:val="00772C81"/>
    <w:rsid w:val="00772E68"/>
    <w:rsid w:val="007730C5"/>
    <w:rsid w:val="007734DB"/>
    <w:rsid w:val="007735C6"/>
    <w:rsid w:val="007736FD"/>
    <w:rsid w:val="00773A9F"/>
    <w:rsid w:val="00773D53"/>
    <w:rsid w:val="00773E63"/>
    <w:rsid w:val="007740A8"/>
    <w:rsid w:val="007741AD"/>
    <w:rsid w:val="0077422E"/>
    <w:rsid w:val="00774284"/>
    <w:rsid w:val="00774431"/>
    <w:rsid w:val="007744A4"/>
    <w:rsid w:val="007745DB"/>
    <w:rsid w:val="007745F5"/>
    <w:rsid w:val="007747AB"/>
    <w:rsid w:val="007748CC"/>
    <w:rsid w:val="00774970"/>
    <w:rsid w:val="00774A83"/>
    <w:rsid w:val="00774AA1"/>
    <w:rsid w:val="00774C8D"/>
    <w:rsid w:val="00774F1D"/>
    <w:rsid w:val="00774F82"/>
    <w:rsid w:val="00775028"/>
    <w:rsid w:val="007750CC"/>
    <w:rsid w:val="0077552E"/>
    <w:rsid w:val="007756C7"/>
    <w:rsid w:val="007756CE"/>
    <w:rsid w:val="00775754"/>
    <w:rsid w:val="007757C9"/>
    <w:rsid w:val="007758D4"/>
    <w:rsid w:val="007758EA"/>
    <w:rsid w:val="007759E0"/>
    <w:rsid w:val="00775CAC"/>
    <w:rsid w:val="00775DE1"/>
    <w:rsid w:val="00775FB5"/>
    <w:rsid w:val="00775FC3"/>
    <w:rsid w:val="0077612E"/>
    <w:rsid w:val="0077627A"/>
    <w:rsid w:val="00776673"/>
    <w:rsid w:val="007767FB"/>
    <w:rsid w:val="00776810"/>
    <w:rsid w:val="0077682F"/>
    <w:rsid w:val="0077688A"/>
    <w:rsid w:val="00776CDE"/>
    <w:rsid w:val="00776CE5"/>
    <w:rsid w:val="00776CFD"/>
    <w:rsid w:val="00776D0B"/>
    <w:rsid w:val="00776D5D"/>
    <w:rsid w:val="00777379"/>
    <w:rsid w:val="007773DE"/>
    <w:rsid w:val="0077750B"/>
    <w:rsid w:val="00777546"/>
    <w:rsid w:val="0077774D"/>
    <w:rsid w:val="007778C0"/>
    <w:rsid w:val="007778FA"/>
    <w:rsid w:val="0077793D"/>
    <w:rsid w:val="007779D5"/>
    <w:rsid w:val="00777B8B"/>
    <w:rsid w:val="00777DD2"/>
    <w:rsid w:val="00777EBC"/>
    <w:rsid w:val="00777F4F"/>
    <w:rsid w:val="007801DB"/>
    <w:rsid w:val="00780205"/>
    <w:rsid w:val="007803B4"/>
    <w:rsid w:val="007805D2"/>
    <w:rsid w:val="00780655"/>
    <w:rsid w:val="0078068D"/>
    <w:rsid w:val="007806D0"/>
    <w:rsid w:val="00780B10"/>
    <w:rsid w:val="00780BFF"/>
    <w:rsid w:val="00780C35"/>
    <w:rsid w:val="00780D59"/>
    <w:rsid w:val="00780E7B"/>
    <w:rsid w:val="00780FC2"/>
    <w:rsid w:val="00780FC8"/>
    <w:rsid w:val="007810DF"/>
    <w:rsid w:val="0078121F"/>
    <w:rsid w:val="00781224"/>
    <w:rsid w:val="00781232"/>
    <w:rsid w:val="0078131A"/>
    <w:rsid w:val="00781375"/>
    <w:rsid w:val="007813E6"/>
    <w:rsid w:val="0078142A"/>
    <w:rsid w:val="0078147D"/>
    <w:rsid w:val="0078163B"/>
    <w:rsid w:val="007816FD"/>
    <w:rsid w:val="007817DA"/>
    <w:rsid w:val="00781E52"/>
    <w:rsid w:val="00781F05"/>
    <w:rsid w:val="00781F59"/>
    <w:rsid w:val="00781F8E"/>
    <w:rsid w:val="0078208D"/>
    <w:rsid w:val="00782140"/>
    <w:rsid w:val="0078218B"/>
    <w:rsid w:val="0078249A"/>
    <w:rsid w:val="00782548"/>
    <w:rsid w:val="0078259B"/>
    <w:rsid w:val="0078293D"/>
    <w:rsid w:val="00782A66"/>
    <w:rsid w:val="00782D70"/>
    <w:rsid w:val="00782DF5"/>
    <w:rsid w:val="00782E07"/>
    <w:rsid w:val="00783070"/>
    <w:rsid w:val="00783136"/>
    <w:rsid w:val="007832B6"/>
    <w:rsid w:val="00783423"/>
    <w:rsid w:val="007836DB"/>
    <w:rsid w:val="00783759"/>
    <w:rsid w:val="007837C5"/>
    <w:rsid w:val="007839A5"/>
    <w:rsid w:val="007839C5"/>
    <w:rsid w:val="00783A30"/>
    <w:rsid w:val="00783BD0"/>
    <w:rsid w:val="00783CBC"/>
    <w:rsid w:val="00783DBF"/>
    <w:rsid w:val="00783FAB"/>
    <w:rsid w:val="0078401A"/>
    <w:rsid w:val="00784058"/>
    <w:rsid w:val="00784210"/>
    <w:rsid w:val="007842A9"/>
    <w:rsid w:val="007842E1"/>
    <w:rsid w:val="007843D3"/>
    <w:rsid w:val="0078479D"/>
    <w:rsid w:val="00784AA5"/>
    <w:rsid w:val="00784C2C"/>
    <w:rsid w:val="00784C9F"/>
    <w:rsid w:val="00784CF5"/>
    <w:rsid w:val="00784DB1"/>
    <w:rsid w:val="00784FA8"/>
    <w:rsid w:val="007850ED"/>
    <w:rsid w:val="00785226"/>
    <w:rsid w:val="00785391"/>
    <w:rsid w:val="00785414"/>
    <w:rsid w:val="007855CD"/>
    <w:rsid w:val="007855ED"/>
    <w:rsid w:val="0078563B"/>
    <w:rsid w:val="007858F6"/>
    <w:rsid w:val="00785CAC"/>
    <w:rsid w:val="00785D30"/>
    <w:rsid w:val="00785E62"/>
    <w:rsid w:val="00785E71"/>
    <w:rsid w:val="00785EA5"/>
    <w:rsid w:val="007861B9"/>
    <w:rsid w:val="00786334"/>
    <w:rsid w:val="00786363"/>
    <w:rsid w:val="007863EF"/>
    <w:rsid w:val="0078641B"/>
    <w:rsid w:val="007865B8"/>
    <w:rsid w:val="007865D9"/>
    <w:rsid w:val="00786673"/>
    <w:rsid w:val="007866F5"/>
    <w:rsid w:val="0078672A"/>
    <w:rsid w:val="0078674C"/>
    <w:rsid w:val="0078697B"/>
    <w:rsid w:val="007869F9"/>
    <w:rsid w:val="00786C47"/>
    <w:rsid w:val="00786E47"/>
    <w:rsid w:val="00786EAB"/>
    <w:rsid w:val="00786ED2"/>
    <w:rsid w:val="00786F6F"/>
    <w:rsid w:val="007870C1"/>
    <w:rsid w:val="007872F8"/>
    <w:rsid w:val="00787424"/>
    <w:rsid w:val="007874F7"/>
    <w:rsid w:val="007875D5"/>
    <w:rsid w:val="007876C9"/>
    <w:rsid w:val="00787726"/>
    <w:rsid w:val="0078773D"/>
    <w:rsid w:val="00787803"/>
    <w:rsid w:val="00787B42"/>
    <w:rsid w:val="00787C82"/>
    <w:rsid w:val="00790019"/>
    <w:rsid w:val="00790307"/>
    <w:rsid w:val="00790326"/>
    <w:rsid w:val="00790440"/>
    <w:rsid w:val="007904A3"/>
    <w:rsid w:val="0079052E"/>
    <w:rsid w:val="00790711"/>
    <w:rsid w:val="00790806"/>
    <w:rsid w:val="00790834"/>
    <w:rsid w:val="0079086F"/>
    <w:rsid w:val="00790B15"/>
    <w:rsid w:val="00790B9D"/>
    <w:rsid w:val="00790BD0"/>
    <w:rsid w:val="00790C34"/>
    <w:rsid w:val="00790C59"/>
    <w:rsid w:val="00790C7D"/>
    <w:rsid w:val="00790FE5"/>
    <w:rsid w:val="00791006"/>
    <w:rsid w:val="0079100E"/>
    <w:rsid w:val="007910A5"/>
    <w:rsid w:val="007913EF"/>
    <w:rsid w:val="007914D4"/>
    <w:rsid w:val="0079151C"/>
    <w:rsid w:val="00791655"/>
    <w:rsid w:val="00791919"/>
    <w:rsid w:val="00791B2C"/>
    <w:rsid w:val="00791C91"/>
    <w:rsid w:val="00791DE2"/>
    <w:rsid w:val="00791F6A"/>
    <w:rsid w:val="00791FE4"/>
    <w:rsid w:val="00792053"/>
    <w:rsid w:val="00792095"/>
    <w:rsid w:val="007921F3"/>
    <w:rsid w:val="007926B5"/>
    <w:rsid w:val="00792AB6"/>
    <w:rsid w:val="00792AEE"/>
    <w:rsid w:val="00792BDC"/>
    <w:rsid w:val="00792CC6"/>
    <w:rsid w:val="00792F3E"/>
    <w:rsid w:val="0079308D"/>
    <w:rsid w:val="0079321D"/>
    <w:rsid w:val="0079329B"/>
    <w:rsid w:val="007932B3"/>
    <w:rsid w:val="0079344F"/>
    <w:rsid w:val="00793468"/>
    <w:rsid w:val="007934DE"/>
    <w:rsid w:val="0079358F"/>
    <w:rsid w:val="007935EC"/>
    <w:rsid w:val="007937CD"/>
    <w:rsid w:val="0079381E"/>
    <w:rsid w:val="0079393F"/>
    <w:rsid w:val="007939B4"/>
    <w:rsid w:val="00793A27"/>
    <w:rsid w:val="00793A70"/>
    <w:rsid w:val="00793C9D"/>
    <w:rsid w:val="00793ED6"/>
    <w:rsid w:val="00793F1B"/>
    <w:rsid w:val="007940BE"/>
    <w:rsid w:val="00794191"/>
    <w:rsid w:val="00794386"/>
    <w:rsid w:val="0079439B"/>
    <w:rsid w:val="0079462E"/>
    <w:rsid w:val="007946D0"/>
    <w:rsid w:val="007948AD"/>
    <w:rsid w:val="00794EE6"/>
    <w:rsid w:val="00794FA8"/>
    <w:rsid w:val="007954D5"/>
    <w:rsid w:val="00795548"/>
    <w:rsid w:val="00795594"/>
    <w:rsid w:val="0079565D"/>
    <w:rsid w:val="007956D6"/>
    <w:rsid w:val="007958D8"/>
    <w:rsid w:val="00795ACC"/>
    <w:rsid w:val="00795B1F"/>
    <w:rsid w:val="00795C48"/>
    <w:rsid w:val="00795D17"/>
    <w:rsid w:val="00795E64"/>
    <w:rsid w:val="0079609F"/>
    <w:rsid w:val="007960C7"/>
    <w:rsid w:val="00796106"/>
    <w:rsid w:val="0079628F"/>
    <w:rsid w:val="00796326"/>
    <w:rsid w:val="00796349"/>
    <w:rsid w:val="007963FC"/>
    <w:rsid w:val="0079651F"/>
    <w:rsid w:val="00796560"/>
    <w:rsid w:val="007965E1"/>
    <w:rsid w:val="00796607"/>
    <w:rsid w:val="00796635"/>
    <w:rsid w:val="0079666B"/>
    <w:rsid w:val="00796724"/>
    <w:rsid w:val="00796884"/>
    <w:rsid w:val="00796974"/>
    <w:rsid w:val="0079697F"/>
    <w:rsid w:val="00796B14"/>
    <w:rsid w:val="00796BF2"/>
    <w:rsid w:val="00796C63"/>
    <w:rsid w:val="00796C7B"/>
    <w:rsid w:val="00796D16"/>
    <w:rsid w:val="00797094"/>
    <w:rsid w:val="00797211"/>
    <w:rsid w:val="0079723A"/>
    <w:rsid w:val="00797312"/>
    <w:rsid w:val="0079754C"/>
    <w:rsid w:val="007977BE"/>
    <w:rsid w:val="0079783C"/>
    <w:rsid w:val="007978FC"/>
    <w:rsid w:val="0079797D"/>
    <w:rsid w:val="00797A12"/>
    <w:rsid w:val="00797B02"/>
    <w:rsid w:val="00797C4A"/>
    <w:rsid w:val="00797F54"/>
    <w:rsid w:val="007A0009"/>
    <w:rsid w:val="007A0190"/>
    <w:rsid w:val="007A0321"/>
    <w:rsid w:val="007A0556"/>
    <w:rsid w:val="007A06AF"/>
    <w:rsid w:val="007A07DC"/>
    <w:rsid w:val="007A08B7"/>
    <w:rsid w:val="007A08FB"/>
    <w:rsid w:val="007A0B60"/>
    <w:rsid w:val="007A0BA7"/>
    <w:rsid w:val="007A0C4C"/>
    <w:rsid w:val="007A0CBE"/>
    <w:rsid w:val="007A0D81"/>
    <w:rsid w:val="007A0FD5"/>
    <w:rsid w:val="007A1164"/>
    <w:rsid w:val="007A15BF"/>
    <w:rsid w:val="007A16F9"/>
    <w:rsid w:val="007A1C69"/>
    <w:rsid w:val="007A2042"/>
    <w:rsid w:val="007A2185"/>
    <w:rsid w:val="007A21F8"/>
    <w:rsid w:val="007A2267"/>
    <w:rsid w:val="007A2299"/>
    <w:rsid w:val="007A243E"/>
    <w:rsid w:val="007A2688"/>
    <w:rsid w:val="007A26E7"/>
    <w:rsid w:val="007A27CC"/>
    <w:rsid w:val="007A282C"/>
    <w:rsid w:val="007A28B8"/>
    <w:rsid w:val="007A2A3D"/>
    <w:rsid w:val="007A2AD3"/>
    <w:rsid w:val="007A2B08"/>
    <w:rsid w:val="007A2DF4"/>
    <w:rsid w:val="007A2E1A"/>
    <w:rsid w:val="007A2F37"/>
    <w:rsid w:val="007A2FF3"/>
    <w:rsid w:val="007A3088"/>
    <w:rsid w:val="007A3790"/>
    <w:rsid w:val="007A3917"/>
    <w:rsid w:val="007A393B"/>
    <w:rsid w:val="007A3949"/>
    <w:rsid w:val="007A3B29"/>
    <w:rsid w:val="007A3B59"/>
    <w:rsid w:val="007A3C39"/>
    <w:rsid w:val="007A3D67"/>
    <w:rsid w:val="007A3E80"/>
    <w:rsid w:val="007A3E8A"/>
    <w:rsid w:val="007A4114"/>
    <w:rsid w:val="007A424A"/>
    <w:rsid w:val="007A42B4"/>
    <w:rsid w:val="007A4338"/>
    <w:rsid w:val="007A442A"/>
    <w:rsid w:val="007A4648"/>
    <w:rsid w:val="007A47D4"/>
    <w:rsid w:val="007A47F4"/>
    <w:rsid w:val="007A48B3"/>
    <w:rsid w:val="007A4934"/>
    <w:rsid w:val="007A4A38"/>
    <w:rsid w:val="007A4B5B"/>
    <w:rsid w:val="007A4BC0"/>
    <w:rsid w:val="007A4BDF"/>
    <w:rsid w:val="007A4C40"/>
    <w:rsid w:val="007A4EAF"/>
    <w:rsid w:val="007A4F0C"/>
    <w:rsid w:val="007A5116"/>
    <w:rsid w:val="007A524A"/>
    <w:rsid w:val="007A52A0"/>
    <w:rsid w:val="007A53D2"/>
    <w:rsid w:val="007A5578"/>
    <w:rsid w:val="007A5663"/>
    <w:rsid w:val="007A5CE3"/>
    <w:rsid w:val="007A5FF7"/>
    <w:rsid w:val="007A6005"/>
    <w:rsid w:val="007A601D"/>
    <w:rsid w:val="007A608F"/>
    <w:rsid w:val="007A60DF"/>
    <w:rsid w:val="007A63EF"/>
    <w:rsid w:val="007A64AE"/>
    <w:rsid w:val="007A6561"/>
    <w:rsid w:val="007A6687"/>
    <w:rsid w:val="007A67F6"/>
    <w:rsid w:val="007A6B51"/>
    <w:rsid w:val="007A6D43"/>
    <w:rsid w:val="007A6FB6"/>
    <w:rsid w:val="007A7185"/>
    <w:rsid w:val="007A7405"/>
    <w:rsid w:val="007A74AD"/>
    <w:rsid w:val="007A74B6"/>
    <w:rsid w:val="007A7512"/>
    <w:rsid w:val="007A759A"/>
    <w:rsid w:val="007A75AA"/>
    <w:rsid w:val="007A76E6"/>
    <w:rsid w:val="007A7719"/>
    <w:rsid w:val="007A7973"/>
    <w:rsid w:val="007A79BC"/>
    <w:rsid w:val="007A7A89"/>
    <w:rsid w:val="007A7A9B"/>
    <w:rsid w:val="007A7AB5"/>
    <w:rsid w:val="007A7B1E"/>
    <w:rsid w:val="007A7B46"/>
    <w:rsid w:val="007A7C13"/>
    <w:rsid w:val="007A7D2E"/>
    <w:rsid w:val="007A7D83"/>
    <w:rsid w:val="007A7E9B"/>
    <w:rsid w:val="007B00F4"/>
    <w:rsid w:val="007B022D"/>
    <w:rsid w:val="007B055F"/>
    <w:rsid w:val="007B0630"/>
    <w:rsid w:val="007B0667"/>
    <w:rsid w:val="007B08D3"/>
    <w:rsid w:val="007B0B92"/>
    <w:rsid w:val="007B0C3B"/>
    <w:rsid w:val="007B0F9E"/>
    <w:rsid w:val="007B0FCF"/>
    <w:rsid w:val="007B1514"/>
    <w:rsid w:val="007B154D"/>
    <w:rsid w:val="007B1578"/>
    <w:rsid w:val="007B162E"/>
    <w:rsid w:val="007B18E4"/>
    <w:rsid w:val="007B1986"/>
    <w:rsid w:val="007B1A34"/>
    <w:rsid w:val="007B1AD1"/>
    <w:rsid w:val="007B1B4D"/>
    <w:rsid w:val="007B1CC5"/>
    <w:rsid w:val="007B2065"/>
    <w:rsid w:val="007B2265"/>
    <w:rsid w:val="007B22A8"/>
    <w:rsid w:val="007B2AA1"/>
    <w:rsid w:val="007B3024"/>
    <w:rsid w:val="007B31D9"/>
    <w:rsid w:val="007B328B"/>
    <w:rsid w:val="007B33AA"/>
    <w:rsid w:val="007B3574"/>
    <w:rsid w:val="007B35E0"/>
    <w:rsid w:val="007B36A0"/>
    <w:rsid w:val="007B3802"/>
    <w:rsid w:val="007B3965"/>
    <w:rsid w:val="007B39B2"/>
    <w:rsid w:val="007B3D77"/>
    <w:rsid w:val="007B3EBE"/>
    <w:rsid w:val="007B3F27"/>
    <w:rsid w:val="007B3FB1"/>
    <w:rsid w:val="007B4631"/>
    <w:rsid w:val="007B471D"/>
    <w:rsid w:val="007B4916"/>
    <w:rsid w:val="007B494B"/>
    <w:rsid w:val="007B4DAA"/>
    <w:rsid w:val="007B52A4"/>
    <w:rsid w:val="007B530A"/>
    <w:rsid w:val="007B53EE"/>
    <w:rsid w:val="007B5459"/>
    <w:rsid w:val="007B5849"/>
    <w:rsid w:val="007B5948"/>
    <w:rsid w:val="007B597D"/>
    <w:rsid w:val="007B59AD"/>
    <w:rsid w:val="007B5C37"/>
    <w:rsid w:val="007B5D2F"/>
    <w:rsid w:val="007B5DCC"/>
    <w:rsid w:val="007B5DCD"/>
    <w:rsid w:val="007B61AB"/>
    <w:rsid w:val="007B61E1"/>
    <w:rsid w:val="007B628A"/>
    <w:rsid w:val="007B636E"/>
    <w:rsid w:val="007B65E7"/>
    <w:rsid w:val="007B661D"/>
    <w:rsid w:val="007B676E"/>
    <w:rsid w:val="007B6B37"/>
    <w:rsid w:val="007B6E11"/>
    <w:rsid w:val="007B6E18"/>
    <w:rsid w:val="007B6F53"/>
    <w:rsid w:val="007B6FA7"/>
    <w:rsid w:val="007B7061"/>
    <w:rsid w:val="007B722E"/>
    <w:rsid w:val="007B7454"/>
    <w:rsid w:val="007B7646"/>
    <w:rsid w:val="007B76AF"/>
    <w:rsid w:val="007B7750"/>
    <w:rsid w:val="007B77B9"/>
    <w:rsid w:val="007B7859"/>
    <w:rsid w:val="007B78EF"/>
    <w:rsid w:val="007B7959"/>
    <w:rsid w:val="007B7A33"/>
    <w:rsid w:val="007B7EB8"/>
    <w:rsid w:val="007B7F0B"/>
    <w:rsid w:val="007B7FD7"/>
    <w:rsid w:val="007C0028"/>
    <w:rsid w:val="007C0057"/>
    <w:rsid w:val="007C01C0"/>
    <w:rsid w:val="007C02A9"/>
    <w:rsid w:val="007C032A"/>
    <w:rsid w:val="007C0617"/>
    <w:rsid w:val="007C081D"/>
    <w:rsid w:val="007C08DB"/>
    <w:rsid w:val="007C09F4"/>
    <w:rsid w:val="007C0B38"/>
    <w:rsid w:val="007C0BA1"/>
    <w:rsid w:val="007C0C69"/>
    <w:rsid w:val="007C0C6A"/>
    <w:rsid w:val="007C0F3C"/>
    <w:rsid w:val="007C110F"/>
    <w:rsid w:val="007C1253"/>
    <w:rsid w:val="007C14DE"/>
    <w:rsid w:val="007C1632"/>
    <w:rsid w:val="007C1692"/>
    <w:rsid w:val="007C1B7E"/>
    <w:rsid w:val="007C1BB9"/>
    <w:rsid w:val="007C1BD4"/>
    <w:rsid w:val="007C1DBB"/>
    <w:rsid w:val="007C1DC8"/>
    <w:rsid w:val="007C22AB"/>
    <w:rsid w:val="007C25A4"/>
    <w:rsid w:val="007C27FB"/>
    <w:rsid w:val="007C2829"/>
    <w:rsid w:val="007C28A3"/>
    <w:rsid w:val="007C2ACA"/>
    <w:rsid w:val="007C2B3E"/>
    <w:rsid w:val="007C2CCA"/>
    <w:rsid w:val="007C2D84"/>
    <w:rsid w:val="007C2F5A"/>
    <w:rsid w:val="007C2F94"/>
    <w:rsid w:val="007C2FA8"/>
    <w:rsid w:val="007C301D"/>
    <w:rsid w:val="007C30EE"/>
    <w:rsid w:val="007C3157"/>
    <w:rsid w:val="007C32FD"/>
    <w:rsid w:val="007C3337"/>
    <w:rsid w:val="007C3403"/>
    <w:rsid w:val="007C34E1"/>
    <w:rsid w:val="007C34F7"/>
    <w:rsid w:val="007C3759"/>
    <w:rsid w:val="007C3806"/>
    <w:rsid w:val="007C3AFD"/>
    <w:rsid w:val="007C3BF6"/>
    <w:rsid w:val="007C3CE4"/>
    <w:rsid w:val="007C3D3A"/>
    <w:rsid w:val="007C3D89"/>
    <w:rsid w:val="007C3F6A"/>
    <w:rsid w:val="007C4234"/>
    <w:rsid w:val="007C43E1"/>
    <w:rsid w:val="007C461F"/>
    <w:rsid w:val="007C4650"/>
    <w:rsid w:val="007C46F5"/>
    <w:rsid w:val="007C48BE"/>
    <w:rsid w:val="007C4940"/>
    <w:rsid w:val="007C4DA0"/>
    <w:rsid w:val="007C4E55"/>
    <w:rsid w:val="007C5044"/>
    <w:rsid w:val="007C50E7"/>
    <w:rsid w:val="007C51E7"/>
    <w:rsid w:val="007C52A0"/>
    <w:rsid w:val="007C53B8"/>
    <w:rsid w:val="007C5521"/>
    <w:rsid w:val="007C56A6"/>
    <w:rsid w:val="007C5803"/>
    <w:rsid w:val="007C58FB"/>
    <w:rsid w:val="007C5932"/>
    <w:rsid w:val="007C5BC8"/>
    <w:rsid w:val="007C5BD1"/>
    <w:rsid w:val="007C5D2E"/>
    <w:rsid w:val="007C5D4F"/>
    <w:rsid w:val="007C5D80"/>
    <w:rsid w:val="007C5E7D"/>
    <w:rsid w:val="007C5EA3"/>
    <w:rsid w:val="007C5EEB"/>
    <w:rsid w:val="007C5F44"/>
    <w:rsid w:val="007C617B"/>
    <w:rsid w:val="007C6180"/>
    <w:rsid w:val="007C63DE"/>
    <w:rsid w:val="007C665B"/>
    <w:rsid w:val="007C66FD"/>
    <w:rsid w:val="007C6966"/>
    <w:rsid w:val="007C6974"/>
    <w:rsid w:val="007C6ACE"/>
    <w:rsid w:val="007C6B45"/>
    <w:rsid w:val="007C6E8A"/>
    <w:rsid w:val="007C6FE9"/>
    <w:rsid w:val="007C7072"/>
    <w:rsid w:val="007C715F"/>
    <w:rsid w:val="007C71A9"/>
    <w:rsid w:val="007C73D1"/>
    <w:rsid w:val="007C761C"/>
    <w:rsid w:val="007C7757"/>
    <w:rsid w:val="007C79C5"/>
    <w:rsid w:val="007C7A45"/>
    <w:rsid w:val="007C7ACF"/>
    <w:rsid w:val="007C7BE2"/>
    <w:rsid w:val="007C7C3B"/>
    <w:rsid w:val="007C7E34"/>
    <w:rsid w:val="007C7E7F"/>
    <w:rsid w:val="007D0125"/>
    <w:rsid w:val="007D0418"/>
    <w:rsid w:val="007D0471"/>
    <w:rsid w:val="007D04FE"/>
    <w:rsid w:val="007D0967"/>
    <w:rsid w:val="007D0CA5"/>
    <w:rsid w:val="007D0D03"/>
    <w:rsid w:val="007D0E60"/>
    <w:rsid w:val="007D0E96"/>
    <w:rsid w:val="007D0EB1"/>
    <w:rsid w:val="007D104D"/>
    <w:rsid w:val="007D10F9"/>
    <w:rsid w:val="007D12F5"/>
    <w:rsid w:val="007D138E"/>
    <w:rsid w:val="007D141C"/>
    <w:rsid w:val="007D1439"/>
    <w:rsid w:val="007D1540"/>
    <w:rsid w:val="007D1638"/>
    <w:rsid w:val="007D1645"/>
    <w:rsid w:val="007D17CD"/>
    <w:rsid w:val="007D19A7"/>
    <w:rsid w:val="007D1A26"/>
    <w:rsid w:val="007D1A36"/>
    <w:rsid w:val="007D1B78"/>
    <w:rsid w:val="007D2132"/>
    <w:rsid w:val="007D2237"/>
    <w:rsid w:val="007D2275"/>
    <w:rsid w:val="007D2395"/>
    <w:rsid w:val="007D2508"/>
    <w:rsid w:val="007D2A4B"/>
    <w:rsid w:val="007D2B9A"/>
    <w:rsid w:val="007D2CCD"/>
    <w:rsid w:val="007D2D65"/>
    <w:rsid w:val="007D2E50"/>
    <w:rsid w:val="007D2EB5"/>
    <w:rsid w:val="007D2F4D"/>
    <w:rsid w:val="007D2FFB"/>
    <w:rsid w:val="007D314D"/>
    <w:rsid w:val="007D31B4"/>
    <w:rsid w:val="007D31C6"/>
    <w:rsid w:val="007D38E4"/>
    <w:rsid w:val="007D395D"/>
    <w:rsid w:val="007D3A75"/>
    <w:rsid w:val="007D3AEA"/>
    <w:rsid w:val="007D3AF9"/>
    <w:rsid w:val="007D3D0B"/>
    <w:rsid w:val="007D3F4D"/>
    <w:rsid w:val="007D40FF"/>
    <w:rsid w:val="007D44AB"/>
    <w:rsid w:val="007D461E"/>
    <w:rsid w:val="007D4654"/>
    <w:rsid w:val="007D478A"/>
    <w:rsid w:val="007D4793"/>
    <w:rsid w:val="007D479A"/>
    <w:rsid w:val="007D47EC"/>
    <w:rsid w:val="007D4822"/>
    <w:rsid w:val="007D48AC"/>
    <w:rsid w:val="007D4A2E"/>
    <w:rsid w:val="007D4AF0"/>
    <w:rsid w:val="007D4E17"/>
    <w:rsid w:val="007D50B8"/>
    <w:rsid w:val="007D52A2"/>
    <w:rsid w:val="007D53FE"/>
    <w:rsid w:val="007D5487"/>
    <w:rsid w:val="007D55A7"/>
    <w:rsid w:val="007D567D"/>
    <w:rsid w:val="007D5789"/>
    <w:rsid w:val="007D57F0"/>
    <w:rsid w:val="007D5883"/>
    <w:rsid w:val="007D58D2"/>
    <w:rsid w:val="007D591D"/>
    <w:rsid w:val="007D59F1"/>
    <w:rsid w:val="007D5B15"/>
    <w:rsid w:val="007D5B58"/>
    <w:rsid w:val="007D5BE7"/>
    <w:rsid w:val="007D5C63"/>
    <w:rsid w:val="007D5D0A"/>
    <w:rsid w:val="007D5E7C"/>
    <w:rsid w:val="007D643F"/>
    <w:rsid w:val="007D6449"/>
    <w:rsid w:val="007D66DD"/>
    <w:rsid w:val="007D675D"/>
    <w:rsid w:val="007D6810"/>
    <w:rsid w:val="007D6905"/>
    <w:rsid w:val="007D697C"/>
    <w:rsid w:val="007D6BCF"/>
    <w:rsid w:val="007D70CD"/>
    <w:rsid w:val="007D71CE"/>
    <w:rsid w:val="007D7236"/>
    <w:rsid w:val="007D7411"/>
    <w:rsid w:val="007D7483"/>
    <w:rsid w:val="007D74F1"/>
    <w:rsid w:val="007D75E9"/>
    <w:rsid w:val="007D7678"/>
    <w:rsid w:val="007D79C3"/>
    <w:rsid w:val="007D7A08"/>
    <w:rsid w:val="007D7A12"/>
    <w:rsid w:val="007D7C10"/>
    <w:rsid w:val="007D7CA1"/>
    <w:rsid w:val="007D7DA4"/>
    <w:rsid w:val="007D7EE8"/>
    <w:rsid w:val="007D7EF3"/>
    <w:rsid w:val="007D7F3D"/>
    <w:rsid w:val="007D7F5F"/>
    <w:rsid w:val="007E00EE"/>
    <w:rsid w:val="007E01DA"/>
    <w:rsid w:val="007E035C"/>
    <w:rsid w:val="007E05D9"/>
    <w:rsid w:val="007E0695"/>
    <w:rsid w:val="007E0A9F"/>
    <w:rsid w:val="007E0B2A"/>
    <w:rsid w:val="007E0B9F"/>
    <w:rsid w:val="007E0C06"/>
    <w:rsid w:val="007E0EFD"/>
    <w:rsid w:val="007E0F8E"/>
    <w:rsid w:val="007E0FA0"/>
    <w:rsid w:val="007E104A"/>
    <w:rsid w:val="007E1387"/>
    <w:rsid w:val="007E13E9"/>
    <w:rsid w:val="007E15ED"/>
    <w:rsid w:val="007E1604"/>
    <w:rsid w:val="007E16EA"/>
    <w:rsid w:val="007E18CE"/>
    <w:rsid w:val="007E1A7D"/>
    <w:rsid w:val="007E1C33"/>
    <w:rsid w:val="007E1C87"/>
    <w:rsid w:val="007E1E55"/>
    <w:rsid w:val="007E209C"/>
    <w:rsid w:val="007E212E"/>
    <w:rsid w:val="007E2235"/>
    <w:rsid w:val="007E2449"/>
    <w:rsid w:val="007E24AC"/>
    <w:rsid w:val="007E29DF"/>
    <w:rsid w:val="007E2C6A"/>
    <w:rsid w:val="007E2CF1"/>
    <w:rsid w:val="007E2DF3"/>
    <w:rsid w:val="007E304E"/>
    <w:rsid w:val="007E346F"/>
    <w:rsid w:val="007E34D4"/>
    <w:rsid w:val="007E370E"/>
    <w:rsid w:val="007E38A8"/>
    <w:rsid w:val="007E38B5"/>
    <w:rsid w:val="007E3B01"/>
    <w:rsid w:val="007E3DBB"/>
    <w:rsid w:val="007E3DE4"/>
    <w:rsid w:val="007E3E0F"/>
    <w:rsid w:val="007E4078"/>
    <w:rsid w:val="007E42C6"/>
    <w:rsid w:val="007E453B"/>
    <w:rsid w:val="007E4774"/>
    <w:rsid w:val="007E4837"/>
    <w:rsid w:val="007E4909"/>
    <w:rsid w:val="007E4C18"/>
    <w:rsid w:val="007E4CED"/>
    <w:rsid w:val="007E4D58"/>
    <w:rsid w:val="007E4E2A"/>
    <w:rsid w:val="007E50DE"/>
    <w:rsid w:val="007E50F0"/>
    <w:rsid w:val="007E50FD"/>
    <w:rsid w:val="007E5187"/>
    <w:rsid w:val="007E51BF"/>
    <w:rsid w:val="007E51C5"/>
    <w:rsid w:val="007E523A"/>
    <w:rsid w:val="007E53E0"/>
    <w:rsid w:val="007E53E1"/>
    <w:rsid w:val="007E53EE"/>
    <w:rsid w:val="007E5526"/>
    <w:rsid w:val="007E5680"/>
    <w:rsid w:val="007E572D"/>
    <w:rsid w:val="007E5777"/>
    <w:rsid w:val="007E57A4"/>
    <w:rsid w:val="007E5AF8"/>
    <w:rsid w:val="007E5B87"/>
    <w:rsid w:val="007E5BC0"/>
    <w:rsid w:val="007E5D44"/>
    <w:rsid w:val="007E5E02"/>
    <w:rsid w:val="007E5E2E"/>
    <w:rsid w:val="007E605C"/>
    <w:rsid w:val="007E6366"/>
    <w:rsid w:val="007E640F"/>
    <w:rsid w:val="007E6777"/>
    <w:rsid w:val="007E6A1F"/>
    <w:rsid w:val="007E6A4F"/>
    <w:rsid w:val="007E6A8C"/>
    <w:rsid w:val="007E6FB6"/>
    <w:rsid w:val="007E724B"/>
    <w:rsid w:val="007E7394"/>
    <w:rsid w:val="007E7490"/>
    <w:rsid w:val="007E765D"/>
    <w:rsid w:val="007E771B"/>
    <w:rsid w:val="007E77F9"/>
    <w:rsid w:val="007E7964"/>
    <w:rsid w:val="007E7BBA"/>
    <w:rsid w:val="007E7CAC"/>
    <w:rsid w:val="007E7D38"/>
    <w:rsid w:val="007E7D5B"/>
    <w:rsid w:val="007E7EA1"/>
    <w:rsid w:val="007F0048"/>
    <w:rsid w:val="007F00D2"/>
    <w:rsid w:val="007F0128"/>
    <w:rsid w:val="007F0139"/>
    <w:rsid w:val="007F016A"/>
    <w:rsid w:val="007F0232"/>
    <w:rsid w:val="007F030E"/>
    <w:rsid w:val="007F06AD"/>
    <w:rsid w:val="007F07E9"/>
    <w:rsid w:val="007F07ED"/>
    <w:rsid w:val="007F08F8"/>
    <w:rsid w:val="007F0B51"/>
    <w:rsid w:val="007F0B5F"/>
    <w:rsid w:val="007F0B64"/>
    <w:rsid w:val="007F0F4B"/>
    <w:rsid w:val="007F0F78"/>
    <w:rsid w:val="007F0FA0"/>
    <w:rsid w:val="007F13D8"/>
    <w:rsid w:val="007F16BC"/>
    <w:rsid w:val="007F172C"/>
    <w:rsid w:val="007F17C5"/>
    <w:rsid w:val="007F1916"/>
    <w:rsid w:val="007F195B"/>
    <w:rsid w:val="007F1A88"/>
    <w:rsid w:val="007F1B17"/>
    <w:rsid w:val="007F1B33"/>
    <w:rsid w:val="007F1B7A"/>
    <w:rsid w:val="007F1CB0"/>
    <w:rsid w:val="007F1F5A"/>
    <w:rsid w:val="007F1F86"/>
    <w:rsid w:val="007F203F"/>
    <w:rsid w:val="007F2272"/>
    <w:rsid w:val="007F2278"/>
    <w:rsid w:val="007F2353"/>
    <w:rsid w:val="007F23E8"/>
    <w:rsid w:val="007F2545"/>
    <w:rsid w:val="007F2A4B"/>
    <w:rsid w:val="007F2AAE"/>
    <w:rsid w:val="007F2BE3"/>
    <w:rsid w:val="007F2C50"/>
    <w:rsid w:val="007F2C6C"/>
    <w:rsid w:val="007F2C89"/>
    <w:rsid w:val="007F2D52"/>
    <w:rsid w:val="007F2EC0"/>
    <w:rsid w:val="007F2F34"/>
    <w:rsid w:val="007F2F98"/>
    <w:rsid w:val="007F2FF0"/>
    <w:rsid w:val="007F306C"/>
    <w:rsid w:val="007F330C"/>
    <w:rsid w:val="007F336A"/>
    <w:rsid w:val="007F3378"/>
    <w:rsid w:val="007F337A"/>
    <w:rsid w:val="007F34DF"/>
    <w:rsid w:val="007F357F"/>
    <w:rsid w:val="007F35F5"/>
    <w:rsid w:val="007F37F4"/>
    <w:rsid w:val="007F386C"/>
    <w:rsid w:val="007F397A"/>
    <w:rsid w:val="007F3A3B"/>
    <w:rsid w:val="007F3A53"/>
    <w:rsid w:val="007F3AE4"/>
    <w:rsid w:val="007F3B06"/>
    <w:rsid w:val="007F3D3C"/>
    <w:rsid w:val="007F3FAE"/>
    <w:rsid w:val="007F42D0"/>
    <w:rsid w:val="007F42DF"/>
    <w:rsid w:val="007F4312"/>
    <w:rsid w:val="007F4CE3"/>
    <w:rsid w:val="007F4E79"/>
    <w:rsid w:val="007F4F40"/>
    <w:rsid w:val="007F5092"/>
    <w:rsid w:val="007F50FD"/>
    <w:rsid w:val="007F5100"/>
    <w:rsid w:val="007F516F"/>
    <w:rsid w:val="007F51B2"/>
    <w:rsid w:val="007F52C8"/>
    <w:rsid w:val="007F52E6"/>
    <w:rsid w:val="007F52F0"/>
    <w:rsid w:val="007F53D4"/>
    <w:rsid w:val="007F5707"/>
    <w:rsid w:val="007F574A"/>
    <w:rsid w:val="007F58C5"/>
    <w:rsid w:val="007F58FD"/>
    <w:rsid w:val="007F5CCF"/>
    <w:rsid w:val="007F5E50"/>
    <w:rsid w:val="007F5EDA"/>
    <w:rsid w:val="007F5F83"/>
    <w:rsid w:val="007F6028"/>
    <w:rsid w:val="007F67DB"/>
    <w:rsid w:val="007F6898"/>
    <w:rsid w:val="007F6A82"/>
    <w:rsid w:val="007F6A9C"/>
    <w:rsid w:val="007F6AA6"/>
    <w:rsid w:val="007F6AD1"/>
    <w:rsid w:val="007F6ADE"/>
    <w:rsid w:val="007F6C67"/>
    <w:rsid w:val="007F7103"/>
    <w:rsid w:val="007F73E3"/>
    <w:rsid w:val="007F7466"/>
    <w:rsid w:val="007F7680"/>
    <w:rsid w:val="007F76AC"/>
    <w:rsid w:val="007F777F"/>
    <w:rsid w:val="007F7991"/>
    <w:rsid w:val="007F79B9"/>
    <w:rsid w:val="007F7E10"/>
    <w:rsid w:val="007F7E30"/>
    <w:rsid w:val="007F7E56"/>
    <w:rsid w:val="007F7ED0"/>
    <w:rsid w:val="007F7F84"/>
    <w:rsid w:val="007F7F93"/>
    <w:rsid w:val="00800189"/>
    <w:rsid w:val="0080036B"/>
    <w:rsid w:val="0080046E"/>
    <w:rsid w:val="0080047C"/>
    <w:rsid w:val="008005AF"/>
    <w:rsid w:val="0080061C"/>
    <w:rsid w:val="00800647"/>
    <w:rsid w:val="0080064E"/>
    <w:rsid w:val="00800943"/>
    <w:rsid w:val="008009F2"/>
    <w:rsid w:val="00800ADC"/>
    <w:rsid w:val="00800D0B"/>
    <w:rsid w:val="00800D13"/>
    <w:rsid w:val="00800EC0"/>
    <w:rsid w:val="00800F32"/>
    <w:rsid w:val="008011F5"/>
    <w:rsid w:val="00801243"/>
    <w:rsid w:val="008013A1"/>
    <w:rsid w:val="008016A3"/>
    <w:rsid w:val="008018BC"/>
    <w:rsid w:val="00801BF4"/>
    <w:rsid w:val="00801CEA"/>
    <w:rsid w:val="00801D97"/>
    <w:rsid w:val="00801DC5"/>
    <w:rsid w:val="00801F16"/>
    <w:rsid w:val="008020EB"/>
    <w:rsid w:val="00802101"/>
    <w:rsid w:val="008022A4"/>
    <w:rsid w:val="008022C5"/>
    <w:rsid w:val="008023B9"/>
    <w:rsid w:val="00802403"/>
    <w:rsid w:val="008024A5"/>
    <w:rsid w:val="00802641"/>
    <w:rsid w:val="008028D9"/>
    <w:rsid w:val="008028DF"/>
    <w:rsid w:val="008029D3"/>
    <w:rsid w:val="00802EAF"/>
    <w:rsid w:val="00802FFB"/>
    <w:rsid w:val="00803084"/>
    <w:rsid w:val="008031E5"/>
    <w:rsid w:val="0080324A"/>
    <w:rsid w:val="0080341E"/>
    <w:rsid w:val="00803482"/>
    <w:rsid w:val="00803691"/>
    <w:rsid w:val="00803788"/>
    <w:rsid w:val="008037BE"/>
    <w:rsid w:val="008039E4"/>
    <w:rsid w:val="00803A08"/>
    <w:rsid w:val="00803A78"/>
    <w:rsid w:val="00803B7B"/>
    <w:rsid w:val="00803BEA"/>
    <w:rsid w:val="00803D72"/>
    <w:rsid w:val="00803DE3"/>
    <w:rsid w:val="00803E25"/>
    <w:rsid w:val="00803E74"/>
    <w:rsid w:val="0080450A"/>
    <w:rsid w:val="008047C7"/>
    <w:rsid w:val="00804CBD"/>
    <w:rsid w:val="00804CC5"/>
    <w:rsid w:val="00804D1D"/>
    <w:rsid w:val="00804E06"/>
    <w:rsid w:val="008050BA"/>
    <w:rsid w:val="0080516D"/>
    <w:rsid w:val="008051C9"/>
    <w:rsid w:val="008051D4"/>
    <w:rsid w:val="008051DD"/>
    <w:rsid w:val="008056A5"/>
    <w:rsid w:val="008058D5"/>
    <w:rsid w:val="00805914"/>
    <w:rsid w:val="00805992"/>
    <w:rsid w:val="00805A34"/>
    <w:rsid w:val="00805C43"/>
    <w:rsid w:val="00805EE6"/>
    <w:rsid w:val="00806397"/>
    <w:rsid w:val="008063E3"/>
    <w:rsid w:val="0080651C"/>
    <w:rsid w:val="00806577"/>
    <w:rsid w:val="0080659D"/>
    <w:rsid w:val="0080691B"/>
    <w:rsid w:val="008069F6"/>
    <w:rsid w:val="00806CA1"/>
    <w:rsid w:val="00806E5E"/>
    <w:rsid w:val="00806EF6"/>
    <w:rsid w:val="00806FAB"/>
    <w:rsid w:val="00806FCE"/>
    <w:rsid w:val="00807112"/>
    <w:rsid w:val="00807124"/>
    <w:rsid w:val="00807414"/>
    <w:rsid w:val="0080743E"/>
    <w:rsid w:val="008077D3"/>
    <w:rsid w:val="00807913"/>
    <w:rsid w:val="008079E6"/>
    <w:rsid w:val="00807C41"/>
    <w:rsid w:val="00807CB1"/>
    <w:rsid w:val="00807DA8"/>
    <w:rsid w:val="00810304"/>
    <w:rsid w:val="00810374"/>
    <w:rsid w:val="008103BC"/>
    <w:rsid w:val="008104A6"/>
    <w:rsid w:val="0081054A"/>
    <w:rsid w:val="008105B7"/>
    <w:rsid w:val="0081074D"/>
    <w:rsid w:val="00810903"/>
    <w:rsid w:val="00810986"/>
    <w:rsid w:val="00810D17"/>
    <w:rsid w:val="00810E41"/>
    <w:rsid w:val="00810E95"/>
    <w:rsid w:val="00810EEA"/>
    <w:rsid w:val="00810F53"/>
    <w:rsid w:val="00811211"/>
    <w:rsid w:val="00811331"/>
    <w:rsid w:val="00811351"/>
    <w:rsid w:val="00811608"/>
    <w:rsid w:val="00811842"/>
    <w:rsid w:val="008118E7"/>
    <w:rsid w:val="00811CB0"/>
    <w:rsid w:val="00811D88"/>
    <w:rsid w:val="00811F4E"/>
    <w:rsid w:val="008121E3"/>
    <w:rsid w:val="008122DD"/>
    <w:rsid w:val="0081233A"/>
    <w:rsid w:val="00812355"/>
    <w:rsid w:val="008125D6"/>
    <w:rsid w:val="00812954"/>
    <w:rsid w:val="008129DD"/>
    <w:rsid w:val="00812E02"/>
    <w:rsid w:val="00812ED5"/>
    <w:rsid w:val="0081308E"/>
    <w:rsid w:val="0081316C"/>
    <w:rsid w:val="008131E0"/>
    <w:rsid w:val="00813362"/>
    <w:rsid w:val="0081351C"/>
    <w:rsid w:val="0081373E"/>
    <w:rsid w:val="008137C3"/>
    <w:rsid w:val="0081390C"/>
    <w:rsid w:val="008139B4"/>
    <w:rsid w:val="00813A13"/>
    <w:rsid w:val="00813E05"/>
    <w:rsid w:val="0081444F"/>
    <w:rsid w:val="0081455A"/>
    <w:rsid w:val="008146D8"/>
    <w:rsid w:val="0081479E"/>
    <w:rsid w:val="008149B1"/>
    <w:rsid w:val="008149FF"/>
    <w:rsid w:val="00814A07"/>
    <w:rsid w:val="00814D68"/>
    <w:rsid w:val="00814DB7"/>
    <w:rsid w:val="00814F72"/>
    <w:rsid w:val="008150FA"/>
    <w:rsid w:val="00815624"/>
    <w:rsid w:val="00815704"/>
    <w:rsid w:val="00815789"/>
    <w:rsid w:val="008157E3"/>
    <w:rsid w:val="00815999"/>
    <w:rsid w:val="008159EC"/>
    <w:rsid w:val="00815A0E"/>
    <w:rsid w:val="00815B4B"/>
    <w:rsid w:val="00815CD0"/>
    <w:rsid w:val="00815CFA"/>
    <w:rsid w:val="008160D6"/>
    <w:rsid w:val="00816137"/>
    <w:rsid w:val="008162A0"/>
    <w:rsid w:val="00816351"/>
    <w:rsid w:val="0081649A"/>
    <w:rsid w:val="00816828"/>
    <w:rsid w:val="0081685C"/>
    <w:rsid w:val="008168A6"/>
    <w:rsid w:val="00816AF1"/>
    <w:rsid w:val="00816B64"/>
    <w:rsid w:val="00816EB8"/>
    <w:rsid w:val="00816EDB"/>
    <w:rsid w:val="008170C5"/>
    <w:rsid w:val="0081757E"/>
    <w:rsid w:val="008175C6"/>
    <w:rsid w:val="0081783C"/>
    <w:rsid w:val="008178D8"/>
    <w:rsid w:val="00817909"/>
    <w:rsid w:val="0081797A"/>
    <w:rsid w:val="00817AB4"/>
    <w:rsid w:val="00817AD6"/>
    <w:rsid w:val="00817B5E"/>
    <w:rsid w:val="00817C67"/>
    <w:rsid w:val="00817D30"/>
    <w:rsid w:val="00817F5D"/>
    <w:rsid w:val="0082001E"/>
    <w:rsid w:val="008204B7"/>
    <w:rsid w:val="008204FE"/>
    <w:rsid w:val="008205A3"/>
    <w:rsid w:val="008205B8"/>
    <w:rsid w:val="00820921"/>
    <w:rsid w:val="00820B8B"/>
    <w:rsid w:val="00820CDD"/>
    <w:rsid w:val="00820D34"/>
    <w:rsid w:val="00820D5F"/>
    <w:rsid w:val="00820EBD"/>
    <w:rsid w:val="008212CB"/>
    <w:rsid w:val="0082153B"/>
    <w:rsid w:val="008217B7"/>
    <w:rsid w:val="008217E0"/>
    <w:rsid w:val="00821839"/>
    <w:rsid w:val="008218A6"/>
    <w:rsid w:val="008218AA"/>
    <w:rsid w:val="008218B1"/>
    <w:rsid w:val="00821921"/>
    <w:rsid w:val="008219A4"/>
    <w:rsid w:val="00821A48"/>
    <w:rsid w:val="00821AE2"/>
    <w:rsid w:val="00821BE1"/>
    <w:rsid w:val="00821C2C"/>
    <w:rsid w:val="00821C3C"/>
    <w:rsid w:val="0082202B"/>
    <w:rsid w:val="008220A4"/>
    <w:rsid w:val="0082223F"/>
    <w:rsid w:val="008223B7"/>
    <w:rsid w:val="00822467"/>
    <w:rsid w:val="0082252F"/>
    <w:rsid w:val="008227A5"/>
    <w:rsid w:val="008227F0"/>
    <w:rsid w:val="008229B7"/>
    <w:rsid w:val="00822BC7"/>
    <w:rsid w:val="00822C87"/>
    <w:rsid w:val="00822D7C"/>
    <w:rsid w:val="00822D9A"/>
    <w:rsid w:val="00822DB4"/>
    <w:rsid w:val="00822E2B"/>
    <w:rsid w:val="00822E9B"/>
    <w:rsid w:val="00822EAD"/>
    <w:rsid w:val="0082332B"/>
    <w:rsid w:val="008234AA"/>
    <w:rsid w:val="008234EB"/>
    <w:rsid w:val="008236EB"/>
    <w:rsid w:val="008238D0"/>
    <w:rsid w:val="008239F7"/>
    <w:rsid w:val="00823A9E"/>
    <w:rsid w:val="00823E7C"/>
    <w:rsid w:val="00823EA5"/>
    <w:rsid w:val="00823EB7"/>
    <w:rsid w:val="00824219"/>
    <w:rsid w:val="00824542"/>
    <w:rsid w:val="0082478E"/>
    <w:rsid w:val="00824B75"/>
    <w:rsid w:val="00824BDB"/>
    <w:rsid w:val="00824BE9"/>
    <w:rsid w:val="00824D92"/>
    <w:rsid w:val="00824E92"/>
    <w:rsid w:val="00824F87"/>
    <w:rsid w:val="00824FF3"/>
    <w:rsid w:val="0082502C"/>
    <w:rsid w:val="008251DE"/>
    <w:rsid w:val="00825230"/>
    <w:rsid w:val="008252E0"/>
    <w:rsid w:val="0082532B"/>
    <w:rsid w:val="008253B9"/>
    <w:rsid w:val="008254B1"/>
    <w:rsid w:val="008254BE"/>
    <w:rsid w:val="008254D1"/>
    <w:rsid w:val="008254FA"/>
    <w:rsid w:val="008255F4"/>
    <w:rsid w:val="008259E8"/>
    <w:rsid w:val="00825AC8"/>
    <w:rsid w:val="00825BD9"/>
    <w:rsid w:val="00825EDE"/>
    <w:rsid w:val="0082602A"/>
    <w:rsid w:val="008262F6"/>
    <w:rsid w:val="00826303"/>
    <w:rsid w:val="00826679"/>
    <w:rsid w:val="008266DF"/>
    <w:rsid w:val="00826784"/>
    <w:rsid w:val="00826A26"/>
    <w:rsid w:val="00826C7B"/>
    <w:rsid w:val="00826C84"/>
    <w:rsid w:val="00826DA7"/>
    <w:rsid w:val="00826F87"/>
    <w:rsid w:val="008270E4"/>
    <w:rsid w:val="00827131"/>
    <w:rsid w:val="008272E1"/>
    <w:rsid w:val="008273B9"/>
    <w:rsid w:val="008275FF"/>
    <w:rsid w:val="00827656"/>
    <w:rsid w:val="008278EB"/>
    <w:rsid w:val="00827929"/>
    <w:rsid w:val="00827A0C"/>
    <w:rsid w:val="00827CE2"/>
    <w:rsid w:val="00827E33"/>
    <w:rsid w:val="00827F6D"/>
    <w:rsid w:val="00830141"/>
    <w:rsid w:val="0083016E"/>
    <w:rsid w:val="00830170"/>
    <w:rsid w:val="00830229"/>
    <w:rsid w:val="008306DF"/>
    <w:rsid w:val="008308F1"/>
    <w:rsid w:val="00830A34"/>
    <w:rsid w:val="00830B17"/>
    <w:rsid w:val="00830E50"/>
    <w:rsid w:val="00830E59"/>
    <w:rsid w:val="00830EA7"/>
    <w:rsid w:val="00830F36"/>
    <w:rsid w:val="00831075"/>
    <w:rsid w:val="00831237"/>
    <w:rsid w:val="0083125C"/>
    <w:rsid w:val="00831271"/>
    <w:rsid w:val="008313C3"/>
    <w:rsid w:val="00831575"/>
    <w:rsid w:val="00831966"/>
    <w:rsid w:val="00831AA2"/>
    <w:rsid w:val="00831DA6"/>
    <w:rsid w:val="00831E22"/>
    <w:rsid w:val="00831EA9"/>
    <w:rsid w:val="00831FFC"/>
    <w:rsid w:val="0083229B"/>
    <w:rsid w:val="0083237B"/>
    <w:rsid w:val="008323F6"/>
    <w:rsid w:val="00832436"/>
    <w:rsid w:val="00832452"/>
    <w:rsid w:val="008327C5"/>
    <w:rsid w:val="00832B24"/>
    <w:rsid w:val="00832B3B"/>
    <w:rsid w:val="00832BFD"/>
    <w:rsid w:val="00832C53"/>
    <w:rsid w:val="00832D34"/>
    <w:rsid w:val="00832F32"/>
    <w:rsid w:val="00833367"/>
    <w:rsid w:val="0083338C"/>
    <w:rsid w:val="00833430"/>
    <w:rsid w:val="00833698"/>
    <w:rsid w:val="00833795"/>
    <w:rsid w:val="008337C4"/>
    <w:rsid w:val="00833837"/>
    <w:rsid w:val="0083388A"/>
    <w:rsid w:val="008338A6"/>
    <w:rsid w:val="008339A6"/>
    <w:rsid w:val="00833B0E"/>
    <w:rsid w:val="00833CA8"/>
    <w:rsid w:val="00833E48"/>
    <w:rsid w:val="00834181"/>
    <w:rsid w:val="00834230"/>
    <w:rsid w:val="008342C5"/>
    <w:rsid w:val="008344D9"/>
    <w:rsid w:val="00834555"/>
    <w:rsid w:val="00834767"/>
    <w:rsid w:val="00834840"/>
    <w:rsid w:val="00834BC1"/>
    <w:rsid w:val="00834C39"/>
    <w:rsid w:val="00834DAD"/>
    <w:rsid w:val="00835282"/>
    <w:rsid w:val="00835373"/>
    <w:rsid w:val="00835467"/>
    <w:rsid w:val="008354BE"/>
    <w:rsid w:val="00835519"/>
    <w:rsid w:val="00835B82"/>
    <w:rsid w:val="00835C73"/>
    <w:rsid w:val="00835F2D"/>
    <w:rsid w:val="00836210"/>
    <w:rsid w:val="008367B3"/>
    <w:rsid w:val="0083690E"/>
    <w:rsid w:val="00836C32"/>
    <w:rsid w:val="00836C7D"/>
    <w:rsid w:val="00836D19"/>
    <w:rsid w:val="0083702E"/>
    <w:rsid w:val="0083706F"/>
    <w:rsid w:val="00837166"/>
    <w:rsid w:val="008371AA"/>
    <w:rsid w:val="008371BF"/>
    <w:rsid w:val="0083720E"/>
    <w:rsid w:val="00837344"/>
    <w:rsid w:val="008374A3"/>
    <w:rsid w:val="008374FE"/>
    <w:rsid w:val="008376A0"/>
    <w:rsid w:val="00837831"/>
    <w:rsid w:val="008378F9"/>
    <w:rsid w:val="00837A65"/>
    <w:rsid w:val="00837A91"/>
    <w:rsid w:val="00837AEC"/>
    <w:rsid w:val="00837BCC"/>
    <w:rsid w:val="00837D75"/>
    <w:rsid w:val="00837DBB"/>
    <w:rsid w:val="00837E88"/>
    <w:rsid w:val="00837FA2"/>
    <w:rsid w:val="008401F4"/>
    <w:rsid w:val="0084020D"/>
    <w:rsid w:val="008402A5"/>
    <w:rsid w:val="008402A8"/>
    <w:rsid w:val="008403D3"/>
    <w:rsid w:val="00840455"/>
    <w:rsid w:val="00840600"/>
    <w:rsid w:val="0084069C"/>
    <w:rsid w:val="008408FD"/>
    <w:rsid w:val="00840901"/>
    <w:rsid w:val="00840952"/>
    <w:rsid w:val="00840A20"/>
    <w:rsid w:val="00840B5D"/>
    <w:rsid w:val="00840E71"/>
    <w:rsid w:val="00840E88"/>
    <w:rsid w:val="00840F2B"/>
    <w:rsid w:val="00840F2F"/>
    <w:rsid w:val="00840F41"/>
    <w:rsid w:val="00840FB8"/>
    <w:rsid w:val="00841110"/>
    <w:rsid w:val="00841126"/>
    <w:rsid w:val="00841358"/>
    <w:rsid w:val="00841366"/>
    <w:rsid w:val="00841379"/>
    <w:rsid w:val="00841434"/>
    <w:rsid w:val="00841845"/>
    <w:rsid w:val="00841AA7"/>
    <w:rsid w:val="00841ED4"/>
    <w:rsid w:val="00841F99"/>
    <w:rsid w:val="0084200B"/>
    <w:rsid w:val="0084202B"/>
    <w:rsid w:val="00842259"/>
    <w:rsid w:val="0084238E"/>
    <w:rsid w:val="00842731"/>
    <w:rsid w:val="00842835"/>
    <w:rsid w:val="00842877"/>
    <w:rsid w:val="00842BF1"/>
    <w:rsid w:val="00842DF2"/>
    <w:rsid w:val="00842E65"/>
    <w:rsid w:val="008430C6"/>
    <w:rsid w:val="0084314E"/>
    <w:rsid w:val="008431A0"/>
    <w:rsid w:val="00843223"/>
    <w:rsid w:val="0084332A"/>
    <w:rsid w:val="0084337E"/>
    <w:rsid w:val="008433AE"/>
    <w:rsid w:val="0084340E"/>
    <w:rsid w:val="008435A7"/>
    <w:rsid w:val="008435BA"/>
    <w:rsid w:val="00843604"/>
    <w:rsid w:val="00843849"/>
    <w:rsid w:val="008438F6"/>
    <w:rsid w:val="00843CD0"/>
    <w:rsid w:val="00843D7E"/>
    <w:rsid w:val="00843FB3"/>
    <w:rsid w:val="00843FE8"/>
    <w:rsid w:val="008441C2"/>
    <w:rsid w:val="0084427B"/>
    <w:rsid w:val="0084441E"/>
    <w:rsid w:val="008444A8"/>
    <w:rsid w:val="008446C2"/>
    <w:rsid w:val="00844702"/>
    <w:rsid w:val="0084479C"/>
    <w:rsid w:val="008447B4"/>
    <w:rsid w:val="008448D7"/>
    <w:rsid w:val="008448F4"/>
    <w:rsid w:val="00844925"/>
    <w:rsid w:val="00844949"/>
    <w:rsid w:val="00844B0E"/>
    <w:rsid w:val="00844CFD"/>
    <w:rsid w:val="00844E07"/>
    <w:rsid w:val="00844ED7"/>
    <w:rsid w:val="00844FED"/>
    <w:rsid w:val="00845132"/>
    <w:rsid w:val="00845356"/>
    <w:rsid w:val="008456AB"/>
    <w:rsid w:val="008457EC"/>
    <w:rsid w:val="00845812"/>
    <w:rsid w:val="008459B3"/>
    <w:rsid w:val="00845E5E"/>
    <w:rsid w:val="00845EAF"/>
    <w:rsid w:val="00845EF7"/>
    <w:rsid w:val="00845F66"/>
    <w:rsid w:val="00846035"/>
    <w:rsid w:val="0084608A"/>
    <w:rsid w:val="008460FF"/>
    <w:rsid w:val="00846148"/>
    <w:rsid w:val="0084622E"/>
    <w:rsid w:val="00846607"/>
    <w:rsid w:val="00846737"/>
    <w:rsid w:val="008467B6"/>
    <w:rsid w:val="0084691B"/>
    <w:rsid w:val="00846924"/>
    <w:rsid w:val="00846927"/>
    <w:rsid w:val="00846AF8"/>
    <w:rsid w:val="00846BFF"/>
    <w:rsid w:val="00846C3C"/>
    <w:rsid w:val="00846C43"/>
    <w:rsid w:val="00846D7E"/>
    <w:rsid w:val="00846DC4"/>
    <w:rsid w:val="00846DF4"/>
    <w:rsid w:val="00846E1C"/>
    <w:rsid w:val="00846E27"/>
    <w:rsid w:val="00846E87"/>
    <w:rsid w:val="00846F99"/>
    <w:rsid w:val="00847198"/>
    <w:rsid w:val="0084731D"/>
    <w:rsid w:val="0084734D"/>
    <w:rsid w:val="00847610"/>
    <w:rsid w:val="00847654"/>
    <w:rsid w:val="00847692"/>
    <w:rsid w:val="00847697"/>
    <w:rsid w:val="008476E4"/>
    <w:rsid w:val="008477E6"/>
    <w:rsid w:val="0084795B"/>
    <w:rsid w:val="00847981"/>
    <w:rsid w:val="00847A11"/>
    <w:rsid w:val="00847B8F"/>
    <w:rsid w:val="00847E4C"/>
    <w:rsid w:val="0085001D"/>
    <w:rsid w:val="008500B4"/>
    <w:rsid w:val="00850234"/>
    <w:rsid w:val="00850507"/>
    <w:rsid w:val="008505C1"/>
    <w:rsid w:val="0085093B"/>
    <w:rsid w:val="00850A3F"/>
    <w:rsid w:val="00850BF6"/>
    <w:rsid w:val="00850C2C"/>
    <w:rsid w:val="00851005"/>
    <w:rsid w:val="00851011"/>
    <w:rsid w:val="00851031"/>
    <w:rsid w:val="00851147"/>
    <w:rsid w:val="0085136A"/>
    <w:rsid w:val="0085155F"/>
    <w:rsid w:val="008517BB"/>
    <w:rsid w:val="0085192A"/>
    <w:rsid w:val="00851C33"/>
    <w:rsid w:val="00851CDE"/>
    <w:rsid w:val="00851D01"/>
    <w:rsid w:val="00851D1B"/>
    <w:rsid w:val="00851E87"/>
    <w:rsid w:val="0085207B"/>
    <w:rsid w:val="008520C8"/>
    <w:rsid w:val="00852203"/>
    <w:rsid w:val="008524B5"/>
    <w:rsid w:val="008524E0"/>
    <w:rsid w:val="0085266D"/>
    <w:rsid w:val="00852829"/>
    <w:rsid w:val="0085285C"/>
    <w:rsid w:val="008529BC"/>
    <w:rsid w:val="00852A97"/>
    <w:rsid w:val="00852AA4"/>
    <w:rsid w:val="00852EA5"/>
    <w:rsid w:val="00852F5F"/>
    <w:rsid w:val="00853520"/>
    <w:rsid w:val="008535DA"/>
    <w:rsid w:val="00853656"/>
    <w:rsid w:val="00853895"/>
    <w:rsid w:val="00853B25"/>
    <w:rsid w:val="00853B56"/>
    <w:rsid w:val="00853CEE"/>
    <w:rsid w:val="00853D95"/>
    <w:rsid w:val="00853EF2"/>
    <w:rsid w:val="00853F24"/>
    <w:rsid w:val="00853F54"/>
    <w:rsid w:val="00853F61"/>
    <w:rsid w:val="00854027"/>
    <w:rsid w:val="008542D1"/>
    <w:rsid w:val="00854332"/>
    <w:rsid w:val="008543D1"/>
    <w:rsid w:val="0085458A"/>
    <w:rsid w:val="00854784"/>
    <w:rsid w:val="00854942"/>
    <w:rsid w:val="00854B61"/>
    <w:rsid w:val="00854BFC"/>
    <w:rsid w:val="00854CC3"/>
    <w:rsid w:val="00854CE6"/>
    <w:rsid w:val="00854DA3"/>
    <w:rsid w:val="00854F8B"/>
    <w:rsid w:val="00855135"/>
    <w:rsid w:val="008552E3"/>
    <w:rsid w:val="00855564"/>
    <w:rsid w:val="00855646"/>
    <w:rsid w:val="0085583B"/>
    <w:rsid w:val="00855C69"/>
    <w:rsid w:val="00855CA8"/>
    <w:rsid w:val="00855E2F"/>
    <w:rsid w:val="00855E58"/>
    <w:rsid w:val="00855EE6"/>
    <w:rsid w:val="00855F6D"/>
    <w:rsid w:val="00855FA8"/>
    <w:rsid w:val="008560C4"/>
    <w:rsid w:val="008560C5"/>
    <w:rsid w:val="00856142"/>
    <w:rsid w:val="00856239"/>
    <w:rsid w:val="00856610"/>
    <w:rsid w:val="008566A0"/>
    <w:rsid w:val="00856834"/>
    <w:rsid w:val="00856BF6"/>
    <w:rsid w:val="00856D14"/>
    <w:rsid w:val="00856EFD"/>
    <w:rsid w:val="00856F70"/>
    <w:rsid w:val="00857029"/>
    <w:rsid w:val="008571E0"/>
    <w:rsid w:val="0085747C"/>
    <w:rsid w:val="008576C3"/>
    <w:rsid w:val="008577A6"/>
    <w:rsid w:val="00857930"/>
    <w:rsid w:val="00857D39"/>
    <w:rsid w:val="00857F70"/>
    <w:rsid w:val="00860108"/>
    <w:rsid w:val="0086038A"/>
    <w:rsid w:val="00860552"/>
    <w:rsid w:val="008606B8"/>
    <w:rsid w:val="0086081C"/>
    <w:rsid w:val="008609AE"/>
    <w:rsid w:val="008609C5"/>
    <w:rsid w:val="00860B00"/>
    <w:rsid w:val="00860E3D"/>
    <w:rsid w:val="00860F8E"/>
    <w:rsid w:val="008610C1"/>
    <w:rsid w:val="00861131"/>
    <w:rsid w:val="008612C5"/>
    <w:rsid w:val="008613E8"/>
    <w:rsid w:val="00861508"/>
    <w:rsid w:val="008615D2"/>
    <w:rsid w:val="008615F2"/>
    <w:rsid w:val="00861738"/>
    <w:rsid w:val="00861928"/>
    <w:rsid w:val="00861AB8"/>
    <w:rsid w:val="00861B87"/>
    <w:rsid w:val="00861C4E"/>
    <w:rsid w:val="00861C79"/>
    <w:rsid w:val="00861CE4"/>
    <w:rsid w:val="00861D32"/>
    <w:rsid w:val="00861DA6"/>
    <w:rsid w:val="00861DC1"/>
    <w:rsid w:val="00861E6B"/>
    <w:rsid w:val="00861FF9"/>
    <w:rsid w:val="00862050"/>
    <w:rsid w:val="00862176"/>
    <w:rsid w:val="0086227A"/>
    <w:rsid w:val="008626FB"/>
    <w:rsid w:val="00862867"/>
    <w:rsid w:val="008629A1"/>
    <w:rsid w:val="00862A4F"/>
    <w:rsid w:val="00862A77"/>
    <w:rsid w:val="00862BE0"/>
    <w:rsid w:val="00862C61"/>
    <w:rsid w:val="00862E79"/>
    <w:rsid w:val="00862EC1"/>
    <w:rsid w:val="00862F24"/>
    <w:rsid w:val="00863075"/>
    <w:rsid w:val="008632CB"/>
    <w:rsid w:val="008636CB"/>
    <w:rsid w:val="00863742"/>
    <w:rsid w:val="008637E9"/>
    <w:rsid w:val="00863820"/>
    <w:rsid w:val="00863888"/>
    <w:rsid w:val="0086391E"/>
    <w:rsid w:val="00863A91"/>
    <w:rsid w:val="00863AF8"/>
    <w:rsid w:val="00863BB6"/>
    <w:rsid w:val="00863D25"/>
    <w:rsid w:val="00863E87"/>
    <w:rsid w:val="00864054"/>
    <w:rsid w:val="00864184"/>
    <w:rsid w:val="008641C5"/>
    <w:rsid w:val="0086421E"/>
    <w:rsid w:val="00864233"/>
    <w:rsid w:val="0086448F"/>
    <w:rsid w:val="008645BB"/>
    <w:rsid w:val="008645CB"/>
    <w:rsid w:val="00864703"/>
    <w:rsid w:val="0086481B"/>
    <w:rsid w:val="00864C81"/>
    <w:rsid w:val="00864CED"/>
    <w:rsid w:val="00864D87"/>
    <w:rsid w:val="00864DEA"/>
    <w:rsid w:val="00864E3A"/>
    <w:rsid w:val="00865342"/>
    <w:rsid w:val="00865516"/>
    <w:rsid w:val="0086558E"/>
    <w:rsid w:val="008658FE"/>
    <w:rsid w:val="00865996"/>
    <w:rsid w:val="008659C5"/>
    <w:rsid w:val="00865E0A"/>
    <w:rsid w:val="00865E59"/>
    <w:rsid w:val="00865F05"/>
    <w:rsid w:val="00865F46"/>
    <w:rsid w:val="00865FF3"/>
    <w:rsid w:val="00865FF4"/>
    <w:rsid w:val="00866214"/>
    <w:rsid w:val="008663C2"/>
    <w:rsid w:val="00866467"/>
    <w:rsid w:val="00866551"/>
    <w:rsid w:val="0086666F"/>
    <w:rsid w:val="00866747"/>
    <w:rsid w:val="008668D0"/>
    <w:rsid w:val="00866AEA"/>
    <w:rsid w:val="00866B8E"/>
    <w:rsid w:val="00866DCA"/>
    <w:rsid w:val="00866E0A"/>
    <w:rsid w:val="008670BC"/>
    <w:rsid w:val="0086723C"/>
    <w:rsid w:val="0086751A"/>
    <w:rsid w:val="00867813"/>
    <w:rsid w:val="00867837"/>
    <w:rsid w:val="0086783E"/>
    <w:rsid w:val="008678FC"/>
    <w:rsid w:val="00867A11"/>
    <w:rsid w:val="00867CDF"/>
    <w:rsid w:val="00867D87"/>
    <w:rsid w:val="00867EC3"/>
    <w:rsid w:val="0087019A"/>
    <w:rsid w:val="0087025D"/>
    <w:rsid w:val="0087035D"/>
    <w:rsid w:val="008704BA"/>
    <w:rsid w:val="008704D4"/>
    <w:rsid w:val="00870831"/>
    <w:rsid w:val="00870927"/>
    <w:rsid w:val="00870C03"/>
    <w:rsid w:val="00870F56"/>
    <w:rsid w:val="008710B8"/>
    <w:rsid w:val="00871378"/>
    <w:rsid w:val="00871424"/>
    <w:rsid w:val="008716FF"/>
    <w:rsid w:val="0087189A"/>
    <w:rsid w:val="00871D82"/>
    <w:rsid w:val="00871DEF"/>
    <w:rsid w:val="00871E7E"/>
    <w:rsid w:val="00871EAC"/>
    <w:rsid w:val="00871F3A"/>
    <w:rsid w:val="00872097"/>
    <w:rsid w:val="008721E8"/>
    <w:rsid w:val="0087226E"/>
    <w:rsid w:val="00872345"/>
    <w:rsid w:val="0087234D"/>
    <w:rsid w:val="00872361"/>
    <w:rsid w:val="008726CB"/>
    <w:rsid w:val="008727ED"/>
    <w:rsid w:val="008728D9"/>
    <w:rsid w:val="00872979"/>
    <w:rsid w:val="00872DEF"/>
    <w:rsid w:val="00872FB0"/>
    <w:rsid w:val="0087308C"/>
    <w:rsid w:val="008730BC"/>
    <w:rsid w:val="00873141"/>
    <w:rsid w:val="008731D3"/>
    <w:rsid w:val="00873240"/>
    <w:rsid w:val="00873299"/>
    <w:rsid w:val="008734D8"/>
    <w:rsid w:val="0087365C"/>
    <w:rsid w:val="0087375C"/>
    <w:rsid w:val="0087393B"/>
    <w:rsid w:val="0087394E"/>
    <w:rsid w:val="00873970"/>
    <w:rsid w:val="00873B94"/>
    <w:rsid w:val="00873CC7"/>
    <w:rsid w:val="00873E38"/>
    <w:rsid w:val="00873F93"/>
    <w:rsid w:val="0087405B"/>
    <w:rsid w:val="008741AF"/>
    <w:rsid w:val="00874263"/>
    <w:rsid w:val="00874398"/>
    <w:rsid w:val="00874458"/>
    <w:rsid w:val="008744FE"/>
    <w:rsid w:val="008745AD"/>
    <w:rsid w:val="008745C5"/>
    <w:rsid w:val="00874708"/>
    <w:rsid w:val="00874951"/>
    <w:rsid w:val="00874A5B"/>
    <w:rsid w:val="00874AEC"/>
    <w:rsid w:val="00874EBE"/>
    <w:rsid w:val="008750EE"/>
    <w:rsid w:val="008750FE"/>
    <w:rsid w:val="008751DC"/>
    <w:rsid w:val="008751FC"/>
    <w:rsid w:val="00875901"/>
    <w:rsid w:val="00875987"/>
    <w:rsid w:val="00875B0E"/>
    <w:rsid w:val="00875C44"/>
    <w:rsid w:val="00875CCD"/>
    <w:rsid w:val="00875DAD"/>
    <w:rsid w:val="00875E66"/>
    <w:rsid w:val="00875F60"/>
    <w:rsid w:val="00875F84"/>
    <w:rsid w:val="00876012"/>
    <w:rsid w:val="00876173"/>
    <w:rsid w:val="008761CC"/>
    <w:rsid w:val="00876216"/>
    <w:rsid w:val="0087634A"/>
    <w:rsid w:val="00876576"/>
    <w:rsid w:val="008765D1"/>
    <w:rsid w:val="00876743"/>
    <w:rsid w:val="0087695E"/>
    <w:rsid w:val="0087697B"/>
    <w:rsid w:val="00876A62"/>
    <w:rsid w:val="00876C08"/>
    <w:rsid w:val="00876CF5"/>
    <w:rsid w:val="00876EB5"/>
    <w:rsid w:val="00876EC3"/>
    <w:rsid w:val="00876F07"/>
    <w:rsid w:val="00876F48"/>
    <w:rsid w:val="00877030"/>
    <w:rsid w:val="00877177"/>
    <w:rsid w:val="008771CA"/>
    <w:rsid w:val="00877268"/>
    <w:rsid w:val="00877378"/>
    <w:rsid w:val="00877505"/>
    <w:rsid w:val="00877666"/>
    <w:rsid w:val="00877A7E"/>
    <w:rsid w:val="00877ABE"/>
    <w:rsid w:val="00877B18"/>
    <w:rsid w:val="00877D1E"/>
    <w:rsid w:val="00877E24"/>
    <w:rsid w:val="00877F22"/>
    <w:rsid w:val="00877FD9"/>
    <w:rsid w:val="00880087"/>
    <w:rsid w:val="00880314"/>
    <w:rsid w:val="008804FE"/>
    <w:rsid w:val="0088055F"/>
    <w:rsid w:val="00880615"/>
    <w:rsid w:val="0088092F"/>
    <w:rsid w:val="00880ACA"/>
    <w:rsid w:val="00880F43"/>
    <w:rsid w:val="00881147"/>
    <w:rsid w:val="0088121A"/>
    <w:rsid w:val="008813CC"/>
    <w:rsid w:val="008814AE"/>
    <w:rsid w:val="008815EC"/>
    <w:rsid w:val="00881698"/>
    <w:rsid w:val="0088183D"/>
    <w:rsid w:val="00881A64"/>
    <w:rsid w:val="00881ACF"/>
    <w:rsid w:val="00881B41"/>
    <w:rsid w:val="00881C3B"/>
    <w:rsid w:val="00881DD2"/>
    <w:rsid w:val="00881E0C"/>
    <w:rsid w:val="0088203D"/>
    <w:rsid w:val="008821F5"/>
    <w:rsid w:val="00882366"/>
    <w:rsid w:val="0088259A"/>
    <w:rsid w:val="008826D8"/>
    <w:rsid w:val="008827BD"/>
    <w:rsid w:val="0088283A"/>
    <w:rsid w:val="00882962"/>
    <w:rsid w:val="00882A86"/>
    <w:rsid w:val="00882BA5"/>
    <w:rsid w:val="00882CAC"/>
    <w:rsid w:val="00882E9E"/>
    <w:rsid w:val="00882EE3"/>
    <w:rsid w:val="00883182"/>
    <w:rsid w:val="00883414"/>
    <w:rsid w:val="00883457"/>
    <w:rsid w:val="008834A0"/>
    <w:rsid w:val="00883505"/>
    <w:rsid w:val="00883575"/>
    <w:rsid w:val="00883589"/>
    <w:rsid w:val="008835A2"/>
    <w:rsid w:val="00883731"/>
    <w:rsid w:val="00883920"/>
    <w:rsid w:val="00883E05"/>
    <w:rsid w:val="00883E92"/>
    <w:rsid w:val="00883EC8"/>
    <w:rsid w:val="00883F4B"/>
    <w:rsid w:val="00884019"/>
    <w:rsid w:val="008840C6"/>
    <w:rsid w:val="00884261"/>
    <w:rsid w:val="00884332"/>
    <w:rsid w:val="00884355"/>
    <w:rsid w:val="008843C4"/>
    <w:rsid w:val="008844B3"/>
    <w:rsid w:val="0088451D"/>
    <w:rsid w:val="0088454E"/>
    <w:rsid w:val="00884654"/>
    <w:rsid w:val="0088475A"/>
    <w:rsid w:val="00884A30"/>
    <w:rsid w:val="00884B79"/>
    <w:rsid w:val="00884C67"/>
    <w:rsid w:val="00884DBC"/>
    <w:rsid w:val="00884F7D"/>
    <w:rsid w:val="00885022"/>
    <w:rsid w:val="008850F5"/>
    <w:rsid w:val="0088511C"/>
    <w:rsid w:val="008851AC"/>
    <w:rsid w:val="008852EE"/>
    <w:rsid w:val="008853FB"/>
    <w:rsid w:val="008853FF"/>
    <w:rsid w:val="008855CA"/>
    <w:rsid w:val="0088566E"/>
    <w:rsid w:val="00885ABB"/>
    <w:rsid w:val="00885B1F"/>
    <w:rsid w:val="00885C28"/>
    <w:rsid w:val="00885CE2"/>
    <w:rsid w:val="00885FC7"/>
    <w:rsid w:val="00885FE1"/>
    <w:rsid w:val="0088600A"/>
    <w:rsid w:val="00886046"/>
    <w:rsid w:val="00886055"/>
    <w:rsid w:val="008860B8"/>
    <w:rsid w:val="00886124"/>
    <w:rsid w:val="008861B8"/>
    <w:rsid w:val="00886228"/>
    <w:rsid w:val="0088635A"/>
    <w:rsid w:val="008864CE"/>
    <w:rsid w:val="00886529"/>
    <w:rsid w:val="00886561"/>
    <w:rsid w:val="0088659C"/>
    <w:rsid w:val="008865D6"/>
    <w:rsid w:val="00886656"/>
    <w:rsid w:val="0088669A"/>
    <w:rsid w:val="0088669E"/>
    <w:rsid w:val="0088669F"/>
    <w:rsid w:val="0088678A"/>
    <w:rsid w:val="0088688C"/>
    <w:rsid w:val="008869D7"/>
    <w:rsid w:val="00886A10"/>
    <w:rsid w:val="00886AA3"/>
    <w:rsid w:val="00886ADC"/>
    <w:rsid w:val="00886D62"/>
    <w:rsid w:val="00886D7A"/>
    <w:rsid w:val="00886DE4"/>
    <w:rsid w:val="00886F69"/>
    <w:rsid w:val="00886FB5"/>
    <w:rsid w:val="008870AC"/>
    <w:rsid w:val="00887114"/>
    <w:rsid w:val="00887214"/>
    <w:rsid w:val="00887548"/>
    <w:rsid w:val="00887619"/>
    <w:rsid w:val="008877CA"/>
    <w:rsid w:val="0088787C"/>
    <w:rsid w:val="00887AB5"/>
    <w:rsid w:val="00887B48"/>
    <w:rsid w:val="00887F2C"/>
    <w:rsid w:val="00887F45"/>
    <w:rsid w:val="00890049"/>
    <w:rsid w:val="008901A1"/>
    <w:rsid w:val="008901F9"/>
    <w:rsid w:val="00890277"/>
    <w:rsid w:val="008902AC"/>
    <w:rsid w:val="00890324"/>
    <w:rsid w:val="008904B4"/>
    <w:rsid w:val="008904FC"/>
    <w:rsid w:val="00890562"/>
    <w:rsid w:val="00890566"/>
    <w:rsid w:val="0089073F"/>
    <w:rsid w:val="008909F2"/>
    <w:rsid w:val="00890A0A"/>
    <w:rsid w:val="00890BFC"/>
    <w:rsid w:val="00890C84"/>
    <w:rsid w:val="00890CA6"/>
    <w:rsid w:val="00890E21"/>
    <w:rsid w:val="008910FE"/>
    <w:rsid w:val="00891327"/>
    <w:rsid w:val="0089152B"/>
    <w:rsid w:val="008915E2"/>
    <w:rsid w:val="008917F2"/>
    <w:rsid w:val="00891826"/>
    <w:rsid w:val="0089182E"/>
    <w:rsid w:val="0089184A"/>
    <w:rsid w:val="00891901"/>
    <w:rsid w:val="00891955"/>
    <w:rsid w:val="00891CCC"/>
    <w:rsid w:val="00891DC0"/>
    <w:rsid w:val="00892061"/>
    <w:rsid w:val="008920F9"/>
    <w:rsid w:val="0089215A"/>
    <w:rsid w:val="008922D7"/>
    <w:rsid w:val="0089235B"/>
    <w:rsid w:val="008923E3"/>
    <w:rsid w:val="0089248A"/>
    <w:rsid w:val="008926D7"/>
    <w:rsid w:val="0089287D"/>
    <w:rsid w:val="008928AE"/>
    <w:rsid w:val="00892B5E"/>
    <w:rsid w:val="00892B6B"/>
    <w:rsid w:val="00892CD9"/>
    <w:rsid w:val="00892CDD"/>
    <w:rsid w:val="00892E80"/>
    <w:rsid w:val="00892ED4"/>
    <w:rsid w:val="008931AB"/>
    <w:rsid w:val="00893233"/>
    <w:rsid w:val="0089367D"/>
    <w:rsid w:val="0089368D"/>
    <w:rsid w:val="00893A90"/>
    <w:rsid w:val="00893F1C"/>
    <w:rsid w:val="00894295"/>
    <w:rsid w:val="008942A2"/>
    <w:rsid w:val="0089442A"/>
    <w:rsid w:val="008944F7"/>
    <w:rsid w:val="0089459A"/>
    <w:rsid w:val="00894614"/>
    <w:rsid w:val="00894620"/>
    <w:rsid w:val="00894665"/>
    <w:rsid w:val="008946F9"/>
    <w:rsid w:val="0089472B"/>
    <w:rsid w:val="00894A16"/>
    <w:rsid w:val="00894A6B"/>
    <w:rsid w:val="00894A6C"/>
    <w:rsid w:val="00894B01"/>
    <w:rsid w:val="00894C9F"/>
    <w:rsid w:val="00894CB9"/>
    <w:rsid w:val="00894E21"/>
    <w:rsid w:val="00895183"/>
    <w:rsid w:val="00895295"/>
    <w:rsid w:val="008952F6"/>
    <w:rsid w:val="00895654"/>
    <w:rsid w:val="0089578F"/>
    <w:rsid w:val="00895841"/>
    <w:rsid w:val="00895845"/>
    <w:rsid w:val="008958EE"/>
    <w:rsid w:val="00895DF9"/>
    <w:rsid w:val="00895F63"/>
    <w:rsid w:val="00896074"/>
    <w:rsid w:val="008960F8"/>
    <w:rsid w:val="00896132"/>
    <w:rsid w:val="008961C9"/>
    <w:rsid w:val="00896267"/>
    <w:rsid w:val="00896297"/>
    <w:rsid w:val="008962A3"/>
    <w:rsid w:val="008962BB"/>
    <w:rsid w:val="008965ED"/>
    <w:rsid w:val="00896851"/>
    <w:rsid w:val="008969CE"/>
    <w:rsid w:val="00896A17"/>
    <w:rsid w:val="00896AD0"/>
    <w:rsid w:val="00896B2D"/>
    <w:rsid w:val="00896B56"/>
    <w:rsid w:val="00896C05"/>
    <w:rsid w:val="008970A8"/>
    <w:rsid w:val="00897383"/>
    <w:rsid w:val="008973FC"/>
    <w:rsid w:val="0089789D"/>
    <w:rsid w:val="00897954"/>
    <w:rsid w:val="008979DA"/>
    <w:rsid w:val="00897A81"/>
    <w:rsid w:val="00897B91"/>
    <w:rsid w:val="00897C1F"/>
    <w:rsid w:val="00897CD3"/>
    <w:rsid w:val="00897CD6"/>
    <w:rsid w:val="00897DF2"/>
    <w:rsid w:val="00897F6E"/>
    <w:rsid w:val="00897FBF"/>
    <w:rsid w:val="008A0034"/>
    <w:rsid w:val="008A02CA"/>
    <w:rsid w:val="008A0523"/>
    <w:rsid w:val="008A055A"/>
    <w:rsid w:val="008A07E9"/>
    <w:rsid w:val="008A09A6"/>
    <w:rsid w:val="008A0A0D"/>
    <w:rsid w:val="008A0AA4"/>
    <w:rsid w:val="008A0B7B"/>
    <w:rsid w:val="008A0BB0"/>
    <w:rsid w:val="008A0C3C"/>
    <w:rsid w:val="008A0C93"/>
    <w:rsid w:val="008A0C9C"/>
    <w:rsid w:val="008A0CAA"/>
    <w:rsid w:val="008A0D3B"/>
    <w:rsid w:val="008A0F7C"/>
    <w:rsid w:val="008A0FA0"/>
    <w:rsid w:val="008A1039"/>
    <w:rsid w:val="008A1587"/>
    <w:rsid w:val="008A1608"/>
    <w:rsid w:val="008A1752"/>
    <w:rsid w:val="008A185C"/>
    <w:rsid w:val="008A19CD"/>
    <w:rsid w:val="008A1BDB"/>
    <w:rsid w:val="008A1D4A"/>
    <w:rsid w:val="008A1EF7"/>
    <w:rsid w:val="008A202F"/>
    <w:rsid w:val="008A20A9"/>
    <w:rsid w:val="008A21EA"/>
    <w:rsid w:val="008A2346"/>
    <w:rsid w:val="008A23BC"/>
    <w:rsid w:val="008A23E8"/>
    <w:rsid w:val="008A243B"/>
    <w:rsid w:val="008A2957"/>
    <w:rsid w:val="008A2D21"/>
    <w:rsid w:val="008A2DF1"/>
    <w:rsid w:val="008A2EA5"/>
    <w:rsid w:val="008A2F2F"/>
    <w:rsid w:val="008A3015"/>
    <w:rsid w:val="008A3175"/>
    <w:rsid w:val="008A320F"/>
    <w:rsid w:val="008A3263"/>
    <w:rsid w:val="008A3383"/>
    <w:rsid w:val="008A33F7"/>
    <w:rsid w:val="008A346B"/>
    <w:rsid w:val="008A346E"/>
    <w:rsid w:val="008A3595"/>
    <w:rsid w:val="008A35C1"/>
    <w:rsid w:val="008A37C1"/>
    <w:rsid w:val="008A3823"/>
    <w:rsid w:val="008A3DB2"/>
    <w:rsid w:val="008A4318"/>
    <w:rsid w:val="008A4434"/>
    <w:rsid w:val="008A4598"/>
    <w:rsid w:val="008A4681"/>
    <w:rsid w:val="008A46E2"/>
    <w:rsid w:val="008A4833"/>
    <w:rsid w:val="008A4B18"/>
    <w:rsid w:val="008A4B43"/>
    <w:rsid w:val="008A4BA7"/>
    <w:rsid w:val="008A4CB0"/>
    <w:rsid w:val="008A4D6E"/>
    <w:rsid w:val="008A4DC1"/>
    <w:rsid w:val="008A513A"/>
    <w:rsid w:val="008A5286"/>
    <w:rsid w:val="008A52F1"/>
    <w:rsid w:val="008A58ED"/>
    <w:rsid w:val="008A59EA"/>
    <w:rsid w:val="008A5AC3"/>
    <w:rsid w:val="008A609C"/>
    <w:rsid w:val="008A6132"/>
    <w:rsid w:val="008A63D1"/>
    <w:rsid w:val="008A66DB"/>
    <w:rsid w:val="008A6759"/>
    <w:rsid w:val="008A686E"/>
    <w:rsid w:val="008A69A1"/>
    <w:rsid w:val="008A6B09"/>
    <w:rsid w:val="008A6C12"/>
    <w:rsid w:val="008A6C36"/>
    <w:rsid w:val="008A6CCC"/>
    <w:rsid w:val="008A70CD"/>
    <w:rsid w:val="008A7149"/>
    <w:rsid w:val="008A7236"/>
    <w:rsid w:val="008A7399"/>
    <w:rsid w:val="008A7887"/>
    <w:rsid w:val="008A78C3"/>
    <w:rsid w:val="008A7B5E"/>
    <w:rsid w:val="008A7D82"/>
    <w:rsid w:val="008A7DDD"/>
    <w:rsid w:val="008A7ED4"/>
    <w:rsid w:val="008B01F6"/>
    <w:rsid w:val="008B0285"/>
    <w:rsid w:val="008B052A"/>
    <w:rsid w:val="008B05B8"/>
    <w:rsid w:val="008B0622"/>
    <w:rsid w:val="008B093E"/>
    <w:rsid w:val="008B0A29"/>
    <w:rsid w:val="008B0AA0"/>
    <w:rsid w:val="008B0AC9"/>
    <w:rsid w:val="008B0B5A"/>
    <w:rsid w:val="008B0B9B"/>
    <w:rsid w:val="008B0C57"/>
    <w:rsid w:val="008B0DEB"/>
    <w:rsid w:val="008B11C5"/>
    <w:rsid w:val="008B1245"/>
    <w:rsid w:val="008B1362"/>
    <w:rsid w:val="008B1363"/>
    <w:rsid w:val="008B164C"/>
    <w:rsid w:val="008B1651"/>
    <w:rsid w:val="008B1657"/>
    <w:rsid w:val="008B1680"/>
    <w:rsid w:val="008B199D"/>
    <w:rsid w:val="008B19C2"/>
    <w:rsid w:val="008B1B6A"/>
    <w:rsid w:val="008B1D73"/>
    <w:rsid w:val="008B1E5D"/>
    <w:rsid w:val="008B20FB"/>
    <w:rsid w:val="008B21F7"/>
    <w:rsid w:val="008B22B7"/>
    <w:rsid w:val="008B23DA"/>
    <w:rsid w:val="008B2451"/>
    <w:rsid w:val="008B259F"/>
    <w:rsid w:val="008B26B1"/>
    <w:rsid w:val="008B2877"/>
    <w:rsid w:val="008B2EA5"/>
    <w:rsid w:val="008B31CF"/>
    <w:rsid w:val="008B3317"/>
    <w:rsid w:val="008B3363"/>
    <w:rsid w:val="008B34FA"/>
    <w:rsid w:val="008B3509"/>
    <w:rsid w:val="008B3563"/>
    <w:rsid w:val="008B35BD"/>
    <w:rsid w:val="008B3753"/>
    <w:rsid w:val="008B37E4"/>
    <w:rsid w:val="008B39BD"/>
    <w:rsid w:val="008B39F9"/>
    <w:rsid w:val="008B3B34"/>
    <w:rsid w:val="008B3D1E"/>
    <w:rsid w:val="008B3DBA"/>
    <w:rsid w:val="008B3E8F"/>
    <w:rsid w:val="008B4143"/>
    <w:rsid w:val="008B448D"/>
    <w:rsid w:val="008B474F"/>
    <w:rsid w:val="008B47E3"/>
    <w:rsid w:val="008B4853"/>
    <w:rsid w:val="008B4880"/>
    <w:rsid w:val="008B48B4"/>
    <w:rsid w:val="008B48FF"/>
    <w:rsid w:val="008B49B0"/>
    <w:rsid w:val="008B4B3B"/>
    <w:rsid w:val="008B4D00"/>
    <w:rsid w:val="008B4D0D"/>
    <w:rsid w:val="008B4DF9"/>
    <w:rsid w:val="008B4E83"/>
    <w:rsid w:val="008B4EB8"/>
    <w:rsid w:val="008B4F91"/>
    <w:rsid w:val="008B4FF6"/>
    <w:rsid w:val="008B513F"/>
    <w:rsid w:val="008B51F0"/>
    <w:rsid w:val="008B52E8"/>
    <w:rsid w:val="008B5575"/>
    <w:rsid w:val="008B569F"/>
    <w:rsid w:val="008B5778"/>
    <w:rsid w:val="008B57B9"/>
    <w:rsid w:val="008B5832"/>
    <w:rsid w:val="008B59DE"/>
    <w:rsid w:val="008B5BAD"/>
    <w:rsid w:val="008B5D88"/>
    <w:rsid w:val="008B5DAF"/>
    <w:rsid w:val="008B5ED6"/>
    <w:rsid w:val="008B6120"/>
    <w:rsid w:val="008B61E1"/>
    <w:rsid w:val="008B64CE"/>
    <w:rsid w:val="008B6589"/>
    <w:rsid w:val="008B65B9"/>
    <w:rsid w:val="008B65E4"/>
    <w:rsid w:val="008B6949"/>
    <w:rsid w:val="008B6951"/>
    <w:rsid w:val="008B699B"/>
    <w:rsid w:val="008B6A25"/>
    <w:rsid w:val="008B6C72"/>
    <w:rsid w:val="008B6D14"/>
    <w:rsid w:val="008B6DFA"/>
    <w:rsid w:val="008B6FD7"/>
    <w:rsid w:val="008B70BD"/>
    <w:rsid w:val="008B71DD"/>
    <w:rsid w:val="008B745A"/>
    <w:rsid w:val="008B7489"/>
    <w:rsid w:val="008B7545"/>
    <w:rsid w:val="008B7641"/>
    <w:rsid w:val="008B76CF"/>
    <w:rsid w:val="008B773A"/>
    <w:rsid w:val="008C003A"/>
    <w:rsid w:val="008C009F"/>
    <w:rsid w:val="008C00A7"/>
    <w:rsid w:val="008C021D"/>
    <w:rsid w:val="008C0236"/>
    <w:rsid w:val="008C0373"/>
    <w:rsid w:val="008C063F"/>
    <w:rsid w:val="008C073A"/>
    <w:rsid w:val="008C0835"/>
    <w:rsid w:val="008C09F3"/>
    <w:rsid w:val="008C0F03"/>
    <w:rsid w:val="008C0F0D"/>
    <w:rsid w:val="008C0F7B"/>
    <w:rsid w:val="008C0FD4"/>
    <w:rsid w:val="008C10BA"/>
    <w:rsid w:val="008C130D"/>
    <w:rsid w:val="008C131F"/>
    <w:rsid w:val="008C15C7"/>
    <w:rsid w:val="008C15E3"/>
    <w:rsid w:val="008C164C"/>
    <w:rsid w:val="008C1AA7"/>
    <w:rsid w:val="008C1B4B"/>
    <w:rsid w:val="008C1C8B"/>
    <w:rsid w:val="008C1CA0"/>
    <w:rsid w:val="008C1E7E"/>
    <w:rsid w:val="008C1EEB"/>
    <w:rsid w:val="008C1F23"/>
    <w:rsid w:val="008C1FC0"/>
    <w:rsid w:val="008C2029"/>
    <w:rsid w:val="008C21C7"/>
    <w:rsid w:val="008C21C9"/>
    <w:rsid w:val="008C23A3"/>
    <w:rsid w:val="008C2412"/>
    <w:rsid w:val="008C2552"/>
    <w:rsid w:val="008C2571"/>
    <w:rsid w:val="008C25AF"/>
    <w:rsid w:val="008C27C4"/>
    <w:rsid w:val="008C27CF"/>
    <w:rsid w:val="008C2ADE"/>
    <w:rsid w:val="008C2CCB"/>
    <w:rsid w:val="008C2E90"/>
    <w:rsid w:val="008C2F86"/>
    <w:rsid w:val="008C2FA8"/>
    <w:rsid w:val="008C2FD9"/>
    <w:rsid w:val="008C3076"/>
    <w:rsid w:val="008C3106"/>
    <w:rsid w:val="008C34E5"/>
    <w:rsid w:val="008C3518"/>
    <w:rsid w:val="008C3845"/>
    <w:rsid w:val="008C3883"/>
    <w:rsid w:val="008C3981"/>
    <w:rsid w:val="008C3B5F"/>
    <w:rsid w:val="008C3D69"/>
    <w:rsid w:val="008C4436"/>
    <w:rsid w:val="008C4567"/>
    <w:rsid w:val="008C4595"/>
    <w:rsid w:val="008C4670"/>
    <w:rsid w:val="008C4703"/>
    <w:rsid w:val="008C4776"/>
    <w:rsid w:val="008C47C5"/>
    <w:rsid w:val="008C489A"/>
    <w:rsid w:val="008C49BC"/>
    <w:rsid w:val="008C4ABD"/>
    <w:rsid w:val="008C4AD2"/>
    <w:rsid w:val="008C4B4D"/>
    <w:rsid w:val="008C4E1F"/>
    <w:rsid w:val="008C50EE"/>
    <w:rsid w:val="008C51A9"/>
    <w:rsid w:val="008C5215"/>
    <w:rsid w:val="008C524D"/>
    <w:rsid w:val="008C529D"/>
    <w:rsid w:val="008C54B4"/>
    <w:rsid w:val="008C55C7"/>
    <w:rsid w:val="008C55EB"/>
    <w:rsid w:val="008C5643"/>
    <w:rsid w:val="008C56F2"/>
    <w:rsid w:val="008C5941"/>
    <w:rsid w:val="008C5972"/>
    <w:rsid w:val="008C5A05"/>
    <w:rsid w:val="008C5C5B"/>
    <w:rsid w:val="008C60D3"/>
    <w:rsid w:val="008C610C"/>
    <w:rsid w:val="008C62B8"/>
    <w:rsid w:val="008C6306"/>
    <w:rsid w:val="008C647C"/>
    <w:rsid w:val="008C64A8"/>
    <w:rsid w:val="008C6543"/>
    <w:rsid w:val="008C68A0"/>
    <w:rsid w:val="008C6A1D"/>
    <w:rsid w:val="008C6B38"/>
    <w:rsid w:val="008C6B42"/>
    <w:rsid w:val="008C6C2B"/>
    <w:rsid w:val="008C6D6B"/>
    <w:rsid w:val="008C6DC2"/>
    <w:rsid w:val="008C715F"/>
    <w:rsid w:val="008C73A1"/>
    <w:rsid w:val="008C7469"/>
    <w:rsid w:val="008C74C9"/>
    <w:rsid w:val="008C74D7"/>
    <w:rsid w:val="008C7559"/>
    <w:rsid w:val="008C75B8"/>
    <w:rsid w:val="008C76F3"/>
    <w:rsid w:val="008C772D"/>
    <w:rsid w:val="008C7730"/>
    <w:rsid w:val="008C796A"/>
    <w:rsid w:val="008C7A06"/>
    <w:rsid w:val="008C7A50"/>
    <w:rsid w:val="008C7D50"/>
    <w:rsid w:val="008C7F3F"/>
    <w:rsid w:val="008D01C7"/>
    <w:rsid w:val="008D0222"/>
    <w:rsid w:val="008D0437"/>
    <w:rsid w:val="008D0466"/>
    <w:rsid w:val="008D0631"/>
    <w:rsid w:val="008D069C"/>
    <w:rsid w:val="008D06EA"/>
    <w:rsid w:val="008D07B2"/>
    <w:rsid w:val="008D0831"/>
    <w:rsid w:val="008D0853"/>
    <w:rsid w:val="008D0888"/>
    <w:rsid w:val="008D08AA"/>
    <w:rsid w:val="008D09A9"/>
    <w:rsid w:val="008D0B1D"/>
    <w:rsid w:val="008D0F35"/>
    <w:rsid w:val="008D0FDD"/>
    <w:rsid w:val="008D1082"/>
    <w:rsid w:val="008D11D2"/>
    <w:rsid w:val="008D121D"/>
    <w:rsid w:val="008D1455"/>
    <w:rsid w:val="008D1592"/>
    <w:rsid w:val="008D16F9"/>
    <w:rsid w:val="008D1742"/>
    <w:rsid w:val="008D19EA"/>
    <w:rsid w:val="008D1A89"/>
    <w:rsid w:val="008D1B39"/>
    <w:rsid w:val="008D1C13"/>
    <w:rsid w:val="008D1CA5"/>
    <w:rsid w:val="008D1DA8"/>
    <w:rsid w:val="008D1DC4"/>
    <w:rsid w:val="008D2040"/>
    <w:rsid w:val="008D2153"/>
    <w:rsid w:val="008D26C0"/>
    <w:rsid w:val="008D280D"/>
    <w:rsid w:val="008D2C2D"/>
    <w:rsid w:val="008D2E92"/>
    <w:rsid w:val="008D3051"/>
    <w:rsid w:val="008D30F0"/>
    <w:rsid w:val="008D3229"/>
    <w:rsid w:val="008D33AF"/>
    <w:rsid w:val="008D33FD"/>
    <w:rsid w:val="008D340E"/>
    <w:rsid w:val="008D3600"/>
    <w:rsid w:val="008D3637"/>
    <w:rsid w:val="008D3823"/>
    <w:rsid w:val="008D39BD"/>
    <w:rsid w:val="008D39C9"/>
    <w:rsid w:val="008D3A46"/>
    <w:rsid w:val="008D3BB4"/>
    <w:rsid w:val="008D3C04"/>
    <w:rsid w:val="008D3D0F"/>
    <w:rsid w:val="008D3D3A"/>
    <w:rsid w:val="008D3DDA"/>
    <w:rsid w:val="008D3F01"/>
    <w:rsid w:val="008D3FF4"/>
    <w:rsid w:val="008D4046"/>
    <w:rsid w:val="008D42F2"/>
    <w:rsid w:val="008D4486"/>
    <w:rsid w:val="008D4786"/>
    <w:rsid w:val="008D482C"/>
    <w:rsid w:val="008D4977"/>
    <w:rsid w:val="008D4A61"/>
    <w:rsid w:val="008D4C20"/>
    <w:rsid w:val="008D4CE2"/>
    <w:rsid w:val="008D4E53"/>
    <w:rsid w:val="008D4F08"/>
    <w:rsid w:val="008D4F53"/>
    <w:rsid w:val="008D519C"/>
    <w:rsid w:val="008D51B2"/>
    <w:rsid w:val="008D554E"/>
    <w:rsid w:val="008D55B0"/>
    <w:rsid w:val="008D586C"/>
    <w:rsid w:val="008D5C8B"/>
    <w:rsid w:val="008D611C"/>
    <w:rsid w:val="008D62C3"/>
    <w:rsid w:val="008D637A"/>
    <w:rsid w:val="008D63B3"/>
    <w:rsid w:val="008D6681"/>
    <w:rsid w:val="008D67D0"/>
    <w:rsid w:val="008D682B"/>
    <w:rsid w:val="008D6BF2"/>
    <w:rsid w:val="008D6C0E"/>
    <w:rsid w:val="008D6CD4"/>
    <w:rsid w:val="008D6CFF"/>
    <w:rsid w:val="008D6E9C"/>
    <w:rsid w:val="008D6F6D"/>
    <w:rsid w:val="008D7192"/>
    <w:rsid w:val="008D72AB"/>
    <w:rsid w:val="008D732C"/>
    <w:rsid w:val="008D73F2"/>
    <w:rsid w:val="008D7422"/>
    <w:rsid w:val="008D7582"/>
    <w:rsid w:val="008D75BF"/>
    <w:rsid w:val="008D76B0"/>
    <w:rsid w:val="008D76C6"/>
    <w:rsid w:val="008D77F8"/>
    <w:rsid w:val="008D78A3"/>
    <w:rsid w:val="008D7907"/>
    <w:rsid w:val="008D79CF"/>
    <w:rsid w:val="008D7D39"/>
    <w:rsid w:val="008D7E2B"/>
    <w:rsid w:val="008D7FAC"/>
    <w:rsid w:val="008E009E"/>
    <w:rsid w:val="008E00A4"/>
    <w:rsid w:val="008E00E0"/>
    <w:rsid w:val="008E01CC"/>
    <w:rsid w:val="008E0469"/>
    <w:rsid w:val="008E05B1"/>
    <w:rsid w:val="008E0654"/>
    <w:rsid w:val="008E0925"/>
    <w:rsid w:val="008E09B4"/>
    <w:rsid w:val="008E0A2B"/>
    <w:rsid w:val="008E0FCF"/>
    <w:rsid w:val="008E10DA"/>
    <w:rsid w:val="008E10E0"/>
    <w:rsid w:val="008E121C"/>
    <w:rsid w:val="008E1222"/>
    <w:rsid w:val="008E1277"/>
    <w:rsid w:val="008E1496"/>
    <w:rsid w:val="008E1653"/>
    <w:rsid w:val="008E16B5"/>
    <w:rsid w:val="008E1770"/>
    <w:rsid w:val="008E17B1"/>
    <w:rsid w:val="008E1A60"/>
    <w:rsid w:val="008E1AE3"/>
    <w:rsid w:val="008E1B99"/>
    <w:rsid w:val="008E1BF9"/>
    <w:rsid w:val="008E1EB9"/>
    <w:rsid w:val="008E1F64"/>
    <w:rsid w:val="008E2169"/>
    <w:rsid w:val="008E27A7"/>
    <w:rsid w:val="008E297C"/>
    <w:rsid w:val="008E2A99"/>
    <w:rsid w:val="008E2AC3"/>
    <w:rsid w:val="008E2E10"/>
    <w:rsid w:val="008E2E53"/>
    <w:rsid w:val="008E2F76"/>
    <w:rsid w:val="008E310E"/>
    <w:rsid w:val="008E3697"/>
    <w:rsid w:val="008E36EA"/>
    <w:rsid w:val="008E3739"/>
    <w:rsid w:val="008E389A"/>
    <w:rsid w:val="008E38C6"/>
    <w:rsid w:val="008E39A8"/>
    <w:rsid w:val="008E3A5D"/>
    <w:rsid w:val="008E3ADB"/>
    <w:rsid w:val="008E3AF3"/>
    <w:rsid w:val="008E3CD6"/>
    <w:rsid w:val="008E3D66"/>
    <w:rsid w:val="008E3E5C"/>
    <w:rsid w:val="008E3E7C"/>
    <w:rsid w:val="008E3FAC"/>
    <w:rsid w:val="008E40AD"/>
    <w:rsid w:val="008E414D"/>
    <w:rsid w:val="008E4177"/>
    <w:rsid w:val="008E4241"/>
    <w:rsid w:val="008E42F0"/>
    <w:rsid w:val="008E4357"/>
    <w:rsid w:val="008E43E4"/>
    <w:rsid w:val="008E4624"/>
    <w:rsid w:val="008E4672"/>
    <w:rsid w:val="008E472E"/>
    <w:rsid w:val="008E47C4"/>
    <w:rsid w:val="008E484E"/>
    <w:rsid w:val="008E497C"/>
    <w:rsid w:val="008E49B8"/>
    <w:rsid w:val="008E4AA4"/>
    <w:rsid w:val="008E4B5E"/>
    <w:rsid w:val="008E4BF5"/>
    <w:rsid w:val="008E4C79"/>
    <w:rsid w:val="008E5003"/>
    <w:rsid w:val="008E504A"/>
    <w:rsid w:val="008E506D"/>
    <w:rsid w:val="008E5171"/>
    <w:rsid w:val="008E51AC"/>
    <w:rsid w:val="008E51EE"/>
    <w:rsid w:val="008E534E"/>
    <w:rsid w:val="008E5572"/>
    <w:rsid w:val="008E563D"/>
    <w:rsid w:val="008E580C"/>
    <w:rsid w:val="008E5BC9"/>
    <w:rsid w:val="008E5E2F"/>
    <w:rsid w:val="008E5F07"/>
    <w:rsid w:val="008E5F8C"/>
    <w:rsid w:val="008E5FC9"/>
    <w:rsid w:val="008E5FFE"/>
    <w:rsid w:val="008E60CE"/>
    <w:rsid w:val="008E612D"/>
    <w:rsid w:val="008E61DF"/>
    <w:rsid w:val="008E6224"/>
    <w:rsid w:val="008E636B"/>
    <w:rsid w:val="008E63F2"/>
    <w:rsid w:val="008E642D"/>
    <w:rsid w:val="008E6451"/>
    <w:rsid w:val="008E65CA"/>
    <w:rsid w:val="008E6663"/>
    <w:rsid w:val="008E670F"/>
    <w:rsid w:val="008E67BD"/>
    <w:rsid w:val="008E687C"/>
    <w:rsid w:val="008E697A"/>
    <w:rsid w:val="008E6A6F"/>
    <w:rsid w:val="008E6B10"/>
    <w:rsid w:val="008E6F5E"/>
    <w:rsid w:val="008E70AB"/>
    <w:rsid w:val="008E7161"/>
    <w:rsid w:val="008E71FD"/>
    <w:rsid w:val="008E729B"/>
    <w:rsid w:val="008E737A"/>
    <w:rsid w:val="008E746F"/>
    <w:rsid w:val="008E7531"/>
    <w:rsid w:val="008E7633"/>
    <w:rsid w:val="008E7642"/>
    <w:rsid w:val="008E7681"/>
    <w:rsid w:val="008E7720"/>
    <w:rsid w:val="008E7829"/>
    <w:rsid w:val="008E7BCF"/>
    <w:rsid w:val="008E7C20"/>
    <w:rsid w:val="008E7DA4"/>
    <w:rsid w:val="008E7E76"/>
    <w:rsid w:val="008E7F21"/>
    <w:rsid w:val="008F0040"/>
    <w:rsid w:val="008F010B"/>
    <w:rsid w:val="008F0188"/>
    <w:rsid w:val="008F0193"/>
    <w:rsid w:val="008F0279"/>
    <w:rsid w:val="008F029F"/>
    <w:rsid w:val="008F03AF"/>
    <w:rsid w:val="008F03CD"/>
    <w:rsid w:val="008F060C"/>
    <w:rsid w:val="008F0998"/>
    <w:rsid w:val="008F0E42"/>
    <w:rsid w:val="008F0E92"/>
    <w:rsid w:val="008F0EF8"/>
    <w:rsid w:val="008F0EFB"/>
    <w:rsid w:val="008F0F8A"/>
    <w:rsid w:val="008F0FEC"/>
    <w:rsid w:val="008F13C0"/>
    <w:rsid w:val="008F1453"/>
    <w:rsid w:val="008F14F8"/>
    <w:rsid w:val="008F181A"/>
    <w:rsid w:val="008F1AFD"/>
    <w:rsid w:val="008F1BA1"/>
    <w:rsid w:val="008F1D2B"/>
    <w:rsid w:val="008F1D98"/>
    <w:rsid w:val="008F1E7F"/>
    <w:rsid w:val="008F1F3D"/>
    <w:rsid w:val="008F1F9F"/>
    <w:rsid w:val="008F226A"/>
    <w:rsid w:val="008F22D4"/>
    <w:rsid w:val="008F2471"/>
    <w:rsid w:val="008F24DA"/>
    <w:rsid w:val="008F2756"/>
    <w:rsid w:val="008F2781"/>
    <w:rsid w:val="008F27DE"/>
    <w:rsid w:val="008F282F"/>
    <w:rsid w:val="008F2A0D"/>
    <w:rsid w:val="008F2A9D"/>
    <w:rsid w:val="008F2C09"/>
    <w:rsid w:val="008F2D8E"/>
    <w:rsid w:val="008F2DEB"/>
    <w:rsid w:val="008F2EC0"/>
    <w:rsid w:val="008F2FAA"/>
    <w:rsid w:val="008F31D3"/>
    <w:rsid w:val="008F321A"/>
    <w:rsid w:val="008F3246"/>
    <w:rsid w:val="008F330C"/>
    <w:rsid w:val="008F3352"/>
    <w:rsid w:val="008F33C8"/>
    <w:rsid w:val="008F3548"/>
    <w:rsid w:val="008F3697"/>
    <w:rsid w:val="008F3795"/>
    <w:rsid w:val="008F37BC"/>
    <w:rsid w:val="008F3A82"/>
    <w:rsid w:val="008F3DAF"/>
    <w:rsid w:val="008F3E46"/>
    <w:rsid w:val="008F3F9F"/>
    <w:rsid w:val="008F4162"/>
    <w:rsid w:val="008F455A"/>
    <w:rsid w:val="008F4572"/>
    <w:rsid w:val="008F47F0"/>
    <w:rsid w:val="008F4800"/>
    <w:rsid w:val="008F48A0"/>
    <w:rsid w:val="008F496F"/>
    <w:rsid w:val="008F498E"/>
    <w:rsid w:val="008F4AFA"/>
    <w:rsid w:val="008F4C4B"/>
    <w:rsid w:val="008F4D2D"/>
    <w:rsid w:val="008F4E20"/>
    <w:rsid w:val="008F4F7C"/>
    <w:rsid w:val="008F4FAF"/>
    <w:rsid w:val="008F4FD5"/>
    <w:rsid w:val="008F50FD"/>
    <w:rsid w:val="008F513F"/>
    <w:rsid w:val="008F5184"/>
    <w:rsid w:val="008F54B0"/>
    <w:rsid w:val="008F54E3"/>
    <w:rsid w:val="008F570D"/>
    <w:rsid w:val="008F5718"/>
    <w:rsid w:val="008F5A52"/>
    <w:rsid w:val="008F5A8A"/>
    <w:rsid w:val="008F5D31"/>
    <w:rsid w:val="008F5E26"/>
    <w:rsid w:val="008F5FCB"/>
    <w:rsid w:val="008F6031"/>
    <w:rsid w:val="008F6310"/>
    <w:rsid w:val="008F6372"/>
    <w:rsid w:val="008F63F9"/>
    <w:rsid w:val="008F641B"/>
    <w:rsid w:val="008F65B4"/>
    <w:rsid w:val="008F6730"/>
    <w:rsid w:val="008F67EE"/>
    <w:rsid w:val="008F6C45"/>
    <w:rsid w:val="008F6C74"/>
    <w:rsid w:val="008F6C9A"/>
    <w:rsid w:val="008F6D7E"/>
    <w:rsid w:val="008F6FF5"/>
    <w:rsid w:val="008F717C"/>
    <w:rsid w:val="008F72BD"/>
    <w:rsid w:val="008F7733"/>
    <w:rsid w:val="008F7947"/>
    <w:rsid w:val="008F7B60"/>
    <w:rsid w:val="008F7CAA"/>
    <w:rsid w:val="008F7D91"/>
    <w:rsid w:val="008F7DB9"/>
    <w:rsid w:val="008F7E43"/>
    <w:rsid w:val="008F7EF6"/>
    <w:rsid w:val="009000A8"/>
    <w:rsid w:val="009001AF"/>
    <w:rsid w:val="00900312"/>
    <w:rsid w:val="00900550"/>
    <w:rsid w:val="009005EB"/>
    <w:rsid w:val="0090077A"/>
    <w:rsid w:val="009008D6"/>
    <w:rsid w:val="00900920"/>
    <w:rsid w:val="00900A11"/>
    <w:rsid w:val="00900FC4"/>
    <w:rsid w:val="009010C0"/>
    <w:rsid w:val="0090111B"/>
    <w:rsid w:val="0090131E"/>
    <w:rsid w:val="00901444"/>
    <w:rsid w:val="00901486"/>
    <w:rsid w:val="009014CD"/>
    <w:rsid w:val="009015B8"/>
    <w:rsid w:val="009016A4"/>
    <w:rsid w:val="00901782"/>
    <w:rsid w:val="0090184B"/>
    <w:rsid w:val="00901A63"/>
    <w:rsid w:val="00901B11"/>
    <w:rsid w:val="00901B12"/>
    <w:rsid w:val="00901B5E"/>
    <w:rsid w:val="00901B88"/>
    <w:rsid w:val="00901D91"/>
    <w:rsid w:val="00901DE2"/>
    <w:rsid w:val="00902036"/>
    <w:rsid w:val="0090204E"/>
    <w:rsid w:val="009022C5"/>
    <w:rsid w:val="009026E5"/>
    <w:rsid w:val="009028F8"/>
    <w:rsid w:val="00902913"/>
    <w:rsid w:val="00902922"/>
    <w:rsid w:val="00902946"/>
    <w:rsid w:val="00902B67"/>
    <w:rsid w:val="00902C04"/>
    <w:rsid w:val="00902C2A"/>
    <w:rsid w:val="00902CA9"/>
    <w:rsid w:val="00902E28"/>
    <w:rsid w:val="00902E5A"/>
    <w:rsid w:val="00902FAB"/>
    <w:rsid w:val="00903017"/>
    <w:rsid w:val="009031DE"/>
    <w:rsid w:val="00903363"/>
    <w:rsid w:val="009033C5"/>
    <w:rsid w:val="0090353C"/>
    <w:rsid w:val="009035E5"/>
    <w:rsid w:val="0090377A"/>
    <w:rsid w:val="0090392A"/>
    <w:rsid w:val="009039D7"/>
    <w:rsid w:val="00903C3B"/>
    <w:rsid w:val="00903F0B"/>
    <w:rsid w:val="00903F59"/>
    <w:rsid w:val="00903F5A"/>
    <w:rsid w:val="00903FB2"/>
    <w:rsid w:val="0090400B"/>
    <w:rsid w:val="009040A8"/>
    <w:rsid w:val="009040DB"/>
    <w:rsid w:val="0090436D"/>
    <w:rsid w:val="009043EA"/>
    <w:rsid w:val="009044F0"/>
    <w:rsid w:val="00904580"/>
    <w:rsid w:val="00904995"/>
    <w:rsid w:val="009049EC"/>
    <w:rsid w:val="00904A03"/>
    <w:rsid w:val="00904BE3"/>
    <w:rsid w:val="00904C03"/>
    <w:rsid w:val="00904CD5"/>
    <w:rsid w:val="00904DDA"/>
    <w:rsid w:val="00904E0B"/>
    <w:rsid w:val="00904F6B"/>
    <w:rsid w:val="00905114"/>
    <w:rsid w:val="009051B6"/>
    <w:rsid w:val="0090524C"/>
    <w:rsid w:val="009052B2"/>
    <w:rsid w:val="009055DB"/>
    <w:rsid w:val="009056ED"/>
    <w:rsid w:val="00905823"/>
    <w:rsid w:val="009059C4"/>
    <w:rsid w:val="009059F5"/>
    <w:rsid w:val="00905AA1"/>
    <w:rsid w:val="00905C9A"/>
    <w:rsid w:val="00905CDA"/>
    <w:rsid w:val="00905DE8"/>
    <w:rsid w:val="0090623C"/>
    <w:rsid w:val="00906285"/>
    <w:rsid w:val="009062B1"/>
    <w:rsid w:val="009064EF"/>
    <w:rsid w:val="00906536"/>
    <w:rsid w:val="00906572"/>
    <w:rsid w:val="0090658E"/>
    <w:rsid w:val="009065FA"/>
    <w:rsid w:val="009066CF"/>
    <w:rsid w:val="009067EF"/>
    <w:rsid w:val="009068A3"/>
    <w:rsid w:val="00906E26"/>
    <w:rsid w:val="00906E9D"/>
    <w:rsid w:val="00907025"/>
    <w:rsid w:val="009071B0"/>
    <w:rsid w:val="009071C0"/>
    <w:rsid w:val="00907210"/>
    <w:rsid w:val="00907263"/>
    <w:rsid w:val="009074A8"/>
    <w:rsid w:val="0090755B"/>
    <w:rsid w:val="00907A3A"/>
    <w:rsid w:val="00907A69"/>
    <w:rsid w:val="00907A87"/>
    <w:rsid w:val="00907AE4"/>
    <w:rsid w:val="00907B45"/>
    <w:rsid w:val="00907B55"/>
    <w:rsid w:val="00907B99"/>
    <w:rsid w:val="00907C6B"/>
    <w:rsid w:val="00907D46"/>
    <w:rsid w:val="00910065"/>
    <w:rsid w:val="0091016E"/>
    <w:rsid w:val="0091019E"/>
    <w:rsid w:val="00910552"/>
    <w:rsid w:val="009108AC"/>
    <w:rsid w:val="0091093A"/>
    <w:rsid w:val="00910B86"/>
    <w:rsid w:val="00910EBA"/>
    <w:rsid w:val="0091111D"/>
    <w:rsid w:val="00911124"/>
    <w:rsid w:val="0091130E"/>
    <w:rsid w:val="00911370"/>
    <w:rsid w:val="00911415"/>
    <w:rsid w:val="009114B8"/>
    <w:rsid w:val="0091158D"/>
    <w:rsid w:val="00911954"/>
    <w:rsid w:val="009119BA"/>
    <w:rsid w:val="00911A6F"/>
    <w:rsid w:val="00911C25"/>
    <w:rsid w:val="00911CA3"/>
    <w:rsid w:val="00911D13"/>
    <w:rsid w:val="00911D9A"/>
    <w:rsid w:val="00911EA4"/>
    <w:rsid w:val="00911EB2"/>
    <w:rsid w:val="0091200D"/>
    <w:rsid w:val="009121DC"/>
    <w:rsid w:val="00912350"/>
    <w:rsid w:val="009123FB"/>
    <w:rsid w:val="00912559"/>
    <w:rsid w:val="0091261D"/>
    <w:rsid w:val="00912659"/>
    <w:rsid w:val="00912668"/>
    <w:rsid w:val="00912739"/>
    <w:rsid w:val="00912848"/>
    <w:rsid w:val="00912876"/>
    <w:rsid w:val="00912A33"/>
    <w:rsid w:val="00912A49"/>
    <w:rsid w:val="00912A8D"/>
    <w:rsid w:val="00912AA9"/>
    <w:rsid w:val="00912BB9"/>
    <w:rsid w:val="00912BFC"/>
    <w:rsid w:val="00912D15"/>
    <w:rsid w:val="00912DB8"/>
    <w:rsid w:val="00912F43"/>
    <w:rsid w:val="00912F9B"/>
    <w:rsid w:val="0091304C"/>
    <w:rsid w:val="0091327A"/>
    <w:rsid w:val="00913427"/>
    <w:rsid w:val="0091345D"/>
    <w:rsid w:val="009135AA"/>
    <w:rsid w:val="00913760"/>
    <w:rsid w:val="00913856"/>
    <w:rsid w:val="0091393C"/>
    <w:rsid w:val="00913BA0"/>
    <w:rsid w:val="00913BE9"/>
    <w:rsid w:val="009142B1"/>
    <w:rsid w:val="009142C3"/>
    <w:rsid w:val="00914481"/>
    <w:rsid w:val="0091484F"/>
    <w:rsid w:val="0091492A"/>
    <w:rsid w:val="00914B14"/>
    <w:rsid w:val="00914C57"/>
    <w:rsid w:val="00914E50"/>
    <w:rsid w:val="00915022"/>
    <w:rsid w:val="0091512A"/>
    <w:rsid w:val="00915152"/>
    <w:rsid w:val="009152C4"/>
    <w:rsid w:val="00915308"/>
    <w:rsid w:val="009153EE"/>
    <w:rsid w:val="0091550C"/>
    <w:rsid w:val="0091569F"/>
    <w:rsid w:val="0091572E"/>
    <w:rsid w:val="0091587C"/>
    <w:rsid w:val="00915958"/>
    <w:rsid w:val="00915A4B"/>
    <w:rsid w:val="00915AFA"/>
    <w:rsid w:val="00915B1D"/>
    <w:rsid w:val="00915D18"/>
    <w:rsid w:val="00915D1F"/>
    <w:rsid w:val="00915E60"/>
    <w:rsid w:val="00915EBD"/>
    <w:rsid w:val="00916044"/>
    <w:rsid w:val="00916167"/>
    <w:rsid w:val="009161EF"/>
    <w:rsid w:val="0091652B"/>
    <w:rsid w:val="00916542"/>
    <w:rsid w:val="00916586"/>
    <w:rsid w:val="00916614"/>
    <w:rsid w:val="00916721"/>
    <w:rsid w:val="0091686A"/>
    <w:rsid w:val="0091689C"/>
    <w:rsid w:val="00916960"/>
    <w:rsid w:val="00916A41"/>
    <w:rsid w:val="00916ACA"/>
    <w:rsid w:val="00916E9E"/>
    <w:rsid w:val="00916FE0"/>
    <w:rsid w:val="00917012"/>
    <w:rsid w:val="00917107"/>
    <w:rsid w:val="009171C8"/>
    <w:rsid w:val="009171F6"/>
    <w:rsid w:val="00917282"/>
    <w:rsid w:val="00917286"/>
    <w:rsid w:val="009172AE"/>
    <w:rsid w:val="00917948"/>
    <w:rsid w:val="00917B18"/>
    <w:rsid w:val="00917BF4"/>
    <w:rsid w:val="00917C49"/>
    <w:rsid w:val="00917C85"/>
    <w:rsid w:val="00917CBD"/>
    <w:rsid w:val="00917D87"/>
    <w:rsid w:val="00917FC5"/>
    <w:rsid w:val="0092001F"/>
    <w:rsid w:val="00920068"/>
    <w:rsid w:val="009200CF"/>
    <w:rsid w:val="009201EE"/>
    <w:rsid w:val="009202E8"/>
    <w:rsid w:val="009203C3"/>
    <w:rsid w:val="009205A3"/>
    <w:rsid w:val="009205EE"/>
    <w:rsid w:val="00920942"/>
    <w:rsid w:val="00920ACE"/>
    <w:rsid w:val="00920B7F"/>
    <w:rsid w:val="00920D9C"/>
    <w:rsid w:val="00921146"/>
    <w:rsid w:val="00921175"/>
    <w:rsid w:val="009215DE"/>
    <w:rsid w:val="0092171C"/>
    <w:rsid w:val="009217BC"/>
    <w:rsid w:val="00921876"/>
    <w:rsid w:val="00921B3F"/>
    <w:rsid w:val="00921EF2"/>
    <w:rsid w:val="00921F54"/>
    <w:rsid w:val="00922039"/>
    <w:rsid w:val="009220B1"/>
    <w:rsid w:val="009220C4"/>
    <w:rsid w:val="009220F4"/>
    <w:rsid w:val="00922109"/>
    <w:rsid w:val="009221CB"/>
    <w:rsid w:val="00922273"/>
    <w:rsid w:val="00922285"/>
    <w:rsid w:val="00922290"/>
    <w:rsid w:val="009224DA"/>
    <w:rsid w:val="009225D5"/>
    <w:rsid w:val="009226CA"/>
    <w:rsid w:val="00922770"/>
    <w:rsid w:val="0092289A"/>
    <w:rsid w:val="0092289B"/>
    <w:rsid w:val="00922AAE"/>
    <w:rsid w:val="00922CEB"/>
    <w:rsid w:val="00922D09"/>
    <w:rsid w:val="00922DE1"/>
    <w:rsid w:val="00922E51"/>
    <w:rsid w:val="00922F48"/>
    <w:rsid w:val="00922FD0"/>
    <w:rsid w:val="009230AE"/>
    <w:rsid w:val="009230E0"/>
    <w:rsid w:val="009231D7"/>
    <w:rsid w:val="0092326F"/>
    <w:rsid w:val="00923308"/>
    <w:rsid w:val="009233EC"/>
    <w:rsid w:val="00923400"/>
    <w:rsid w:val="009234BF"/>
    <w:rsid w:val="00923791"/>
    <w:rsid w:val="00923808"/>
    <w:rsid w:val="0092390C"/>
    <w:rsid w:val="00923922"/>
    <w:rsid w:val="00923A22"/>
    <w:rsid w:val="00923C86"/>
    <w:rsid w:val="00923DCB"/>
    <w:rsid w:val="00923E71"/>
    <w:rsid w:val="00923EBF"/>
    <w:rsid w:val="00923EC0"/>
    <w:rsid w:val="00923ECE"/>
    <w:rsid w:val="009244DF"/>
    <w:rsid w:val="009246AA"/>
    <w:rsid w:val="009246B7"/>
    <w:rsid w:val="00924867"/>
    <w:rsid w:val="009248D8"/>
    <w:rsid w:val="009248DC"/>
    <w:rsid w:val="009249CF"/>
    <w:rsid w:val="009249F7"/>
    <w:rsid w:val="00924A03"/>
    <w:rsid w:val="00924C4F"/>
    <w:rsid w:val="00924F80"/>
    <w:rsid w:val="009251E1"/>
    <w:rsid w:val="009251FA"/>
    <w:rsid w:val="00925244"/>
    <w:rsid w:val="00925260"/>
    <w:rsid w:val="00925286"/>
    <w:rsid w:val="009252CF"/>
    <w:rsid w:val="009254A4"/>
    <w:rsid w:val="00925521"/>
    <w:rsid w:val="009255A2"/>
    <w:rsid w:val="00925625"/>
    <w:rsid w:val="009257D8"/>
    <w:rsid w:val="00925B79"/>
    <w:rsid w:val="00925C90"/>
    <w:rsid w:val="00925FB7"/>
    <w:rsid w:val="009262BC"/>
    <w:rsid w:val="009262F7"/>
    <w:rsid w:val="009263B1"/>
    <w:rsid w:val="00926536"/>
    <w:rsid w:val="00926764"/>
    <w:rsid w:val="00926D77"/>
    <w:rsid w:val="00926E0E"/>
    <w:rsid w:val="00926EC3"/>
    <w:rsid w:val="00926F46"/>
    <w:rsid w:val="00926F8A"/>
    <w:rsid w:val="00926FCB"/>
    <w:rsid w:val="0092702E"/>
    <w:rsid w:val="0092712E"/>
    <w:rsid w:val="009271C3"/>
    <w:rsid w:val="009271FB"/>
    <w:rsid w:val="0092735A"/>
    <w:rsid w:val="009274AA"/>
    <w:rsid w:val="0092769C"/>
    <w:rsid w:val="0092775E"/>
    <w:rsid w:val="009278D8"/>
    <w:rsid w:val="009279E1"/>
    <w:rsid w:val="00927A09"/>
    <w:rsid w:val="00927A18"/>
    <w:rsid w:val="00927C42"/>
    <w:rsid w:val="00927CB5"/>
    <w:rsid w:val="00927D20"/>
    <w:rsid w:val="00927E99"/>
    <w:rsid w:val="00927F5B"/>
    <w:rsid w:val="00927F70"/>
    <w:rsid w:val="00930156"/>
    <w:rsid w:val="00930211"/>
    <w:rsid w:val="009302BB"/>
    <w:rsid w:val="00930309"/>
    <w:rsid w:val="00930442"/>
    <w:rsid w:val="00930542"/>
    <w:rsid w:val="00930610"/>
    <w:rsid w:val="0093077D"/>
    <w:rsid w:val="00930A6D"/>
    <w:rsid w:val="00930CE0"/>
    <w:rsid w:val="00930D8C"/>
    <w:rsid w:val="00930EE2"/>
    <w:rsid w:val="00930F00"/>
    <w:rsid w:val="00930F1E"/>
    <w:rsid w:val="00930F58"/>
    <w:rsid w:val="00930F90"/>
    <w:rsid w:val="0093125E"/>
    <w:rsid w:val="00931351"/>
    <w:rsid w:val="009313F4"/>
    <w:rsid w:val="00931542"/>
    <w:rsid w:val="0093162A"/>
    <w:rsid w:val="009316E2"/>
    <w:rsid w:val="00931734"/>
    <w:rsid w:val="009317E7"/>
    <w:rsid w:val="00931945"/>
    <w:rsid w:val="00931A78"/>
    <w:rsid w:val="00931AE8"/>
    <w:rsid w:val="00931B21"/>
    <w:rsid w:val="00931C3B"/>
    <w:rsid w:val="00931D30"/>
    <w:rsid w:val="00931E5E"/>
    <w:rsid w:val="00931E61"/>
    <w:rsid w:val="00931EEB"/>
    <w:rsid w:val="009322C2"/>
    <w:rsid w:val="009323D2"/>
    <w:rsid w:val="009323DA"/>
    <w:rsid w:val="00932491"/>
    <w:rsid w:val="00932569"/>
    <w:rsid w:val="00932604"/>
    <w:rsid w:val="00932674"/>
    <w:rsid w:val="009327BC"/>
    <w:rsid w:val="0093293E"/>
    <w:rsid w:val="00932ADE"/>
    <w:rsid w:val="00932C66"/>
    <w:rsid w:val="00932D95"/>
    <w:rsid w:val="00933026"/>
    <w:rsid w:val="00933039"/>
    <w:rsid w:val="00933410"/>
    <w:rsid w:val="0093347F"/>
    <w:rsid w:val="00933528"/>
    <w:rsid w:val="009336D3"/>
    <w:rsid w:val="009339F5"/>
    <w:rsid w:val="00933ABA"/>
    <w:rsid w:val="00933B44"/>
    <w:rsid w:val="00933C3C"/>
    <w:rsid w:val="00933EAD"/>
    <w:rsid w:val="00933EDD"/>
    <w:rsid w:val="009340EC"/>
    <w:rsid w:val="009340FA"/>
    <w:rsid w:val="00934255"/>
    <w:rsid w:val="009344C2"/>
    <w:rsid w:val="00934739"/>
    <w:rsid w:val="0093479E"/>
    <w:rsid w:val="00934AFC"/>
    <w:rsid w:val="00934DE8"/>
    <w:rsid w:val="00934FBF"/>
    <w:rsid w:val="0093507B"/>
    <w:rsid w:val="009351CD"/>
    <w:rsid w:val="0093521B"/>
    <w:rsid w:val="0093533E"/>
    <w:rsid w:val="00935395"/>
    <w:rsid w:val="009353D1"/>
    <w:rsid w:val="009355C0"/>
    <w:rsid w:val="00935720"/>
    <w:rsid w:val="00935817"/>
    <w:rsid w:val="00935861"/>
    <w:rsid w:val="009358FF"/>
    <w:rsid w:val="00935944"/>
    <w:rsid w:val="00935A98"/>
    <w:rsid w:val="00935BD1"/>
    <w:rsid w:val="00935C51"/>
    <w:rsid w:val="00935C6B"/>
    <w:rsid w:val="00935E58"/>
    <w:rsid w:val="00936035"/>
    <w:rsid w:val="00936044"/>
    <w:rsid w:val="009360E4"/>
    <w:rsid w:val="009361B0"/>
    <w:rsid w:val="0093626A"/>
    <w:rsid w:val="00936270"/>
    <w:rsid w:val="009363D5"/>
    <w:rsid w:val="00936631"/>
    <w:rsid w:val="0093666C"/>
    <w:rsid w:val="009366E7"/>
    <w:rsid w:val="00936784"/>
    <w:rsid w:val="009367B0"/>
    <w:rsid w:val="00936813"/>
    <w:rsid w:val="00936835"/>
    <w:rsid w:val="00936948"/>
    <w:rsid w:val="00936B62"/>
    <w:rsid w:val="00936BFF"/>
    <w:rsid w:val="00936C0A"/>
    <w:rsid w:val="00936C91"/>
    <w:rsid w:val="00936CEB"/>
    <w:rsid w:val="00936DBE"/>
    <w:rsid w:val="00936DF8"/>
    <w:rsid w:val="00936DFB"/>
    <w:rsid w:val="00937417"/>
    <w:rsid w:val="00937434"/>
    <w:rsid w:val="00937625"/>
    <w:rsid w:val="00937675"/>
    <w:rsid w:val="00937722"/>
    <w:rsid w:val="0093790B"/>
    <w:rsid w:val="00937DD0"/>
    <w:rsid w:val="009400DD"/>
    <w:rsid w:val="0094023B"/>
    <w:rsid w:val="009404F5"/>
    <w:rsid w:val="009405F5"/>
    <w:rsid w:val="009406AC"/>
    <w:rsid w:val="00940805"/>
    <w:rsid w:val="00940871"/>
    <w:rsid w:val="009409B3"/>
    <w:rsid w:val="00940AEA"/>
    <w:rsid w:val="00940BA5"/>
    <w:rsid w:val="00940C7D"/>
    <w:rsid w:val="00940D80"/>
    <w:rsid w:val="00940E2B"/>
    <w:rsid w:val="00940F53"/>
    <w:rsid w:val="00941025"/>
    <w:rsid w:val="00941120"/>
    <w:rsid w:val="00941196"/>
    <w:rsid w:val="00941201"/>
    <w:rsid w:val="00941295"/>
    <w:rsid w:val="0094132A"/>
    <w:rsid w:val="00941426"/>
    <w:rsid w:val="00941455"/>
    <w:rsid w:val="00941795"/>
    <w:rsid w:val="0094179F"/>
    <w:rsid w:val="009417C8"/>
    <w:rsid w:val="009418DF"/>
    <w:rsid w:val="009419C7"/>
    <w:rsid w:val="00941A15"/>
    <w:rsid w:val="00941A4A"/>
    <w:rsid w:val="00941C98"/>
    <w:rsid w:val="00941DD1"/>
    <w:rsid w:val="00941F87"/>
    <w:rsid w:val="009420F0"/>
    <w:rsid w:val="0094228A"/>
    <w:rsid w:val="00942297"/>
    <w:rsid w:val="0094236F"/>
    <w:rsid w:val="0094239A"/>
    <w:rsid w:val="009423EF"/>
    <w:rsid w:val="0094241E"/>
    <w:rsid w:val="00942783"/>
    <w:rsid w:val="00942784"/>
    <w:rsid w:val="009427C3"/>
    <w:rsid w:val="009428B0"/>
    <w:rsid w:val="00942A49"/>
    <w:rsid w:val="00942C2F"/>
    <w:rsid w:val="00942F5E"/>
    <w:rsid w:val="009430F5"/>
    <w:rsid w:val="00943240"/>
    <w:rsid w:val="00943269"/>
    <w:rsid w:val="0094334B"/>
    <w:rsid w:val="00943537"/>
    <w:rsid w:val="0094361F"/>
    <w:rsid w:val="009436CE"/>
    <w:rsid w:val="00943B20"/>
    <w:rsid w:val="00943DEE"/>
    <w:rsid w:val="00943F07"/>
    <w:rsid w:val="0094436C"/>
    <w:rsid w:val="00944574"/>
    <w:rsid w:val="00944579"/>
    <w:rsid w:val="00944690"/>
    <w:rsid w:val="0094480F"/>
    <w:rsid w:val="00944922"/>
    <w:rsid w:val="009449DC"/>
    <w:rsid w:val="00944A6C"/>
    <w:rsid w:val="00944BCE"/>
    <w:rsid w:val="00944DDF"/>
    <w:rsid w:val="009450D1"/>
    <w:rsid w:val="009451F6"/>
    <w:rsid w:val="009455F5"/>
    <w:rsid w:val="00945643"/>
    <w:rsid w:val="009456DC"/>
    <w:rsid w:val="009457EC"/>
    <w:rsid w:val="00945ABE"/>
    <w:rsid w:val="00945BF8"/>
    <w:rsid w:val="00945DB6"/>
    <w:rsid w:val="00945F18"/>
    <w:rsid w:val="0094617D"/>
    <w:rsid w:val="00946386"/>
    <w:rsid w:val="009464FB"/>
    <w:rsid w:val="00946661"/>
    <w:rsid w:val="009467AA"/>
    <w:rsid w:val="00946870"/>
    <w:rsid w:val="009469EB"/>
    <w:rsid w:val="00946A92"/>
    <w:rsid w:val="00946CC0"/>
    <w:rsid w:val="00946D80"/>
    <w:rsid w:val="00947359"/>
    <w:rsid w:val="00947376"/>
    <w:rsid w:val="009474AC"/>
    <w:rsid w:val="009474C1"/>
    <w:rsid w:val="009474E9"/>
    <w:rsid w:val="009476E0"/>
    <w:rsid w:val="009479FA"/>
    <w:rsid w:val="00947B56"/>
    <w:rsid w:val="00947F31"/>
    <w:rsid w:val="00947F68"/>
    <w:rsid w:val="00950445"/>
    <w:rsid w:val="009505DB"/>
    <w:rsid w:val="0095063D"/>
    <w:rsid w:val="0095067B"/>
    <w:rsid w:val="00950725"/>
    <w:rsid w:val="00950794"/>
    <w:rsid w:val="0095081D"/>
    <w:rsid w:val="00950A0F"/>
    <w:rsid w:val="00950A4A"/>
    <w:rsid w:val="00950B75"/>
    <w:rsid w:val="00950BD6"/>
    <w:rsid w:val="00950C9E"/>
    <w:rsid w:val="00950CFE"/>
    <w:rsid w:val="00950DB4"/>
    <w:rsid w:val="00951078"/>
    <w:rsid w:val="009514A6"/>
    <w:rsid w:val="009515C6"/>
    <w:rsid w:val="00951611"/>
    <w:rsid w:val="009516B9"/>
    <w:rsid w:val="00951949"/>
    <w:rsid w:val="009519BD"/>
    <w:rsid w:val="009519D6"/>
    <w:rsid w:val="00951C7D"/>
    <w:rsid w:val="00951C93"/>
    <w:rsid w:val="00951E84"/>
    <w:rsid w:val="00951ECB"/>
    <w:rsid w:val="00951FEA"/>
    <w:rsid w:val="0095202F"/>
    <w:rsid w:val="009520F6"/>
    <w:rsid w:val="009523FB"/>
    <w:rsid w:val="00952ABB"/>
    <w:rsid w:val="00952B50"/>
    <w:rsid w:val="00952BA6"/>
    <w:rsid w:val="00952D54"/>
    <w:rsid w:val="00952D63"/>
    <w:rsid w:val="00952FBA"/>
    <w:rsid w:val="009530EF"/>
    <w:rsid w:val="009531F7"/>
    <w:rsid w:val="0095323D"/>
    <w:rsid w:val="0095332F"/>
    <w:rsid w:val="0095360C"/>
    <w:rsid w:val="00953623"/>
    <w:rsid w:val="009536BC"/>
    <w:rsid w:val="009536F7"/>
    <w:rsid w:val="009539A0"/>
    <w:rsid w:val="009539ED"/>
    <w:rsid w:val="00953C28"/>
    <w:rsid w:val="00953D62"/>
    <w:rsid w:val="00953E8B"/>
    <w:rsid w:val="00953F59"/>
    <w:rsid w:val="00954096"/>
    <w:rsid w:val="00954176"/>
    <w:rsid w:val="00954193"/>
    <w:rsid w:val="0095420D"/>
    <w:rsid w:val="00954256"/>
    <w:rsid w:val="009545C3"/>
    <w:rsid w:val="009546FE"/>
    <w:rsid w:val="00954873"/>
    <w:rsid w:val="00954A54"/>
    <w:rsid w:val="00954A57"/>
    <w:rsid w:val="00954CC0"/>
    <w:rsid w:val="00954D8A"/>
    <w:rsid w:val="00954E9A"/>
    <w:rsid w:val="00954F22"/>
    <w:rsid w:val="00954FCB"/>
    <w:rsid w:val="009552BC"/>
    <w:rsid w:val="009552D1"/>
    <w:rsid w:val="00955403"/>
    <w:rsid w:val="00955414"/>
    <w:rsid w:val="009554D4"/>
    <w:rsid w:val="00955501"/>
    <w:rsid w:val="0095558F"/>
    <w:rsid w:val="009555B6"/>
    <w:rsid w:val="00955AF8"/>
    <w:rsid w:val="00955F82"/>
    <w:rsid w:val="0095607C"/>
    <w:rsid w:val="00956117"/>
    <w:rsid w:val="009564A2"/>
    <w:rsid w:val="00956779"/>
    <w:rsid w:val="00956806"/>
    <w:rsid w:val="00956837"/>
    <w:rsid w:val="00956BD0"/>
    <w:rsid w:val="00956CC9"/>
    <w:rsid w:val="00956F2E"/>
    <w:rsid w:val="009570BD"/>
    <w:rsid w:val="0095712F"/>
    <w:rsid w:val="009573C3"/>
    <w:rsid w:val="00957635"/>
    <w:rsid w:val="0095777A"/>
    <w:rsid w:val="009579AB"/>
    <w:rsid w:val="00957A1E"/>
    <w:rsid w:val="00957A6E"/>
    <w:rsid w:val="00957B9B"/>
    <w:rsid w:val="00957C16"/>
    <w:rsid w:val="0096008D"/>
    <w:rsid w:val="00960303"/>
    <w:rsid w:val="00960326"/>
    <w:rsid w:val="00960377"/>
    <w:rsid w:val="009603A0"/>
    <w:rsid w:val="00960435"/>
    <w:rsid w:val="00960716"/>
    <w:rsid w:val="009607DB"/>
    <w:rsid w:val="00960BC4"/>
    <w:rsid w:val="00960C03"/>
    <w:rsid w:val="00960C08"/>
    <w:rsid w:val="00960C16"/>
    <w:rsid w:val="00960D36"/>
    <w:rsid w:val="00960D86"/>
    <w:rsid w:val="00960D95"/>
    <w:rsid w:val="00960E6B"/>
    <w:rsid w:val="00960EA3"/>
    <w:rsid w:val="00961135"/>
    <w:rsid w:val="0096124E"/>
    <w:rsid w:val="0096131B"/>
    <w:rsid w:val="00961514"/>
    <w:rsid w:val="009615C8"/>
    <w:rsid w:val="009616E3"/>
    <w:rsid w:val="009616EF"/>
    <w:rsid w:val="0096170E"/>
    <w:rsid w:val="00961809"/>
    <w:rsid w:val="00961825"/>
    <w:rsid w:val="00961842"/>
    <w:rsid w:val="00961E72"/>
    <w:rsid w:val="00961EA8"/>
    <w:rsid w:val="009624AF"/>
    <w:rsid w:val="009624FA"/>
    <w:rsid w:val="00962A1B"/>
    <w:rsid w:val="00962F65"/>
    <w:rsid w:val="009630A5"/>
    <w:rsid w:val="009631F4"/>
    <w:rsid w:val="00963229"/>
    <w:rsid w:val="0096333E"/>
    <w:rsid w:val="00963343"/>
    <w:rsid w:val="00963446"/>
    <w:rsid w:val="0096346A"/>
    <w:rsid w:val="009634DB"/>
    <w:rsid w:val="00963566"/>
    <w:rsid w:val="0096368E"/>
    <w:rsid w:val="00963728"/>
    <w:rsid w:val="009638EF"/>
    <w:rsid w:val="00963A6B"/>
    <w:rsid w:val="00963AF0"/>
    <w:rsid w:val="00963C3E"/>
    <w:rsid w:val="00963FC8"/>
    <w:rsid w:val="00964364"/>
    <w:rsid w:val="009643DC"/>
    <w:rsid w:val="009645A2"/>
    <w:rsid w:val="009645C5"/>
    <w:rsid w:val="009648C1"/>
    <w:rsid w:val="00964914"/>
    <w:rsid w:val="00964937"/>
    <w:rsid w:val="00964C71"/>
    <w:rsid w:val="00964C74"/>
    <w:rsid w:val="00964D62"/>
    <w:rsid w:val="00964DA4"/>
    <w:rsid w:val="00965141"/>
    <w:rsid w:val="009653FA"/>
    <w:rsid w:val="009654AE"/>
    <w:rsid w:val="00965609"/>
    <w:rsid w:val="00965865"/>
    <w:rsid w:val="00965899"/>
    <w:rsid w:val="00965DBC"/>
    <w:rsid w:val="00965EB9"/>
    <w:rsid w:val="00965F88"/>
    <w:rsid w:val="00966035"/>
    <w:rsid w:val="0096628B"/>
    <w:rsid w:val="00966390"/>
    <w:rsid w:val="009663DA"/>
    <w:rsid w:val="0096640E"/>
    <w:rsid w:val="009664B2"/>
    <w:rsid w:val="0096654E"/>
    <w:rsid w:val="009668DE"/>
    <w:rsid w:val="00966A8D"/>
    <w:rsid w:val="00966B46"/>
    <w:rsid w:val="00966E53"/>
    <w:rsid w:val="00967663"/>
    <w:rsid w:val="00967730"/>
    <w:rsid w:val="00967765"/>
    <w:rsid w:val="00967BF9"/>
    <w:rsid w:val="00970052"/>
    <w:rsid w:val="009700F2"/>
    <w:rsid w:val="0097012A"/>
    <w:rsid w:val="009704B3"/>
    <w:rsid w:val="00970500"/>
    <w:rsid w:val="00970671"/>
    <w:rsid w:val="00970760"/>
    <w:rsid w:val="009709EB"/>
    <w:rsid w:val="00970A5D"/>
    <w:rsid w:val="00970C2A"/>
    <w:rsid w:val="00970DDB"/>
    <w:rsid w:val="00970ED6"/>
    <w:rsid w:val="009713AA"/>
    <w:rsid w:val="009714F1"/>
    <w:rsid w:val="009714FD"/>
    <w:rsid w:val="0097174F"/>
    <w:rsid w:val="0097180C"/>
    <w:rsid w:val="00971873"/>
    <w:rsid w:val="00971885"/>
    <w:rsid w:val="009718BC"/>
    <w:rsid w:val="00971940"/>
    <w:rsid w:val="00971946"/>
    <w:rsid w:val="0097196B"/>
    <w:rsid w:val="00971BBF"/>
    <w:rsid w:val="00971DB7"/>
    <w:rsid w:val="00971F56"/>
    <w:rsid w:val="00971FC3"/>
    <w:rsid w:val="009720F2"/>
    <w:rsid w:val="009722C8"/>
    <w:rsid w:val="009722EF"/>
    <w:rsid w:val="0097231E"/>
    <w:rsid w:val="0097237F"/>
    <w:rsid w:val="00972484"/>
    <w:rsid w:val="009724C2"/>
    <w:rsid w:val="009724FC"/>
    <w:rsid w:val="00972532"/>
    <w:rsid w:val="0097263B"/>
    <w:rsid w:val="009728EF"/>
    <w:rsid w:val="0097296E"/>
    <w:rsid w:val="009729B9"/>
    <w:rsid w:val="00972B50"/>
    <w:rsid w:val="00972B69"/>
    <w:rsid w:val="00972D12"/>
    <w:rsid w:val="00972D20"/>
    <w:rsid w:val="00972F0F"/>
    <w:rsid w:val="0097317D"/>
    <w:rsid w:val="00973272"/>
    <w:rsid w:val="0097328B"/>
    <w:rsid w:val="0097337B"/>
    <w:rsid w:val="009733A8"/>
    <w:rsid w:val="009733AE"/>
    <w:rsid w:val="009737D2"/>
    <w:rsid w:val="0097383A"/>
    <w:rsid w:val="00973BDE"/>
    <w:rsid w:val="00973D29"/>
    <w:rsid w:val="00973F67"/>
    <w:rsid w:val="00973FAA"/>
    <w:rsid w:val="009740A8"/>
    <w:rsid w:val="00974427"/>
    <w:rsid w:val="00974442"/>
    <w:rsid w:val="009748CE"/>
    <w:rsid w:val="00974925"/>
    <w:rsid w:val="0097498D"/>
    <w:rsid w:val="00974C52"/>
    <w:rsid w:val="00974D11"/>
    <w:rsid w:val="00974E37"/>
    <w:rsid w:val="00974E85"/>
    <w:rsid w:val="00975035"/>
    <w:rsid w:val="0097521A"/>
    <w:rsid w:val="00975556"/>
    <w:rsid w:val="009755A6"/>
    <w:rsid w:val="009757F6"/>
    <w:rsid w:val="00975996"/>
    <w:rsid w:val="009759C8"/>
    <w:rsid w:val="00975B50"/>
    <w:rsid w:val="00975B7B"/>
    <w:rsid w:val="00975BA6"/>
    <w:rsid w:val="00975BB4"/>
    <w:rsid w:val="00975D3E"/>
    <w:rsid w:val="00975DAD"/>
    <w:rsid w:val="00975F78"/>
    <w:rsid w:val="00976083"/>
    <w:rsid w:val="009760E9"/>
    <w:rsid w:val="009761D8"/>
    <w:rsid w:val="0097627F"/>
    <w:rsid w:val="0097632F"/>
    <w:rsid w:val="00976440"/>
    <w:rsid w:val="00976585"/>
    <w:rsid w:val="00976962"/>
    <w:rsid w:val="00976970"/>
    <w:rsid w:val="009769B5"/>
    <w:rsid w:val="009769D7"/>
    <w:rsid w:val="00976A6F"/>
    <w:rsid w:val="00976C4D"/>
    <w:rsid w:val="00976E59"/>
    <w:rsid w:val="00976EEF"/>
    <w:rsid w:val="00976FAE"/>
    <w:rsid w:val="0097716F"/>
    <w:rsid w:val="0097720B"/>
    <w:rsid w:val="009772E4"/>
    <w:rsid w:val="00977444"/>
    <w:rsid w:val="009774A3"/>
    <w:rsid w:val="009775BF"/>
    <w:rsid w:val="00977739"/>
    <w:rsid w:val="00977842"/>
    <w:rsid w:val="00977899"/>
    <w:rsid w:val="009778FE"/>
    <w:rsid w:val="00977907"/>
    <w:rsid w:val="00977914"/>
    <w:rsid w:val="00977BB6"/>
    <w:rsid w:val="00977E00"/>
    <w:rsid w:val="00977E7C"/>
    <w:rsid w:val="00980067"/>
    <w:rsid w:val="009800DB"/>
    <w:rsid w:val="0098025A"/>
    <w:rsid w:val="00980378"/>
    <w:rsid w:val="009807C6"/>
    <w:rsid w:val="009807C9"/>
    <w:rsid w:val="00980A91"/>
    <w:rsid w:val="00980A98"/>
    <w:rsid w:val="00980D4B"/>
    <w:rsid w:val="00980F4A"/>
    <w:rsid w:val="009811D6"/>
    <w:rsid w:val="009814A9"/>
    <w:rsid w:val="00981744"/>
    <w:rsid w:val="009817BB"/>
    <w:rsid w:val="009818FF"/>
    <w:rsid w:val="00981C0A"/>
    <w:rsid w:val="00981C2B"/>
    <w:rsid w:val="00981C81"/>
    <w:rsid w:val="00981D53"/>
    <w:rsid w:val="00981EF3"/>
    <w:rsid w:val="00982004"/>
    <w:rsid w:val="0098207C"/>
    <w:rsid w:val="009820D8"/>
    <w:rsid w:val="00982572"/>
    <w:rsid w:val="009826E1"/>
    <w:rsid w:val="009828AA"/>
    <w:rsid w:val="00982999"/>
    <w:rsid w:val="00982A59"/>
    <w:rsid w:val="00982D06"/>
    <w:rsid w:val="00982F2D"/>
    <w:rsid w:val="009831EF"/>
    <w:rsid w:val="00983662"/>
    <w:rsid w:val="009836C4"/>
    <w:rsid w:val="0098380E"/>
    <w:rsid w:val="009838C1"/>
    <w:rsid w:val="009838DC"/>
    <w:rsid w:val="0098399C"/>
    <w:rsid w:val="009839C5"/>
    <w:rsid w:val="009839F4"/>
    <w:rsid w:val="00983A49"/>
    <w:rsid w:val="00983CE1"/>
    <w:rsid w:val="00983D09"/>
    <w:rsid w:val="00983DF5"/>
    <w:rsid w:val="00983EF9"/>
    <w:rsid w:val="00984149"/>
    <w:rsid w:val="00984375"/>
    <w:rsid w:val="00984407"/>
    <w:rsid w:val="0098456B"/>
    <w:rsid w:val="0098471E"/>
    <w:rsid w:val="00984744"/>
    <w:rsid w:val="00984B82"/>
    <w:rsid w:val="00984C04"/>
    <w:rsid w:val="00984EF1"/>
    <w:rsid w:val="00984F43"/>
    <w:rsid w:val="00984F6F"/>
    <w:rsid w:val="009850A5"/>
    <w:rsid w:val="009850F4"/>
    <w:rsid w:val="009851F8"/>
    <w:rsid w:val="00985223"/>
    <w:rsid w:val="00985498"/>
    <w:rsid w:val="0098552D"/>
    <w:rsid w:val="00985623"/>
    <w:rsid w:val="0098583C"/>
    <w:rsid w:val="009858A5"/>
    <w:rsid w:val="00985AD5"/>
    <w:rsid w:val="00985B68"/>
    <w:rsid w:val="00985B83"/>
    <w:rsid w:val="00985CC0"/>
    <w:rsid w:val="00985CD3"/>
    <w:rsid w:val="00986025"/>
    <w:rsid w:val="009861A3"/>
    <w:rsid w:val="00986372"/>
    <w:rsid w:val="00986471"/>
    <w:rsid w:val="00986872"/>
    <w:rsid w:val="00986885"/>
    <w:rsid w:val="00987255"/>
    <w:rsid w:val="009872C1"/>
    <w:rsid w:val="00987433"/>
    <w:rsid w:val="009875F4"/>
    <w:rsid w:val="0098770B"/>
    <w:rsid w:val="00987B9C"/>
    <w:rsid w:val="00987C07"/>
    <w:rsid w:val="00987C10"/>
    <w:rsid w:val="00987C9C"/>
    <w:rsid w:val="00987DC1"/>
    <w:rsid w:val="00987EB6"/>
    <w:rsid w:val="009901DC"/>
    <w:rsid w:val="0099029F"/>
    <w:rsid w:val="009902DF"/>
    <w:rsid w:val="00990304"/>
    <w:rsid w:val="009903D1"/>
    <w:rsid w:val="00990598"/>
    <w:rsid w:val="00990844"/>
    <w:rsid w:val="009909D8"/>
    <w:rsid w:val="00990CB6"/>
    <w:rsid w:val="00990FF0"/>
    <w:rsid w:val="0099102F"/>
    <w:rsid w:val="0099103D"/>
    <w:rsid w:val="009916E3"/>
    <w:rsid w:val="009917D0"/>
    <w:rsid w:val="009918EB"/>
    <w:rsid w:val="00991A3A"/>
    <w:rsid w:val="00991ACF"/>
    <w:rsid w:val="00991D71"/>
    <w:rsid w:val="00991DEA"/>
    <w:rsid w:val="00991EE5"/>
    <w:rsid w:val="0099201D"/>
    <w:rsid w:val="0099212F"/>
    <w:rsid w:val="00992253"/>
    <w:rsid w:val="009922D5"/>
    <w:rsid w:val="009923E9"/>
    <w:rsid w:val="009925F1"/>
    <w:rsid w:val="00992668"/>
    <w:rsid w:val="009927ED"/>
    <w:rsid w:val="00992A1E"/>
    <w:rsid w:val="00992A26"/>
    <w:rsid w:val="00992B84"/>
    <w:rsid w:val="00992D52"/>
    <w:rsid w:val="00993184"/>
    <w:rsid w:val="00993232"/>
    <w:rsid w:val="009932F5"/>
    <w:rsid w:val="00993404"/>
    <w:rsid w:val="00993746"/>
    <w:rsid w:val="009937E4"/>
    <w:rsid w:val="00993AB3"/>
    <w:rsid w:val="00993AEA"/>
    <w:rsid w:val="00993AF6"/>
    <w:rsid w:val="00993B84"/>
    <w:rsid w:val="00993C7C"/>
    <w:rsid w:val="00993DB6"/>
    <w:rsid w:val="00993DCA"/>
    <w:rsid w:val="00993E30"/>
    <w:rsid w:val="00993EF3"/>
    <w:rsid w:val="00994230"/>
    <w:rsid w:val="009943A2"/>
    <w:rsid w:val="009943BD"/>
    <w:rsid w:val="0099441E"/>
    <w:rsid w:val="0099449F"/>
    <w:rsid w:val="009944E1"/>
    <w:rsid w:val="009948B2"/>
    <w:rsid w:val="009948D3"/>
    <w:rsid w:val="009948DB"/>
    <w:rsid w:val="00994AA1"/>
    <w:rsid w:val="00994EBB"/>
    <w:rsid w:val="00994F0B"/>
    <w:rsid w:val="009950BE"/>
    <w:rsid w:val="009951A8"/>
    <w:rsid w:val="009951E1"/>
    <w:rsid w:val="009951E6"/>
    <w:rsid w:val="009951F5"/>
    <w:rsid w:val="0099529F"/>
    <w:rsid w:val="009952C0"/>
    <w:rsid w:val="0099541E"/>
    <w:rsid w:val="00995477"/>
    <w:rsid w:val="009954FC"/>
    <w:rsid w:val="009955D2"/>
    <w:rsid w:val="0099581F"/>
    <w:rsid w:val="0099584E"/>
    <w:rsid w:val="00995C82"/>
    <w:rsid w:val="00995DDA"/>
    <w:rsid w:val="00995E10"/>
    <w:rsid w:val="00995E23"/>
    <w:rsid w:val="0099642A"/>
    <w:rsid w:val="00996447"/>
    <w:rsid w:val="00996511"/>
    <w:rsid w:val="009965F7"/>
    <w:rsid w:val="009968ED"/>
    <w:rsid w:val="00996926"/>
    <w:rsid w:val="009969F3"/>
    <w:rsid w:val="00996A09"/>
    <w:rsid w:val="00996A43"/>
    <w:rsid w:val="00996BA5"/>
    <w:rsid w:val="00996CAC"/>
    <w:rsid w:val="00996D9D"/>
    <w:rsid w:val="00996E5C"/>
    <w:rsid w:val="009970B3"/>
    <w:rsid w:val="009971BA"/>
    <w:rsid w:val="0099740F"/>
    <w:rsid w:val="00997490"/>
    <w:rsid w:val="009977D8"/>
    <w:rsid w:val="009977DA"/>
    <w:rsid w:val="00997A6D"/>
    <w:rsid w:val="00997A9A"/>
    <w:rsid w:val="00997BF8"/>
    <w:rsid w:val="00997E58"/>
    <w:rsid w:val="009A0030"/>
    <w:rsid w:val="009A003E"/>
    <w:rsid w:val="009A0161"/>
    <w:rsid w:val="009A027C"/>
    <w:rsid w:val="009A02EB"/>
    <w:rsid w:val="009A0327"/>
    <w:rsid w:val="009A041A"/>
    <w:rsid w:val="009A0584"/>
    <w:rsid w:val="009A065F"/>
    <w:rsid w:val="009A075B"/>
    <w:rsid w:val="009A0867"/>
    <w:rsid w:val="009A0925"/>
    <w:rsid w:val="009A0A80"/>
    <w:rsid w:val="009A0C36"/>
    <w:rsid w:val="009A0C5E"/>
    <w:rsid w:val="009A0C69"/>
    <w:rsid w:val="009A0CDE"/>
    <w:rsid w:val="009A0D4C"/>
    <w:rsid w:val="009A0D91"/>
    <w:rsid w:val="009A0E1D"/>
    <w:rsid w:val="009A0F5B"/>
    <w:rsid w:val="009A1083"/>
    <w:rsid w:val="009A11D6"/>
    <w:rsid w:val="009A1438"/>
    <w:rsid w:val="009A1572"/>
    <w:rsid w:val="009A198E"/>
    <w:rsid w:val="009A1AA0"/>
    <w:rsid w:val="009A1F7C"/>
    <w:rsid w:val="009A201F"/>
    <w:rsid w:val="009A20A0"/>
    <w:rsid w:val="009A2111"/>
    <w:rsid w:val="009A2141"/>
    <w:rsid w:val="009A21A3"/>
    <w:rsid w:val="009A23FF"/>
    <w:rsid w:val="009A2446"/>
    <w:rsid w:val="009A258D"/>
    <w:rsid w:val="009A2600"/>
    <w:rsid w:val="009A2661"/>
    <w:rsid w:val="009A2732"/>
    <w:rsid w:val="009A2883"/>
    <w:rsid w:val="009A2938"/>
    <w:rsid w:val="009A2A5A"/>
    <w:rsid w:val="009A2B20"/>
    <w:rsid w:val="009A2B62"/>
    <w:rsid w:val="009A2C94"/>
    <w:rsid w:val="009A2CBA"/>
    <w:rsid w:val="009A2D1C"/>
    <w:rsid w:val="009A3035"/>
    <w:rsid w:val="009A3074"/>
    <w:rsid w:val="009A30EE"/>
    <w:rsid w:val="009A34F0"/>
    <w:rsid w:val="009A35DB"/>
    <w:rsid w:val="009A35E0"/>
    <w:rsid w:val="009A3C2B"/>
    <w:rsid w:val="009A3D63"/>
    <w:rsid w:val="009A410A"/>
    <w:rsid w:val="009A41EC"/>
    <w:rsid w:val="009A4236"/>
    <w:rsid w:val="009A42EF"/>
    <w:rsid w:val="009A4499"/>
    <w:rsid w:val="009A45EA"/>
    <w:rsid w:val="009A47C5"/>
    <w:rsid w:val="009A47F7"/>
    <w:rsid w:val="009A482E"/>
    <w:rsid w:val="009A4835"/>
    <w:rsid w:val="009A4923"/>
    <w:rsid w:val="009A4AB0"/>
    <w:rsid w:val="009A4C18"/>
    <w:rsid w:val="009A4D48"/>
    <w:rsid w:val="009A4D88"/>
    <w:rsid w:val="009A4F7C"/>
    <w:rsid w:val="009A4FED"/>
    <w:rsid w:val="009A504E"/>
    <w:rsid w:val="009A5089"/>
    <w:rsid w:val="009A522D"/>
    <w:rsid w:val="009A5406"/>
    <w:rsid w:val="009A56A4"/>
    <w:rsid w:val="009A56A7"/>
    <w:rsid w:val="009A5774"/>
    <w:rsid w:val="009A5812"/>
    <w:rsid w:val="009A58F7"/>
    <w:rsid w:val="009A5902"/>
    <w:rsid w:val="009A5A4E"/>
    <w:rsid w:val="009A5D84"/>
    <w:rsid w:val="009A5DDA"/>
    <w:rsid w:val="009A5EEF"/>
    <w:rsid w:val="009A5F2D"/>
    <w:rsid w:val="009A5F3C"/>
    <w:rsid w:val="009A5F89"/>
    <w:rsid w:val="009A607C"/>
    <w:rsid w:val="009A60D0"/>
    <w:rsid w:val="009A626B"/>
    <w:rsid w:val="009A6463"/>
    <w:rsid w:val="009A64C8"/>
    <w:rsid w:val="009A65DC"/>
    <w:rsid w:val="009A69A4"/>
    <w:rsid w:val="009A69FC"/>
    <w:rsid w:val="009A6A32"/>
    <w:rsid w:val="009A6B07"/>
    <w:rsid w:val="009A7044"/>
    <w:rsid w:val="009A705D"/>
    <w:rsid w:val="009A7077"/>
    <w:rsid w:val="009A7153"/>
    <w:rsid w:val="009A7328"/>
    <w:rsid w:val="009A7374"/>
    <w:rsid w:val="009A7912"/>
    <w:rsid w:val="009A79AF"/>
    <w:rsid w:val="009A7AE2"/>
    <w:rsid w:val="009A7AE8"/>
    <w:rsid w:val="009A7B69"/>
    <w:rsid w:val="009A7DB4"/>
    <w:rsid w:val="009B0029"/>
    <w:rsid w:val="009B0046"/>
    <w:rsid w:val="009B00D2"/>
    <w:rsid w:val="009B0129"/>
    <w:rsid w:val="009B024F"/>
    <w:rsid w:val="009B0441"/>
    <w:rsid w:val="009B05EA"/>
    <w:rsid w:val="009B083E"/>
    <w:rsid w:val="009B0861"/>
    <w:rsid w:val="009B0935"/>
    <w:rsid w:val="009B09C4"/>
    <w:rsid w:val="009B0A01"/>
    <w:rsid w:val="009B0A9C"/>
    <w:rsid w:val="009B0EAD"/>
    <w:rsid w:val="009B1090"/>
    <w:rsid w:val="009B12C4"/>
    <w:rsid w:val="009B146E"/>
    <w:rsid w:val="009B154E"/>
    <w:rsid w:val="009B1563"/>
    <w:rsid w:val="009B15DE"/>
    <w:rsid w:val="009B1839"/>
    <w:rsid w:val="009B18D6"/>
    <w:rsid w:val="009B18DC"/>
    <w:rsid w:val="009B1906"/>
    <w:rsid w:val="009B195C"/>
    <w:rsid w:val="009B19BA"/>
    <w:rsid w:val="009B1C3F"/>
    <w:rsid w:val="009B1C69"/>
    <w:rsid w:val="009B1D94"/>
    <w:rsid w:val="009B1FB7"/>
    <w:rsid w:val="009B224D"/>
    <w:rsid w:val="009B2297"/>
    <w:rsid w:val="009B22A5"/>
    <w:rsid w:val="009B22B6"/>
    <w:rsid w:val="009B2384"/>
    <w:rsid w:val="009B2401"/>
    <w:rsid w:val="009B2465"/>
    <w:rsid w:val="009B249F"/>
    <w:rsid w:val="009B24A9"/>
    <w:rsid w:val="009B259B"/>
    <w:rsid w:val="009B265D"/>
    <w:rsid w:val="009B29B8"/>
    <w:rsid w:val="009B29FA"/>
    <w:rsid w:val="009B2B16"/>
    <w:rsid w:val="009B2B40"/>
    <w:rsid w:val="009B2C12"/>
    <w:rsid w:val="009B2CE3"/>
    <w:rsid w:val="009B2F4C"/>
    <w:rsid w:val="009B2FB5"/>
    <w:rsid w:val="009B3092"/>
    <w:rsid w:val="009B31E4"/>
    <w:rsid w:val="009B32C1"/>
    <w:rsid w:val="009B377C"/>
    <w:rsid w:val="009B39A2"/>
    <w:rsid w:val="009B3D97"/>
    <w:rsid w:val="009B3E49"/>
    <w:rsid w:val="009B3EF3"/>
    <w:rsid w:val="009B3F42"/>
    <w:rsid w:val="009B4364"/>
    <w:rsid w:val="009B4649"/>
    <w:rsid w:val="009B4781"/>
    <w:rsid w:val="009B4794"/>
    <w:rsid w:val="009B49D9"/>
    <w:rsid w:val="009B4BC8"/>
    <w:rsid w:val="009B4C33"/>
    <w:rsid w:val="009B4CCA"/>
    <w:rsid w:val="009B4ECA"/>
    <w:rsid w:val="009B4F31"/>
    <w:rsid w:val="009B5051"/>
    <w:rsid w:val="009B50DD"/>
    <w:rsid w:val="009B527B"/>
    <w:rsid w:val="009B535C"/>
    <w:rsid w:val="009B53CC"/>
    <w:rsid w:val="009B5415"/>
    <w:rsid w:val="009B54F0"/>
    <w:rsid w:val="009B5A30"/>
    <w:rsid w:val="009B5B5D"/>
    <w:rsid w:val="009B5C11"/>
    <w:rsid w:val="009B5C43"/>
    <w:rsid w:val="009B5DB3"/>
    <w:rsid w:val="009B5DF0"/>
    <w:rsid w:val="009B5F8F"/>
    <w:rsid w:val="009B6020"/>
    <w:rsid w:val="009B6234"/>
    <w:rsid w:val="009B6460"/>
    <w:rsid w:val="009B64C2"/>
    <w:rsid w:val="009B654B"/>
    <w:rsid w:val="009B66D5"/>
    <w:rsid w:val="009B69BC"/>
    <w:rsid w:val="009B6A7B"/>
    <w:rsid w:val="009B6A91"/>
    <w:rsid w:val="009B6C61"/>
    <w:rsid w:val="009B6CC0"/>
    <w:rsid w:val="009B6D94"/>
    <w:rsid w:val="009B6DF0"/>
    <w:rsid w:val="009B7030"/>
    <w:rsid w:val="009B752E"/>
    <w:rsid w:val="009B7587"/>
    <w:rsid w:val="009B75FD"/>
    <w:rsid w:val="009B7761"/>
    <w:rsid w:val="009B77D8"/>
    <w:rsid w:val="009B78B6"/>
    <w:rsid w:val="009B79BA"/>
    <w:rsid w:val="009B7A06"/>
    <w:rsid w:val="009B7BC5"/>
    <w:rsid w:val="009B7C20"/>
    <w:rsid w:val="009B7E54"/>
    <w:rsid w:val="009B7E9F"/>
    <w:rsid w:val="009B7F0F"/>
    <w:rsid w:val="009C0047"/>
    <w:rsid w:val="009C01A3"/>
    <w:rsid w:val="009C01EB"/>
    <w:rsid w:val="009C0565"/>
    <w:rsid w:val="009C057C"/>
    <w:rsid w:val="009C0768"/>
    <w:rsid w:val="009C0864"/>
    <w:rsid w:val="009C0A17"/>
    <w:rsid w:val="009C0C24"/>
    <w:rsid w:val="009C0D21"/>
    <w:rsid w:val="009C0DBD"/>
    <w:rsid w:val="009C0EF3"/>
    <w:rsid w:val="009C0FD9"/>
    <w:rsid w:val="009C1013"/>
    <w:rsid w:val="009C1058"/>
    <w:rsid w:val="009C13D3"/>
    <w:rsid w:val="009C1417"/>
    <w:rsid w:val="009C14A1"/>
    <w:rsid w:val="009C157A"/>
    <w:rsid w:val="009C16B5"/>
    <w:rsid w:val="009C175B"/>
    <w:rsid w:val="009C17FF"/>
    <w:rsid w:val="009C19B4"/>
    <w:rsid w:val="009C1BA3"/>
    <w:rsid w:val="009C1C8B"/>
    <w:rsid w:val="009C1D16"/>
    <w:rsid w:val="009C1E69"/>
    <w:rsid w:val="009C1EAE"/>
    <w:rsid w:val="009C2081"/>
    <w:rsid w:val="009C20BE"/>
    <w:rsid w:val="009C20FA"/>
    <w:rsid w:val="009C21AA"/>
    <w:rsid w:val="009C22D5"/>
    <w:rsid w:val="009C22F9"/>
    <w:rsid w:val="009C23B4"/>
    <w:rsid w:val="009C23D2"/>
    <w:rsid w:val="009C24AD"/>
    <w:rsid w:val="009C24C7"/>
    <w:rsid w:val="009C2684"/>
    <w:rsid w:val="009C27F5"/>
    <w:rsid w:val="009C2B67"/>
    <w:rsid w:val="009C2C07"/>
    <w:rsid w:val="009C3137"/>
    <w:rsid w:val="009C371E"/>
    <w:rsid w:val="009C3C6E"/>
    <w:rsid w:val="009C3D68"/>
    <w:rsid w:val="009C3DD0"/>
    <w:rsid w:val="009C40F1"/>
    <w:rsid w:val="009C40F9"/>
    <w:rsid w:val="009C40FB"/>
    <w:rsid w:val="009C4576"/>
    <w:rsid w:val="009C45B1"/>
    <w:rsid w:val="009C4799"/>
    <w:rsid w:val="009C47B2"/>
    <w:rsid w:val="009C47CE"/>
    <w:rsid w:val="009C494F"/>
    <w:rsid w:val="009C49D3"/>
    <w:rsid w:val="009C49FF"/>
    <w:rsid w:val="009C4A6D"/>
    <w:rsid w:val="009C4AF4"/>
    <w:rsid w:val="009C4DCF"/>
    <w:rsid w:val="009C5002"/>
    <w:rsid w:val="009C536E"/>
    <w:rsid w:val="009C5376"/>
    <w:rsid w:val="009C5382"/>
    <w:rsid w:val="009C53B0"/>
    <w:rsid w:val="009C53C7"/>
    <w:rsid w:val="009C5579"/>
    <w:rsid w:val="009C5646"/>
    <w:rsid w:val="009C56F9"/>
    <w:rsid w:val="009C59F3"/>
    <w:rsid w:val="009C5BE8"/>
    <w:rsid w:val="009C5CB8"/>
    <w:rsid w:val="009C5CF8"/>
    <w:rsid w:val="009C5E18"/>
    <w:rsid w:val="009C5EED"/>
    <w:rsid w:val="009C5FB1"/>
    <w:rsid w:val="009C64CE"/>
    <w:rsid w:val="009C6524"/>
    <w:rsid w:val="009C661F"/>
    <w:rsid w:val="009C678D"/>
    <w:rsid w:val="009C6932"/>
    <w:rsid w:val="009C6A7A"/>
    <w:rsid w:val="009C6BE3"/>
    <w:rsid w:val="009C6D33"/>
    <w:rsid w:val="009C6E99"/>
    <w:rsid w:val="009C70C1"/>
    <w:rsid w:val="009C7168"/>
    <w:rsid w:val="009C72E3"/>
    <w:rsid w:val="009C7494"/>
    <w:rsid w:val="009C75B7"/>
    <w:rsid w:val="009C7AAB"/>
    <w:rsid w:val="009C7D4A"/>
    <w:rsid w:val="009C7D94"/>
    <w:rsid w:val="009C7E42"/>
    <w:rsid w:val="009C7E84"/>
    <w:rsid w:val="009C7FAA"/>
    <w:rsid w:val="009D0036"/>
    <w:rsid w:val="009D00F7"/>
    <w:rsid w:val="009D02CC"/>
    <w:rsid w:val="009D02FD"/>
    <w:rsid w:val="009D031F"/>
    <w:rsid w:val="009D0454"/>
    <w:rsid w:val="009D0480"/>
    <w:rsid w:val="009D0750"/>
    <w:rsid w:val="009D0829"/>
    <w:rsid w:val="009D083F"/>
    <w:rsid w:val="009D0990"/>
    <w:rsid w:val="009D09F9"/>
    <w:rsid w:val="009D0B5C"/>
    <w:rsid w:val="009D0BD1"/>
    <w:rsid w:val="009D0CAD"/>
    <w:rsid w:val="009D0D7C"/>
    <w:rsid w:val="009D0DF8"/>
    <w:rsid w:val="009D0FEC"/>
    <w:rsid w:val="009D109D"/>
    <w:rsid w:val="009D11E2"/>
    <w:rsid w:val="009D15F8"/>
    <w:rsid w:val="009D17DD"/>
    <w:rsid w:val="009D18C2"/>
    <w:rsid w:val="009D192F"/>
    <w:rsid w:val="009D1B05"/>
    <w:rsid w:val="009D1B08"/>
    <w:rsid w:val="009D1D51"/>
    <w:rsid w:val="009D1DC6"/>
    <w:rsid w:val="009D1FB3"/>
    <w:rsid w:val="009D1FB7"/>
    <w:rsid w:val="009D2031"/>
    <w:rsid w:val="009D213B"/>
    <w:rsid w:val="009D21D3"/>
    <w:rsid w:val="009D2279"/>
    <w:rsid w:val="009D23C9"/>
    <w:rsid w:val="009D24EE"/>
    <w:rsid w:val="009D2577"/>
    <w:rsid w:val="009D2743"/>
    <w:rsid w:val="009D2ACE"/>
    <w:rsid w:val="009D2B8C"/>
    <w:rsid w:val="009D2BEE"/>
    <w:rsid w:val="009D2E3E"/>
    <w:rsid w:val="009D2E97"/>
    <w:rsid w:val="009D2F04"/>
    <w:rsid w:val="009D2F16"/>
    <w:rsid w:val="009D2F26"/>
    <w:rsid w:val="009D2FBB"/>
    <w:rsid w:val="009D3063"/>
    <w:rsid w:val="009D3261"/>
    <w:rsid w:val="009D32BD"/>
    <w:rsid w:val="009D32FE"/>
    <w:rsid w:val="009D33B1"/>
    <w:rsid w:val="009D3518"/>
    <w:rsid w:val="009D36BF"/>
    <w:rsid w:val="009D3932"/>
    <w:rsid w:val="009D3BA7"/>
    <w:rsid w:val="009D3C3A"/>
    <w:rsid w:val="009D3CAC"/>
    <w:rsid w:val="009D3F8A"/>
    <w:rsid w:val="009D402F"/>
    <w:rsid w:val="009D403C"/>
    <w:rsid w:val="009D4132"/>
    <w:rsid w:val="009D4434"/>
    <w:rsid w:val="009D44BF"/>
    <w:rsid w:val="009D45C4"/>
    <w:rsid w:val="009D486D"/>
    <w:rsid w:val="009D4937"/>
    <w:rsid w:val="009D499E"/>
    <w:rsid w:val="009D4A13"/>
    <w:rsid w:val="009D4A5F"/>
    <w:rsid w:val="009D4B3C"/>
    <w:rsid w:val="009D4C6E"/>
    <w:rsid w:val="009D4E40"/>
    <w:rsid w:val="009D5014"/>
    <w:rsid w:val="009D51D7"/>
    <w:rsid w:val="009D5301"/>
    <w:rsid w:val="009D54B1"/>
    <w:rsid w:val="009D54C0"/>
    <w:rsid w:val="009D555A"/>
    <w:rsid w:val="009D55C5"/>
    <w:rsid w:val="009D59DB"/>
    <w:rsid w:val="009D59E3"/>
    <w:rsid w:val="009D5AA1"/>
    <w:rsid w:val="009D5D56"/>
    <w:rsid w:val="009D5D95"/>
    <w:rsid w:val="009D5E14"/>
    <w:rsid w:val="009D5E73"/>
    <w:rsid w:val="009D6083"/>
    <w:rsid w:val="009D624D"/>
    <w:rsid w:val="009D639B"/>
    <w:rsid w:val="009D63D3"/>
    <w:rsid w:val="009D6424"/>
    <w:rsid w:val="009D6642"/>
    <w:rsid w:val="009D67B7"/>
    <w:rsid w:val="009D69D3"/>
    <w:rsid w:val="009D6A2F"/>
    <w:rsid w:val="009D6A83"/>
    <w:rsid w:val="009D6DF1"/>
    <w:rsid w:val="009D6EAE"/>
    <w:rsid w:val="009D6EE6"/>
    <w:rsid w:val="009D708C"/>
    <w:rsid w:val="009D71F2"/>
    <w:rsid w:val="009D73F3"/>
    <w:rsid w:val="009D76D2"/>
    <w:rsid w:val="009D7980"/>
    <w:rsid w:val="009D7997"/>
    <w:rsid w:val="009D7A48"/>
    <w:rsid w:val="009D7A5C"/>
    <w:rsid w:val="009D7ADF"/>
    <w:rsid w:val="009D7B44"/>
    <w:rsid w:val="009D7CC4"/>
    <w:rsid w:val="009D7FE0"/>
    <w:rsid w:val="009E0081"/>
    <w:rsid w:val="009E0091"/>
    <w:rsid w:val="009E0762"/>
    <w:rsid w:val="009E0AF2"/>
    <w:rsid w:val="009E0C7E"/>
    <w:rsid w:val="009E0C9D"/>
    <w:rsid w:val="009E0CD2"/>
    <w:rsid w:val="009E0D61"/>
    <w:rsid w:val="009E0DC4"/>
    <w:rsid w:val="009E0EA7"/>
    <w:rsid w:val="009E1209"/>
    <w:rsid w:val="009E148A"/>
    <w:rsid w:val="009E14A2"/>
    <w:rsid w:val="009E14C4"/>
    <w:rsid w:val="009E1730"/>
    <w:rsid w:val="009E1904"/>
    <w:rsid w:val="009E1983"/>
    <w:rsid w:val="009E1A04"/>
    <w:rsid w:val="009E1A29"/>
    <w:rsid w:val="009E1A35"/>
    <w:rsid w:val="009E1BEA"/>
    <w:rsid w:val="009E1BED"/>
    <w:rsid w:val="009E1CDD"/>
    <w:rsid w:val="009E1FC8"/>
    <w:rsid w:val="009E227B"/>
    <w:rsid w:val="009E23EB"/>
    <w:rsid w:val="009E25C2"/>
    <w:rsid w:val="009E2808"/>
    <w:rsid w:val="009E2814"/>
    <w:rsid w:val="009E2992"/>
    <w:rsid w:val="009E2B57"/>
    <w:rsid w:val="009E2D40"/>
    <w:rsid w:val="009E2E18"/>
    <w:rsid w:val="009E2E4A"/>
    <w:rsid w:val="009E2EE1"/>
    <w:rsid w:val="009E2F25"/>
    <w:rsid w:val="009E2FA9"/>
    <w:rsid w:val="009E30BA"/>
    <w:rsid w:val="009E3218"/>
    <w:rsid w:val="009E3267"/>
    <w:rsid w:val="009E330A"/>
    <w:rsid w:val="009E3410"/>
    <w:rsid w:val="009E343F"/>
    <w:rsid w:val="009E344B"/>
    <w:rsid w:val="009E3633"/>
    <w:rsid w:val="009E3648"/>
    <w:rsid w:val="009E36AE"/>
    <w:rsid w:val="009E37EF"/>
    <w:rsid w:val="009E39EA"/>
    <w:rsid w:val="009E3A85"/>
    <w:rsid w:val="009E3FD3"/>
    <w:rsid w:val="009E41CE"/>
    <w:rsid w:val="009E41F1"/>
    <w:rsid w:val="009E4200"/>
    <w:rsid w:val="009E44A5"/>
    <w:rsid w:val="009E44D4"/>
    <w:rsid w:val="009E452B"/>
    <w:rsid w:val="009E45A0"/>
    <w:rsid w:val="009E45DF"/>
    <w:rsid w:val="009E4676"/>
    <w:rsid w:val="009E4688"/>
    <w:rsid w:val="009E46DF"/>
    <w:rsid w:val="009E4902"/>
    <w:rsid w:val="009E49D5"/>
    <w:rsid w:val="009E4A6F"/>
    <w:rsid w:val="009E4AEE"/>
    <w:rsid w:val="009E4C15"/>
    <w:rsid w:val="009E4D7F"/>
    <w:rsid w:val="009E4ED8"/>
    <w:rsid w:val="009E4FF5"/>
    <w:rsid w:val="009E5263"/>
    <w:rsid w:val="009E5276"/>
    <w:rsid w:val="009E529F"/>
    <w:rsid w:val="009E52BF"/>
    <w:rsid w:val="009E53DC"/>
    <w:rsid w:val="009E5470"/>
    <w:rsid w:val="009E54A3"/>
    <w:rsid w:val="009E5884"/>
    <w:rsid w:val="009E59B1"/>
    <w:rsid w:val="009E5A1E"/>
    <w:rsid w:val="009E5E1A"/>
    <w:rsid w:val="009E5FCD"/>
    <w:rsid w:val="009E6014"/>
    <w:rsid w:val="009E60C6"/>
    <w:rsid w:val="009E6295"/>
    <w:rsid w:val="009E654F"/>
    <w:rsid w:val="009E6559"/>
    <w:rsid w:val="009E683C"/>
    <w:rsid w:val="009E68B0"/>
    <w:rsid w:val="009E6A5E"/>
    <w:rsid w:val="009E6B7C"/>
    <w:rsid w:val="009E6C77"/>
    <w:rsid w:val="009E6E39"/>
    <w:rsid w:val="009E6F72"/>
    <w:rsid w:val="009E6FF7"/>
    <w:rsid w:val="009E719F"/>
    <w:rsid w:val="009E729B"/>
    <w:rsid w:val="009E7341"/>
    <w:rsid w:val="009E771C"/>
    <w:rsid w:val="009E78D6"/>
    <w:rsid w:val="009E7A0C"/>
    <w:rsid w:val="009E7A6F"/>
    <w:rsid w:val="009E7B61"/>
    <w:rsid w:val="009E7C15"/>
    <w:rsid w:val="009E7C95"/>
    <w:rsid w:val="009E7E38"/>
    <w:rsid w:val="009E7E9F"/>
    <w:rsid w:val="009E7FE8"/>
    <w:rsid w:val="009F0428"/>
    <w:rsid w:val="009F05C8"/>
    <w:rsid w:val="009F0612"/>
    <w:rsid w:val="009F06D0"/>
    <w:rsid w:val="009F0796"/>
    <w:rsid w:val="009F09AB"/>
    <w:rsid w:val="009F0A8C"/>
    <w:rsid w:val="009F0BF5"/>
    <w:rsid w:val="009F0C23"/>
    <w:rsid w:val="009F0D29"/>
    <w:rsid w:val="009F0DA3"/>
    <w:rsid w:val="009F0E61"/>
    <w:rsid w:val="009F0E95"/>
    <w:rsid w:val="009F109D"/>
    <w:rsid w:val="009F117C"/>
    <w:rsid w:val="009F11C7"/>
    <w:rsid w:val="009F12EA"/>
    <w:rsid w:val="009F1526"/>
    <w:rsid w:val="009F1555"/>
    <w:rsid w:val="009F16DD"/>
    <w:rsid w:val="009F1736"/>
    <w:rsid w:val="009F1780"/>
    <w:rsid w:val="009F1794"/>
    <w:rsid w:val="009F1FE7"/>
    <w:rsid w:val="009F2684"/>
    <w:rsid w:val="009F2798"/>
    <w:rsid w:val="009F27C9"/>
    <w:rsid w:val="009F2AA7"/>
    <w:rsid w:val="009F2BF7"/>
    <w:rsid w:val="009F2CB3"/>
    <w:rsid w:val="009F2D82"/>
    <w:rsid w:val="009F2D94"/>
    <w:rsid w:val="009F2F76"/>
    <w:rsid w:val="009F3000"/>
    <w:rsid w:val="009F327E"/>
    <w:rsid w:val="009F32A7"/>
    <w:rsid w:val="009F32C4"/>
    <w:rsid w:val="009F32C5"/>
    <w:rsid w:val="009F3301"/>
    <w:rsid w:val="009F3375"/>
    <w:rsid w:val="009F38C3"/>
    <w:rsid w:val="009F39C2"/>
    <w:rsid w:val="009F3ABE"/>
    <w:rsid w:val="009F3B79"/>
    <w:rsid w:val="009F3BB0"/>
    <w:rsid w:val="009F3DA3"/>
    <w:rsid w:val="009F3F4E"/>
    <w:rsid w:val="009F4026"/>
    <w:rsid w:val="009F43EE"/>
    <w:rsid w:val="009F4503"/>
    <w:rsid w:val="009F4614"/>
    <w:rsid w:val="009F4639"/>
    <w:rsid w:val="009F4870"/>
    <w:rsid w:val="009F48F3"/>
    <w:rsid w:val="009F4944"/>
    <w:rsid w:val="009F4A28"/>
    <w:rsid w:val="009F4AD4"/>
    <w:rsid w:val="009F4B47"/>
    <w:rsid w:val="009F4BB8"/>
    <w:rsid w:val="009F4BBD"/>
    <w:rsid w:val="009F4CEC"/>
    <w:rsid w:val="009F4F57"/>
    <w:rsid w:val="009F5101"/>
    <w:rsid w:val="009F54CE"/>
    <w:rsid w:val="009F555B"/>
    <w:rsid w:val="009F55B8"/>
    <w:rsid w:val="009F568C"/>
    <w:rsid w:val="009F57ED"/>
    <w:rsid w:val="009F5868"/>
    <w:rsid w:val="009F5B8F"/>
    <w:rsid w:val="009F5C4B"/>
    <w:rsid w:val="009F601F"/>
    <w:rsid w:val="009F60F9"/>
    <w:rsid w:val="009F615A"/>
    <w:rsid w:val="009F6169"/>
    <w:rsid w:val="009F617C"/>
    <w:rsid w:val="009F6212"/>
    <w:rsid w:val="009F63B0"/>
    <w:rsid w:val="009F6476"/>
    <w:rsid w:val="009F64D5"/>
    <w:rsid w:val="009F661A"/>
    <w:rsid w:val="009F67E9"/>
    <w:rsid w:val="009F6849"/>
    <w:rsid w:val="009F69C8"/>
    <w:rsid w:val="009F6B59"/>
    <w:rsid w:val="009F6C70"/>
    <w:rsid w:val="009F6CEE"/>
    <w:rsid w:val="009F6E96"/>
    <w:rsid w:val="009F6EF3"/>
    <w:rsid w:val="009F707B"/>
    <w:rsid w:val="009F70D5"/>
    <w:rsid w:val="009F71FC"/>
    <w:rsid w:val="009F7705"/>
    <w:rsid w:val="009F787F"/>
    <w:rsid w:val="009F78F6"/>
    <w:rsid w:val="009F792F"/>
    <w:rsid w:val="009F79A7"/>
    <w:rsid w:val="009F7A2F"/>
    <w:rsid w:val="009F7AA7"/>
    <w:rsid w:val="009F7C27"/>
    <w:rsid w:val="009F7CA9"/>
    <w:rsid w:val="009F7D16"/>
    <w:rsid w:val="009F7DCD"/>
    <w:rsid w:val="009F7E11"/>
    <w:rsid w:val="009F7F1C"/>
    <w:rsid w:val="00A002B3"/>
    <w:rsid w:val="00A0053A"/>
    <w:rsid w:val="00A005AB"/>
    <w:rsid w:val="00A0095E"/>
    <w:rsid w:val="00A00C9A"/>
    <w:rsid w:val="00A00F79"/>
    <w:rsid w:val="00A01036"/>
    <w:rsid w:val="00A0107B"/>
    <w:rsid w:val="00A0116B"/>
    <w:rsid w:val="00A011FF"/>
    <w:rsid w:val="00A0125A"/>
    <w:rsid w:val="00A01277"/>
    <w:rsid w:val="00A01356"/>
    <w:rsid w:val="00A013CE"/>
    <w:rsid w:val="00A014EC"/>
    <w:rsid w:val="00A014F5"/>
    <w:rsid w:val="00A01574"/>
    <w:rsid w:val="00A01578"/>
    <w:rsid w:val="00A015DA"/>
    <w:rsid w:val="00A01699"/>
    <w:rsid w:val="00A0170E"/>
    <w:rsid w:val="00A01875"/>
    <w:rsid w:val="00A018F8"/>
    <w:rsid w:val="00A01A84"/>
    <w:rsid w:val="00A01E20"/>
    <w:rsid w:val="00A020B3"/>
    <w:rsid w:val="00A0211A"/>
    <w:rsid w:val="00A021C3"/>
    <w:rsid w:val="00A02394"/>
    <w:rsid w:val="00A02407"/>
    <w:rsid w:val="00A0256B"/>
    <w:rsid w:val="00A025F3"/>
    <w:rsid w:val="00A02660"/>
    <w:rsid w:val="00A0268D"/>
    <w:rsid w:val="00A02739"/>
    <w:rsid w:val="00A0275B"/>
    <w:rsid w:val="00A029B7"/>
    <w:rsid w:val="00A02B22"/>
    <w:rsid w:val="00A02CC3"/>
    <w:rsid w:val="00A02D4E"/>
    <w:rsid w:val="00A02DD1"/>
    <w:rsid w:val="00A02E2D"/>
    <w:rsid w:val="00A02F03"/>
    <w:rsid w:val="00A02F0A"/>
    <w:rsid w:val="00A02F1C"/>
    <w:rsid w:val="00A02FE3"/>
    <w:rsid w:val="00A0307C"/>
    <w:rsid w:val="00A03114"/>
    <w:rsid w:val="00A031C0"/>
    <w:rsid w:val="00A03298"/>
    <w:rsid w:val="00A03390"/>
    <w:rsid w:val="00A0339C"/>
    <w:rsid w:val="00A033DA"/>
    <w:rsid w:val="00A034E5"/>
    <w:rsid w:val="00A036CD"/>
    <w:rsid w:val="00A0379A"/>
    <w:rsid w:val="00A03952"/>
    <w:rsid w:val="00A039F4"/>
    <w:rsid w:val="00A03A61"/>
    <w:rsid w:val="00A03B7A"/>
    <w:rsid w:val="00A03CBC"/>
    <w:rsid w:val="00A03DF4"/>
    <w:rsid w:val="00A03F32"/>
    <w:rsid w:val="00A04041"/>
    <w:rsid w:val="00A040EF"/>
    <w:rsid w:val="00A041F2"/>
    <w:rsid w:val="00A04246"/>
    <w:rsid w:val="00A042D3"/>
    <w:rsid w:val="00A0432B"/>
    <w:rsid w:val="00A04367"/>
    <w:rsid w:val="00A04454"/>
    <w:rsid w:val="00A045B5"/>
    <w:rsid w:val="00A04748"/>
    <w:rsid w:val="00A04873"/>
    <w:rsid w:val="00A04BA0"/>
    <w:rsid w:val="00A04DD4"/>
    <w:rsid w:val="00A04DD6"/>
    <w:rsid w:val="00A04E35"/>
    <w:rsid w:val="00A04F32"/>
    <w:rsid w:val="00A04F8E"/>
    <w:rsid w:val="00A04F92"/>
    <w:rsid w:val="00A05302"/>
    <w:rsid w:val="00A053E6"/>
    <w:rsid w:val="00A054C7"/>
    <w:rsid w:val="00A055E7"/>
    <w:rsid w:val="00A0564E"/>
    <w:rsid w:val="00A05694"/>
    <w:rsid w:val="00A05EAC"/>
    <w:rsid w:val="00A05FA6"/>
    <w:rsid w:val="00A06015"/>
    <w:rsid w:val="00A060B8"/>
    <w:rsid w:val="00A060BE"/>
    <w:rsid w:val="00A06102"/>
    <w:rsid w:val="00A062CE"/>
    <w:rsid w:val="00A063AF"/>
    <w:rsid w:val="00A063B7"/>
    <w:rsid w:val="00A06595"/>
    <w:rsid w:val="00A066A9"/>
    <w:rsid w:val="00A0681E"/>
    <w:rsid w:val="00A0682F"/>
    <w:rsid w:val="00A0687B"/>
    <w:rsid w:val="00A06DDD"/>
    <w:rsid w:val="00A06E11"/>
    <w:rsid w:val="00A06F07"/>
    <w:rsid w:val="00A0725B"/>
    <w:rsid w:val="00A07260"/>
    <w:rsid w:val="00A07330"/>
    <w:rsid w:val="00A073C4"/>
    <w:rsid w:val="00A073D2"/>
    <w:rsid w:val="00A074D4"/>
    <w:rsid w:val="00A07B5A"/>
    <w:rsid w:val="00A07BA5"/>
    <w:rsid w:val="00A07D69"/>
    <w:rsid w:val="00A07E36"/>
    <w:rsid w:val="00A07E41"/>
    <w:rsid w:val="00A07F5D"/>
    <w:rsid w:val="00A07F8A"/>
    <w:rsid w:val="00A07FF0"/>
    <w:rsid w:val="00A10135"/>
    <w:rsid w:val="00A101CD"/>
    <w:rsid w:val="00A102A8"/>
    <w:rsid w:val="00A10305"/>
    <w:rsid w:val="00A10388"/>
    <w:rsid w:val="00A10612"/>
    <w:rsid w:val="00A1065D"/>
    <w:rsid w:val="00A107AD"/>
    <w:rsid w:val="00A10C5B"/>
    <w:rsid w:val="00A10D41"/>
    <w:rsid w:val="00A10E18"/>
    <w:rsid w:val="00A10E73"/>
    <w:rsid w:val="00A10E91"/>
    <w:rsid w:val="00A1115A"/>
    <w:rsid w:val="00A111CC"/>
    <w:rsid w:val="00A1134B"/>
    <w:rsid w:val="00A11368"/>
    <w:rsid w:val="00A115EC"/>
    <w:rsid w:val="00A116D6"/>
    <w:rsid w:val="00A1184D"/>
    <w:rsid w:val="00A11855"/>
    <w:rsid w:val="00A118CE"/>
    <w:rsid w:val="00A119D2"/>
    <w:rsid w:val="00A119E8"/>
    <w:rsid w:val="00A11B9D"/>
    <w:rsid w:val="00A11C6D"/>
    <w:rsid w:val="00A11E3D"/>
    <w:rsid w:val="00A11FCA"/>
    <w:rsid w:val="00A121FF"/>
    <w:rsid w:val="00A122F0"/>
    <w:rsid w:val="00A12834"/>
    <w:rsid w:val="00A128B1"/>
    <w:rsid w:val="00A128E1"/>
    <w:rsid w:val="00A1294A"/>
    <w:rsid w:val="00A12A93"/>
    <w:rsid w:val="00A12C55"/>
    <w:rsid w:val="00A12D90"/>
    <w:rsid w:val="00A12E49"/>
    <w:rsid w:val="00A12F01"/>
    <w:rsid w:val="00A1328C"/>
    <w:rsid w:val="00A132B1"/>
    <w:rsid w:val="00A134DC"/>
    <w:rsid w:val="00A134F1"/>
    <w:rsid w:val="00A137C4"/>
    <w:rsid w:val="00A1386F"/>
    <w:rsid w:val="00A13922"/>
    <w:rsid w:val="00A13D59"/>
    <w:rsid w:val="00A13D81"/>
    <w:rsid w:val="00A13DE8"/>
    <w:rsid w:val="00A13F55"/>
    <w:rsid w:val="00A1418F"/>
    <w:rsid w:val="00A141E7"/>
    <w:rsid w:val="00A141F7"/>
    <w:rsid w:val="00A14415"/>
    <w:rsid w:val="00A14883"/>
    <w:rsid w:val="00A14A36"/>
    <w:rsid w:val="00A14A50"/>
    <w:rsid w:val="00A14A5B"/>
    <w:rsid w:val="00A14B74"/>
    <w:rsid w:val="00A14BCE"/>
    <w:rsid w:val="00A14C56"/>
    <w:rsid w:val="00A14CA5"/>
    <w:rsid w:val="00A14D27"/>
    <w:rsid w:val="00A14D3E"/>
    <w:rsid w:val="00A14E29"/>
    <w:rsid w:val="00A14E61"/>
    <w:rsid w:val="00A14F29"/>
    <w:rsid w:val="00A14FC4"/>
    <w:rsid w:val="00A15084"/>
    <w:rsid w:val="00A1514E"/>
    <w:rsid w:val="00A1533D"/>
    <w:rsid w:val="00A1557C"/>
    <w:rsid w:val="00A156BC"/>
    <w:rsid w:val="00A15C8C"/>
    <w:rsid w:val="00A16100"/>
    <w:rsid w:val="00A1614C"/>
    <w:rsid w:val="00A16495"/>
    <w:rsid w:val="00A164C9"/>
    <w:rsid w:val="00A16751"/>
    <w:rsid w:val="00A167ED"/>
    <w:rsid w:val="00A16818"/>
    <w:rsid w:val="00A168C6"/>
    <w:rsid w:val="00A1698C"/>
    <w:rsid w:val="00A16B0F"/>
    <w:rsid w:val="00A16BC5"/>
    <w:rsid w:val="00A16C4A"/>
    <w:rsid w:val="00A16CF6"/>
    <w:rsid w:val="00A16D7C"/>
    <w:rsid w:val="00A16E57"/>
    <w:rsid w:val="00A16EDC"/>
    <w:rsid w:val="00A16F33"/>
    <w:rsid w:val="00A16FC9"/>
    <w:rsid w:val="00A170CA"/>
    <w:rsid w:val="00A171A8"/>
    <w:rsid w:val="00A173AF"/>
    <w:rsid w:val="00A1750D"/>
    <w:rsid w:val="00A17666"/>
    <w:rsid w:val="00A17676"/>
    <w:rsid w:val="00A1773E"/>
    <w:rsid w:val="00A17801"/>
    <w:rsid w:val="00A178FB"/>
    <w:rsid w:val="00A17AB5"/>
    <w:rsid w:val="00A17BF9"/>
    <w:rsid w:val="00A17C49"/>
    <w:rsid w:val="00A17DA4"/>
    <w:rsid w:val="00A17E36"/>
    <w:rsid w:val="00A17FBB"/>
    <w:rsid w:val="00A200A7"/>
    <w:rsid w:val="00A2017F"/>
    <w:rsid w:val="00A2021F"/>
    <w:rsid w:val="00A2039B"/>
    <w:rsid w:val="00A20645"/>
    <w:rsid w:val="00A20693"/>
    <w:rsid w:val="00A209CB"/>
    <w:rsid w:val="00A20A89"/>
    <w:rsid w:val="00A20A94"/>
    <w:rsid w:val="00A20B30"/>
    <w:rsid w:val="00A20C97"/>
    <w:rsid w:val="00A20E58"/>
    <w:rsid w:val="00A20FC4"/>
    <w:rsid w:val="00A21051"/>
    <w:rsid w:val="00A210B0"/>
    <w:rsid w:val="00A210B3"/>
    <w:rsid w:val="00A21205"/>
    <w:rsid w:val="00A213B0"/>
    <w:rsid w:val="00A2157E"/>
    <w:rsid w:val="00A217AC"/>
    <w:rsid w:val="00A217C7"/>
    <w:rsid w:val="00A21921"/>
    <w:rsid w:val="00A21AEB"/>
    <w:rsid w:val="00A21CC9"/>
    <w:rsid w:val="00A21CCF"/>
    <w:rsid w:val="00A21DED"/>
    <w:rsid w:val="00A21FCF"/>
    <w:rsid w:val="00A220C1"/>
    <w:rsid w:val="00A220E2"/>
    <w:rsid w:val="00A22391"/>
    <w:rsid w:val="00A2249C"/>
    <w:rsid w:val="00A2280F"/>
    <w:rsid w:val="00A22998"/>
    <w:rsid w:val="00A229E5"/>
    <w:rsid w:val="00A22AC6"/>
    <w:rsid w:val="00A22BF8"/>
    <w:rsid w:val="00A22F33"/>
    <w:rsid w:val="00A22F4F"/>
    <w:rsid w:val="00A22F70"/>
    <w:rsid w:val="00A23146"/>
    <w:rsid w:val="00A23149"/>
    <w:rsid w:val="00A23248"/>
    <w:rsid w:val="00A23254"/>
    <w:rsid w:val="00A233CD"/>
    <w:rsid w:val="00A233F2"/>
    <w:rsid w:val="00A234DE"/>
    <w:rsid w:val="00A23656"/>
    <w:rsid w:val="00A237AE"/>
    <w:rsid w:val="00A23A9D"/>
    <w:rsid w:val="00A23AAA"/>
    <w:rsid w:val="00A23ADB"/>
    <w:rsid w:val="00A23B46"/>
    <w:rsid w:val="00A23BC8"/>
    <w:rsid w:val="00A23C00"/>
    <w:rsid w:val="00A23C4D"/>
    <w:rsid w:val="00A23EA1"/>
    <w:rsid w:val="00A23ED7"/>
    <w:rsid w:val="00A240D5"/>
    <w:rsid w:val="00A24136"/>
    <w:rsid w:val="00A242BC"/>
    <w:rsid w:val="00A2438D"/>
    <w:rsid w:val="00A24663"/>
    <w:rsid w:val="00A2466C"/>
    <w:rsid w:val="00A248F7"/>
    <w:rsid w:val="00A2494F"/>
    <w:rsid w:val="00A24B8B"/>
    <w:rsid w:val="00A24CE3"/>
    <w:rsid w:val="00A24CE5"/>
    <w:rsid w:val="00A24D55"/>
    <w:rsid w:val="00A24DC2"/>
    <w:rsid w:val="00A24F1D"/>
    <w:rsid w:val="00A24F40"/>
    <w:rsid w:val="00A24F68"/>
    <w:rsid w:val="00A24F6A"/>
    <w:rsid w:val="00A24FEA"/>
    <w:rsid w:val="00A24FF8"/>
    <w:rsid w:val="00A25001"/>
    <w:rsid w:val="00A2506E"/>
    <w:rsid w:val="00A250B4"/>
    <w:rsid w:val="00A250D4"/>
    <w:rsid w:val="00A2514C"/>
    <w:rsid w:val="00A2527A"/>
    <w:rsid w:val="00A25356"/>
    <w:rsid w:val="00A25472"/>
    <w:rsid w:val="00A25489"/>
    <w:rsid w:val="00A255BF"/>
    <w:rsid w:val="00A257DA"/>
    <w:rsid w:val="00A259E9"/>
    <w:rsid w:val="00A25A02"/>
    <w:rsid w:val="00A25A4F"/>
    <w:rsid w:val="00A25C20"/>
    <w:rsid w:val="00A25C94"/>
    <w:rsid w:val="00A25CA2"/>
    <w:rsid w:val="00A25D03"/>
    <w:rsid w:val="00A25DC1"/>
    <w:rsid w:val="00A25EA0"/>
    <w:rsid w:val="00A25ECF"/>
    <w:rsid w:val="00A260FC"/>
    <w:rsid w:val="00A2649E"/>
    <w:rsid w:val="00A26635"/>
    <w:rsid w:val="00A26671"/>
    <w:rsid w:val="00A26A4A"/>
    <w:rsid w:val="00A26A4E"/>
    <w:rsid w:val="00A26ACC"/>
    <w:rsid w:val="00A26BBB"/>
    <w:rsid w:val="00A26D13"/>
    <w:rsid w:val="00A26DD7"/>
    <w:rsid w:val="00A26E17"/>
    <w:rsid w:val="00A26F75"/>
    <w:rsid w:val="00A2714F"/>
    <w:rsid w:val="00A27161"/>
    <w:rsid w:val="00A2737A"/>
    <w:rsid w:val="00A27516"/>
    <w:rsid w:val="00A275FF"/>
    <w:rsid w:val="00A27681"/>
    <w:rsid w:val="00A27745"/>
    <w:rsid w:val="00A2785A"/>
    <w:rsid w:val="00A2796F"/>
    <w:rsid w:val="00A27B63"/>
    <w:rsid w:val="00A27BDD"/>
    <w:rsid w:val="00A27C35"/>
    <w:rsid w:val="00A27D6F"/>
    <w:rsid w:val="00A27D90"/>
    <w:rsid w:val="00A27ED9"/>
    <w:rsid w:val="00A27FF6"/>
    <w:rsid w:val="00A301FE"/>
    <w:rsid w:val="00A302C2"/>
    <w:rsid w:val="00A304EB"/>
    <w:rsid w:val="00A30529"/>
    <w:rsid w:val="00A30544"/>
    <w:rsid w:val="00A30556"/>
    <w:rsid w:val="00A305F8"/>
    <w:rsid w:val="00A3069E"/>
    <w:rsid w:val="00A3071D"/>
    <w:rsid w:val="00A30721"/>
    <w:rsid w:val="00A307AF"/>
    <w:rsid w:val="00A30A1F"/>
    <w:rsid w:val="00A30CA2"/>
    <w:rsid w:val="00A30D3D"/>
    <w:rsid w:val="00A30D58"/>
    <w:rsid w:val="00A30DB2"/>
    <w:rsid w:val="00A30E7B"/>
    <w:rsid w:val="00A30EE8"/>
    <w:rsid w:val="00A31032"/>
    <w:rsid w:val="00A31122"/>
    <w:rsid w:val="00A314E6"/>
    <w:rsid w:val="00A3156C"/>
    <w:rsid w:val="00A317AF"/>
    <w:rsid w:val="00A31817"/>
    <w:rsid w:val="00A3193E"/>
    <w:rsid w:val="00A31968"/>
    <w:rsid w:val="00A319ED"/>
    <w:rsid w:val="00A31ADA"/>
    <w:rsid w:val="00A31BD2"/>
    <w:rsid w:val="00A31D0E"/>
    <w:rsid w:val="00A31D94"/>
    <w:rsid w:val="00A31E37"/>
    <w:rsid w:val="00A31E5E"/>
    <w:rsid w:val="00A31E5F"/>
    <w:rsid w:val="00A31E98"/>
    <w:rsid w:val="00A3210C"/>
    <w:rsid w:val="00A3214E"/>
    <w:rsid w:val="00A32300"/>
    <w:rsid w:val="00A323E4"/>
    <w:rsid w:val="00A32427"/>
    <w:rsid w:val="00A32596"/>
    <w:rsid w:val="00A3270D"/>
    <w:rsid w:val="00A32849"/>
    <w:rsid w:val="00A3284D"/>
    <w:rsid w:val="00A3285C"/>
    <w:rsid w:val="00A32B4F"/>
    <w:rsid w:val="00A32C1A"/>
    <w:rsid w:val="00A32D67"/>
    <w:rsid w:val="00A32EC1"/>
    <w:rsid w:val="00A330E3"/>
    <w:rsid w:val="00A33500"/>
    <w:rsid w:val="00A33593"/>
    <w:rsid w:val="00A3370E"/>
    <w:rsid w:val="00A33834"/>
    <w:rsid w:val="00A33891"/>
    <w:rsid w:val="00A33B8A"/>
    <w:rsid w:val="00A33FD8"/>
    <w:rsid w:val="00A34000"/>
    <w:rsid w:val="00A34169"/>
    <w:rsid w:val="00A341BC"/>
    <w:rsid w:val="00A3422A"/>
    <w:rsid w:val="00A34353"/>
    <w:rsid w:val="00A347FC"/>
    <w:rsid w:val="00A34860"/>
    <w:rsid w:val="00A349AF"/>
    <w:rsid w:val="00A34A8B"/>
    <w:rsid w:val="00A34A9B"/>
    <w:rsid w:val="00A34B00"/>
    <w:rsid w:val="00A34BCF"/>
    <w:rsid w:val="00A34C45"/>
    <w:rsid w:val="00A34C6A"/>
    <w:rsid w:val="00A34D7B"/>
    <w:rsid w:val="00A350E5"/>
    <w:rsid w:val="00A35408"/>
    <w:rsid w:val="00A356CA"/>
    <w:rsid w:val="00A358AE"/>
    <w:rsid w:val="00A35AA7"/>
    <w:rsid w:val="00A35B59"/>
    <w:rsid w:val="00A35CFA"/>
    <w:rsid w:val="00A35F50"/>
    <w:rsid w:val="00A35F58"/>
    <w:rsid w:val="00A35FD5"/>
    <w:rsid w:val="00A3620F"/>
    <w:rsid w:val="00A364B3"/>
    <w:rsid w:val="00A367F9"/>
    <w:rsid w:val="00A36839"/>
    <w:rsid w:val="00A36B93"/>
    <w:rsid w:val="00A36B96"/>
    <w:rsid w:val="00A36C5C"/>
    <w:rsid w:val="00A36D15"/>
    <w:rsid w:val="00A370C5"/>
    <w:rsid w:val="00A37772"/>
    <w:rsid w:val="00A377B7"/>
    <w:rsid w:val="00A377C1"/>
    <w:rsid w:val="00A378E3"/>
    <w:rsid w:val="00A379CF"/>
    <w:rsid w:val="00A37B43"/>
    <w:rsid w:val="00A37D7A"/>
    <w:rsid w:val="00A37E1F"/>
    <w:rsid w:val="00A37EDA"/>
    <w:rsid w:val="00A40057"/>
    <w:rsid w:val="00A403F0"/>
    <w:rsid w:val="00A40573"/>
    <w:rsid w:val="00A408B5"/>
    <w:rsid w:val="00A408F7"/>
    <w:rsid w:val="00A40913"/>
    <w:rsid w:val="00A41018"/>
    <w:rsid w:val="00A41369"/>
    <w:rsid w:val="00A4138D"/>
    <w:rsid w:val="00A413D0"/>
    <w:rsid w:val="00A41488"/>
    <w:rsid w:val="00A41510"/>
    <w:rsid w:val="00A4152F"/>
    <w:rsid w:val="00A415F8"/>
    <w:rsid w:val="00A4161A"/>
    <w:rsid w:val="00A41673"/>
    <w:rsid w:val="00A41776"/>
    <w:rsid w:val="00A418AB"/>
    <w:rsid w:val="00A418AD"/>
    <w:rsid w:val="00A419FC"/>
    <w:rsid w:val="00A41E27"/>
    <w:rsid w:val="00A41EA1"/>
    <w:rsid w:val="00A41EE0"/>
    <w:rsid w:val="00A41FB5"/>
    <w:rsid w:val="00A42054"/>
    <w:rsid w:val="00A4211A"/>
    <w:rsid w:val="00A423FA"/>
    <w:rsid w:val="00A4241D"/>
    <w:rsid w:val="00A42468"/>
    <w:rsid w:val="00A424F4"/>
    <w:rsid w:val="00A426C7"/>
    <w:rsid w:val="00A42736"/>
    <w:rsid w:val="00A42BDD"/>
    <w:rsid w:val="00A42CCA"/>
    <w:rsid w:val="00A42FFC"/>
    <w:rsid w:val="00A43043"/>
    <w:rsid w:val="00A43173"/>
    <w:rsid w:val="00A43347"/>
    <w:rsid w:val="00A43393"/>
    <w:rsid w:val="00A4344C"/>
    <w:rsid w:val="00A434DE"/>
    <w:rsid w:val="00A4353E"/>
    <w:rsid w:val="00A43659"/>
    <w:rsid w:val="00A4365E"/>
    <w:rsid w:val="00A43667"/>
    <w:rsid w:val="00A436FE"/>
    <w:rsid w:val="00A43998"/>
    <w:rsid w:val="00A43C34"/>
    <w:rsid w:val="00A43EAB"/>
    <w:rsid w:val="00A43F7E"/>
    <w:rsid w:val="00A440FF"/>
    <w:rsid w:val="00A441AC"/>
    <w:rsid w:val="00A443A4"/>
    <w:rsid w:val="00A4442E"/>
    <w:rsid w:val="00A44551"/>
    <w:rsid w:val="00A44646"/>
    <w:rsid w:val="00A4468D"/>
    <w:rsid w:val="00A44705"/>
    <w:rsid w:val="00A4496D"/>
    <w:rsid w:val="00A449BE"/>
    <w:rsid w:val="00A44A52"/>
    <w:rsid w:val="00A44C2A"/>
    <w:rsid w:val="00A44D4A"/>
    <w:rsid w:val="00A44E0F"/>
    <w:rsid w:val="00A44E95"/>
    <w:rsid w:val="00A44F27"/>
    <w:rsid w:val="00A44FC7"/>
    <w:rsid w:val="00A44FDC"/>
    <w:rsid w:val="00A4519F"/>
    <w:rsid w:val="00A45390"/>
    <w:rsid w:val="00A453C4"/>
    <w:rsid w:val="00A45756"/>
    <w:rsid w:val="00A457BE"/>
    <w:rsid w:val="00A459BD"/>
    <w:rsid w:val="00A459DA"/>
    <w:rsid w:val="00A45C91"/>
    <w:rsid w:val="00A46308"/>
    <w:rsid w:val="00A463A8"/>
    <w:rsid w:val="00A46401"/>
    <w:rsid w:val="00A4643B"/>
    <w:rsid w:val="00A464F3"/>
    <w:rsid w:val="00A4656D"/>
    <w:rsid w:val="00A466B0"/>
    <w:rsid w:val="00A46988"/>
    <w:rsid w:val="00A46B84"/>
    <w:rsid w:val="00A46CFA"/>
    <w:rsid w:val="00A46D24"/>
    <w:rsid w:val="00A46D47"/>
    <w:rsid w:val="00A46F6F"/>
    <w:rsid w:val="00A4718A"/>
    <w:rsid w:val="00A471B6"/>
    <w:rsid w:val="00A4774E"/>
    <w:rsid w:val="00A4788F"/>
    <w:rsid w:val="00A4789A"/>
    <w:rsid w:val="00A47934"/>
    <w:rsid w:val="00A47A41"/>
    <w:rsid w:val="00A47B03"/>
    <w:rsid w:val="00A47B28"/>
    <w:rsid w:val="00A47D0D"/>
    <w:rsid w:val="00A47D9B"/>
    <w:rsid w:val="00A47DD8"/>
    <w:rsid w:val="00A47E91"/>
    <w:rsid w:val="00A50035"/>
    <w:rsid w:val="00A50082"/>
    <w:rsid w:val="00A500AB"/>
    <w:rsid w:val="00A502A6"/>
    <w:rsid w:val="00A50490"/>
    <w:rsid w:val="00A505BA"/>
    <w:rsid w:val="00A505D2"/>
    <w:rsid w:val="00A506DC"/>
    <w:rsid w:val="00A506EE"/>
    <w:rsid w:val="00A50964"/>
    <w:rsid w:val="00A50A01"/>
    <w:rsid w:val="00A50EC9"/>
    <w:rsid w:val="00A51005"/>
    <w:rsid w:val="00A5111E"/>
    <w:rsid w:val="00A511A5"/>
    <w:rsid w:val="00A513E4"/>
    <w:rsid w:val="00A5157C"/>
    <w:rsid w:val="00A516F3"/>
    <w:rsid w:val="00A51710"/>
    <w:rsid w:val="00A51749"/>
    <w:rsid w:val="00A517EC"/>
    <w:rsid w:val="00A51939"/>
    <w:rsid w:val="00A51B7D"/>
    <w:rsid w:val="00A51C41"/>
    <w:rsid w:val="00A51C44"/>
    <w:rsid w:val="00A51CD0"/>
    <w:rsid w:val="00A51E74"/>
    <w:rsid w:val="00A51E92"/>
    <w:rsid w:val="00A5214D"/>
    <w:rsid w:val="00A5227E"/>
    <w:rsid w:val="00A52397"/>
    <w:rsid w:val="00A52541"/>
    <w:rsid w:val="00A52580"/>
    <w:rsid w:val="00A526C7"/>
    <w:rsid w:val="00A5273F"/>
    <w:rsid w:val="00A5279A"/>
    <w:rsid w:val="00A52B1C"/>
    <w:rsid w:val="00A52B9C"/>
    <w:rsid w:val="00A52DEF"/>
    <w:rsid w:val="00A52E8E"/>
    <w:rsid w:val="00A52EF4"/>
    <w:rsid w:val="00A53275"/>
    <w:rsid w:val="00A532DD"/>
    <w:rsid w:val="00A53301"/>
    <w:rsid w:val="00A5331D"/>
    <w:rsid w:val="00A533CB"/>
    <w:rsid w:val="00A535D6"/>
    <w:rsid w:val="00A5368D"/>
    <w:rsid w:val="00A538E8"/>
    <w:rsid w:val="00A5395A"/>
    <w:rsid w:val="00A53B49"/>
    <w:rsid w:val="00A53D03"/>
    <w:rsid w:val="00A54093"/>
    <w:rsid w:val="00A5418C"/>
    <w:rsid w:val="00A541BB"/>
    <w:rsid w:val="00A54462"/>
    <w:rsid w:val="00A5455F"/>
    <w:rsid w:val="00A54747"/>
    <w:rsid w:val="00A54D33"/>
    <w:rsid w:val="00A54FC1"/>
    <w:rsid w:val="00A55174"/>
    <w:rsid w:val="00A5518D"/>
    <w:rsid w:val="00A551DE"/>
    <w:rsid w:val="00A55250"/>
    <w:rsid w:val="00A554E0"/>
    <w:rsid w:val="00A554EB"/>
    <w:rsid w:val="00A5557E"/>
    <w:rsid w:val="00A5585A"/>
    <w:rsid w:val="00A55904"/>
    <w:rsid w:val="00A55C51"/>
    <w:rsid w:val="00A55EE3"/>
    <w:rsid w:val="00A55F8A"/>
    <w:rsid w:val="00A5615E"/>
    <w:rsid w:val="00A562E1"/>
    <w:rsid w:val="00A56363"/>
    <w:rsid w:val="00A5636B"/>
    <w:rsid w:val="00A56409"/>
    <w:rsid w:val="00A56474"/>
    <w:rsid w:val="00A56551"/>
    <w:rsid w:val="00A5659B"/>
    <w:rsid w:val="00A5660E"/>
    <w:rsid w:val="00A5663D"/>
    <w:rsid w:val="00A5669E"/>
    <w:rsid w:val="00A566DA"/>
    <w:rsid w:val="00A568F1"/>
    <w:rsid w:val="00A56AF5"/>
    <w:rsid w:val="00A56B18"/>
    <w:rsid w:val="00A56BAF"/>
    <w:rsid w:val="00A56C0B"/>
    <w:rsid w:val="00A56C5D"/>
    <w:rsid w:val="00A56F15"/>
    <w:rsid w:val="00A56F8B"/>
    <w:rsid w:val="00A571AD"/>
    <w:rsid w:val="00A57202"/>
    <w:rsid w:val="00A57411"/>
    <w:rsid w:val="00A5748F"/>
    <w:rsid w:val="00A574EE"/>
    <w:rsid w:val="00A57567"/>
    <w:rsid w:val="00A57664"/>
    <w:rsid w:val="00A5771F"/>
    <w:rsid w:val="00A57899"/>
    <w:rsid w:val="00A579EC"/>
    <w:rsid w:val="00A57BFD"/>
    <w:rsid w:val="00A57C22"/>
    <w:rsid w:val="00A57CBB"/>
    <w:rsid w:val="00A57CF9"/>
    <w:rsid w:val="00A57F2E"/>
    <w:rsid w:val="00A57FC9"/>
    <w:rsid w:val="00A60192"/>
    <w:rsid w:val="00A60346"/>
    <w:rsid w:val="00A6057F"/>
    <w:rsid w:val="00A60636"/>
    <w:rsid w:val="00A606CF"/>
    <w:rsid w:val="00A60727"/>
    <w:rsid w:val="00A60728"/>
    <w:rsid w:val="00A608E0"/>
    <w:rsid w:val="00A60A3D"/>
    <w:rsid w:val="00A60A49"/>
    <w:rsid w:val="00A60C23"/>
    <w:rsid w:val="00A60F30"/>
    <w:rsid w:val="00A6102C"/>
    <w:rsid w:val="00A61395"/>
    <w:rsid w:val="00A614D1"/>
    <w:rsid w:val="00A6171D"/>
    <w:rsid w:val="00A617BB"/>
    <w:rsid w:val="00A61AF4"/>
    <w:rsid w:val="00A61D4D"/>
    <w:rsid w:val="00A61EDA"/>
    <w:rsid w:val="00A61FCE"/>
    <w:rsid w:val="00A62038"/>
    <w:rsid w:val="00A62263"/>
    <w:rsid w:val="00A6226A"/>
    <w:rsid w:val="00A62487"/>
    <w:rsid w:val="00A62562"/>
    <w:rsid w:val="00A625A2"/>
    <w:rsid w:val="00A62748"/>
    <w:rsid w:val="00A62872"/>
    <w:rsid w:val="00A62B08"/>
    <w:rsid w:val="00A62D7A"/>
    <w:rsid w:val="00A62DE5"/>
    <w:rsid w:val="00A62F37"/>
    <w:rsid w:val="00A62F63"/>
    <w:rsid w:val="00A63016"/>
    <w:rsid w:val="00A63261"/>
    <w:rsid w:val="00A635DB"/>
    <w:rsid w:val="00A63631"/>
    <w:rsid w:val="00A637AE"/>
    <w:rsid w:val="00A6397B"/>
    <w:rsid w:val="00A63989"/>
    <w:rsid w:val="00A63A98"/>
    <w:rsid w:val="00A63D0B"/>
    <w:rsid w:val="00A642D4"/>
    <w:rsid w:val="00A64596"/>
    <w:rsid w:val="00A645D8"/>
    <w:rsid w:val="00A6485C"/>
    <w:rsid w:val="00A64B69"/>
    <w:rsid w:val="00A64BB1"/>
    <w:rsid w:val="00A64CEF"/>
    <w:rsid w:val="00A64E94"/>
    <w:rsid w:val="00A64EA4"/>
    <w:rsid w:val="00A6502B"/>
    <w:rsid w:val="00A6506E"/>
    <w:rsid w:val="00A6528E"/>
    <w:rsid w:val="00A653F6"/>
    <w:rsid w:val="00A656E4"/>
    <w:rsid w:val="00A657BA"/>
    <w:rsid w:val="00A6584A"/>
    <w:rsid w:val="00A65985"/>
    <w:rsid w:val="00A65A48"/>
    <w:rsid w:val="00A65AAB"/>
    <w:rsid w:val="00A65CEF"/>
    <w:rsid w:val="00A65DA7"/>
    <w:rsid w:val="00A660C5"/>
    <w:rsid w:val="00A6628A"/>
    <w:rsid w:val="00A665FA"/>
    <w:rsid w:val="00A666A6"/>
    <w:rsid w:val="00A66770"/>
    <w:rsid w:val="00A66783"/>
    <w:rsid w:val="00A66784"/>
    <w:rsid w:val="00A66990"/>
    <w:rsid w:val="00A66A1D"/>
    <w:rsid w:val="00A66BDF"/>
    <w:rsid w:val="00A66C0C"/>
    <w:rsid w:val="00A66E6A"/>
    <w:rsid w:val="00A66E6F"/>
    <w:rsid w:val="00A66F56"/>
    <w:rsid w:val="00A672E3"/>
    <w:rsid w:val="00A673AE"/>
    <w:rsid w:val="00A67450"/>
    <w:rsid w:val="00A6768D"/>
    <w:rsid w:val="00A6769C"/>
    <w:rsid w:val="00A676B1"/>
    <w:rsid w:val="00A676DC"/>
    <w:rsid w:val="00A6780B"/>
    <w:rsid w:val="00A67833"/>
    <w:rsid w:val="00A67923"/>
    <w:rsid w:val="00A67AA5"/>
    <w:rsid w:val="00A67AC6"/>
    <w:rsid w:val="00A67D22"/>
    <w:rsid w:val="00A67D4C"/>
    <w:rsid w:val="00A70088"/>
    <w:rsid w:val="00A70135"/>
    <w:rsid w:val="00A7016F"/>
    <w:rsid w:val="00A7018F"/>
    <w:rsid w:val="00A701D6"/>
    <w:rsid w:val="00A701DC"/>
    <w:rsid w:val="00A701EC"/>
    <w:rsid w:val="00A7021F"/>
    <w:rsid w:val="00A70434"/>
    <w:rsid w:val="00A70667"/>
    <w:rsid w:val="00A70A4D"/>
    <w:rsid w:val="00A70ABA"/>
    <w:rsid w:val="00A70C70"/>
    <w:rsid w:val="00A70CAA"/>
    <w:rsid w:val="00A70DA5"/>
    <w:rsid w:val="00A70E6E"/>
    <w:rsid w:val="00A70E89"/>
    <w:rsid w:val="00A71052"/>
    <w:rsid w:val="00A7110C"/>
    <w:rsid w:val="00A71113"/>
    <w:rsid w:val="00A71138"/>
    <w:rsid w:val="00A71252"/>
    <w:rsid w:val="00A7127B"/>
    <w:rsid w:val="00A7132D"/>
    <w:rsid w:val="00A713F6"/>
    <w:rsid w:val="00A71485"/>
    <w:rsid w:val="00A715C0"/>
    <w:rsid w:val="00A71674"/>
    <w:rsid w:val="00A7193A"/>
    <w:rsid w:val="00A7194A"/>
    <w:rsid w:val="00A71A0C"/>
    <w:rsid w:val="00A71A55"/>
    <w:rsid w:val="00A71B28"/>
    <w:rsid w:val="00A71C71"/>
    <w:rsid w:val="00A71CAD"/>
    <w:rsid w:val="00A71DD9"/>
    <w:rsid w:val="00A71F97"/>
    <w:rsid w:val="00A72055"/>
    <w:rsid w:val="00A720F5"/>
    <w:rsid w:val="00A72109"/>
    <w:rsid w:val="00A723FA"/>
    <w:rsid w:val="00A72422"/>
    <w:rsid w:val="00A725E9"/>
    <w:rsid w:val="00A72702"/>
    <w:rsid w:val="00A727B0"/>
    <w:rsid w:val="00A72A18"/>
    <w:rsid w:val="00A72AA9"/>
    <w:rsid w:val="00A72C67"/>
    <w:rsid w:val="00A72E40"/>
    <w:rsid w:val="00A72EA2"/>
    <w:rsid w:val="00A72F07"/>
    <w:rsid w:val="00A73294"/>
    <w:rsid w:val="00A732C7"/>
    <w:rsid w:val="00A73321"/>
    <w:rsid w:val="00A7349D"/>
    <w:rsid w:val="00A73734"/>
    <w:rsid w:val="00A73786"/>
    <w:rsid w:val="00A737F5"/>
    <w:rsid w:val="00A73A2B"/>
    <w:rsid w:val="00A73BDF"/>
    <w:rsid w:val="00A73D04"/>
    <w:rsid w:val="00A73EE0"/>
    <w:rsid w:val="00A7414D"/>
    <w:rsid w:val="00A74260"/>
    <w:rsid w:val="00A7432B"/>
    <w:rsid w:val="00A74478"/>
    <w:rsid w:val="00A7459F"/>
    <w:rsid w:val="00A745A6"/>
    <w:rsid w:val="00A74877"/>
    <w:rsid w:val="00A74999"/>
    <w:rsid w:val="00A74A4B"/>
    <w:rsid w:val="00A74BE2"/>
    <w:rsid w:val="00A750A6"/>
    <w:rsid w:val="00A7524E"/>
    <w:rsid w:val="00A75330"/>
    <w:rsid w:val="00A754B6"/>
    <w:rsid w:val="00A7555C"/>
    <w:rsid w:val="00A75715"/>
    <w:rsid w:val="00A7572D"/>
    <w:rsid w:val="00A75883"/>
    <w:rsid w:val="00A75927"/>
    <w:rsid w:val="00A75A70"/>
    <w:rsid w:val="00A75ACF"/>
    <w:rsid w:val="00A75C66"/>
    <w:rsid w:val="00A75CC4"/>
    <w:rsid w:val="00A75D1B"/>
    <w:rsid w:val="00A75E7E"/>
    <w:rsid w:val="00A76109"/>
    <w:rsid w:val="00A762F3"/>
    <w:rsid w:val="00A765E0"/>
    <w:rsid w:val="00A7666C"/>
    <w:rsid w:val="00A76698"/>
    <w:rsid w:val="00A7698E"/>
    <w:rsid w:val="00A76A8A"/>
    <w:rsid w:val="00A76B39"/>
    <w:rsid w:val="00A76B5A"/>
    <w:rsid w:val="00A76DB4"/>
    <w:rsid w:val="00A76FA0"/>
    <w:rsid w:val="00A77016"/>
    <w:rsid w:val="00A77121"/>
    <w:rsid w:val="00A7724E"/>
    <w:rsid w:val="00A7726D"/>
    <w:rsid w:val="00A7742F"/>
    <w:rsid w:val="00A775BA"/>
    <w:rsid w:val="00A77650"/>
    <w:rsid w:val="00A77768"/>
    <w:rsid w:val="00A777CD"/>
    <w:rsid w:val="00A7780D"/>
    <w:rsid w:val="00A7799C"/>
    <w:rsid w:val="00A77E3F"/>
    <w:rsid w:val="00A77E5E"/>
    <w:rsid w:val="00A77EBC"/>
    <w:rsid w:val="00A77F4E"/>
    <w:rsid w:val="00A77FBC"/>
    <w:rsid w:val="00A77FE4"/>
    <w:rsid w:val="00A80121"/>
    <w:rsid w:val="00A8026D"/>
    <w:rsid w:val="00A8027F"/>
    <w:rsid w:val="00A802FF"/>
    <w:rsid w:val="00A8057D"/>
    <w:rsid w:val="00A80619"/>
    <w:rsid w:val="00A8070B"/>
    <w:rsid w:val="00A80861"/>
    <w:rsid w:val="00A80886"/>
    <w:rsid w:val="00A80AF0"/>
    <w:rsid w:val="00A80B0E"/>
    <w:rsid w:val="00A80D0F"/>
    <w:rsid w:val="00A80F88"/>
    <w:rsid w:val="00A8160C"/>
    <w:rsid w:val="00A816C8"/>
    <w:rsid w:val="00A81749"/>
    <w:rsid w:val="00A81773"/>
    <w:rsid w:val="00A817CE"/>
    <w:rsid w:val="00A81A60"/>
    <w:rsid w:val="00A81AB8"/>
    <w:rsid w:val="00A81DB6"/>
    <w:rsid w:val="00A81EE9"/>
    <w:rsid w:val="00A81F32"/>
    <w:rsid w:val="00A82481"/>
    <w:rsid w:val="00A82754"/>
    <w:rsid w:val="00A827B2"/>
    <w:rsid w:val="00A82A7A"/>
    <w:rsid w:val="00A82AFF"/>
    <w:rsid w:val="00A82E29"/>
    <w:rsid w:val="00A83225"/>
    <w:rsid w:val="00A8334E"/>
    <w:rsid w:val="00A8337D"/>
    <w:rsid w:val="00A833EE"/>
    <w:rsid w:val="00A8341D"/>
    <w:rsid w:val="00A8348E"/>
    <w:rsid w:val="00A8352B"/>
    <w:rsid w:val="00A83909"/>
    <w:rsid w:val="00A83EA3"/>
    <w:rsid w:val="00A83F64"/>
    <w:rsid w:val="00A8409C"/>
    <w:rsid w:val="00A840F6"/>
    <w:rsid w:val="00A843DC"/>
    <w:rsid w:val="00A8458A"/>
    <w:rsid w:val="00A84592"/>
    <w:rsid w:val="00A846CE"/>
    <w:rsid w:val="00A8472A"/>
    <w:rsid w:val="00A847BB"/>
    <w:rsid w:val="00A848A7"/>
    <w:rsid w:val="00A84900"/>
    <w:rsid w:val="00A849A9"/>
    <w:rsid w:val="00A84A84"/>
    <w:rsid w:val="00A84A97"/>
    <w:rsid w:val="00A84CCE"/>
    <w:rsid w:val="00A84EE5"/>
    <w:rsid w:val="00A84F15"/>
    <w:rsid w:val="00A84F3F"/>
    <w:rsid w:val="00A8501B"/>
    <w:rsid w:val="00A850CC"/>
    <w:rsid w:val="00A8518F"/>
    <w:rsid w:val="00A85208"/>
    <w:rsid w:val="00A853DD"/>
    <w:rsid w:val="00A8559D"/>
    <w:rsid w:val="00A85916"/>
    <w:rsid w:val="00A859B3"/>
    <w:rsid w:val="00A85B38"/>
    <w:rsid w:val="00A85D07"/>
    <w:rsid w:val="00A85D2D"/>
    <w:rsid w:val="00A86197"/>
    <w:rsid w:val="00A86258"/>
    <w:rsid w:val="00A86437"/>
    <w:rsid w:val="00A86506"/>
    <w:rsid w:val="00A86552"/>
    <w:rsid w:val="00A86669"/>
    <w:rsid w:val="00A8675F"/>
    <w:rsid w:val="00A8683E"/>
    <w:rsid w:val="00A868BE"/>
    <w:rsid w:val="00A86965"/>
    <w:rsid w:val="00A869E0"/>
    <w:rsid w:val="00A86BE3"/>
    <w:rsid w:val="00A86C5C"/>
    <w:rsid w:val="00A86E51"/>
    <w:rsid w:val="00A86F51"/>
    <w:rsid w:val="00A87329"/>
    <w:rsid w:val="00A874DF"/>
    <w:rsid w:val="00A874FF"/>
    <w:rsid w:val="00A875EC"/>
    <w:rsid w:val="00A87705"/>
    <w:rsid w:val="00A8791B"/>
    <w:rsid w:val="00A87AB4"/>
    <w:rsid w:val="00A87ADB"/>
    <w:rsid w:val="00A87BC3"/>
    <w:rsid w:val="00A87C0C"/>
    <w:rsid w:val="00A87EA0"/>
    <w:rsid w:val="00A87F20"/>
    <w:rsid w:val="00A87F2D"/>
    <w:rsid w:val="00A90020"/>
    <w:rsid w:val="00A90042"/>
    <w:rsid w:val="00A900C8"/>
    <w:rsid w:val="00A9029F"/>
    <w:rsid w:val="00A9042E"/>
    <w:rsid w:val="00A906A9"/>
    <w:rsid w:val="00A906C0"/>
    <w:rsid w:val="00A9075D"/>
    <w:rsid w:val="00A908A6"/>
    <w:rsid w:val="00A908D6"/>
    <w:rsid w:val="00A909BD"/>
    <w:rsid w:val="00A90DA1"/>
    <w:rsid w:val="00A90DB3"/>
    <w:rsid w:val="00A90DF2"/>
    <w:rsid w:val="00A90DFD"/>
    <w:rsid w:val="00A90E53"/>
    <w:rsid w:val="00A90F71"/>
    <w:rsid w:val="00A91101"/>
    <w:rsid w:val="00A91121"/>
    <w:rsid w:val="00A911F8"/>
    <w:rsid w:val="00A912B8"/>
    <w:rsid w:val="00A913BB"/>
    <w:rsid w:val="00A9153A"/>
    <w:rsid w:val="00A9156A"/>
    <w:rsid w:val="00A915D9"/>
    <w:rsid w:val="00A916DA"/>
    <w:rsid w:val="00A91913"/>
    <w:rsid w:val="00A91CC9"/>
    <w:rsid w:val="00A91CDC"/>
    <w:rsid w:val="00A91DC2"/>
    <w:rsid w:val="00A92081"/>
    <w:rsid w:val="00A920BD"/>
    <w:rsid w:val="00A92222"/>
    <w:rsid w:val="00A92259"/>
    <w:rsid w:val="00A922A8"/>
    <w:rsid w:val="00A9232C"/>
    <w:rsid w:val="00A926E9"/>
    <w:rsid w:val="00A927DB"/>
    <w:rsid w:val="00A928AD"/>
    <w:rsid w:val="00A929CD"/>
    <w:rsid w:val="00A92C24"/>
    <w:rsid w:val="00A92FEC"/>
    <w:rsid w:val="00A9306E"/>
    <w:rsid w:val="00A93170"/>
    <w:rsid w:val="00A93370"/>
    <w:rsid w:val="00A93590"/>
    <w:rsid w:val="00A935B0"/>
    <w:rsid w:val="00A936BB"/>
    <w:rsid w:val="00A938F5"/>
    <w:rsid w:val="00A939B5"/>
    <w:rsid w:val="00A939CB"/>
    <w:rsid w:val="00A93B12"/>
    <w:rsid w:val="00A93C01"/>
    <w:rsid w:val="00A93C04"/>
    <w:rsid w:val="00A93C3D"/>
    <w:rsid w:val="00A93C90"/>
    <w:rsid w:val="00A93F73"/>
    <w:rsid w:val="00A93F89"/>
    <w:rsid w:val="00A94059"/>
    <w:rsid w:val="00A9405E"/>
    <w:rsid w:val="00A9414A"/>
    <w:rsid w:val="00A94430"/>
    <w:rsid w:val="00A94457"/>
    <w:rsid w:val="00A9447D"/>
    <w:rsid w:val="00A9467F"/>
    <w:rsid w:val="00A94838"/>
    <w:rsid w:val="00A94849"/>
    <w:rsid w:val="00A94B68"/>
    <w:rsid w:val="00A94D58"/>
    <w:rsid w:val="00A94D65"/>
    <w:rsid w:val="00A94D9F"/>
    <w:rsid w:val="00A95095"/>
    <w:rsid w:val="00A950ED"/>
    <w:rsid w:val="00A9520F"/>
    <w:rsid w:val="00A95286"/>
    <w:rsid w:val="00A9542B"/>
    <w:rsid w:val="00A959BB"/>
    <w:rsid w:val="00A95B51"/>
    <w:rsid w:val="00A95BD7"/>
    <w:rsid w:val="00A95D09"/>
    <w:rsid w:val="00A95DAD"/>
    <w:rsid w:val="00A95E1B"/>
    <w:rsid w:val="00A96020"/>
    <w:rsid w:val="00A960ED"/>
    <w:rsid w:val="00A96179"/>
    <w:rsid w:val="00A961EC"/>
    <w:rsid w:val="00A961FA"/>
    <w:rsid w:val="00A962B5"/>
    <w:rsid w:val="00A96322"/>
    <w:rsid w:val="00A96380"/>
    <w:rsid w:val="00A963B4"/>
    <w:rsid w:val="00A963CB"/>
    <w:rsid w:val="00A96586"/>
    <w:rsid w:val="00A96736"/>
    <w:rsid w:val="00A96900"/>
    <w:rsid w:val="00A96AA9"/>
    <w:rsid w:val="00A96AFC"/>
    <w:rsid w:val="00A96B15"/>
    <w:rsid w:val="00A96D24"/>
    <w:rsid w:val="00A96D45"/>
    <w:rsid w:val="00A96F74"/>
    <w:rsid w:val="00A96FBF"/>
    <w:rsid w:val="00A96FDF"/>
    <w:rsid w:val="00A97088"/>
    <w:rsid w:val="00A97174"/>
    <w:rsid w:val="00A97397"/>
    <w:rsid w:val="00A974C2"/>
    <w:rsid w:val="00A97609"/>
    <w:rsid w:val="00A9769B"/>
    <w:rsid w:val="00A9771B"/>
    <w:rsid w:val="00A979CE"/>
    <w:rsid w:val="00A97A15"/>
    <w:rsid w:val="00A97B57"/>
    <w:rsid w:val="00A97D98"/>
    <w:rsid w:val="00A97E10"/>
    <w:rsid w:val="00A97E64"/>
    <w:rsid w:val="00A97FA2"/>
    <w:rsid w:val="00A97FBD"/>
    <w:rsid w:val="00A97FE3"/>
    <w:rsid w:val="00AA003C"/>
    <w:rsid w:val="00AA026C"/>
    <w:rsid w:val="00AA0376"/>
    <w:rsid w:val="00AA0392"/>
    <w:rsid w:val="00AA049A"/>
    <w:rsid w:val="00AA05D2"/>
    <w:rsid w:val="00AA06D1"/>
    <w:rsid w:val="00AA07D2"/>
    <w:rsid w:val="00AA09C1"/>
    <w:rsid w:val="00AA0A8D"/>
    <w:rsid w:val="00AA0A95"/>
    <w:rsid w:val="00AA0AAD"/>
    <w:rsid w:val="00AA0B61"/>
    <w:rsid w:val="00AA0BB3"/>
    <w:rsid w:val="00AA0BC1"/>
    <w:rsid w:val="00AA0D1A"/>
    <w:rsid w:val="00AA0DB4"/>
    <w:rsid w:val="00AA13DB"/>
    <w:rsid w:val="00AA13EF"/>
    <w:rsid w:val="00AA14B9"/>
    <w:rsid w:val="00AA14D3"/>
    <w:rsid w:val="00AA14E1"/>
    <w:rsid w:val="00AA19E6"/>
    <w:rsid w:val="00AA1A43"/>
    <w:rsid w:val="00AA1C7C"/>
    <w:rsid w:val="00AA1CBE"/>
    <w:rsid w:val="00AA1FD7"/>
    <w:rsid w:val="00AA2392"/>
    <w:rsid w:val="00AA23DB"/>
    <w:rsid w:val="00AA24EF"/>
    <w:rsid w:val="00AA267E"/>
    <w:rsid w:val="00AA283F"/>
    <w:rsid w:val="00AA284D"/>
    <w:rsid w:val="00AA2D56"/>
    <w:rsid w:val="00AA2F6E"/>
    <w:rsid w:val="00AA3165"/>
    <w:rsid w:val="00AA3262"/>
    <w:rsid w:val="00AA32FA"/>
    <w:rsid w:val="00AA3318"/>
    <w:rsid w:val="00AA331F"/>
    <w:rsid w:val="00AA3366"/>
    <w:rsid w:val="00AA338F"/>
    <w:rsid w:val="00AA33E1"/>
    <w:rsid w:val="00AA34A9"/>
    <w:rsid w:val="00AA34D2"/>
    <w:rsid w:val="00AA3579"/>
    <w:rsid w:val="00AA3A49"/>
    <w:rsid w:val="00AA3C10"/>
    <w:rsid w:val="00AA3C48"/>
    <w:rsid w:val="00AA3C4E"/>
    <w:rsid w:val="00AA3DE7"/>
    <w:rsid w:val="00AA3EE5"/>
    <w:rsid w:val="00AA410C"/>
    <w:rsid w:val="00AA4145"/>
    <w:rsid w:val="00AA41C0"/>
    <w:rsid w:val="00AA42CF"/>
    <w:rsid w:val="00AA44B6"/>
    <w:rsid w:val="00AA4703"/>
    <w:rsid w:val="00AA48B1"/>
    <w:rsid w:val="00AA4908"/>
    <w:rsid w:val="00AA490E"/>
    <w:rsid w:val="00AA4A6B"/>
    <w:rsid w:val="00AA4C77"/>
    <w:rsid w:val="00AA4D94"/>
    <w:rsid w:val="00AA5009"/>
    <w:rsid w:val="00AA54FC"/>
    <w:rsid w:val="00AA577A"/>
    <w:rsid w:val="00AA5804"/>
    <w:rsid w:val="00AA5834"/>
    <w:rsid w:val="00AA590F"/>
    <w:rsid w:val="00AA5993"/>
    <w:rsid w:val="00AA5A8D"/>
    <w:rsid w:val="00AA5AF2"/>
    <w:rsid w:val="00AA5EB0"/>
    <w:rsid w:val="00AA5F7F"/>
    <w:rsid w:val="00AA6020"/>
    <w:rsid w:val="00AA60EE"/>
    <w:rsid w:val="00AA6103"/>
    <w:rsid w:val="00AA6266"/>
    <w:rsid w:val="00AA63FF"/>
    <w:rsid w:val="00AA6483"/>
    <w:rsid w:val="00AA65E8"/>
    <w:rsid w:val="00AA65FA"/>
    <w:rsid w:val="00AA67D8"/>
    <w:rsid w:val="00AA6A2F"/>
    <w:rsid w:val="00AA6A96"/>
    <w:rsid w:val="00AA6ACA"/>
    <w:rsid w:val="00AA6AD4"/>
    <w:rsid w:val="00AA6AF6"/>
    <w:rsid w:val="00AA6BB1"/>
    <w:rsid w:val="00AA6C54"/>
    <w:rsid w:val="00AA6D19"/>
    <w:rsid w:val="00AA6D79"/>
    <w:rsid w:val="00AA6DE8"/>
    <w:rsid w:val="00AA6E78"/>
    <w:rsid w:val="00AA6FAA"/>
    <w:rsid w:val="00AA7080"/>
    <w:rsid w:val="00AA7115"/>
    <w:rsid w:val="00AA71A5"/>
    <w:rsid w:val="00AA7449"/>
    <w:rsid w:val="00AA7666"/>
    <w:rsid w:val="00AA7745"/>
    <w:rsid w:val="00AA782C"/>
    <w:rsid w:val="00AA7857"/>
    <w:rsid w:val="00AA7868"/>
    <w:rsid w:val="00AA79C9"/>
    <w:rsid w:val="00AA7A96"/>
    <w:rsid w:val="00AA7AFE"/>
    <w:rsid w:val="00AA7B3B"/>
    <w:rsid w:val="00AA7D7C"/>
    <w:rsid w:val="00AA7E42"/>
    <w:rsid w:val="00AA7F0F"/>
    <w:rsid w:val="00AA7F5D"/>
    <w:rsid w:val="00AB0080"/>
    <w:rsid w:val="00AB00E9"/>
    <w:rsid w:val="00AB043C"/>
    <w:rsid w:val="00AB05DD"/>
    <w:rsid w:val="00AB061E"/>
    <w:rsid w:val="00AB0622"/>
    <w:rsid w:val="00AB0911"/>
    <w:rsid w:val="00AB0A8B"/>
    <w:rsid w:val="00AB0B00"/>
    <w:rsid w:val="00AB0B41"/>
    <w:rsid w:val="00AB0E9A"/>
    <w:rsid w:val="00AB0EF7"/>
    <w:rsid w:val="00AB0F07"/>
    <w:rsid w:val="00AB0FCC"/>
    <w:rsid w:val="00AB10A7"/>
    <w:rsid w:val="00AB10CB"/>
    <w:rsid w:val="00AB1186"/>
    <w:rsid w:val="00AB12B8"/>
    <w:rsid w:val="00AB1565"/>
    <w:rsid w:val="00AB1576"/>
    <w:rsid w:val="00AB1784"/>
    <w:rsid w:val="00AB1869"/>
    <w:rsid w:val="00AB18C4"/>
    <w:rsid w:val="00AB1C5A"/>
    <w:rsid w:val="00AB1CA4"/>
    <w:rsid w:val="00AB1DBB"/>
    <w:rsid w:val="00AB1E47"/>
    <w:rsid w:val="00AB1F1B"/>
    <w:rsid w:val="00AB2162"/>
    <w:rsid w:val="00AB217E"/>
    <w:rsid w:val="00AB255A"/>
    <w:rsid w:val="00AB2560"/>
    <w:rsid w:val="00AB2630"/>
    <w:rsid w:val="00AB29F0"/>
    <w:rsid w:val="00AB2E71"/>
    <w:rsid w:val="00AB2FDF"/>
    <w:rsid w:val="00AB30AE"/>
    <w:rsid w:val="00AB31E2"/>
    <w:rsid w:val="00AB3224"/>
    <w:rsid w:val="00AB322A"/>
    <w:rsid w:val="00AB3373"/>
    <w:rsid w:val="00AB33BE"/>
    <w:rsid w:val="00AB3498"/>
    <w:rsid w:val="00AB39F5"/>
    <w:rsid w:val="00AB3A83"/>
    <w:rsid w:val="00AB3C26"/>
    <w:rsid w:val="00AB424A"/>
    <w:rsid w:val="00AB428D"/>
    <w:rsid w:val="00AB42A9"/>
    <w:rsid w:val="00AB4361"/>
    <w:rsid w:val="00AB47AD"/>
    <w:rsid w:val="00AB4824"/>
    <w:rsid w:val="00AB48C1"/>
    <w:rsid w:val="00AB4B7F"/>
    <w:rsid w:val="00AB4DA9"/>
    <w:rsid w:val="00AB5089"/>
    <w:rsid w:val="00AB53F4"/>
    <w:rsid w:val="00AB5416"/>
    <w:rsid w:val="00AB563F"/>
    <w:rsid w:val="00AB5A00"/>
    <w:rsid w:val="00AB5AE4"/>
    <w:rsid w:val="00AB5B65"/>
    <w:rsid w:val="00AB5B75"/>
    <w:rsid w:val="00AB5C9D"/>
    <w:rsid w:val="00AB5CE6"/>
    <w:rsid w:val="00AB5DA7"/>
    <w:rsid w:val="00AB5DF1"/>
    <w:rsid w:val="00AB5F5B"/>
    <w:rsid w:val="00AB60D6"/>
    <w:rsid w:val="00AB6127"/>
    <w:rsid w:val="00AB6415"/>
    <w:rsid w:val="00AB67B4"/>
    <w:rsid w:val="00AB6A32"/>
    <w:rsid w:val="00AB6CF2"/>
    <w:rsid w:val="00AB7273"/>
    <w:rsid w:val="00AB72B3"/>
    <w:rsid w:val="00AB738C"/>
    <w:rsid w:val="00AB75D0"/>
    <w:rsid w:val="00AB76C0"/>
    <w:rsid w:val="00AB76E2"/>
    <w:rsid w:val="00AB773B"/>
    <w:rsid w:val="00AB773E"/>
    <w:rsid w:val="00AB7752"/>
    <w:rsid w:val="00AB7828"/>
    <w:rsid w:val="00AB7840"/>
    <w:rsid w:val="00AB78A2"/>
    <w:rsid w:val="00AB78DC"/>
    <w:rsid w:val="00AB795C"/>
    <w:rsid w:val="00AB79FA"/>
    <w:rsid w:val="00AB7B2F"/>
    <w:rsid w:val="00AB7C70"/>
    <w:rsid w:val="00AB7D45"/>
    <w:rsid w:val="00AB7D6C"/>
    <w:rsid w:val="00AB7EB9"/>
    <w:rsid w:val="00AB7EE7"/>
    <w:rsid w:val="00AC009D"/>
    <w:rsid w:val="00AC0124"/>
    <w:rsid w:val="00AC0132"/>
    <w:rsid w:val="00AC038D"/>
    <w:rsid w:val="00AC06F6"/>
    <w:rsid w:val="00AC0732"/>
    <w:rsid w:val="00AC08C1"/>
    <w:rsid w:val="00AC0B0F"/>
    <w:rsid w:val="00AC0B22"/>
    <w:rsid w:val="00AC0C26"/>
    <w:rsid w:val="00AC0CBD"/>
    <w:rsid w:val="00AC0D00"/>
    <w:rsid w:val="00AC0F8F"/>
    <w:rsid w:val="00AC11F6"/>
    <w:rsid w:val="00AC1313"/>
    <w:rsid w:val="00AC140E"/>
    <w:rsid w:val="00AC14CB"/>
    <w:rsid w:val="00AC15C4"/>
    <w:rsid w:val="00AC1667"/>
    <w:rsid w:val="00AC173D"/>
    <w:rsid w:val="00AC177E"/>
    <w:rsid w:val="00AC17E6"/>
    <w:rsid w:val="00AC1BCE"/>
    <w:rsid w:val="00AC1C4F"/>
    <w:rsid w:val="00AC1DA7"/>
    <w:rsid w:val="00AC1EB0"/>
    <w:rsid w:val="00AC1FEC"/>
    <w:rsid w:val="00AC2116"/>
    <w:rsid w:val="00AC25C5"/>
    <w:rsid w:val="00AC2635"/>
    <w:rsid w:val="00AC2651"/>
    <w:rsid w:val="00AC26F2"/>
    <w:rsid w:val="00AC27EE"/>
    <w:rsid w:val="00AC28A8"/>
    <w:rsid w:val="00AC2998"/>
    <w:rsid w:val="00AC2B22"/>
    <w:rsid w:val="00AC2C9F"/>
    <w:rsid w:val="00AC2DC1"/>
    <w:rsid w:val="00AC2DCD"/>
    <w:rsid w:val="00AC301D"/>
    <w:rsid w:val="00AC3078"/>
    <w:rsid w:val="00AC30A4"/>
    <w:rsid w:val="00AC3155"/>
    <w:rsid w:val="00AC3205"/>
    <w:rsid w:val="00AC3276"/>
    <w:rsid w:val="00AC3298"/>
    <w:rsid w:val="00AC35E5"/>
    <w:rsid w:val="00AC375F"/>
    <w:rsid w:val="00AC3B38"/>
    <w:rsid w:val="00AC3B7F"/>
    <w:rsid w:val="00AC3BB8"/>
    <w:rsid w:val="00AC3BF1"/>
    <w:rsid w:val="00AC3C7D"/>
    <w:rsid w:val="00AC3EC8"/>
    <w:rsid w:val="00AC40B8"/>
    <w:rsid w:val="00AC43C1"/>
    <w:rsid w:val="00AC4434"/>
    <w:rsid w:val="00AC44ED"/>
    <w:rsid w:val="00AC4622"/>
    <w:rsid w:val="00AC4687"/>
    <w:rsid w:val="00AC4820"/>
    <w:rsid w:val="00AC48DB"/>
    <w:rsid w:val="00AC4A6F"/>
    <w:rsid w:val="00AC4B17"/>
    <w:rsid w:val="00AC4B8A"/>
    <w:rsid w:val="00AC4CA1"/>
    <w:rsid w:val="00AC4E3E"/>
    <w:rsid w:val="00AC4E90"/>
    <w:rsid w:val="00AC4FBC"/>
    <w:rsid w:val="00AC5116"/>
    <w:rsid w:val="00AC532A"/>
    <w:rsid w:val="00AC5641"/>
    <w:rsid w:val="00AC5A45"/>
    <w:rsid w:val="00AC5B2B"/>
    <w:rsid w:val="00AC5BE8"/>
    <w:rsid w:val="00AC5C46"/>
    <w:rsid w:val="00AC5C5B"/>
    <w:rsid w:val="00AC5CB3"/>
    <w:rsid w:val="00AC5D2D"/>
    <w:rsid w:val="00AC5E78"/>
    <w:rsid w:val="00AC60AD"/>
    <w:rsid w:val="00AC60E4"/>
    <w:rsid w:val="00AC6105"/>
    <w:rsid w:val="00AC62C6"/>
    <w:rsid w:val="00AC638B"/>
    <w:rsid w:val="00AC6460"/>
    <w:rsid w:val="00AC64CC"/>
    <w:rsid w:val="00AC65D5"/>
    <w:rsid w:val="00AC67CA"/>
    <w:rsid w:val="00AC69EF"/>
    <w:rsid w:val="00AC6CD4"/>
    <w:rsid w:val="00AC6E65"/>
    <w:rsid w:val="00AC712E"/>
    <w:rsid w:val="00AC7182"/>
    <w:rsid w:val="00AC71F7"/>
    <w:rsid w:val="00AC7207"/>
    <w:rsid w:val="00AC768E"/>
    <w:rsid w:val="00AC76A9"/>
    <w:rsid w:val="00AC7817"/>
    <w:rsid w:val="00AC791F"/>
    <w:rsid w:val="00AC7EEE"/>
    <w:rsid w:val="00AC7FD9"/>
    <w:rsid w:val="00AD0034"/>
    <w:rsid w:val="00AD0165"/>
    <w:rsid w:val="00AD01DF"/>
    <w:rsid w:val="00AD0290"/>
    <w:rsid w:val="00AD042E"/>
    <w:rsid w:val="00AD066B"/>
    <w:rsid w:val="00AD0719"/>
    <w:rsid w:val="00AD0781"/>
    <w:rsid w:val="00AD0784"/>
    <w:rsid w:val="00AD0A28"/>
    <w:rsid w:val="00AD0AAF"/>
    <w:rsid w:val="00AD0AFC"/>
    <w:rsid w:val="00AD0C13"/>
    <w:rsid w:val="00AD0CAB"/>
    <w:rsid w:val="00AD0E7B"/>
    <w:rsid w:val="00AD0ED4"/>
    <w:rsid w:val="00AD0F30"/>
    <w:rsid w:val="00AD10D0"/>
    <w:rsid w:val="00AD119C"/>
    <w:rsid w:val="00AD1200"/>
    <w:rsid w:val="00AD13C9"/>
    <w:rsid w:val="00AD13DD"/>
    <w:rsid w:val="00AD14A4"/>
    <w:rsid w:val="00AD1521"/>
    <w:rsid w:val="00AD1606"/>
    <w:rsid w:val="00AD1662"/>
    <w:rsid w:val="00AD180D"/>
    <w:rsid w:val="00AD1900"/>
    <w:rsid w:val="00AD1C46"/>
    <w:rsid w:val="00AD2092"/>
    <w:rsid w:val="00AD2224"/>
    <w:rsid w:val="00AD2226"/>
    <w:rsid w:val="00AD2552"/>
    <w:rsid w:val="00AD25A9"/>
    <w:rsid w:val="00AD25D2"/>
    <w:rsid w:val="00AD262E"/>
    <w:rsid w:val="00AD2737"/>
    <w:rsid w:val="00AD28BF"/>
    <w:rsid w:val="00AD2D70"/>
    <w:rsid w:val="00AD30F7"/>
    <w:rsid w:val="00AD31B0"/>
    <w:rsid w:val="00AD346C"/>
    <w:rsid w:val="00AD357B"/>
    <w:rsid w:val="00AD36C3"/>
    <w:rsid w:val="00AD3834"/>
    <w:rsid w:val="00AD38B1"/>
    <w:rsid w:val="00AD396E"/>
    <w:rsid w:val="00AD3C38"/>
    <w:rsid w:val="00AD3CF9"/>
    <w:rsid w:val="00AD3E17"/>
    <w:rsid w:val="00AD3E27"/>
    <w:rsid w:val="00AD3F2F"/>
    <w:rsid w:val="00AD3FE2"/>
    <w:rsid w:val="00AD4150"/>
    <w:rsid w:val="00AD42B2"/>
    <w:rsid w:val="00AD43A8"/>
    <w:rsid w:val="00AD4578"/>
    <w:rsid w:val="00AD45F4"/>
    <w:rsid w:val="00AD48A3"/>
    <w:rsid w:val="00AD496D"/>
    <w:rsid w:val="00AD4987"/>
    <w:rsid w:val="00AD5169"/>
    <w:rsid w:val="00AD5288"/>
    <w:rsid w:val="00AD5365"/>
    <w:rsid w:val="00AD5774"/>
    <w:rsid w:val="00AD578F"/>
    <w:rsid w:val="00AD59A8"/>
    <w:rsid w:val="00AD59BC"/>
    <w:rsid w:val="00AD59CE"/>
    <w:rsid w:val="00AD5BC2"/>
    <w:rsid w:val="00AD5D2E"/>
    <w:rsid w:val="00AD6047"/>
    <w:rsid w:val="00AD60D1"/>
    <w:rsid w:val="00AD61AF"/>
    <w:rsid w:val="00AD62B4"/>
    <w:rsid w:val="00AD6444"/>
    <w:rsid w:val="00AD6550"/>
    <w:rsid w:val="00AD65F5"/>
    <w:rsid w:val="00AD6653"/>
    <w:rsid w:val="00AD6692"/>
    <w:rsid w:val="00AD6743"/>
    <w:rsid w:val="00AD6ADC"/>
    <w:rsid w:val="00AD6ADE"/>
    <w:rsid w:val="00AD6B47"/>
    <w:rsid w:val="00AD6BF4"/>
    <w:rsid w:val="00AD6CF6"/>
    <w:rsid w:val="00AD6E0C"/>
    <w:rsid w:val="00AD6EAF"/>
    <w:rsid w:val="00AD6F62"/>
    <w:rsid w:val="00AD7123"/>
    <w:rsid w:val="00AD7194"/>
    <w:rsid w:val="00AD7363"/>
    <w:rsid w:val="00AD75E2"/>
    <w:rsid w:val="00AD75FC"/>
    <w:rsid w:val="00AD764D"/>
    <w:rsid w:val="00AD7691"/>
    <w:rsid w:val="00AD76AB"/>
    <w:rsid w:val="00AD7705"/>
    <w:rsid w:val="00AD7913"/>
    <w:rsid w:val="00AD7A56"/>
    <w:rsid w:val="00AD7A75"/>
    <w:rsid w:val="00AD7A90"/>
    <w:rsid w:val="00AD7A9F"/>
    <w:rsid w:val="00AD7B32"/>
    <w:rsid w:val="00AD7B71"/>
    <w:rsid w:val="00AD7BE8"/>
    <w:rsid w:val="00AD7D82"/>
    <w:rsid w:val="00AD7E42"/>
    <w:rsid w:val="00AE015D"/>
    <w:rsid w:val="00AE0553"/>
    <w:rsid w:val="00AE0983"/>
    <w:rsid w:val="00AE0A38"/>
    <w:rsid w:val="00AE0BBD"/>
    <w:rsid w:val="00AE0DA8"/>
    <w:rsid w:val="00AE11C1"/>
    <w:rsid w:val="00AE1274"/>
    <w:rsid w:val="00AE14F0"/>
    <w:rsid w:val="00AE1580"/>
    <w:rsid w:val="00AE15EE"/>
    <w:rsid w:val="00AE165B"/>
    <w:rsid w:val="00AE17CE"/>
    <w:rsid w:val="00AE1871"/>
    <w:rsid w:val="00AE1AAA"/>
    <w:rsid w:val="00AE2132"/>
    <w:rsid w:val="00AE21E7"/>
    <w:rsid w:val="00AE2225"/>
    <w:rsid w:val="00AE2359"/>
    <w:rsid w:val="00AE2587"/>
    <w:rsid w:val="00AE29BA"/>
    <w:rsid w:val="00AE29F3"/>
    <w:rsid w:val="00AE2D47"/>
    <w:rsid w:val="00AE2E0E"/>
    <w:rsid w:val="00AE2FA4"/>
    <w:rsid w:val="00AE33A1"/>
    <w:rsid w:val="00AE38D0"/>
    <w:rsid w:val="00AE3975"/>
    <w:rsid w:val="00AE3BE9"/>
    <w:rsid w:val="00AE3CCD"/>
    <w:rsid w:val="00AE3F54"/>
    <w:rsid w:val="00AE4184"/>
    <w:rsid w:val="00AE422A"/>
    <w:rsid w:val="00AE4243"/>
    <w:rsid w:val="00AE4448"/>
    <w:rsid w:val="00AE4585"/>
    <w:rsid w:val="00AE45BA"/>
    <w:rsid w:val="00AE470D"/>
    <w:rsid w:val="00AE48EC"/>
    <w:rsid w:val="00AE4986"/>
    <w:rsid w:val="00AE4A88"/>
    <w:rsid w:val="00AE4CD9"/>
    <w:rsid w:val="00AE4D6B"/>
    <w:rsid w:val="00AE4D96"/>
    <w:rsid w:val="00AE4EE1"/>
    <w:rsid w:val="00AE515F"/>
    <w:rsid w:val="00AE5182"/>
    <w:rsid w:val="00AE5210"/>
    <w:rsid w:val="00AE571E"/>
    <w:rsid w:val="00AE57F7"/>
    <w:rsid w:val="00AE57FB"/>
    <w:rsid w:val="00AE598E"/>
    <w:rsid w:val="00AE59A0"/>
    <w:rsid w:val="00AE5B00"/>
    <w:rsid w:val="00AE5C92"/>
    <w:rsid w:val="00AE5CF0"/>
    <w:rsid w:val="00AE5D04"/>
    <w:rsid w:val="00AE5D36"/>
    <w:rsid w:val="00AE5E66"/>
    <w:rsid w:val="00AE5ED7"/>
    <w:rsid w:val="00AE6111"/>
    <w:rsid w:val="00AE62DA"/>
    <w:rsid w:val="00AE63CF"/>
    <w:rsid w:val="00AE6530"/>
    <w:rsid w:val="00AE6872"/>
    <w:rsid w:val="00AE687B"/>
    <w:rsid w:val="00AE68BC"/>
    <w:rsid w:val="00AE6AA7"/>
    <w:rsid w:val="00AE6E60"/>
    <w:rsid w:val="00AE6E6F"/>
    <w:rsid w:val="00AE701C"/>
    <w:rsid w:val="00AE7034"/>
    <w:rsid w:val="00AE70AE"/>
    <w:rsid w:val="00AE7114"/>
    <w:rsid w:val="00AE71D6"/>
    <w:rsid w:val="00AE72A5"/>
    <w:rsid w:val="00AE749F"/>
    <w:rsid w:val="00AE7513"/>
    <w:rsid w:val="00AE75B6"/>
    <w:rsid w:val="00AE75EF"/>
    <w:rsid w:val="00AE7638"/>
    <w:rsid w:val="00AE7A7F"/>
    <w:rsid w:val="00AE7A90"/>
    <w:rsid w:val="00AE7B74"/>
    <w:rsid w:val="00AE7B78"/>
    <w:rsid w:val="00AE7C35"/>
    <w:rsid w:val="00AE7E8C"/>
    <w:rsid w:val="00AF0462"/>
    <w:rsid w:val="00AF0519"/>
    <w:rsid w:val="00AF0543"/>
    <w:rsid w:val="00AF0597"/>
    <w:rsid w:val="00AF05B4"/>
    <w:rsid w:val="00AF07DE"/>
    <w:rsid w:val="00AF0A23"/>
    <w:rsid w:val="00AF0B9B"/>
    <w:rsid w:val="00AF0C92"/>
    <w:rsid w:val="00AF0DBB"/>
    <w:rsid w:val="00AF0ECE"/>
    <w:rsid w:val="00AF11BD"/>
    <w:rsid w:val="00AF148D"/>
    <w:rsid w:val="00AF15AB"/>
    <w:rsid w:val="00AF1753"/>
    <w:rsid w:val="00AF1BBF"/>
    <w:rsid w:val="00AF1DDA"/>
    <w:rsid w:val="00AF1DEC"/>
    <w:rsid w:val="00AF1E12"/>
    <w:rsid w:val="00AF1E87"/>
    <w:rsid w:val="00AF2072"/>
    <w:rsid w:val="00AF20EB"/>
    <w:rsid w:val="00AF212F"/>
    <w:rsid w:val="00AF2130"/>
    <w:rsid w:val="00AF2233"/>
    <w:rsid w:val="00AF23F0"/>
    <w:rsid w:val="00AF23FF"/>
    <w:rsid w:val="00AF2464"/>
    <w:rsid w:val="00AF246F"/>
    <w:rsid w:val="00AF2673"/>
    <w:rsid w:val="00AF27A5"/>
    <w:rsid w:val="00AF2866"/>
    <w:rsid w:val="00AF2996"/>
    <w:rsid w:val="00AF29E2"/>
    <w:rsid w:val="00AF2AD1"/>
    <w:rsid w:val="00AF2BC8"/>
    <w:rsid w:val="00AF2D22"/>
    <w:rsid w:val="00AF2E92"/>
    <w:rsid w:val="00AF2F89"/>
    <w:rsid w:val="00AF33CF"/>
    <w:rsid w:val="00AF37CC"/>
    <w:rsid w:val="00AF3CC5"/>
    <w:rsid w:val="00AF3D9A"/>
    <w:rsid w:val="00AF3E1C"/>
    <w:rsid w:val="00AF3E62"/>
    <w:rsid w:val="00AF3E73"/>
    <w:rsid w:val="00AF3E78"/>
    <w:rsid w:val="00AF4240"/>
    <w:rsid w:val="00AF4333"/>
    <w:rsid w:val="00AF43F1"/>
    <w:rsid w:val="00AF4507"/>
    <w:rsid w:val="00AF4595"/>
    <w:rsid w:val="00AF45CE"/>
    <w:rsid w:val="00AF466D"/>
    <w:rsid w:val="00AF468B"/>
    <w:rsid w:val="00AF485F"/>
    <w:rsid w:val="00AF497B"/>
    <w:rsid w:val="00AF4A12"/>
    <w:rsid w:val="00AF4ACB"/>
    <w:rsid w:val="00AF4F31"/>
    <w:rsid w:val="00AF510C"/>
    <w:rsid w:val="00AF5271"/>
    <w:rsid w:val="00AF5540"/>
    <w:rsid w:val="00AF5606"/>
    <w:rsid w:val="00AF5640"/>
    <w:rsid w:val="00AF5647"/>
    <w:rsid w:val="00AF57AE"/>
    <w:rsid w:val="00AF59C3"/>
    <w:rsid w:val="00AF5C98"/>
    <w:rsid w:val="00AF5CEB"/>
    <w:rsid w:val="00AF5E43"/>
    <w:rsid w:val="00AF5ECC"/>
    <w:rsid w:val="00AF5EEF"/>
    <w:rsid w:val="00AF5F28"/>
    <w:rsid w:val="00AF5F7A"/>
    <w:rsid w:val="00AF5FEE"/>
    <w:rsid w:val="00AF60AA"/>
    <w:rsid w:val="00AF61E7"/>
    <w:rsid w:val="00AF6351"/>
    <w:rsid w:val="00AF6988"/>
    <w:rsid w:val="00AF6A12"/>
    <w:rsid w:val="00AF6A78"/>
    <w:rsid w:val="00AF6B4D"/>
    <w:rsid w:val="00AF6DBD"/>
    <w:rsid w:val="00AF6DE7"/>
    <w:rsid w:val="00AF6F05"/>
    <w:rsid w:val="00AF701D"/>
    <w:rsid w:val="00AF7024"/>
    <w:rsid w:val="00AF75DF"/>
    <w:rsid w:val="00AF76E1"/>
    <w:rsid w:val="00AF79B6"/>
    <w:rsid w:val="00AF7BB2"/>
    <w:rsid w:val="00AF7E17"/>
    <w:rsid w:val="00AF7EF6"/>
    <w:rsid w:val="00AF7FD3"/>
    <w:rsid w:val="00B000BF"/>
    <w:rsid w:val="00B000F7"/>
    <w:rsid w:val="00B00128"/>
    <w:rsid w:val="00B0014E"/>
    <w:rsid w:val="00B00197"/>
    <w:rsid w:val="00B00226"/>
    <w:rsid w:val="00B0022E"/>
    <w:rsid w:val="00B00274"/>
    <w:rsid w:val="00B002DD"/>
    <w:rsid w:val="00B00500"/>
    <w:rsid w:val="00B0062A"/>
    <w:rsid w:val="00B00679"/>
    <w:rsid w:val="00B009F1"/>
    <w:rsid w:val="00B00AE7"/>
    <w:rsid w:val="00B00C63"/>
    <w:rsid w:val="00B00EF5"/>
    <w:rsid w:val="00B00F5E"/>
    <w:rsid w:val="00B00FE2"/>
    <w:rsid w:val="00B010A3"/>
    <w:rsid w:val="00B0181C"/>
    <w:rsid w:val="00B01920"/>
    <w:rsid w:val="00B01B2F"/>
    <w:rsid w:val="00B01BF4"/>
    <w:rsid w:val="00B01C29"/>
    <w:rsid w:val="00B01CCB"/>
    <w:rsid w:val="00B01E75"/>
    <w:rsid w:val="00B01EAA"/>
    <w:rsid w:val="00B01F49"/>
    <w:rsid w:val="00B01F75"/>
    <w:rsid w:val="00B01F8F"/>
    <w:rsid w:val="00B0204E"/>
    <w:rsid w:val="00B02131"/>
    <w:rsid w:val="00B02175"/>
    <w:rsid w:val="00B023D7"/>
    <w:rsid w:val="00B0259C"/>
    <w:rsid w:val="00B026B9"/>
    <w:rsid w:val="00B028FA"/>
    <w:rsid w:val="00B02962"/>
    <w:rsid w:val="00B02A6F"/>
    <w:rsid w:val="00B02AC0"/>
    <w:rsid w:val="00B02B58"/>
    <w:rsid w:val="00B02C09"/>
    <w:rsid w:val="00B02C4F"/>
    <w:rsid w:val="00B02C6E"/>
    <w:rsid w:val="00B02CBC"/>
    <w:rsid w:val="00B02EA4"/>
    <w:rsid w:val="00B033A9"/>
    <w:rsid w:val="00B03499"/>
    <w:rsid w:val="00B03693"/>
    <w:rsid w:val="00B03B5B"/>
    <w:rsid w:val="00B03D4E"/>
    <w:rsid w:val="00B03DEA"/>
    <w:rsid w:val="00B03F0A"/>
    <w:rsid w:val="00B03FD0"/>
    <w:rsid w:val="00B04033"/>
    <w:rsid w:val="00B040EF"/>
    <w:rsid w:val="00B04153"/>
    <w:rsid w:val="00B04187"/>
    <w:rsid w:val="00B04375"/>
    <w:rsid w:val="00B043B6"/>
    <w:rsid w:val="00B043D2"/>
    <w:rsid w:val="00B044B6"/>
    <w:rsid w:val="00B04741"/>
    <w:rsid w:val="00B0493D"/>
    <w:rsid w:val="00B0497B"/>
    <w:rsid w:val="00B049A9"/>
    <w:rsid w:val="00B04A85"/>
    <w:rsid w:val="00B04BE1"/>
    <w:rsid w:val="00B04D28"/>
    <w:rsid w:val="00B05076"/>
    <w:rsid w:val="00B05200"/>
    <w:rsid w:val="00B05311"/>
    <w:rsid w:val="00B053B6"/>
    <w:rsid w:val="00B053C7"/>
    <w:rsid w:val="00B0544D"/>
    <w:rsid w:val="00B05721"/>
    <w:rsid w:val="00B0578B"/>
    <w:rsid w:val="00B0580E"/>
    <w:rsid w:val="00B05865"/>
    <w:rsid w:val="00B05A17"/>
    <w:rsid w:val="00B05B3B"/>
    <w:rsid w:val="00B05B7D"/>
    <w:rsid w:val="00B05B98"/>
    <w:rsid w:val="00B05C96"/>
    <w:rsid w:val="00B05CD5"/>
    <w:rsid w:val="00B05CD7"/>
    <w:rsid w:val="00B05E43"/>
    <w:rsid w:val="00B05FD4"/>
    <w:rsid w:val="00B061B0"/>
    <w:rsid w:val="00B061B7"/>
    <w:rsid w:val="00B0625D"/>
    <w:rsid w:val="00B06317"/>
    <w:rsid w:val="00B064C8"/>
    <w:rsid w:val="00B0653B"/>
    <w:rsid w:val="00B065C2"/>
    <w:rsid w:val="00B066CC"/>
    <w:rsid w:val="00B0699A"/>
    <w:rsid w:val="00B069B2"/>
    <w:rsid w:val="00B06BF6"/>
    <w:rsid w:val="00B06D34"/>
    <w:rsid w:val="00B06DB8"/>
    <w:rsid w:val="00B072CC"/>
    <w:rsid w:val="00B0748E"/>
    <w:rsid w:val="00B07697"/>
    <w:rsid w:val="00B07746"/>
    <w:rsid w:val="00B077C3"/>
    <w:rsid w:val="00B078F1"/>
    <w:rsid w:val="00B078FF"/>
    <w:rsid w:val="00B07B26"/>
    <w:rsid w:val="00B07BB3"/>
    <w:rsid w:val="00B07E93"/>
    <w:rsid w:val="00B1015F"/>
    <w:rsid w:val="00B101C0"/>
    <w:rsid w:val="00B1030B"/>
    <w:rsid w:val="00B103A3"/>
    <w:rsid w:val="00B105B0"/>
    <w:rsid w:val="00B10741"/>
    <w:rsid w:val="00B10935"/>
    <w:rsid w:val="00B109C9"/>
    <w:rsid w:val="00B109E6"/>
    <w:rsid w:val="00B10AA6"/>
    <w:rsid w:val="00B10B9C"/>
    <w:rsid w:val="00B10C7E"/>
    <w:rsid w:val="00B10CD2"/>
    <w:rsid w:val="00B10D09"/>
    <w:rsid w:val="00B11146"/>
    <w:rsid w:val="00B111C1"/>
    <w:rsid w:val="00B11248"/>
    <w:rsid w:val="00B112E8"/>
    <w:rsid w:val="00B114FC"/>
    <w:rsid w:val="00B11513"/>
    <w:rsid w:val="00B1151B"/>
    <w:rsid w:val="00B11975"/>
    <w:rsid w:val="00B11B54"/>
    <w:rsid w:val="00B11BF2"/>
    <w:rsid w:val="00B11C0E"/>
    <w:rsid w:val="00B11C2F"/>
    <w:rsid w:val="00B11EF7"/>
    <w:rsid w:val="00B11FBD"/>
    <w:rsid w:val="00B12147"/>
    <w:rsid w:val="00B122BC"/>
    <w:rsid w:val="00B12771"/>
    <w:rsid w:val="00B127DC"/>
    <w:rsid w:val="00B12A6E"/>
    <w:rsid w:val="00B12B9F"/>
    <w:rsid w:val="00B12BD5"/>
    <w:rsid w:val="00B12BF1"/>
    <w:rsid w:val="00B12C7A"/>
    <w:rsid w:val="00B12CFE"/>
    <w:rsid w:val="00B12DC2"/>
    <w:rsid w:val="00B12DC8"/>
    <w:rsid w:val="00B12E61"/>
    <w:rsid w:val="00B12EC3"/>
    <w:rsid w:val="00B13101"/>
    <w:rsid w:val="00B132F1"/>
    <w:rsid w:val="00B13350"/>
    <w:rsid w:val="00B1336E"/>
    <w:rsid w:val="00B13613"/>
    <w:rsid w:val="00B136A0"/>
    <w:rsid w:val="00B13810"/>
    <w:rsid w:val="00B13A04"/>
    <w:rsid w:val="00B13B4D"/>
    <w:rsid w:val="00B13B6E"/>
    <w:rsid w:val="00B13BFB"/>
    <w:rsid w:val="00B13C35"/>
    <w:rsid w:val="00B13DEB"/>
    <w:rsid w:val="00B13E44"/>
    <w:rsid w:val="00B13ED7"/>
    <w:rsid w:val="00B14121"/>
    <w:rsid w:val="00B141E5"/>
    <w:rsid w:val="00B143A0"/>
    <w:rsid w:val="00B143C7"/>
    <w:rsid w:val="00B143C8"/>
    <w:rsid w:val="00B14429"/>
    <w:rsid w:val="00B144C3"/>
    <w:rsid w:val="00B146E9"/>
    <w:rsid w:val="00B146FE"/>
    <w:rsid w:val="00B14845"/>
    <w:rsid w:val="00B14A20"/>
    <w:rsid w:val="00B14B7A"/>
    <w:rsid w:val="00B14B7C"/>
    <w:rsid w:val="00B14D90"/>
    <w:rsid w:val="00B14F46"/>
    <w:rsid w:val="00B14FED"/>
    <w:rsid w:val="00B15040"/>
    <w:rsid w:val="00B15067"/>
    <w:rsid w:val="00B1512F"/>
    <w:rsid w:val="00B1514F"/>
    <w:rsid w:val="00B1577F"/>
    <w:rsid w:val="00B157FB"/>
    <w:rsid w:val="00B15818"/>
    <w:rsid w:val="00B1597E"/>
    <w:rsid w:val="00B15AAC"/>
    <w:rsid w:val="00B15BD5"/>
    <w:rsid w:val="00B15CFE"/>
    <w:rsid w:val="00B15D0A"/>
    <w:rsid w:val="00B15E2A"/>
    <w:rsid w:val="00B15E8F"/>
    <w:rsid w:val="00B16138"/>
    <w:rsid w:val="00B16383"/>
    <w:rsid w:val="00B16460"/>
    <w:rsid w:val="00B16472"/>
    <w:rsid w:val="00B165FE"/>
    <w:rsid w:val="00B16614"/>
    <w:rsid w:val="00B167C3"/>
    <w:rsid w:val="00B16A0D"/>
    <w:rsid w:val="00B16A1B"/>
    <w:rsid w:val="00B16A82"/>
    <w:rsid w:val="00B16F1B"/>
    <w:rsid w:val="00B1702E"/>
    <w:rsid w:val="00B17096"/>
    <w:rsid w:val="00B170BC"/>
    <w:rsid w:val="00B17172"/>
    <w:rsid w:val="00B1726C"/>
    <w:rsid w:val="00B172A7"/>
    <w:rsid w:val="00B17562"/>
    <w:rsid w:val="00B17574"/>
    <w:rsid w:val="00B17809"/>
    <w:rsid w:val="00B17827"/>
    <w:rsid w:val="00B17913"/>
    <w:rsid w:val="00B17B83"/>
    <w:rsid w:val="00B17D72"/>
    <w:rsid w:val="00B17DD9"/>
    <w:rsid w:val="00B17E17"/>
    <w:rsid w:val="00B20124"/>
    <w:rsid w:val="00B2018A"/>
    <w:rsid w:val="00B2055C"/>
    <w:rsid w:val="00B2058F"/>
    <w:rsid w:val="00B205C7"/>
    <w:rsid w:val="00B207E7"/>
    <w:rsid w:val="00B208F3"/>
    <w:rsid w:val="00B2096C"/>
    <w:rsid w:val="00B20AC3"/>
    <w:rsid w:val="00B20BCE"/>
    <w:rsid w:val="00B20C51"/>
    <w:rsid w:val="00B20CFF"/>
    <w:rsid w:val="00B20DEC"/>
    <w:rsid w:val="00B20EBD"/>
    <w:rsid w:val="00B2104C"/>
    <w:rsid w:val="00B2105E"/>
    <w:rsid w:val="00B210BE"/>
    <w:rsid w:val="00B2127F"/>
    <w:rsid w:val="00B212BC"/>
    <w:rsid w:val="00B215C0"/>
    <w:rsid w:val="00B215C3"/>
    <w:rsid w:val="00B216D4"/>
    <w:rsid w:val="00B2180A"/>
    <w:rsid w:val="00B218AD"/>
    <w:rsid w:val="00B218E0"/>
    <w:rsid w:val="00B21979"/>
    <w:rsid w:val="00B21B31"/>
    <w:rsid w:val="00B21B33"/>
    <w:rsid w:val="00B21DA5"/>
    <w:rsid w:val="00B21EE4"/>
    <w:rsid w:val="00B22176"/>
    <w:rsid w:val="00B222AF"/>
    <w:rsid w:val="00B222D9"/>
    <w:rsid w:val="00B22371"/>
    <w:rsid w:val="00B2270B"/>
    <w:rsid w:val="00B229B1"/>
    <w:rsid w:val="00B22C23"/>
    <w:rsid w:val="00B22C38"/>
    <w:rsid w:val="00B22C45"/>
    <w:rsid w:val="00B22CAB"/>
    <w:rsid w:val="00B22CF6"/>
    <w:rsid w:val="00B22EA5"/>
    <w:rsid w:val="00B22F6A"/>
    <w:rsid w:val="00B23169"/>
    <w:rsid w:val="00B23179"/>
    <w:rsid w:val="00B23338"/>
    <w:rsid w:val="00B23352"/>
    <w:rsid w:val="00B233B9"/>
    <w:rsid w:val="00B23599"/>
    <w:rsid w:val="00B235F8"/>
    <w:rsid w:val="00B2364B"/>
    <w:rsid w:val="00B239B2"/>
    <w:rsid w:val="00B23AAB"/>
    <w:rsid w:val="00B23E15"/>
    <w:rsid w:val="00B23F7C"/>
    <w:rsid w:val="00B23FA8"/>
    <w:rsid w:val="00B2403E"/>
    <w:rsid w:val="00B244BC"/>
    <w:rsid w:val="00B244EB"/>
    <w:rsid w:val="00B24586"/>
    <w:rsid w:val="00B2471C"/>
    <w:rsid w:val="00B2482F"/>
    <w:rsid w:val="00B24879"/>
    <w:rsid w:val="00B24928"/>
    <w:rsid w:val="00B24C29"/>
    <w:rsid w:val="00B24C5A"/>
    <w:rsid w:val="00B24D0F"/>
    <w:rsid w:val="00B24D17"/>
    <w:rsid w:val="00B24D97"/>
    <w:rsid w:val="00B24F0F"/>
    <w:rsid w:val="00B24F4B"/>
    <w:rsid w:val="00B25004"/>
    <w:rsid w:val="00B25188"/>
    <w:rsid w:val="00B251A0"/>
    <w:rsid w:val="00B252E4"/>
    <w:rsid w:val="00B25386"/>
    <w:rsid w:val="00B253B0"/>
    <w:rsid w:val="00B25428"/>
    <w:rsid w:val="00B254D2"/>
    <w:rsid w:val="00B2597A"/>
    <w:rsid w:val="00B259CA"/>
    <w:rsid w:val="00B259F4"/>
    <w:rsid w:val="00B25D13"/>
    <w:rsid w:val="00B25E60"/>
    <w:rsid w:val="00B25F37"/>
    <w:rsid w:val="00B26142"/>
    <w:rsid w:val="00B26216"/>
    <w:rsid w:val="00B2624B"/>
    <w:rsid w:val="00B26254"/>
    <w:rsid w:val="00B26263"/>
    <w:rsid w:val="00B262BC"/>
    <w:rsid w:val="00B26367"/>
    <w:rsid w:val="00B263A4"/>
    <w:rsid w:val="00B2696C"/>
    <w:rsid w:val="00B26994"/>
    <w:rsid w:val="00B269BB"/>
    <w:rsid w:val="00B26C7C"/>
    <w:rsid w:val="00B26EAB"/>
    <w:rsid w:val="00B2705F"/>
    <w:rsid w:val="00B270CA"/>
    <w:rsid w:val="00B2716A"/>
    <w:rsid w:val="00B27208"/>
    <w:rsid w:val="00B2726F"/>
    <w:rsid w:val="00B2740F"/>
    <w:rsid w:val="00B27532"/>
    <w:rsid w:val="00B275A2"/>
    <w:rsid w:val="00B277DB"/>
    <w:rsid w:val="00B27B38"/>
    <w:rsid w:val="00B27C86"/>
    <w:rsid w:val="00B27CE9"/>
    <w:rsid w:val="00B27DDA"/>
    <w:rsid w:val="00B3022A"/>
    <w:rsid w:val="00B3040E"/>
    <w:rsid w:val="00B3052B"/>
    <w:rsid w:val="00B305FF"/>
    <w:rsid w:val="00B3066F"/>
    <w:rsid w:val="00B306E2"/>
    <w:rsid w:val="00B30869"/>
    <w:rsid w:val="00B30AC6"/>
    <w:rsid w:val="00B30DB5"/>
    <w:rsid w:val="00B30DD4"/>
    <w:rsid w:val="00B30DD7"/>
    <w:rsid w:val="00B30F25"/>
    <w:rsid w:val="00B30FEE"/>
    <w:rsid w:val="00B31082"/>
    <w:rsid w:val="00B310EE"/>
    <w:rsid w:val="00B31454"/>
    <w:rsid w:val="00B314F8"/>
    <w:rsid w:val="00B31C22"/>
    <w:rsid w:val="00B31D4C"/>
    <w:rsid w:val="00B31E4E"/>
    <w:rsid w:val="00B31F0C"/>
    <w:rsid w:val="00B31F69"/>
    <w:rsid w:val="00B31F9C"/>
    <w:rsid w:val="00B322CD"/>
    <w:rsid w:val="00B32331"/>
    <w:rsid w:val="00B3254E"/>
    <w:rsid w:val="00B326B2"/>
    <w:rsid w:val="00B328A2"/>
    <w:rsid w:val="00B329A1"/>
    <w:rsid w:val="00B32A63"/>
    <w:rsid w:val="00B32ADE"/>
    <w:rsid w:val="00B32B18"/>
    <w:rsid w:val="00B33079"/>
    <w:rsid w:val="00B331F8"/>
    <w:rsid w:val="00B3331B"/>
    <w:rsid w:val="00B33339"/>
    <w:rsid w:val="00B3337B"/>
    <w:rsid w:val="00B334EC"/>
    <w:rsid w:val="00B3364E"/>
    <w:rsid w:val="00B3365D"/>
    <w:rsid w:val="00B33695"/>
    <w:rsid w:val="00B33721"/>
    <w:rsid w:val="00B33826"/>
    <w:rsid w:val="00B33B8D"/>
    <w:rsid w:val="00B33B8F"/>
    <w:rsid w:val="00B33BF3"/>
    <w:rsid w:val="00B33C39"/>
    <w:rsid w:val="00B33FF7"/>
    <w:rsid w:val="00B34049"/>
    <w:rsid w:val="00B34217"/>
    <w:rsid w:val="00B344B5"/>
    <w:rsid w:val="00B34629"/>
    <w:rsid w:val="00B346CC"/>
    <w:rsid w:val="00B348F9"/>
    <w:rsid w:val="00B34901"/>
    <w:rsid w:val="00B34A61"/>
    <w:rsid w:val="00B34A73"/>
    <w:rsid w:val="00B34DAE"/>
    <w:rsid w:val="00B34E20"/>
    <w:rsid w:val="00B34E22"/>
    <w:rsid w:val="00B34EA8"/>
    <w:rsid w:val="00B34FCC"/>
    <w:rsid w:val="00B34FF8"/>
    <w:rsid w:val="00B3532C"/>
    <w:rsid w:val="00B3548C"/>
    <w:rsid w:val="00B356CE"/>
    <w:rsid w:val="00B3572A"/>
    <w:rsid w:val="00B3575F"/>
    <w:rsid w:val="00B35898"/>
    <w:rsid w:val="00B35948"/>
    <w:rsid w:val="00B35A46"/>
    <w:rsid w:val="00B35A8F"/>
    <w:rsid w:val="00B35BE7"/>
    <w:rsid w:val="00B35C16"/>
    <w:rsid w:val="00B35DF3"/>
    <w:rsid w:val="00B35E36"/>
    <w:rsid w:val="00B36112"/>
    <w:rsid w:val="00B364E2"/>
    <w:rsid w:val="00B365CD"/>
    <w:rsid w:val="00B3680C"/>
    <w:rsid w:val="00B36BDF"/>
    <w:rsid w:val="00B36D4E"/>
    <w:rsid w:val="00B36D7B"/>
    <w:rsid w:val="00B36E3D"/>
    <w:rsid w:val="00B36E45"/>
    <w:rsid w:val="00B370A4"/>
    <w:rsid w:val="00B37161"/>
    <w:rsid w:val="00B37313"/>
    <w:rsid w:val="00B37321"/>
    <w:rsid w:val="00B37473"/>
    <w:rsid w:val="00B375B2"/>
    <w:rsid w:val="00B375CF"/>
    <w:rsid w:val="00B37610"/>
    <w:rsid w:val="00B376A5"/>
    <w:rsid w:val="00B377DE"/>
    <w:rsid w:val="00B378BF"/>
    <w:rsid w:val="00B37A51"/>
    <w:rsid w:val="00B37DE2"/>
    <w:rsid w:val="00B37E76"/>
    <w:rsid w:val="00B37EF5"/>
    <w:rsid w:val="00B40251"/>
    <w:rsid w:val="00B402BF"/>
    <w:rsid w:val="00B40506"/>
    <w:rsid w:val="00B40522"/>
    <w:rsid w:val="00B408E7"/>
    <w:rsid w:val="00B409FA"/>
    <w:rsid w:val="00B40CF0"/>
    <w:rsid w:val="00B41026"/>
    <w:rsid w:val="00B4128E"/>
    <w:rsid w:val="00B412EF"/>
    <w:rsid w:val="00B413B0"/>
    <w:rsid w:val="00B41603"/>
    <w:rsid w:val="00B41642"/>
    <w:rsid w:val="00B4164F"/>
    <w:rsid w:val="00B416C4"/>
    <w:rsid w:val="00B41961"/>
    <w:rsid w:val="00B41970"/>
    <w:rsid w:val="00B41F72"/>
    <w:rsid w:val="00B42147"/>
    <w:rsid w:val="00B421C7"/>
    <w:rsid w:val="00B42335"/>
    <w:rsid w:val="00B42534"/>
    <w:rsid w:val="00B42572"/>
    <w:rsid w:val="00B42596"/>
    <w:rsid w:val="00B42677"/>
    <w:rsid w:val="00B42755"/>
    <w:rsid w:val="00B4276B"/>
    <w:rsid w:val="00B42849"/>
    <w:rsid w:val="00B428BE"/>
    <w:rsid w:val="00B42A32"/>
    <w:rsid w:val="00B42AD7"/>
    <w:rsid w:val="00B42BB2"/>
    <w:rsid w:val="00B42C20"/>
    <w:rsid w:val="00B42CE5"/>
    <w:rsid w:val="00B42EE8"/>
    <w:rsid w:val="00B43015"/>
    <w:rsid w:val="00B4306D"/>
    <w:rsid w:val="00B43399"/>
    <w:rsid w:val="00B433B0"/>
    <w:rsid w:val="00B4363F"/>
    <w:rsid w:val="00B4370B"/>
    <w:rsid w:val="00B437A2"/>
    <w:rsid w:val="00B439E2"/>
    <w:rsid w:val="00B43BDB"/>
    <w:rsid w:val="00B43BEA"/>
    <w:rsid w:val="00B43C01"/>
    <w:rsid w:val="00B43D21"/>
    <w:rsid w:val="00B43D41"/>
    <w:rsid w:val="00B43EA3"/>
    <w:rsid w:val="00B43FEE"/>
    <w:rsid w:val="00B44020"/>
    <w:rsid w:val="00B44168"/>
    <w:rsid w:val="00B4417E"/>
    <w:rsid w:val="00B442EB"/>
    <w:rsid w:val="00B442F7"/>
    <w:rsid w:val="00B443D3"/>
    <w:rsid w:val="00B445DC"/>
    <w:rsid w:val="00B44659"/>
    <w:rsid w:val="00B44758"/>
    <w:rsid w:val="00B44A08"/>
    <w:rsid w:val="00B44A50"/>
    <w:rsid w:val="00B44BD7"/>
    <w:rsid w:val="00B44CCF"/>
    <w:rsid w:val="00B44CD1"/>
    <w:rsid w:val="00B44CFF"/>
    <w:rsid w:val="00B44D22"/>
    <w:rsid w:val="00B44F68"/>
    <w:rsid w:val="00B44F82"/>
    <w:rsid w:val="00B45098"/>
    <w:rsid w:val="00B45113"/>
    <w:rsid w:val="00B4514A"/>
    <w:rsid w:val="00B45794"/>
    <w:rsid w:val="00B457FD"/>
    <w:rsid w:val="00B458FD"/>
    <w:rsid w:val="00B45BA4"/>
    <w:rsid w:val="00B45D1F"/>
    <w:rsid w:val="00B46174"/>
    <w:rsid w:val="00B461A8"/>
    <w:rsid w:val="00B461FA"/>
    <w:rsid w:val="00B463B3"/>
    <w:rsid w:val="00B463FA"/>
    <w:rsid w:val="00B4696A"/>
    <w:rsid w:val="00B46979"/>
    <w:rsid w:val="00B469D3"/>
    <w:rsid w:val="00B46B81"/>
    <w:rsid w:val="00B46D09"/>
    <w:rsid w:val="00B46E5D"/>
    <w:rsid w:val="00B46E7D"/>
    <w:rsid w:val="00B46F59"/>
    <w:rsid w:val="00B46FFF"/>
    <w:rsid w:val="00B4702F"/>
    <w:rsid w:val="00B47078"/>
    <w:rsid w:val="00B474EF"/>
    <w:rsid w:val="00B47787"/>
    <w:rsid w:val="00B479DD"/>
    <w:rsid w:val="00B47B18"/>
    <w:rsid w:val="00B47D48"/>
    <w:rsid w:val="00B47DD1"/>
    <w:rsid w:val="00B47DF6"/>
    <w:rsid w:val="00B47F75"/>
    <w:rsid w:val="00B47FB9"/>
    <w:rsid w:val="00B50095"/>
    <w:rsid w:val="00B5039E"/>
    <w:rsid w:val="00B503B2"/>
    <w:rsid w:val="00B503CF"/>
    <w:rsid w:val="00B50591"/>
    <w:rsid w:val="00B50926"/>
    <w:rsid w:val="00B50A1C"/>
    <w:rsid w:val="00B50C22"/>
    <w:rsid w:val="00B50D50"/>
    <w:rsid w:val="00B50F23"/>
    <w:rsid w:val="00B50F32"/>
    <w:rsid w:val="00B51456"/>
    <w:rsid w:val="00B514BD"/>
    <w:rsid w:val="00B51687"/>
    <w:rsid w:val="00B517A6"/>
    <w:rsid w:val="00B51835"/>
    <w:rsid w:val="00B5197E"/>
    <w:rsid w:val="00B519EE"/>
    <w:rsid w:val="00B51AFB"/>
    <w:rsid w:val="00B51CE1"/>
    <w:rsid w:val="00B51E10"/>
    <w:rsid w:val="00B51E1C"/>
    <w:rsid w:val="00B520EF"/>
    <w:rsid w:val="00B52154"/>
    <w:rsid w:val="00B52183"/>
    <w:rsid w:val="00B52217"/>
    <w:rsid w:val="00B5227A"/>
    <w:rsid w:val="00B522D1"/>
    <w:rsid w:val="00B522D5"/>
    <w:rsid w:val="00B523DF"/>
    <w:rsid w:val="00B5244A"/>
    <w:rsid w:val="00B524D9"/>
    <w:rsid w:val="00B5262E"/>
    <w:rsid w:val="00B527EC"/>
    <w:rsid w:val="00B52A7B"/>
    <w:rsid w:val="00B52BFA"/>
    <w:rsid w:val="00B52D32"/>
    <w:rsid w:val="00B52E4E"/>
    <w:rsid w:val="00B52E79"/>
    <w:rsid w:val="00B52EB5"/>
    <w:rsid w:val="00B53023"/>
    <w:rsid w:val="00B53144"/>
    <w:rsid w:val="00B5317D"/>
    <w:rsid w:val="00B531D7"/>
    <w:rsid w:val="00B53519"/>
    <w:rsid w:val="00B53521"/>
    <w:rsid w:val="00B53595"/>
    <w:rsid w:val="00B536EC"/>
    <w:rsid w:val="00B53746"/>
    <w:rsid w:val="00B537A5"/>
    <w:rsid w:val="00B539CE"/>
    <w:rsid w:val="00B53AFB"/>
    <w:rsid w:val="00B53C4F"/>
    <w:rsid w:val="00B53CBD"/>
    <w:rsid w:val="00B53D36"/>
    <w:rsid w:val="00B53FA0"/>
    <w:rsid w:val="00B53FEC"/>
    <w:rsid w:val="00B540C0"/>
    <w:rsid w:val="00B5442E"/>
    <w:rsid w:val="00B54457"/>
    <w:rsid w:val="00B5459B"/>
    <w:rsid w:val="00B545B3"/>
    <w:rsid w:val="00B545D5"/>
    <w:rsid w:val="00B545FD"/>
    <w:rsid w:val="00B5465E"/>
    <w:rsid w:val="00B549F1"/>
    <w:rsid w:val="00B54A66"/>
    <w:rsid w:val="00B54CB5"/>
    <w:rsid w:val="00B54E6A"/>
    <w:rsid w:val="00B54E7B"/>
    <w:rsid w:val="00B54F0C"/>
    <w:rsid w:val="00B55000"/>
    <w:rsid w:val="00B5503B"/>
    <w:rsid w:val="00B550BC"/>
    <w:rsid w:val="00B5545E"/>
    <w:rsid w:val="00B554C2"/>
    <w:rsid w:val="00B555F5"/>
    <w:rsid w:val="00B55607"/>
    <w:rsid w:val="00B55945"/>
    <w:rsid w:val="00B55CEA"/>
    <w:rsid w:val="00B55DFD"/>
    <w:rsid w:val="00B55E42"/>
    <w:rsid w:val="00B55F51"/>
    <w:rsid w:val="00B5614E"/>
    <w:rsid w:val="00B56190"/>
    <w:rsid w:val="00B56264"/>
    <w:rsid w:val="00B563B9"/>
    <w:rsid w:val="00B563E0"/>
    <w:rsid w:val="00B5652F"/>
    <w:rsid w:val="00B5662B"/>
    <w:rsid w:val="00B56693"/>
    <w:rsid w:val="00B566BE"/>
    <w:rsid w:val="00B56816"/>
    <w:rsid w:val="00B5684E"/>
    <w:rsid w:val="00B56942"/>
    <w:rsid w:val="00B56A3B"/>
    <w:rsid w:val="00B56ACD"/>
    <w:rsid w:val="00B56BBD"/>
    <w:rsid w:val="00B56C7D"/>
    <w:rsid w:val="00B56D60"/>
    <w:rsid w:val="00B5707E"/>
    <w:rsid w:val="00B572FE"/>
    <w:rsid w:val="00B5734B"/>
    <w:rsid w:val="00B5734E"/>
    <w:rsid w:val="00B57394"/>
    <w:rsid w:val="00B574CC"/>
    <w:rsid w:val="00B574D9"/>
    <w:rsid w:val="00B574E3"/>
    <w:rsid w:val="00B5775C"/>
    <w:rsid w:val="00B578EE"/>
    <w:rsid w:val="00B5797C"/>
    <w:rsid w:val="00B57A09"/>
    <w:rsid w:val="00B57F1F"/>
    <w:rsid w:val="00B57FAB"/>
    <w:rsid w:val="00B60059"/>
    <w:rsid w:val="00B60078"/>
    <w:rsid w:val="00B6022E"/>
    <w:rsid w:val="00B6045B"/>
    <w:rsid w:val="00B60557"/>
    <w:rsid w:val="00B60648"/>
    <w:rsid w:val="00B606BC"/>
    <w:rsid w:val="00B60838"/>
    <w:rsid w:val="00B60938"/>
    <w:rsid w:val="00B6094E"/>
    <w:rsid w:val="00B60999"/>
    <w:rsid w:val="00B60A83"/>
    <w:rsid w:val="00B60B46"/>
    <w:rsid w:val="00B60B98"/>
    <w:rsid w:val="00B60C5B"/>
    <w:rsid w:val="00B60D07"/>
    <w:rsid w:val="00B60D9C"/>
    <w:rsid w:val="00B6112B"/>
    <w:rsid w:val="00B611E3"/>
    <w:rsid w:val="00B61569"/>
    <w:rsid w:val="00B615AD"/>
    <w:rsid w:val="00B617ED"/>
    <w:rsid w:val="00B6190B"/>
    <w:rsid w:val="00B61ABF"/>
    <w:rsid w:val="00B61DAF"/>
    <w:rsid w:val="00B62025"/>
    <w:rsid w:val="00B6210C"/>
    <w:rsid w:val="00B62393"/>
    <w:rsid w:val="00B62678"/>
    <w:rsid w:val="00B62831"/>
    <w:rsid w:val="00B62835"/>
    <w:rsid w:val="00B629D9"/>
    <w:rsid w:val="00B62B24"/>
    <w:rsid w:val="00B62BE1"/>
    <w:rsid w:val="00B62CAF"/>
    <w:rsid w:val="00B62D24"/>
    <w:rsid w:val="00B62D27"/>
    <w:rsid w:val="00B6305D"/>
    <w:rsid w:val="00B632E8"/>
    <w:rsid w:val="00B633DF"/>
    <w:rsid w:val="00B63444"/>
    <w:rsid w:val="00B6377A"/>
    <w:rsid w:val="00B637E6"/>
    <w:rsid w:val="00B63A22"/>
    <w:rsid w:val="00B63A26"/>
    <w:rsid w:val="00B63AEA"/>
    <w:rsid w:val="00B63C36"/>
    <w:rsid w:val="00B63E1D"/>
    <w:rsid w:val="00B64153"/>
    <w:rsid w:val="00B641F0"/>
    <w:rsid w:val="00B64256"/>
    <w:rsid w:val="00B64266"/>
    <w:rsid w:val="00B6428F"/>
    <w:rsid w:val="00B64317"/>
    <w:rsid w:val="00B64405"/>
    <w:rsid w:val="00B64495"/>
    <w:rsid w:val="00B64635"/>
    <w:rsid w:val="00B646F5"/>
    <w:rsid w:val="00B6472E"/>
    <w:rsid w:val="00B648FB"/>
    <w:rsid w:val="00B64977"/>
    <w:rsid w:val="00B64A2C"/>
    <w:rsid w:val="00B64A34"/>
    <w:rsid w:val="00B64BDB"/>
    <w:rsid w:val="00B64EF2"/>
    <w:rsid w:val="00B65026"/>
    <w:rsid w:val="00B6516D"/>
    <w:rsid w:val="00B651B9"/>
    <w:rsid w:val="00B65240"/>
    <w:rsid w:val="00B6534A"/>
    <w:rsid w:val="00B65503"/>
    <w:rsid w:val="00B6559A"/>
    <w:rsid w:val="00B65616"/>
    <w:rsid w:val="00B6572D"/>
    <w:rsid w:val="00B65927"/>
    <w:rsid w:val="00B66043"/>
    <w:rsid w:val="00B66106"/>
    <w:rsid w:val="00B6648D"/>
    <w:rsid w:val="00B66594"/>
    <w:rsid w:val="00B66785"/>
    <w:rsid w:val="00B668B3"/>
    <w:rsid w:val="00B66A85"/>
    <w:rsid w:val="00B66C67"/>
    <w:rsid w:val="00B66D4A"/>
    <w:rsid w:val="00B66D51"/>
    <w:rsid w:val="00B66F95"/>
    <w:rsid w:val="00B66FDD"/>
    <w:rsid w:val="00B67240"/>
    <w:rsid w:val="00B6726B"/>
    <w:rsid w:val="00B6730E"/>
    <w:rsid w:val="00B675A7"/>
    <w:rsid w:val="00B675FA"/>
    <w:rsid w:val="00B676EB"/>
    <w:rsid w:val="00B678C3"/>
    <w:rsid w:val="00B67C41"/>
    <w:rsid w:val="00B67DD5"/>
    <w:rsid w:val="00B67F4E"/>
    <w:rsid w:val="00B701A5"/>
    <w:rsid w:val="00B705DA"/>
    <w:rsid w:val="00B706BE"/>
    <w:rsid w:val="00B708BE"/>
    <w:rsid w:val="00B70A17"/>
    <w:rsid w:val="00B70A9D"/>
    <w:rsid w:val="00B70E98"/>
    <w:rsid w:val="00B71068"/>
    <w:rsid w:val="00B710EA"/>
    <w:rsid w:val="00B712CD"/>
    <w:rsid w:val="00B715A8"/>
    <w:rsid w:val="00B716C4"/>
    <w:rsid w:val="00B71864"/>
    <w:rsid w:val="00B719C6"/>
    <w:rsid w:val="00B71AB4"/>
    <w:rsid w:val="00B71C00"/>
    <w:rsid w:val="00B71D36"/>
    <w:rsid w:val="00B71D46"/>
    <w:rsid w:val="00B71D6F"/>
    <w:rsid w:val="00B72039"/>
    <w:rsid w:val="00B720E1"/>
    <w:rsid w:val="00B72229"/>
    <w:rsid w:val="00B724FD"/>
    <w:rsid w:val="00B72645"/>
    <w:rsid w:val="00B727BE"/>
    <w:rsid w:val="00B72831"/>
    <w:rsid w:val="00B7288C"/>
    <w:rsid w:val="00B72947"/>
    <w:rsid w:val="00B72A7B"/>
    <w:rsid w:val="00B72B18"/>
    <w:rsid w:val="00B72B7E"/>
    <w:rsid w:val="00B72C1C"/>
    <w:rsid w:val="00B72ED0"/>
    <w:rsid w:val="00B730CC"/>
    <w:rsid w:val="00B732CD"/>
    <w:rsid w:val="00B732EF"/>
    <w:rsid w:val="00B73322"/>
    <w:rsid w:val="00B733AF"/>
    <w:rsid w:val="00B734AD"/>
    <w:rsid w:val="00B734B4"/>
    <w:rsid w:val="00B7370F"/>
    <w:rsid w:val="00B73778"/>
    <w:rsid w:val="00B7377A"/>
    <w:rsid w:val="00B73798"/>
    <w:rsid w:val="00B73820"/>
    <w:rsid w:val="00B73823"/>
    <w:rsid w:val="00B73908"/>
    <w:rsid w:val="00B739BB"/>
    <w:rsid w:val="00B739CB"/>
    <w:rsid w:val="00B73A94"/>
    <w:rsid w:val="00B73B2E"/>
    <w:rsid w:val="00B73E6F"/>
    <w:rsid w:val="00B74125"/>
    <w:rsid w:val="00B74128"/>
    <w:rsid w:val="00B7442E"/>
    <w:rsid w:val="00B7445F"/>
    <w:rsid w:val="00B74529"/>
    <w:rsid w:val="00B746E5"/>
    <w:rsid w:val="00B74D40"/>
    <w:rsid w:val="00B74D5C"/>
    <w:rsid w:val="00B74E45"/>
    <w:rsid w:val="00B74F44"/>
    <w:rsid w:val="00B74FAB"/>
    <w:rsid w:val="00B7514B"/>
    <w:rsid w:val="00B75153"/>
    <w:rsid w:val="00B75255"/>
    <w:rsid w:val="00B752E5"/>
    <w:rsid w:val="00B758E3"/>
    <w:rsid w:val="00B75957"/>
    <w:rsid w:val="00B759E8"/>
    <w:rsid w:val="00B75A35"/>
    <w:rsid w:val="00B75A77"/>
    <w:rsid w:val="00B75AC0"/>
    <w:rsid w:val="00B75C0C"/>
    <w:rsid w:val="00B75D40"/>
    <w:rsid w:val="00B75DA9"/>
    <w:rsid w:val="00B75DD5"/>
    <w:rsid w:val="00B762C2"/>
    <w:rsid w:val="00B76612"/>
    <w:rsid w:val="00B76873"/>
    <w:rsid w:val="00B76963"/>
    <w:rsid w:val="00B769D7"/>
    <w:rsid w:val="00B76B96"/>
    <w:rsid w:val="00B7706C"/>
    <w:rsid w:val="00B77245"/>
    <w:rsid w:val="00B77272"/>
    <w:rsid w:val="00B772A1"/>
    <w:rsid w:val="00B77348"/>
    <w:rsid w:val="00B7736C"/>
    <w:rsid w:val="00B7743A"/>
    <w:rsid w:val="00B77572"/>
    <w:rsid w:val="00B77578"/>
    <w:rsid w:val="00B7771C"/>
    <w:rsid w:val="00B777E6"/>
    <w:rsid w:val="00B77987"/>
    <w:rsid w:val="00B779B4"/>
    <w:rsid w:val="00B77A07"/>
    <w:rsid w:val="00B77C4E"/>
    <w:rsid w:val="00B77DC7"/>
    <w:rsid w:val="00B77EB6"/>
    <w:rsid w:val="00B77EC0"/>
    <w:rsid w:val="00B77FEE"/>
    <w:rsid w:val="00B80145"/>
    <w:rsid w:val="00B801B8"/>
    <w:rsid w:val="00B801CD"/>
    <w:rsid w:val="00B80225"/>
    <w:rsid w:val="00B803AD"/>
    <w:rsid w:val="00B8041B"/>
    <w:rsid w:val="00B8043E"/>
    <w:rsid w:val="00B80458"/>
    <w:rsid w:val="00B80485"/>
    <w:rsid w:val="00B8051B"/>
    <w:rsid w:val="00B806AA"/>
    <w:rsid w:val="00B80793"/>
    <w:rsid w:val="00B8087F"/>
    <w:rsid w:val="00B808AB"/>
    <w:rsid w:val="00B808E0"/>
    <w:rsid w:val="00B80A17"/>
    <w:rsid w:val="00B80C12"/>
    <w:rsid w:val="00B80C63"/>
    <w:rsid w:val="00B80F62"/>
    <w:rsid w:val="00B8104F"/>
    <w:rsid w:val="00B812A4"/>
    <w:rsid w:val="00B81344"/>
    <w:rsid w:val="00B81536"/>
    <w:rsid w:val="00B816C0"/>
    <w:rsid w:val="00B81721"/>
    <w:rsid w:val="00B81759"/>
    <w:rsid w:val="00B81833"/>
    <w:rsid w:val="00B8186E"/>
    <w:rsid w:val="00B819BC"/>
    <w:rsid w:val="00B81A24"/>
    <w:rsid w:val="00B81B40"/>
    <w:rsid w:val="00B81BCB"/>
    <w:rsid w:val="00B81D31"/>
    <w:rsid w:val="00B81FEE"/>
    <w:rsid w:val="00B8221A"/>
    <w:rsid w:val="00B822F3"/>
    <w:rsid w:val="00B82477"/>
    <w:rsid w:val="00B82880"/>
    <w:rsid w:val="00B82E4F"/>
    <w:rsid w:val="00B82E7C"/>
    <w:rsid w:val="00B833D8"/>
    <w:rsid w:val="00B83533"/>
    <w:rsid w:val="00B835A4"/>
    <w:rsid w:val="00B835B0"/>
    <w:rsid w:val="00B83641"/>
    <w:rsid w:val="00B83756"/>
    <w:rsid w:val="00B83837"/>
    <w:rsid w:val="00B839B4"/>
    <w:rsid w:val="00B839E3"/>
    <w:rsid w:val="00B83A93"/>
    <w:rsid w:val="00B83DAF"/>
    <w:rsid w:val="00B83F86"/>
    <w:rsid w:val="00B84129"/>
    <w:rsid w:val="00B841BC"/>
    <w:rsid w:val="00B84382"/>
    <w:rsid w:val="00B8461A"/>
    <w:rsid w:val="00B847B5"/>
    <w:rsid w:val="00B848DA"/>
    <w:rsid w:val="00B8492E"/>
    <w:rsid w:val="00B84A80"/>
    <w:rsid w:val="00B84C05"/>
    <w:rsid w:val="00B84CDB"/>
    <w:rsid w:val="00B84E15"/>
    <w:rsid w:val="00B84E29"/>
    <w:rsid w:val="00B84E65"/>
    <w:rsid w:val="00B84F1B"/>
    <w:rsid w:val="00B85022"/>
    <w:rsid w:val="00B85623"/>
    <w:rsid w:val="00B85803"/>
    <w:rsid w:val="00B85B98"/>
    <w:rsid w:val="00B85D7C"/>
    <w:rsid w:val="00B85E13"/>
    <w:rsid w:val="00B85E3E"/>
    <w:rsid w:val="00B86274"/>
    <w:rsid w:val="00B8637E"/>
    <w:rsid w:val="00B86497"/>
    <w:rsid w:val="00B8677E"/>
    <w:rsid w:val="00B867CB"/>
    <w:rsid w:val="00B86956"/>
    <w:rsid w:val="00B86A3A"/>
    <w:rsid w:val="00B86B19"/>
    <w:rsid w:val="00B86B52"/>
    <w:rsid w:val="00B86C86"/>
    <w:rsid w:val="00B86E4A"/>
    <w:rsid w:val="00B87089"/>
    <w:rsid w:val="00B870C7"/>
    <w:rsid w:val="00B870CB"/>
    <w:rsid w:val="00B872ED"/>
    <w:rsid w:val="00B87553"/>
    <w:rsid w:val="00B876C3"/>
    <w:rsid w:val="00B87771"/>
    <w:rsid w:val="00B87985"/>
    <w:rsid w:val="00B879D6"/>
    <w:rsid w:val="00B87CE2"/>
    <w:rsid w:val="00B87D18"/>
    <w:rsid w:val="00B87F24"/>
    <w:rsid w:val="00B90340"/>
    <w:rsid w:val="00B904F9"/>
    <w:rsid w:val="00B90619"/>
    <w:rsid w:val="00B9069E"/>
    <w:rsid w:val="00B90822"/>
    <w:rsid w:val="00B90A29"/>
    <w:rsid w:val="00B90B48"/>
    <w:rsid w:val="00B90D54"/>
    <w:rsid w:val="00B90DEC"/>
    <w:rsid w:val="00B90E53"/>
    <w:rsid w:val="00B90F7F"/>
    <w:rsid w:val="00B910C3"/>
    <w:rsid w:val="00B91205"/>
    <w:rsid w:val="00B91328"/>
    <w:rsid w:val="00B914F7"/>
    <w:rsid w:val="00B916F0"/>
    <w:rsid w:val="00B917EE"/>
    <w:rsid w:val="00B91965"/>
    <w:rsid w:val="00B91A0A"/>
    <w:rsid w:val="00B91A62"/>
    <w:rsid w:val="00B91D82"/>
    <w:rsid w:val="00B91EE0"/>
    <w:rsid w:val="00B92225"/>
    <w:rsid w:val="00B9236B"/>
    <w:rsid w:val="00B924AF"/>
    <w:rsid w:val="00B9252F"/>
    <w:rsid w:val="00B925BE"/>
    <w:rsid w:val="00B9269F"/>
    <w:rsid w:val="00B926BF"/>
    <w:rsid w:val="00B9271C"/>
    <w:rsid w:val="00B92820"/>
    <w:rsid w:val="00B9298C"/>
    <w:rsid w:val="00B92A2C"/>
    <w:rsid w:val="00B92A3F"/>
    <w:rsid w:val="00B92ABB"/>
    <w:rsid w:val="00B92B2E"/>
    <w:rsid w:val="00B92C30"/>
    <w:rsid w:val="00B92EF7"/>
    <w:rsid w:val="00B9301A"/>
    <w:rsid w:val="00B931C6"/>
    <w:rsid w:val="00B93271"/>
    <w:rsid w:val="00B933CD"/>
    <w:rsid w:val="00B93417"/>
    <w:rsid w:val="00B935A1"/>
    <w:rsid w:val="00B93674"/>
    <w:rsid w:val="00B936EE"/>
    <w:rsid w:val="00B938AB"/>
    <w:rsid w:val="00B93A4A"/>
    <w:rsid w:val="00B93AF6"/>
    <w:rsid w:val="00B93BD9"/>
    <w:rsid w:val="00B93CEC"/>
    <w:rsid w:val="00B93CEF"/>
    <w:rsid w:val="00B93DAC"/>
    <w:rsid w:val="00B93E10"/>
    <w:rsid w:val="00B93E51"/>
    <w:rsid w:val="00B9405B"/>
    <w:rsid w:val="00B94064"/>
    <w:rsid w:val="00B940F0"/>
    <w:rsid w:val="00B9426C"/>
    <w:rsid w:val="00B94294"/>
    <w:rsid w:val="00B943ED"/>
    <w:rsid w:val="00B944BA"/>
    <w:rsid w:val="00B94515"/>
    <w:rsid w:val="00B94571"/>
    <w:rsid w:val="00B94696"/>
    <w:rsid w:val="00B946F6"/>
    <w:rsid w:val="00B9470F"/>
    <w:rsid w:val="00B94720"/>
    <w:rsid w:val="00B94922"/>
    <w:rsid w:val="00B94B37"/>
    <w:rsid w:val="00B94B7B"/>
    <w:rsid w:val="00B94C37"/>
    <w:rsid w:val="00B94E25"/>
    <w:rsid w:val="00B94FD6"/>
    <w:rsid w:val="00B950A5"/>
    <w:rsid w:val="00B95263"/>
    <w:rsid w:val="00B95325"/>
    <w:rsid w:val="00B95413"/>
    <w:rsid w:val="00B954B9"/>
    <w:rsid w:val="00B9551D"/>
    <w:rsid w:val="00B95549"/>
    <w:rsid w:val="00B95675"/>
    <w:rsid w:val="00B95713"/>
    <w:rsid w:val="00B95835"/>
    <w:rsid w:val="00B95897"/>
    <w:rsid w:val="00B95913"/>
    <w:rsid w:val="00B9597F"/>
    <w:rsid w:val="00B95A8D"/>
    <w:rsid w:val="00B95BE8"/>
    <w:rsid w:val="00B95C4C"/>
    <w:rsid w:val="00B95DD1"/>
    <w:rsid w:val="00B95ED9"/>
    <w:rsid w:val="00B95F15"/>
    <w:rsid w:val="00B95FD8"/>
    <w:rsid w:val="00B95FD9"/>
    <w:rsid w:val="00B96072"/>
    <w:rsid w:val="00B961DD"/>
    <w:rsid w:val="00B962CF"/>
    <w:rsid w:val="00B96468"/>
    <w:rsid w:val="00B96492"/>
    <w:rsid w:val="00B9667F"/>
    <w:rsid w:val="00B9680B"/>
    <w:rsid w:val="00B96915"/>
    <w:rsid w:val="00B96968"/>
    <w:rsid w:val="00B969AE"/>
    <w:rsid w:val="00B96A62"/>
    <w:rsid w:val="00B96DDB"/>
    <w:rsid w:val="00B96E9F"/>
    <w:rsid w:val="00B96FEF"/>
    <w:rsid w:val="00B97431"/>
    <w:rsid w:val="00B97532"/>
    <w:rsid w:val="00B97632"/>
    <w:rsid w:val="00B97690"/>
    <w:rsid w:val="00B9779C"/>
    <w:rsid w:val="00B9779E"/>
    <w:rsid w:val="00B97AE8"/>
    <w:rsid w:val="00B97B59"/>
    <w:rsid w:val="00B97BE7"/>
    <w:rsid w:val="00B97D3B"/>
    <w:rsid w:val="00B97D74"/>
    <w:rsid w:val="00B97DB1"/>
    <w:rsid w:val="00BA01DD"/>
    <w:rsid w:val="00BA0279"/>
    <w:rsid w:val="00BA034C"/>
    <w:rsid w:val="00BA06BD"/>
    <w:rsid w:val="00BA06FC"/>
    <w:rsid w:val="00BA077C"/>
    <w:rsid w:val="00BA08EC"/>
    <w:rsid w:val="00BA096B"/>
    <w:rsid w:val="00BA09FE"/>
    <w:rsid w:val="00BA0BB1"/>
    <w:rsid w:val="00BA0CBE"/>
    <w:rsid w:val="00BA0D9C"/>
    <w:rsid w:val="00BA0DFB"/>
    <w:rsid w:val="00BA0E61"/>
    <w:rsid w:val="00BA10DF"/>
    <w:rsid w:val="00BA1114"/>
    <w:rsid w:val="00BA1528"/>
    <w:rsid w:val="00BA1567"/>
    <w:rsid w:val="00BA1574"/>
    <w:rsid w:val="00BA15C9"/>
    <w:rsid w:val="00BA167D"/>
    <w:rsid w:val="00BA170B"/>
    <w:rsid w:val="00BA1725"/>
    <w:rsid w:val="00BA1830"/>
    <w:rsid w:val="00BA186A"/>
    <w:rsid w:val="00BA1CE9"/>
    <w:rsid w:val="00BA2318"/>
    <w:rsid w:val="00BA238A"/>
    <w:rsid w:val="00BA23DA"/>
    <w:rsid w:val="00BA241B"/>
    <w:rsid w:val="00BA253F"/>
    <w:rsid w:val="00BA2545"/>
    <w:rsid w:val="00BA29FB"/>
    <w:rsid w:val="00BA2AAF"/>
    <w:rsid w:val="00BA2AB9"/>
    <w:rsid w:val="00BA2B48"/>
    <w:rsid w:val="00BA2BEE"/>
    <w:rsid w:val="00BA2C1B"/>
    <w:rsid w:val="00BA2C99"/>
    <w:rsid w:val="00BA2F62"/>
    <w:rsid w:val="00BA322D"/>
    <w:rsid w:val="00BA356B"/>
    <w:rsid w:val="00BA35B8"/>
    <w:rsid w:val="00BA3761"/>
    <w:rsid w:val="00BA3773"/>
    <w:rsid w:val="00BA3902"/>
    <w:rsid w:val="00BA391B"/>
    <w:rsid w:val="00BA3AC6"/>
    <w:rsid w:val="00BA3AED"/>
    <w:rsid w:val="00BA3C12"/>
    <w:rsid w:val="00BA3F21"/>
    <w:rsid w:val="00BA3F52"/>
    <w:rsid w:val="00BA410B"/>
    <w:rsid w:val="00BA418C"/>
    <w:rsid w:val="00BA4191"/>
    <w:rsid w:val="00BA41B3"/>
    <w:rsid w:val="00BA42E7"/>
    <w:rsid w:val="00BA438E"/>
    <w:rsid w:val="00BA43B2"/>
    <w:rsid w:val="00BA43CA"/>
    <w:rsid w:val="00BA47AD"/>
    <w:rsid w:val="00BA4801"/>
    <w:rsid w:val="00BA4A1F"/>
    <w:rsid w:val="00BA4AA6"/>
    <w:rsid w:val="00BA4AC1"/>
    <w:rsid w:val="00BA4DCD"/>
    <w:rsid w:val="00BA4DF1"/>
    <w:rsid w:val="00BA4FBB"/>
    <w:rsid w:val="00BA51B8"/>
    <w:rsid w:val="00BA52FB"/>
    <w:rsid w:val="00BA546E"/>
    <w:rsid w:val="00BA5530"/>
    <w:rsid w:val="00BA55A8"/>
    <w:rsid w:val="00BA577E"/>
    <w:rsid w:val="00BA5854"/>
    <w:rsid w:val="00BA593C"/>
    <w:rsid w:val="00BA5949"/>
    <w:rsid w:val="00BA5987"/>
    <w:rsid w:val="00BA5A71"/>
    <w:rsid w:val="00BA5CBC"/>
    <w:rsid w:val="00BA5F55"/>
    <w:rsid w:val="00BA6049"/>
    <w:rsid w:val="00BA60BA"/>
    <w:rsid w:val="00BA6121"/>
    <w:rsid w:val="00BA6269"/>
    <w:rsid w:val="00BA630D"/>
    <w:rsid w:val="00BA63F0"/>
    <w:rsid w:val="00BA648A"/>
    <w:rsid w:val="00BA64F7"/>
    <w:rsid w:val="00BA6582"/>
    <w:rsid w:val="00BA6A19"/>
    <w:rsid w:val="00BA6A9E"/>
    <w:rsid w:val="00BA6B2A"/>
    <w:rsid w:val="00BA6B5D"/>
    <w:rsid w:val="00BA740A"/>
    <w:rsid w:val="00BA7526"/>
    <w:rsid w:val="00BA756B"/>
    <w:rsid w:val="00BA76EE"/>
    <w:rsid w:val="00BA77B5"/>
    <w:rsid w:val="00BA77C2"/>
    <w:rsid w:val="00BA7B79"/>
    <w:rsid w:val="00BA7BAC"/>
    <w:rsid w:val="00BA7FF5"/>
    <w:rsid w:val="00BB00D5"/>
    <w:rsid w:val="00BB0109"/>
    <w:rsid w:val="00BB028D"/>
    <w:rsid w:val="00BB03B9"/>
    <w:rsid w:val="00BB0435"/>
    <w:rsid w:val="00BB05A6"/>
    <w:rsid w:val="00BB07CE"/>
    <w:rsid w:val="00BB0A89"/>
    <w:rsid w:val="00BB0BC2"/>
    <w:rsid w:val="00BB0C64"/>
    <w:rsid w:val="00BB0E5E"/>
    <w:rsid w:val="00BB0F98"/>
    <w:rsid w:val="00BB1014"/>
    <w:rsid w:val="00BB104E"/>
    <w:rsid w:val="00BB118D"/>
    <w:rsid w:val="00BB14D2"/>
    <w:rsid w:val="00BB1649"/>
    <w:rsid w:val="00BB17BD"/>
    <w:rsid w:val="00BB196E"/>
    <w:rsid w:val="00BB1C68"/>
    <w:rsid w:val="00BB1EAB"/>
    <w:rsid w:val="00BB1EE0"/>
    <w:rsid w:val="00BB20D8"/>
    <w:rsid w:val="00BB216E"/>
    <w:rsid w:val="00BB217E"/>
    <w:rsid w:val="00BB21D7"/>
    <w:rsid w:val="00BB21DD"/>
    <w:rsid w:val="00BB227C"/>
    <w:rsid w:val="00BB22ED"/>
    <w:rsid w:val="00BB2380"/>
    <w:rsid w:val="00BB2535"/>
    <w:rsid w:val="00BB26EF"/>
    <w:rsid w:val="00BB27DE"/>
    <w:rsid w:val="00BB281A"/>
    <w:rsid w:val="00BB2AEE"/>
    <w:rsid w:val="00BB2EB4"/>
    <w:rsid w:val="00BB2FA9"/>
    <w:rsid w:val="00BB2FED"/>
    <w:rsid w:val="00BB3114"/>
    <w:rsid w:val="00BB3170"/>
    <w:rsid w:val="00BB33F3"/>
    <w:rsid w:val="00BB34BF"/>
    <w:rsid w:val="00BB34C9"/>
    <w:rsid w:val="00BB35C7"/>
    <w:rsid w:val="00BB3827"/>
    <w:rsid w:val="00BB38B1"/>
    <w:rsid w:val="00BB3981"/>
    <w:rsid w:val="00BB39F4"/>
    <w:rsid w:val="00BB3A63"/>
    <w:rsid w:val="00BB3C8E"/>
    <w:rsid w:val="00BB3E3A"/>
    <w:rsid w:val="00BB4091"/>
    <w:rsid w:val="00BB4170"/>
    <w:rsid w:val="00BB4349"/>
    <w:rsid w:val="00BB43E6"/>
    <w:rsid w:val="00BB4693"/>
    <w:rsid w:val="00BB4813"/>
    <w:rsid w:val="00BB4CA3"/>
    <w:rsid w:val="00BB4D08"/>
    <w:rsid w:val="00BB4FAA"/>
    <w:rsid w:val="00BB508E"/>
    <w:rsid w:val="00BB517A"/>
    <w:rsid w:val="00BB51B5"/>
    <w:rsid w:val="00BB5518"/>
    <w:rsid w:val="00BB55F4"/>
    <w:rsid w:val="00BB564D"/>
    <w:rsid w:val="00BB59D0"/>
    <w:rsid w:val="00BB59F6"/>
    <w:rsid w:val="00BB5A76"/>
    <w:rsid w:val="00BB5AC6"/>
    <w:rsid w:val="00BB5AD4"/>
    <w:rsid w:val="00BB5B0E"/>
    <w:rsid w:val="00BB5B34"/>
    <w:rsid w:val="00BB5BBA"/>
    <w:rsid w:val="00BB5D5C"/>
    <w:rsid w:val="00BB5E88"/>
    <w:rsid w:val="00BB6065"/>
    <w:rsid w:val="00BB60B2"/>
    <w:rsid w:val="00BB6256"/>
    <w:rsid w:val="00BB6346"/>
    <w:rsid w:val="00BB656F"/>
    <w:rsid w:val="00BB6599"/>
    <w:rsid w:val="00BB659E"/>
    <w:rsid w:val="00BB6646"/>
    <w:rsid w:val="00BB6670"/>
    <w:rsid w:val="00BB66F0"/>
    <w:rsid w:val="00BB67CE"/>
    <w:rsid w:val="00BB6A02"/>
    <w:rsid w:val="00BB6A2C"/>
    <w:rsid w:val="00BB6B29"/>
    <w:rsid w:val="00BB6B7A"/>
    <w:rsid w:val="00BB6BAF"/>
    <w:rsid w:val="00BB6C09"/>
    <w:rsid w:val="00BB6DBF"/>
    <w:rsid w:val="00BB7057"/>
    <w:rsid w:val="00BB7298"/>
    <w:rsid w:val="00BB72D1"/>
    <w:rsid w:val="00BB737E"/>
    <w:rsid w:val="00BB73EF"/>
    <w:rsid w:val="00BB74BE"/>
    <w:rsid w:val="00BB7702"/>
    <w:rsid w:val="00BB7926"/>
    <w:rsid w:val="00BB79AC"/>
    <w:rsid w:val="00BB7A94"/>
    <w:rsid w:val="00BB7B06"/>
    <w:rsid w:val="00BB7B37"/>
    <w:rsid w:val="00BB7BC3"/>
    <w:rsid w:val="00BB7DCA"/>
    <w:rsid w:val="00BB7EE9"/>
    <w:rsid w:val="00BC0095"/>
    <w:rsid w:val="00BC0215"/>
    <w:rsid w:val="00BC04D5"/>
    <w:rsid w:val="00BC04DB"/>
    <w:rsid w:val="00BC04EB"/>
    <w:rsid w:val="00BC073B"/>
    <w:rsid w:val="00BC07F9"/>
    <w:rsid w:val="00BC0A90"/>
    <w:rsid w:val="00BC0C2C"/>
    <w:rsid w:val="00BC0C3E"/>
    <w:rsid w:val="00BC0C62"/>
    <w:rsid w:val="00BC0DCC"/>
    <w:rsid w:val="00BC0E99"/>
    <w:rsid w:val="00BC0EC4"/>
    <w:rsid w:val="00BC0F44"/>
    <w:rsid w:val="00BC1189"/>
    <w:rsid w:val="00BC1284"/>
    <w:rsid w:val="00BC150C"/>
    <w:rsid w:val="00BC1672"/>
    <w:rsid w:val="00BC167C"/>
    <w:rsid w:val="00BC168A"/>
    <w:rsid w:val="00BC1834"/>
    <w:rsid w:val="00BC1A8A"/>
    <w:rsid w:val="00BC1D71"/>
    <w:rsid w:val="00BC1D8D"/>
    <w:rsid w:val="00BC1E7A"/>
    <w:rsid w:val="00BC1EC8"/>
    <w:rsid w:val="00BC1ED6"/>
    <w:rsid w:val="00BC1FE2"/>
    <w:rsid w:val="00BC2394"/>
    <w:rsid w:val="00BC23FA"/>
    <w:rsid w:val="00BC2621"/>
    <w:rsid w:val="00BC2657"/>
    <w:rsid w:val="00BC26D2"/>
    <w:rsid w:val="00BC27C3"/>
    <w:rsid w:val="00BC28CA"/>
    <w:rsid w:val="00BC29CC"/>
    <w:rsid w:val="00BC2CCA"/>
    <w:rsid w:val="00BC2D93"/>
    <w:rsid w:val="00BC2F62"/>
    <w:rsid w:val="00BC2FC6"/>
    <w:rsid w:val="00BC2FD7"/>
    <w:rsid w:val="00BC30E4"/>
    <w:rsid w:val="00BC32E3"/>
    <w:rsid w:val="00BC358C"/>
    <w:rsid w:val="00BC36B2"/>
    <w:rsid w:val="00BC36D2"/>
    <w:rsid w:val="00BC36EF"/>
    <w:rsid w:val="00BC3808"/>
    <w:rsid w:val="00BC38D8"/>
    <w:rsid w:val="00BC3A3F"/>
    <w:rsid w:val="00BC3A4B"/>
    <w:rsid w:val="00BC3A6E"/>
    <w:rsid w:val="00BC3BA5"/>
    <w:rsid w:val="00BC3D8B"/>
    <w:rsid w:val="00BC3DBC"/>
    <w:rsid w:val="00BC3E29"/>
    <w:rsid w:val="00BC40BC"/>
    <w:rsid w:val="00BC41AD"/>
    <w:rsid w:val="00BC42AD"/>
    <w:rsid w:val="00BC43B5"/>
    <w:rsid w:val="00BC4496"/>
    <w:rsid w:val="00BC4506"/>
    <w:rsid w:val="00BC4648"/>
    <w:rsid w:val="00BC4738"/>
    <w:rsid w:val="00BC47DD"/>
    <w:rsid w:val="00BC47EB"/>
    <w:rsid w:val="00BC4902"/>
    <w:rsid w:val="00BC4983"/>
    <w:rsid w:val="00BC4C34"/>
    <w:rsid w:val="00BC4CEB"/>
    <w:rsid w:val="00BC4D62"/>
    <w:rsid w:val="00BC5261"/>
    <w:rsid w:val="00BC5268"/>
    <w:rsid w:val="00BC528B"/>
    <w:rsid w:val="00BC53F1"/>
    <w:rsid w:val="00BC586C"/>
    <w:rsid w:val="00BC5A66"/>
    <w:rsid w:val="00BC5D66"/>
    <w:rsid w:val="00BC5DA9"/>
    <w:rsid w:val="00BC5EC1"/>
    <w:rsid w:val="00BC604A"/>
    <w:rsid w:val="00BC6338"/>
    <w:rsid w:val="00BC636A"/>
    <w:rsid w:val="00BC6559"/>
    <w:rsid w:val="00BC6716"/>
    <w:rsid w:val="00BC6791"/>
    <w:rsid w:val="00BC68A4"/>
    <w:rsid w:val="00BC69FB"/>
    <w:rsid w:val="00BC6A94"/>
    <w:rsid w:val="00BC6B23"/>
    <w:rsid w:val="00BC6B4A"/>
    <w:rsid w:val="00BC6CAB"/>
    <w:rsid w:val="00BC6FDD"/>
    <w:rsid w:val="00BC70A3"/>
    <w:rsid w:val="00BC727F"/>
    <w:rsid w:val="00BC743A"/>
    <w:rsid w:val="00BC7550"/>
    <w:rsid w:val="00BC7671"/>
    <w:rsid w:val="00BC7852"/>
    <w:rsid w:val="00BC7880"/>
    <w:rsid w:val="00BC7C71"/>
    <w:rsid w:val="00BC7D13"/>
    <w:rsid w:val="00BC7DB0"/>
    <w:rsid w:val="00BC7E8C"/>
    <w:rsid w:val="00BC7ED7"/>
    <w:rsid w:val="00BD00C9"/>
    <w:rsid w:val="00BD01A9"/>
    <w:rsid w:val="00BD01D9"/>
    <w:rsid w:val="00BD0243"/>
    <w:rsid w:val="00BD05C6"/>
    <w:rsid w:val="00BD0680"/>
    <w:rsid w:val="00BD09C5"/>
    <w:rsid w:val="00BD0B61"/>
    <w:rsid w:val="00BD0BFC"/>
    <w:rsid w:val="00BD10DC"/>
    <w:rsid w:val="00BD1224"/>
    <w:rsid w:val="00BD12CC"/>
    <w:rsid w:val="00BD150A"/>
    <w:rsid w:val="00BD1865"/>
    <w:rsid w:val="00BD1960"/>
    <w:rsid w:val="00BD198F"/>
    <w:rsid w:val="00BD1A58"/>
    <w:rsid w:val="00BD1AA4"/>
    <w:rsid w:val="00BD1ABB"/>
    <w:rsid w:val="00BD1B0D"/>
    <w:rsid w:val="00BD1B7D"/>
    <w:rsid w:val="00BD1C76"/>
    <w:rsid w:val="00BD1E67"/>
    <w:rsid w:val="00BD1E8B"/>
    <w:rsid w:val="00BD2160"/>
    <w:rsid w:val="00BD2336"/>
    <w:rsid w:val="00BD2363"/>
    <w:rsid w:val="00BD24E4"/>
    <w:rsid w:val="00BD26E2"/>
    <w:rsid w:val="00BD2764"/>
    <w:rsid w:val="00BD2C12"/>
    <w:rsid w:val="00BD2C5C"/>
    <w:rsid w:val="00BD2CBA"/>
    <w:rsid w:val="00BD2DAD"/>
    <w:rsid w:val="00BD2DCB"/>
    <w:rsid w:val="00BD2F3C"/>
    <w:rsid w:val="00BD2FDE"/>
    <w:rsid w:val="00BD3105"/>
    <w:rsid w:val="00BD3321"/>
    <w:rsid w:val="00BD33C5"/>
    <w:rsid w:val="00BD36EB"/>
    <w:rsid w:val="00BD3701"/>
    <w:rsid w:val="00BD3723"/>
    <w:rsid w:val="00BD378A"/>
    <w:rsid w:val="00BD3964"/>
    <w:rsid w:val="00BD3A0C"/>
    <w:rsid w:val="00BD3B97"/>
    <w:rsid w:val="00BD3BA1"/>
    <w:rsid w:val="00BD3D37"/>
    <w:rsid w:val="00BD3FB0"/>
    <w:rsid w:val="00BD40F9"/>
    <w:rsid w:val="00BD43CF"/>
    <w:rsid w:val="00BD45D5"/>
    <w:rsid w:val="00BD46F9"/>
    <w:rsid w:val="00BD4765"/>
    <w:rsid w:val="00BD4ABB"/>
    <w:rsid w:val="00BD4C59"/>
    <w:rsid w:val="00BD4C79"/>
    <w:rsid w:val="00BD4CD1"/>
    <w:rsid w:val="00BD4D01"/>
    <w:rsid w:val="00BD4D09"/>
    <w:rsid w:val="00BD4D4E"/>
    <w:rsid w:val="00BD4F3B"/>
    <w:rsid w:val="00BD4F61"/>
    <w:rsid w:val="00BD4F80"/>
    <w:rsid w:val="00BD501B"/>
    <w:rsid w:val="00BD519F"/>
    <w:rsid w:val="00BD53A6"/>
    <w:rsid w:val="00BD5622"/>
    <w:rsid w:val="00BD56B0"/>
    <w:rsid w:val="00BD5725"/>
    <w:rsid w:val="00BD5900"/>
    <w:rsid w:val="00BD5A85"/>
    <w:rsid w:val="00BD5AA7"/>
    <w:rsid w:val="00BD5B20"/>
    <w:rsid w:val="00BD5BF5"/>
    <w:rsid w:val="00BD5C57"/>
    <w:rsid w:val="00BD617E"/>
    <w:rsid w:val="00BD61C6"/>
    <w:rsid w:val="00BD61FA"/>
    <w:rsid w:val="00BD6272"/>
    <w:rsid w:val="00BD63BC"/>
    <w:rsid w:val="00BD6400"/>
    <w:rsid w:val="00BD651F"/>
    <w:rsid w:val="00BD693E"/>
    <w:rsid w:val="00BD6B7A"/>
    <w:rsid w:val="00BD6C79"/>
    <w:rsid w:val="00BD6DCA"/>
    <w:rsid w:val="00BD6ED1"/>
    <w:rsid w:val="00BD6EE1"/>
    <w:rsid w:val="00BD6FDF"/>
    <w:rsid w:val="00BD7043"/>
    <w:rsid w:val="00BD7073"/>
    <w:rsid w:val="00BD70EE"/>
    <w:rsid w:val="00BD7282"/>
    <w:rsid w:val="00BD7378"/>
    <w:rsid w:val="00BD7392"/>
    <w:rsid w:val="00BD7413"/>
    <w:rsid w:val="00BD74A7"/>
    <w:rsid w:val="00BD76F1"/>
    <w:rsid w:val="00BD77A7"/>
    <w:rsid w:val="00BD77FB"/>
    <w:rsid w:val="00BD7802"/>
    <w:rsid w:val="00BD791F"/>
    <w:rsid w:val="00BD7B38"/>
    <w:rsid w:val="00BD7C74"/>
    <w:rsid w:val="00BE003D"/>
    <w:rsid w:val="00BE009F"/>
    <w:rsid w:val="00BE0242"/>
    <w:rsid w:val="00BE05DC"/>
    <w:rsid w:val="00BE05FE"/>
    <w:rsid w:val="00BE06B1"/>
    <w:rsid w:val="00BE08DB"/>
    <w:rsid w:val="00BE09BE"/>
    <w:rsid w:val="00BE0B8C"/>
    <w:rsid w:val="00BE0CF0"/>
    <w:rsid w:val="00BE0F1B"/>
    <w:rsid w:val="00BE0F5A"/>
    <w:rsid w:val="00BE10D6"/>
    <w:rsid w:val="00BE1158"/>
    <w:rsid w:val="00BE1395"/>
    <w:rsid w:val="00BE147C"/>
    <w:rsid w:val="00BE15A0"/>
    <w:rsid w:val="00BE1717"/>
    <w:rsid w:val="00BE17C0"/>
    <w:rsid w:val="00BE17F0"/>
    <w:rsid w:val="00BE183E"/>
    <w:rsid w:val="00BE1A22"/>
    <w:rsid w:val="00BE1B9A"/>
    <w:rsid w:val="00BE1BB7"/>
    <w:rsid w:val="00BE1E24"/>
    <w:rsid w:val="00BE2315"/>
    <w:rsid w:val="00BE246E"/>
    <w:rsid w:val="00BE24B5"/>
    <w:rsid w:val="00BE2A7E"/>
    <w:rsid w:val="00BE2ACE"/>
    <w:rsid w:val="00BE2CCF"/>
    <w:rsid w:val="00BE2D00"/>
    <w:rsid w:val="00BE30B5"/>
    <w:rsid w:val="00BE30B6"/>
    <w:rsid w:val="00BE32C1"/>
    <w:rsid w:val="00BE32C3"/>
    <w:rsid w:val="00BE32EC"/>
    <w:rsid w:val="00BE34AA"/>
    <w:rsid w:val="00BE34EB"/>
    <w:rsid w:val="00BE35D8"/>
    <w:rsid w:val="00BE3885"/>
    <w:rsid w:val="00BE3902"/>
    <w:rsid w:val="00BE3925"/>
    <w:rsid w:val="00BE3ACE"/>
    <w:rsid w:val="00BE3C2D"/>
    <w:rsid w:val="00BE3F80"/>
    <w:rsid w:val="00BE40DE"/>
    <w:rsid w:val="00BE413C"/>
    <w:rsid w:val="00BE42AD"/>
    <w:rsid w:val="00BE43BA"/>
    <w:rsid w:val="00BE441E"/>
    <w:rsid w:val="00BE45C2"/>
    <w:rsid w:val="00BE45E6"/>
    <w:rsid w:val="00BE45F6"/>
    <w:rsid w:val="00BE4855"/>
    <w:rsid w:val="00BE491E"/>
    <w:rsid w:val="00BE4924"/>
    <w:rsid w:val="00BE49A4"/>
    <w:rsid w:val="00BE4C61"/>
    <w:rsid w:val="00BE4CCA"/>
    <w:rsid w:val="00BE4DB8"/>
    <w:rsid w:val="00BE4EAD"/>
    <w:rsid w:val="00BE4F25"/>
    <w:rsid w:val="00BE4F7F"/>
    <w:rsid w:val="00BE4FBB"/>
    <w:rsid w:val="00BE50D8"/>
    <w:rsid w:val="00BE51C1"/>
    <w:rsid w:val="00BE5298"/>
    <w:rsid w:val="00BE52DE"/>
    <w:rsid w:val="00BE53A5"/>
    <w:rsid w:val="00BE5441"/>
    <w:rsid w:val="00BE54E3"/>
    <w:rsid w:val="00BE5509"/>
    <w:rsid w:val="00BE5517"/>
    <w:rsid w:val="00BE5563"/>
    <w:rsid w:val="00BE55F6"/>
    <w:rsid w:val="00BE5A46"/>
    <w:rsid w:val="00BE5B66"/>
    <w:rsid w:val="00BE5C57"/>
    <w:rsid w:val="00BE5EA0"/>
    <w:rsid w:val="00BE5F67"/>
    <w:rsid w:val="00BE6006"/>
    <w:rsid w:val="00BE602D"/>
    <w:rsid w:val="00BE60EF"/>
    <w:rsid w:val="00BE614F"/>
    <w:rsid w:val="00BE619A"/>
    <w:rsid w:val="00BE62B7"/>
    <w:rsid w:val="00BE62EC"/>
    <w:rsid w:val="00BE6513"/>
    <w:rsid w:val="00BE6578"/>
    <w:rsid w:val="00BE6610"/>
    <w:rsid w:val="00BE67A4"/>
    <w:rsid w:val="00BE67E0"/>
    <w:rsid w:val="00BE6814"/>
    <w:rsid w:val="00BE68B0"/>
    <w:rsid w:val="00BE6989"/>
    <w:rsid w:val="00BE6D0E"/>
    <w:rsid w:val="00BE6E7E"/>
    <w:rsid w:val="00BE6EE6"/>
    <w:rsid w:val="00BE6F66"/>
    <w:rsid w:val="00BE7010"/>
    <w:rsid w:val="00BE708D"/>
    <w:rsid w:val="00BE71DF"/>
    <w:rsid w:val="00BE730A"/>
    <w:rsid w:val="00BE7537"/>
    <w:rsid w:val="00BE7A00"/>
    <w:rsid w:val="00BE7A65"/>
    <w:rsid w:val="00BE7A9A"/>
    <w:rsid w:val="00BE7B82"/>
    <w:rsid w:val="00BE7BB8"/>
    <w:rsid w:val="00BE7FDB"/>
    <w:rsid w:val="00BF02CF"/>
    <w:rsid w:val="00BF03B1"/>
    <w:rsid w:val="00BF03D0"/>
    <w:rsid w:val="00BF03F7"/>
    <w:rsid w:val="00BF0576"/>
    <w:rsid w:val="00BF05A5"/>
    <w:rsid w:val="00BF0753"/>
    <w:rsid w:val="00BF09F5"/>
    <w:rsid w:val="00BF0AEF"/>
    <w:rsid w:val="00BF0CDC"/>
    <w:rsid w:val="00BF0D94"/>
    <w:rsid w:val="00BF0E24"/>
    <w:rsid w:val="00BF0E66"/>
    <w:rsid w:val="00BF0F7E"/>
    <w:rsid w:val="00BF10BF"/>
    <w:rsid w:val="00BF10F7"/>
    <w:rsid w:val="00BF1104"/>
    <w:rsid w:val="00BF1132"/>
    <w:rsid w:val="00BF11B8"/>
    <w:rsid w:val="00BF1315"/>
    <w:rsid w:val="00BF1434"/>
    <w:rsid w:val="00BF1C20"/>
    <w:rsid w:val="00BF1F1B"/>
    <w:rsid w:val="00BF1FCD"/>
    <w:rsid w:val="00BF20E9"/>
    <w:rsid w:val="00BF21CF"/>
    <w:rsid w:val="00BF225D"/>
    <w:rsid w:val="00BF2269"/>
    <w:rsid w:val="00BF2310"/>
    <w:rsid w:val="00BF23E0"/>
    <w:rsid w:val="00BF261E"/>
    <w:rsid w:val="00BF2686"/>
    <w:rsid w:val="00BF2724"/>
    <w:rsid w:val="00BF278D"/>
    <w:rsid w:val="00BF287D"/>
    <w:rsid w:val="00BF29CA"/>
    <w:rsid w:val="00BF2A42"/>
    <w:rsid w:val="00BF2B40"/>
    <w:rsid w:val="00BF2B84"/>
    <w:rsid w:val="00BF2FE9"/>
    <w:rsid w:val="00BF30CB"/>
    <w:rsid w:val="00BF3186"/>
    <w:rsid w:val="00BF31E2"/>
    <w:rsid w:val="00BF3313"/>
    <w:rsid w:val="00BF339A"/>
    <w:rsid w:val="00BF34C5"/>
    <w:rsid w:val="00BF3560"/>
    <w:rsid w:val="00BF385A"/>
    <w:rsid w:val="00BF38C6"/>
    <w:rsid w:val="00BF393D"/>
    <w:rsid w:val="00BF39C2"/>
    <w:rsid w:val="00BF3A45"/>
    <w:rsid w:val="00BF3ADC"/>
    <w:rsid w:val="00BF3B43"/>
    <w:rsid w:val="00BF3E57"/>
    <w:rsid w:val="00BF4210"/>
    <w:rsid w:val="00BF4215"/>
    <w:rsid w:val="00BF42D9"/>
    <w:rsid w:val="00BF448D"/>
    <w:rsid w:val="00BF4498"/>
    <w:rsid w:val="00BF44D8"/>
    <w:rsid w:val="00BF44FF"/>
    <w:rsid w:val="00BF452D"/>
    <w:rsid w:val="00BF45D0"/>
    <w:rsid w:val="00BF47D2"/>
    <w:rsid w:val="00BF489D"/>
    <w:rsid w:val="00BF48AA"/>
    <w:rsid w:val="00BF49A5"/>
    <w:rsid w:val="00BF4D0D"/>
    <w:rsid w:val="00BF4DAF"/>
    <w:rsid w:val="00BF4F7F"/>
    <w:rsid w:val="00BF50A2"/>
    <w:rsid w:val="00BF5136"/>
    <w:rsid w:val="00BF5154"/>
    <w:rsid w:val="00BF5406"/>
    <w:rsid w:val="00BF56B2"/>
    <w:rsid w:val="00BF5750"/>
    <w:rsid w:val="00BF587A"/>
    <w:rsid w:val="00BF5A0C"/>
    <w:rsid w:val="00BF5A91"/>
    <w:rsid w:val="00BF5B86"/>
    <w:rsid w:val="00BF6079"/>
    <w:rsid w:val="00BF61D0"/>
    <w:rsid w:val="00BF63C7"/>
    <w:rsid w:val="00BF64E6"/>
    <w:rsid w:val="00BF6548"/>
    <w:rsid w:val="00BF6751"/>
    <w:rsid w:val="00BF67C9"/>
    <w:rsid w:val="00BF6905"/>
    <w:rsid w:val="00BF69CB"/>
    <w:rsid w:val="00BF6C68"/>
    <w:rsid w:val="00BF6E69"/>
    <w:rsid w:val="00BF6EC3"/>
    <w:rsid w:val="00BF6F75"/>
    <w:rsid w:val="00BF7068"/>
    <w:rsid w:val="00BF7105"/>
    <w:rsid w:val="00BF72E4"/>
    <w:rsid w:val="00BF7471"/>
    <w:rsid w:val="00BF747F"/>
    <w:rsid w:val="00BF757C"/>
    <w:rsid w:val="00BF77B3"/>
    <w:rsid w:val="00BF7814"/>
    <w:rsid w:val="00BF7879"/>
    <w:rsid w:val="00BF7982"/>
    <w:rsid w:val="00BF79F3"/>
    <w:rsid w:val="00BF7CC7"/>
    <w:rsid w:val="00BF7CD5"/>
    <w:rsid w:val="00BF7D04"/>
    <w:rsid w:val="00BF7E0B"/>
    <w:rsid w:val="00BF7E53"/>
    <w:rsid w:val="00C00106"/>
    <w:rsid w:val="00C0015D"/>
    <w:rsid w:val="00C00234"/>
    <w:rsid w:val="00C00402"/>
    <w:rsid w:val="00C00428"/>
    <w:rsid w:val="00C00454"/>
    <w:rsid w:val="00C0046F"/>
    <w:rsid w:val="00C0073C"/>
    <w:rsid w:val="00C0082C"/>
    <w:rsid w:val="00C0084F"/>
    <w:rsid w:val="00C0093F"/>
    <w:rsid w:val="00C00A88"/>
    <w:rsid w:val="00C00A8E"/>
    <w:rsid w:val="00C00C62"/>
    <w:rsid w:val="00C00DFE"/>
    <w:rsid w:val="00C00F2D"/>
    <w:rsid w:val="00C0103B"/>
    <w:rsid w:val="00C010F9"/>
    <w:rsid w:val="00C01548"/>
    <w:rsid w:val="00C0154F"/>
    <w:rsid w:val="00C018E1"/>
    <w:rsid w:val="00C01929"/>
    <w:rsid w:val="00C019E8"/>
    <w:rsid w:val="00C01A64"/>
    <w:rsid w:val="00C01CF6"/>
    <w:rsid w:val="00C01D20"/>
    <w:rsid w:val="00C01D81"/>
    <w:rsid w:val="00C01F9D"/>
    <w:rsid w:val="00C01FF0"/>
    <w:rsid w:val="00C0207A"/>
    <w:rsid w:val="00C0227A"/>
    <w:rsid w:val="00C02321"/>
    <w:rsid w:val="00C02557"/>
    <w:rsid w:val="00C026A5"/>
    <w:rsid w:val="00C0274F"/>
    <w:rsid w:val="00C0289C"/>
    <w:rsid w:val="00C02972"/>
    <w:rsid w:val="00C02B31"/>
    <w:rsid w:val="00C02C9E"/>
    <w:rsid w:val="00C02D59"/>
    <w:rsid w:val="00C030FF"/>
    <w:rsid w:val="00C031B0"/>
    <w:rsid w:val="00C0320F"/>
    <w:rsid w:val="00C032F7"/>
    <w:rsid w:val="00C033A0"/>
    <w:rsid w:val="00C0357C"/>
    <w:rsid w:val="00C03692"/>
    <w:rsid w:val="00C0393C"/>
    <w:rsid w:val="00C039E5"/>
    <w:rsid w:val="00C03BF7"/>
    <w:rsid w:val="00C03C83"/>
    <w:rsid w:val="00C03E77"/>
    <w:rsid w:val="00C03FCB"/>
    <w:rsid w:val="00C04009"/>
    <w:rsid w:val="00C04071"/>
    <w:rsid w:val="00C040DE"/>
    <w:rsid w:val="00C0414F"/>
    <w:rsid w:val="00C04451"/>
    <w:rsid w:val="00C044F6"/>
    <w:rsid w:val="00C04556"/>
    <w:rsid w:val="00C04732"/>
    <w:rsid w:val="00C04903"/>
    <w:rsid w:val="00C04C46"/>
    <w:rsid w:val="00C04C56"/>
    <w:rsid w:val="00C04CE3"/>
    <w:rsid w:val="00C04D00"/>
    <w:rsid w:val="00C04DFD"/>
    <w:rsid w:val="00C04F9E"/>
    <w:rsid w:val="00C04FEC"/>
    <w:rsid w:val="00C05122"/>
    <w:rsid w:val="00C05284"/>
    <w:rsid w:val="00C0536B"/>
    <w:rsid w:val="00C0586E"/>
    <w:rsid w:val="00C05B2C"/>
    <w:rsid w:val="00C05E52"/>
    <w:rsid w:val="00C05FAF"/>
    <w:rsid w:val="00C060BE"/>
    <w:rsid w:val="00C06131"/>
    <w:rsid w:val="00C0614F"/>
    <w:rsid w:val="00C06492"/>
    <w:rsid w:val="00C064C5"/>
    <w:rsid w:val="00C06519"/>
    <w:rsid w:val="00C06657"/>
    <w:rsid w:val="00C06685"/>
    <w:rsid w:val="00C067DB"/>
    <w:rsid w:val="00C0687A"/>
    <w:rsid w:val="00C068FD"/>
    <w:rsid w:val="00C06935"/>
    <w:rsid w:val="00C06990"/>
    <w:rsid w:val="00C069DE"/>
    <w:rsid w:val="00C06A07"/>
    <w:rsid w:val="00C06CE8"/>
    <w:rsid w:val="00C06E71"/>
    <w:rsid w:val="00C06F40"/>
    <w:rsid w:val="00C06FB8"/>
    <w:rsid w:val="00C0707B"/>
    <w:rsid w:val="00C07093"/>
    <w:rsid w:val="00C0712E"/>
    <w:rsid w:val="00C071EC"/>
    <w:rsid w:val="00C07379"/>
    <w:rsid w:val="00C073DA"/>
    <w:rsid w:val="00C0740E"/>
    <w:rsid w:val="00C07558"/>
    <w:rsid w:val="00C0775A"/>
    <w:rsid w:val="00C079D7"/>
    <w:rsid w:val="00C07A92"/>
    <w:rsid w:val="00C07B46"/>
    <w:rsid w:val="00C07B93"/>
    <w:rsid w:val="00C07BCD"/>
    <w:rsid w:val="00C07D76"/>
    <w:rsid w:val="00C07FCF"/>
    <w:rsid w:val="00C07FD0"/>
    <w:rsid w:val="00C100A6"/>
    <w:rsid w:val="00C101F9"/>
    <w:rsid w:val="00C1028D"/>
    <w:rsid w:val="00C104AF"/>
    <w:rsid w:val="00C10542"/>
    <w:rsid w:val="00C1090F"/>
    <w:rsid w:val="00C1098E"/>
    <w:rsid w:val="00C1108F"/>
    <w:rsid w:val="00C110D1"/>
    <w:rsid w:val="00C1133A"/>
    <w:rsid w:val="00C11461"/>
    <w:rsid w:val="00C11526"/>
    <w:rsid w:val="00C116D5"/>
    <w:rsid w:val="00C1177C"/>
    <w:rsid w:val="00C1181D"/>
    <w:rsid w:val="00C1189A"/>
    <w:rsid w:val="00C11979"/>
    <w:rsid w:val="00C11E5A"/>
    <w:rsid w:val="00C11E6E"/>
    <w:rsid w:val="00C11FAC"/>
    <w:rsid w:val="00C12043"/>
    <w:rsid w:val="00C12261"/>
    <w:rsid w:val="00C1228D"/>
    <w:rsid w:val="00C12291"/>
    <w:rsid w:val="00C122C6"/>
    <w:rsid w:val="00C12353"/>
    <w:rsid w:val="00C123DA"/>
    <w:rsid w:val="00C1251D"/>
    <w:rsid w:val="00C126C1"/>
    <w:rsid w:val="00C1277E"/>
    <w:rsid w:val="00C12890"/>
    <w:rsid w:val="00C128AE"/>
    <w:rsid w:val="00C128FD"/>
    <w:rsid w:val="00C1307F"/>
    <w:rsid w:val="00C13232"/>
    <w:rsid w:val="00C13234"/>
    <w:rsid w:val="00C13347"/>
    <w:rsid w:val="00C1337B"/>
    <w:rsid w:val="00C13431"/>
    <w:rsid w:val="00C134B0"/>
    <w:rsid w:val="00C1361C"/>
    <w:rsid w:val="00C139E6"/>
    <w:rsid w:val="00C13AD3"/>
    <w:rsid w:val="00C13B24"/>
    <w:rsid w:val="00C13C06"/>
    <w:rsid w:val="00C13CF0"/>
    <w:rsid w:val="00C1411D"/>
    <w:rsid w:val="00C14269"/>
    <w:rsid w:val="00C143CB"/>
    <w:rsid w:val="00C14430"/>
    <w:rsid w:val="00C14447"/>
    <w:rsid w:val="00C147E1"/>
    <w:rsid w:val="00C14AAA"/>
    <w:rsid w:val="00C14C43"/>
    <w:rsid w:val="00C14E4D"/>
    <w:rsid w:val="00C14F1E"/>
    <w:rsid w:val="00C14F5C"/>
    <w:rsid w:val="00C1501A"/>
    <w:rsid w:val="00C15580"/>
    <w:rsid w:val="00C15759"/>
    <w:rsid w:val="00C15793"/>
    <w:rsid w:val="00C157D7"/>
    <w:rsid w:val="00C15811"/>
    <w:rsid w:val="00C15865"/>
    <w:rsid w:val="00C158EB"/>
    <w:rsid w:val="00C15A8E"/>
    <w:rsid w:val="00C15BC2"/>
    <w:rsid w:val="00C15C11"/>
    <w:rsid w:val="00C15C6A"/>
    <w:rsid w:val="00C15CCE"/>
    <w:rsid w:val="00C15CD4"/>
    <w:rsid w:val="00C15DCC"/>
    <w:rsid w:val="00C15DE0"/>
    <w:rsid w:val="00C16073"/>
    <w:rsid w:val="00C1634D"/>
    <w:rsid w:val="00C1652B"/>
    <w:rsid w:val="00C16531"/>
    <w:rsid w:val="00C16587"/>
    <w:rsid w:val="00C16747"/>
    <w:rsid w:val="00C16852"/>
    <w:rsid w:val="00C16AB4"/>
    <w:rsid w:val="00C16B12"/>
    <w:rsid w:val="00C16C74"/>
    <w:rsid w:val="00C16CEB"/>
    <w:rsid w:val="00C16F56"/>
    <w:rsid w:val="00C16F7E"/>
    <w:rsid w:val="00C16FF3"/>
    <w:rsid w:val="00C17177"/>
    <w:rsid w:val="00C171EA"/>
    <w:rsid w:val="00C17210"/>
    <w:rsid w:val="00C172DC"/>
    <w:rsid w:val="00C174B6"/>
    <w:rsid w:val="00C17677"/>
    <w:rsid w:val="00C1771B"/>
    <w:rsid w:val="00C17799"/>
    <w:rsid w:val="00C17A05"/>
    <w:rsid w:val="00C17AA7"/>
    <w:rsid w:val="00C17B08"/>
    <w:rsid w:val="00C17DD0"/>
    <w:rsid w:val="00C2000A"/>
    <w:rsid w:val="00C20037"/>
    <w:rsid w:val="00C20048"/>
    <w:rsid w:val="00C20186"/>
    <w:rsid w:val="00C2019F"/>
    <w:rsid w:val="00C204BD"/>
    <w:rsid w:val="00C20560"/>
    <w:rsid w:val="00C20601"/>
    <w:rsid w:val="00C206C5"/>
    <w:rsid w:val="00C209E8"/>
    <w:rsid w:val="00C20A48"/>
    <w:rsid w:val="00C20BCA"/>
    <w:rsid w:val="00C20BF4"/>
    <w:rsid w:val="00C21088"/>
    <w:rsid w:val="00C2111F"/>
    <w:rsid w:val="00C2122C"/>
    <w:rsid w:val="00C2125E"/>
    <w:rsid w:val="00C21623"/>
    <w:rsid w:val="00C21674"/>
    <w:rsid w:val="00C21753"/>
    <w:rsid w:val="00C21852"/>
    <w:rsid w:val="00C219C1"/>
    <w:rsid w:val="00C21A1E"/>
    <w:rsid w:val="00C21E33"/>
    <w:rsid w:val="00C21ED7"/>
    <w:rsid w:val="00C21EF1"/>
    <w:rsid w:val="00C21F4F"/>
    <w:rsid w:val="00C21F56"/>
    <w:rsid w:val="00C220EA"/>
    <w:rsid w:val="00C220FD"/>
    <w:rsid w:val="00C22137"/>
    <w:rsid w:val="00C2213B"/>
    <w:rsid w:val="00C22141"/>
    <w:rsid w:val="00C22253"/>
    <w:rsid w:val="00C222CE"/>
    <w:rsid w:val="00C2242B"/>
    <w:rsid w:val="00C2255F"/>
    <w:rsid w:val="00C22785"/>
    <w:rsid w:val="00C2289E"/>
    <w:rsid w:val="00C22A9D"/>
    <w:rsid w:val="00C22B9F"/>
    <w:rsid w:val="00C22BE6"/>
    <w:rsid w:val="00C22C42"/>
    <w:rsid w:val="00C22DCA"/>
    <w:rsid w:val="00C22E7F"/>
    <w:rsid w:val="00C22FF4"/>
    <w:rsid w:val="00C2311E"/>
    <w:rsid w:val="00C232E7"/>
    <w:rsid w:val="00C23660"/>
    <w:rsid w:val="00C23955"/>
    <w:rsid w:val="00C239DF"/>
    <w:rsid w:val="00C23A79"/>
    <w:rsid w:val="00C23B79"/>
    <w:rsid w:val="00C2404E"/>
    <w:rsid w:val="00C24149"/>
    <w:rsid w:val="00C24678"/>
    <w:rsid w:val="00C24863"/>
    <w:rsid w:val="00C248CC"/>
    <w:rsid w:val="00C24969"/>
    <w:rsid w:val="00C2497D"/>
    <w:rsid w:val="00C24C30"/>
    <w:rsid w:val="00C24D52"/>
    <w:rsid w:val="00C24DFE"/>
    <w:rsid w:val="00C24EAD"/>
    <w:rsid w:val="00C24EB1"/>
    <w:rsid w:val="00C24F8E"/>
    <w:rsid w:val="00C24FEE"/>
    <w:rsid w:val="00C25351"/>
    <w:rsid w:val="00C2552C"/>
    <w:rsid w:val="00C257D0"/>
    <w:rsid w:val="00C25831"/>
    <w:rsid w:val="00C25B1D"/>
    <w:rsid w:val="00C25BEB"/>
    <w:rsid w:val="00C25CE1"/>
    <w:rsid w:val="00C26178"/>
    <w:rsid w:val="00C262E6"/>
    <w:rsid w:val="00C26343"/>
    <w:rsid w:val="00C26544"/>
    <w:rsid w:val="00C26763"/>
    <w:rsid w:val="00C26B24"/>
    <w:rsid w:val="00C26BDD"/>
    <w:rsid w:val="00C26C75"/>
    <w:rsid w:val="00C27085"/>
    <w:rsid w:val="00C270C1"/>
    <w:rsid w:val="00C2716E"/>
    <w:rsid w:val="00C27281"/>
    <w:rsid w:val="00C272B3"/>
    <w:rsid w:val="00C27484"/>
    <w:rsid w:val="00C27505"/>
    <w:rsid w:val="00C2773C"/>
    <w:rsid w:val="00C27918"/>
    <w:rsid w:val="00C27920"/>
    <w:rsid w:val="00C27AC1"/>
    <w:rsid w:val="00C27B52"/>
    <w:rsid w:val="00C27B9C"/>
    <w:rsid w:val="00C27DDC"/>
    <w:rsid w:val="00C301CA"/>
    <w:rsid w:val="00C30230"/>
    <w:rsid w:val="00C302F2"/>
    <w:rsid w:val="00C3050F"/>
    <w:rsid w:val="00C30553"/>
    <w:rsid w:val="00C3072A"/>
    <w:rsid w:val="00C307A2"/>
    <w:rsid w:val="00C3089F"/>
    <w:rsid w:val="00C30987"/>
    <w:rsid w:val="00C30A7D"/>
    <w:rsid w:val="00C30CEB"/>
    <w:rsid w:val="00C30D17"/>
    <w:rsid w:val="00C30D81"/>
    <w:rsid w:val="00C30DD0"/>
    <w:rsid w:val="00C30E7B"/>
    <w:rsid w:val="00C30EA5"/>
    <w:rsid w:val="00C3127D"/>
    <w:rsid w:val="00C314A4"/>
    <w:rsid w:val="00C31C01"/>
    <w:rsid w:val="00C31D2D"/>
    <w:rsid w:val="00C3204B"/>
    <w:rsid w:val="00C32183"/>
    <w:rsid w:val="00C321C8"/>
    <w:rsid w:val="00C3224F"/>
    <w:rsid w:val="00C32361"/>
    <w:rsid w:val="00C327FB"/>
    <w:rsid w:val="00C329B3"/>
    <w:rsid w:val="00C32A2E"/>
    <w:rsid w:val="00C32BA8"/>
    <w:rsid w:val="00C32C78"/>
    <w:rsid w:val="00C32E36"/>
    <w:rsid w:val="00C32EA2"/>
    <w:rsid w:val="00C32F29"/>
    <w:rsid w:val="00C330A7"/>
    <w:rsid w:val="00C331B8"/>
    <w:rsid w:val="00C33283"/>
    <w:rsid w:val="00C3330A"/>
    <w:rsid w:val="00C33662"/>
    <w:rsid w:val="00C337FE"/>
    <w:rsid w:val="00C33801"/>
    <w:rsid w:val="00C3398B"/>
    <w:rsid w:val="00C33AB6"/>
    <w:rsid w:val="00C33C17"/>
    <w:rsid w:val="00C33D18"/>
    <w:rsid w:val="00C33E33"/>
    <w:rsid w:val="00C34081"/>
    <w:rsid w:val="00C3419A"/>
    <w:rsid w:val="00C344EA"/>
    <w:rsid w:val="00C34643"/>
    <w:rsid w:val="00C34860"/>
    <w:rsid w:val="00C34944"/>
    <w:rsid w:val="00C34DB0"/>
    <w:rsid w:val="00C35010"/>
    <w:rsid w:val="00C351EB"/>
    <w:rsid w:val="00C3520D"/>
    <w:rsid w:val="00C35219"/>
    <w:rsid w:val="00C35932"/>
    <w:rsid w:val="00C35AE5"/>
    <w:rsid w:val="00C35B73"/>
    <w:rsid w:val="00C35C56"/>
    <w:rsid w:val="00C35CFF"/>
    <w:rsid w:val="00C35D9C"/>
    <w:rsid w:val="00C35F11"/>
    <w:rsid w:val="00C35FE7"/>
    <w:rsid w:val="00C3606A"/>
    <w:rsid w:val="00C361AE"/>
    <w:rsid w:val="00C361BF"/>
    <w:rsid w:val="00C3649B"/>
    <w:rsid w:val="00C364CF"/>
    <w:rsid w:val="00C36621"/>
    <w:rsid w:val="00C36641"/>
    <w:rsid w:val="00C3666B"/>
    <w:rsid w:val="00C36AAA"/>
    <w:rsid w:val="00C36DF8"/>
    <w:rsid w:val="00C36E14"/>
    <w:rsid w:val="00C36FF2"/>
    <w:rsid w:val="00C373B9"/>
    <w:rsid w:val="00C373C9"/>
    <w:rsid w:val="00C375FF"/>
    <w:rsid w:val="00C3762D"/>
    <w:rsid w:val="00C376D4"/>
    <w:rsid w:val="00C37955"/>
    <w:rsid w:val="00C37D7D"/>
    <w:rsid w:val="00C40440"/>
    <w:rsid w:val="00C40498"/>
    <w:rsid w:val="00C407D5"/>
    <w:rsid w:val="00C408B6"/>
    <w:rsid w:val="00C40B90"/>
    <w:rsid w:val="00C40E5F"/>
    <w:rsid w:val="00C40EB1"/>
    <w:rsid w:val="00C4131A"/>
    <w:rsid w:val="00C41412"/>
    <w:rsid w:val="00C41510"/>
    <w:rsid w:val="00C41561"/>
    <w:rsid w:val="00C41589"/>
    <w:rsid w:val="00C4163F"/>
    <w:rsid w:val="00C41752"/>
    <w:rsid w:val="00C4185E"/>
    <w:rsid w:val="00C41A10"/>
    <w:rsid w:val="00C41A16"/>
    <w:rsid w:val="00C41B90"/>
    <w:rsid w:val="00C41CEC"/>
    <w:rsid w:val="00C41ECA"/>
    <w:rsid w:val="00C42168"/>
    <w:rsid w:val="00C421CA"/>
    <w:rsid w:val="00C42323"/>
    <w:rsid w:val="00C42583"/>
    <w:rsid w:val="00C426F4"/>
    <w:rsid w:val="00C427DC"/>
    <w:rsid w:val="00C42B47"/>
    <w:rsid w:val="00C42DD6"/>
    <w:rsid w:val="00C42F47"/>
    <w:rsid w:val="00C430CC"/>
    <w:rsid w:val="00C4362B"/>
    <w:rsid w:val="00C43754"/>
    <w:rsid w:val="00C437E8"/>
    <w:rsid w:val="00C438C9"/>
    <w:rsid w:val="00C43E6C"/>
    <w:rsid w:val="00C43FF9"/>
    <w:rsid w:val="00C443F7"/>
    <w:rsid w:val="00C44433"/>
    <w:rsid w:val="00C44732"/>
    <w:rsid w:val="00C44805"/>
    <w:rsid w:val="00C4493E"/>
    <w:rsid w:val="00C44B2D"/>
    <w:rsid w:val="00C44BE7"/>
    <w:rsid w:val="00C44E25"/>
    <w:rsid w:val="00C44E3A"/>
    <w:rsid w:val="00C44E8D"/>
    <w:rsid w:val="00C44FA0"/>
    <w:rsid w:val="00C44FEA"/>
    <w:rsid w:val="00C45014"/>
    <w:rsid w:val="00C45085"/>
    <w:rsid w:val="00C451C1"/>
    <w:rsid w:val="00C452B4"/>
    <w:rsid w:val="00C45307"/>
    <w:rsid w:val="00C45336"/>
    <w:rsid w:val="00C45558"/>
    <w:rsid w:val="00C4562D"/>
    <w:rsid w:val="00C45642"/>
    <w:rsid w:val="00C459C0"/>
    <w:rsid w:val="00C45A01"/>
    <w:rsid w:val="00C45BE3"/>
    <w:rsid w:val="00C45C3D"/>
    <w:rsid w:val="00C45C80"/>
    <w:rsid w:val="00C45CD8"/>
    <w:rsid w:val="00C45D7C"/>
    <w:rsid w:val="00C45EB2"/>
    <w:rsid w:val="00C45F17"/>
    <w:rsid w:val="00C45FC4"/>
    <w:rsid w:val="00C461FC"/>
    <w:rsid w:val="00C463B2"/>
    <w:rsid w:val="00C46449"/>
    <w:rsid w:val="00C46515"/>
    <w:rsid w:val="00C46706"/>
    <w:rsid w:val="00C46838"/>
    <w:rsid w:val="00C46881"/>
    <w:rsid w:val="00C46D65"/>
    <w:rsid w:val="00C46E91"/>
    <w:rsid w:val="00C46E97"/>
    <w:rsid w:val="00C46F58"/>
    <w:rsid w:val="00C471AB"/>
    <w:rsid w:val="00C47202"/>
    <w:rsid w:val="00C4720B"/>
    <w:rsid w:val="00C472A1"/>
    <w:rsid w:val="00C472DF"/>
    <w:rsid w:val="00C4733B"/>
    <w:rsid w:val="00C47520"/>
    <w:rsid w:val="00C47596"/>
    <w:rsid w:val="00C47757"/>
    <w:rsid w:val="00C478F1"/>
    <w:rsid w:val="00C479C3"/>
    <w:rsid w:val="00C47A3C"/>
    <w:rsid w:val="00C47A6B"/>
    <w:rsid w:val="00C47AAE"/>
    <w:rsid w:val="00C47B7A"/>
    <w:rsid w:val="00C47B94"/>
    <w:rsid w:val="00C47DDF"/>
    <w:rsid w:val="00C47E06"/>
    <w:rsid w:val="00C50120"/>
    <w:rsid w:val="00C50209"/>
    <w:rsid w:val="00C50219"/>
    <w:rsid w:val="00C50416"/>
    <w:rsid w:val="00C5045F"/>
    <w:rsid w:val="00C504F3"/>
    <w:rsid w:val="00C5064D"/>
    <w:rsid w:val="00C5072F"/>
    <w:rsid w:val="00C508FB"/>
    <w:rsid w:val="00C50A26"/>
    <w:rsid w:val="00C50A91"/>
    <w:rsid w:val="00C50AA7"/>
    <w:rsid w:val="00C50B2F"/>
    <w:rsid w:val="00C50D02"/>
    <w:rsid w:val="00C50D9B"/>
    <w:rsid w:val="00C50E43"/>
    <w:rsid w:val="00C50E61"/>
    <w:rsid w:val="00C50E69"/>
    <w:rsid w:val="00C50ED7"/>
    <w:rsid w:val="00C50F3A"/>
    <w:rsid w:val="00C5115B"/>
    <w:rsid w:val="00C51173"/>
    <w:rsid w:val="00C51243"/>
    <w:rsid w:val="00C512D7"/>
    <w:rsid w:val="00C513C9"/>
    <w:rsid w:val="00C51516"/>
    <w:rsid w:val="00C51707"/>
    <w:rsid w:val="00C51723"/>
    <w:rsid w:val="00C517F3"/>
    <w:rsid w:val="00C519BF"/>
    <w:rsid w:val="00C51D37"/>
    <w:rsid w:val="00C51D5B"/>
    <w:rsid w:val="00C51E6E"/>
    <w:rsid w:val="00C51F0A"/>
    <w:rsid w:val="00C51FA0"/>
    <w:rsid w:val="00C52052"/>
    <w:rsid w:val="00C521CA"/>
    <w:rsid w:val="00C522A4"/>
    <w:rsid w:val="00C5243E"/>
    <w:rsid w:val="00C52491"/>
    <w:rsid w:val="00C5262C"/>
    <w:rsid w:val="00C526FF"/>
    <w:rsid w:val="00C52718"/>
    <w:rsid w:val="00C52790"/>
    <w:rsid w:val="00C52817"/>
    <w:rsid w:val="00C52882"/>
    <w:rsid w:val="00C52932"/>
    <w:rsid w:val="00C52A42"/>
    <w:rsid w:val="00C52B03"/>
    <w:rsid w:val="00C52CED"/>
    <w:rsid w:val="00C52D16"/>
    <w:rsid w:val="00C52DD0"/>
    <w:rsid w:val="00C52DF1"/>
    <w:rsid w:val="00C53036"/>
    <w:rsid w:val="00C5303B"/>
    <w:rsid w:val="00C530F6"/>
    <w:rsid w:val="00C53154"/>
    <w:rsid w:val="00C53619"/>
    <w:rsid w:val="00C5368B"/>
    <w:rsid w:val="00C536A0"/>
    <w:rsid w:val="00C53BB1"/>
    <w:rsid w:val="00C53BC8"/>
    <w:rsid w:val="00C53DAF"/>
    <w:rsid w:val="00C53FA3"/>
    <w:rsid w:val="00C54013"/>
    <w:rsid w:val="00C5401E"/>
    <w:rsid w:val="00C54240"/>
    <w:rsid w:val="00C5428E"/>
    <w:rsid w:val="00C54357"/>
    <w:rsid w:val="00C544B3"/>
    <w:rsid w:val="00C54604"/>
    <w:rsid w:val="00C54621"/>
    <w:rsid w:val="00C547BF"/>
    <w:rsid w:val="00C54939"/>
    <w:rsid w:val="00C54A61"/>
    <w:rsid w:val="00C54C09"/>
    <w:rsid w:val="00C54F4C"/>
    <w:rsid w:val="00C55008"/>
    <w:rsid w:val="00C553DB"/>
    <w:rsid w:val="00C554BD"/>
    <w:rsid w:val="00C554EA"/>
    <w:rsid w:val="00C55581"/>
    <w:rsid w:val="00C5558D"/>
    <w:rsid w:val="00C5565A"/>
    <w:rsid w:val="00C55673"/>
    <w:rsid w:val="00C557F3"/>
    <w:rsid w:val="00C558EE"/>
    <w:rsid w:val="00C55A40"/>
    <w:rsid w:val="00C55A79"/>
    <w:rsid w:val="00C55C46"/>
    <w:rsid w:val="00C55C5F"/>
    <w:rsid w:val="00C55D64"/>
    <w:rsid w:val="00C55D8C"/>
    <w:rsid w:val="00C55F2F"/>
    <w:rsid w:val="00C56215"/>
    <w:rsid w:val="00C563AE"/>
    <w:rsid w:val="00C56406"/>
    <w:rsid w:val="00C56470"/>
    <w:rsid w:val="00C567BC"/>
    <w:rsid w:val="00C569A7"/>
    <w:rsid w:val="00C56C07"/>
    <w:rsid w:val="00C56C25"/>
    <w:rsid w:val="00C56D4B"/>
    <w:rsid w:val="00C5701B"/>
    <w:rsid w:val="00C57176"/>
    <w:rsid w:val="00C5726B"/>
    <w:rsid w:val="00C57402"/>
    <w:rsid w:val="00C57424"/>
    <w:rsid w:val="00C574BD"/>
    <w:rsid w:val="00C57813"/>
    <w:rsid w:val="00C578FC"/>
    <w:rsid w:val="00C57BE1"/>
    <w:rsid w:val="00C57D24"/>
    <w:rsid w:val="00C57EE0"/>
    <w:rsid w:val="00C57F5D"/>
    <w:rsid w:val="00C57FBE"/>
    <w:rsid w:val="00C60023"/>
    <w:rsid w:val="00C600A2"/>
    <w:rsid w:val="00C600FA"/>
    <w:rsid w:val="00C601A8"/>
    <w:rsid w:val="00C6033E"/>
    <w:rsid w:val="00C6067D"/>
    <w:rsid w:val="00C606E3"/>
    <w:rsid w:val="00C60BC9"/>
    <w:rsid w:val="00C60D5C"/>
    <w:rsid w:val="00C60D94"/>
    <w:rsid w:val="00C60F85"/>
    <w:rsid w:val="00C60FDA"/>
    <w:rsid w:val="00C60FED"/>
    <w:rsid w:val="00C6114B"/>
    <w:rsid w:val="00C612E8"/>
    <w:rsid w:val="00C6146B"/>
    <w:rsid w:val="00C617D4"/>
    <w:rsid w:val="00C61851"/>
    <w:rsid w:val="00C61898"/>
    <w:rsid w:val="00C6193A"/>
    <w:rsid w:val="00C6194B"/>
    <w:rsid w:val="00C61A69"/>
    <w:rsid w:val="00C61A91"/>
    <w:rsid w:val="00C61C6E"/>
    <w:rsid w:val="00C61D04"/>
    <w:rsid w:val="00C61D89"/>
    <w:rsid w:val="00C61D97"/>
    <w:rsid w:val="00C62097"/>
    <w:rsid w:val="00C620CF"/>
    <w:rsid w:val="00C621FA"/>
    <w:rsid w:val="00C62217"/>
    <w:rsid w:val="00C623CF"/>
    <w:rsid w:val="00C62577"/>
    <w:rsid w:val="00C627C3"/>
    <w:rsid w:val="00C62B0A"/>
    <w:rsid w:val="00C62D24"/>
    <w:rsid w:val="00C62D3D"/>
    <w:rsid w:val="00C62D73"/>
    <w:rsid w:val="00C62EFC"/>
    <w:rsid w:val="00C62EFE"/>
    <w:rsid w:val="00C63042"/>
    <w:rsid w:val="00C63089"/>
    <w:rsid w:val="00C63107"/>
    <w:rsid w:val="00C6319A"/>
    <w:rsid w:val="00C6319D"/>
    <w:rsid w:val="00C63271"/>
    <w:rsid w:val="00C633F6"/>
    <w:rsid w:val="00C633FA"/>
    <w:rsid w:val="00C63460"/>
    <w:rsid w:val="00C635B4"/>
    <w:rsid w:val="00C63948"/>
    <w:rsid w:val="00C63B2B"/>
    <w:rsid w:val="00C63B49"/>
    <w:rsid w:val="00C63C7C"/>
    <w:rsid w:val="00C63CE9"/>
    <w:rsid w:val="00C63D75"/>
    <w:rsid w:val="00C63D8A"/>
    <w:rsid w:val="00C63FA1"/>
    <w:rsid w:val="00C64063"/>
    <w:rsid w:val="00C6408C"/>
    <w:rsid w:val="00C64200"/>
    <w:rsid w:val="00C64507"/>
    <w:rsid w:val="00C645DE"/>
    <w:rsid w:val="00C6464B"/>
    <w:rsid w:val="00C64655"/>
    <w:rsid w:val="00C64715"/>
    <w:rsid w:val="00C64760"/>
    <w:rsid w:val="00C64831"/>
    <w:rsid w:val="00C648BF"/>
    <w:rsid w:val="00C64ADD"/>
    <w:rsid w:val="00C64AE7"/>
    <w:rsid w:val="00C64E2B"/>
    <w:rsid w:val="00C64EDE"/>
    <w:rsid w:val="00C65588"/>
    <w:rsid w:val="00C6569B"/>
    <w:rsid w:val="00C656E6"/>
    <w:rsid w:val="00C656F0"/>
    <w:rsid w:val="00C657F0"/>
    <w:rsid w:val="00C65A4A"/>
    <w:rsid w:val="00C65A52"/>
    <w:rsid w:val="00C65A96"/>
    <w:rsid w:val="00C65FEF"/>
    <w:rsid w:val="00C660C3"/>
    <w:rsid w:val="00C66214"/>
    <w:rsid w:val="00C66218"/>
    <w:rsid w:val="00C6627A"/>
    <w:rsid w:val="00C66285"/>
    <w:rsid w:val="00C6631F"/>
    <w:rsid w:val="00C6635F"/>
    <w:rsid w:val="00C664C5"/>
    <w:rsid w:val="00C665C4"/>
    <w:rsid w:val="00C665C9"/>
    <w:rsid w:val="00C66612"/>
    <w:rsid w:val="00C66631"/>
    <w:rsid w:val="00C6663B"/>
    <w:rsid w:val="00C66662"/>
    <w:rsid w:val="00C666A5"/>
    <w:rsid w:val="00C6670E"/>
    <w:rsid w:val="00C66780"/>
    <w:rsid w:val="00C66A5B"/>
    <w:rsid w:val="00C66A6E"/>
    <w:rsid w:val="00C66BFF"/>
    <w:rsid w:val="00C66C40"/>
    <w:rsid w:val="00C66CFA"/>
    <w:rsid w:val="00C66E14"/>
    <w:rsid w:val="00C67066"/>
    <w:rsid w:val="00C6710C"/>
    <w:rsid w:val="00C6713E"/>
    <w:rsid w:val="00C67207"/>
    <w:rsid w:val="00C67292"/>
    <w:rsid w:val="00C673D3"/>
    <w:rsid w:val="00C673F6"/>
    <w:rsid w:val="00C6752B"/>
    <w:rsid w:val="00C67664"/>
    <w:rsid w:val="00C67797"/>
    <w:rsid w:val="00C67825"/>
    <w:rsid w:val="00C67950"/>
    <w:rsid w:val="00C67D11"/>
    <w:rsid w:val="00C67E49"/>
    <w:rsid w:val="00C67EAB"/>
    <w:rsid w:val="00C67F14"/>
    <w:rsid w:val="00C67FD1"/>
    <w:rsid w:val="00C700DE"/>
    <w:rsid w:val="00C701BD"/>
    <w:rsid w:val="00C70631"/>
    <w:rsid w:val="00C7065F"/>
    <w:rsid w:val="00C7071F"/>
    <w:rsid w:val="00C7078C"/>
    <w:rsid w:val="00C70847"/>
    <w:rsid w:val="00C708C0"/>
    <w:rsid w:val="00C7094E"/>
    <w:rsid w:val="00C70A89"/>
    <w:rsid w:val="00C70CFD"/>
    <w:rsid w:val="00C70DA2"/>
    <w:rsid w:val="00C70E46"/>
    <w:rsid w:val="00C70ECF"/>
    <w:rsid w:val="00C70FA3"/>
    <w:rsid w:val="00C70FC1"/>
    <w:rsid w:val="00C713C1"/>
    <w:rsid w:val="00C71842"/>
    <w:rsid w:val="00C71A46"/>
    <w:rsid w:val="00C71AAC"/>
    <w:rsid w:val="00C71C83"/>
    <w:rsid w:val="00C71D95"/>
    <w:rsid w:val="00C71DDB"/>
    <w:rsid w:val="00C71F3F"/>
    <w:rsid w:val="00C72036"/>
    <w:rsid w:val="00C72070"/>
    <w:rsid w:val="00C72077"/>
    <w:rsid w:val="00C721A7"/>
    <w:rsid w:val="00C72269"/>
    <w:rsid w:val="00C7239A"/>
    <w:rsid w:val="00C72461"/>
    <w:rsid w:val="00C7248B"/>
    <w:rsid w:val="00C7255D"/>
    <w:rsid w:val="00C72587"/>
    <w:rsid w:val="00C725A3"/>
    <w:rsid w:val="00C725DE"/>
    <w:rsid w:val="00C72696"/>
    <w:rsid w:val="00C727E2"/>
    <w:rsid w:val="00C7285C"/>
    <w:rsid w:val="00C72891"/>
    <w:rsid w:val="00C72C2A"/>
    <w:rsid w:val="00C72C53"/>
    <w:rsid w:val="00C72C8F"/>
    <w:rsid w:val="00C72CF3"/>
    <w:rsid w:val="00C72D30"/>
    <w:rsid w:val="00C72E04"/>
    <w:rsid w:val="00C72EF4"/>
    <w:rsid w:val="00C735C8"/>
    <w:rsid w:val="00C73636"/>
    <w:rsid w:val="00C7365E"/>
    <w:rsid w:val="00C73902"/>
    <w:rsid w:val="00C73AC8"/>
    <w:rsid w:val="00C73C79"/>
    <w:rsid w:val="00C73CCC"/>
    <w:rsid w:val="00C73DBC"/>
    <w:rsid w:val="00C73F2C"/>
    <w:rsid w:val="00C73F65"/>
    <w:rsid w:val="00C73FF1"/>
    <w:rsid w:val="00C74015"/>
    <w:rsid w:val="00C74239"/>
    <w:rsid w:val="00C74299"/>
    <w:rsid w:val="00C743B7"/>
    <w:rsid w:val="00C743D6"/>
    <w:rsid w:val="00C7465D"/>
    <w:rsid w:val="00C7481B"/>
    <w:rsid w:val="00C7497C"/>
    <w:rsid w:val="00C749E5"/>
    <w:rsid w:val="00C74A1D"/>
    <w:rsid w:val="00C74A85"/>
    <w:rsid w:val="00C74D2D"/>
    <w:rsid w:val="00C75241"/>
    <w:rsid w:val="00C752E3"/>
    <w:rsid w:val="00C75301"/>
    <w:rsid w:val="00C754F1"/>
    <w:rsid w:val="00C754F2"/>
    <w:rsid w:val="00C75525"/>
    <w:rsid w:val="00C758EC"/>
    <w:rsid w:val="00C759FE"/>
    <w:rsid w:val="00C75B0F"/>
    <w:rsid w:val="00C75E17"/>
    <w:rsid w:val="00C760F0"/>
    <w:rsid w:val="00C76159"/>
    <w:rsid w:val="00C7618B"/>
    <w:rsid w:val="00C7623C"/>
    <w:rsid w:val="00C7624C"/>
    <w:rsid w:val="00C762D3"/>
    <w:rsid w:val="00C7631F"/>
    <w:rsid w:val="00C763B5"/>
    <w:rsid w:val="00C763EF"/>
    <w:rsid w:val="00C765D1"/>
    <w:rsid w:val="00C76600"/>
    <w:rsid w:val="00C7664A"/>
    <w:rsid w:val="00C76885"/>
    <w:rsid w:val="00C76A09"/>
    <w:rsid w:val="00C76BF3"/>
    <w:rsid w:val="00C76BFE"/>
    <w:rsid w:val="00C76D20"/>
    <w:rsid w:val="00C76E42"/>
    <w:rsid w:val="00C76E9C"/>
    <w:rsid w:val="00C76FAD"/>
    <w:rsid w:val="00C770AD"/>
    <w:rsid w:val="00C77167"/>
    <w:rsid w:val="00C771E6"/>
    <w:rsid w:val="00C774E0"/>
    <w:rsid w:val="00C77795"/>
    <w:rsid w:val="00C77817"/>
    <w:rsid w:val="00C77834"/>
    <w:rsid w:val="00C7784C"/>
    <w:rsid w:val="00C7798A"/>
    <w:rsid w:val="00C77C20"/>
    <w:rsid w:val="00C77C59"/>
    <w:rsid w:val="00C77E8F"/>
    <w:rsid w:val="00C80080"/>
    <w:rsid w:val="00C80317"/>
    <w:rsid w:val="00C80605"/>
    <w:rsid w:val="00C8062A"/>
    <w:rsid w:val="00C80A8A"/>
    <w:rsid w:val="00C80E9F"/>
    <w:rsid w:val="00C80EA5"/>
    <w:rsid w:val="00C81026"/>
    <w:rsid w:val="00C81088"/>
    <w:rsid w:val="00C810F5"/>
    <w:rsid w:val="00C81125"/>
    <w:rsid w:val="00C81168"/>
    <w:rsid w:val="00C8123E"/>
    <w:rsid w:val="00C812B2"/>
    <w:rsid w:val="00C814B2"/>
    <w:rsid w:val="00C8151B"/>
    <w:rsid w:val="00C819A7"/>
    <w:rsid w:val="00C81AA5"/>
    <w:rsid w:val="00C81AE1"/>
    <w:rsid w:val="00C81B4B"/>
    <w:rsid w:val="00C81C8B"/>
    <w:rsid w:val="00C81E21"/>
    <w:rsid w:val="00C820C8"/>
    <w:rsid w:val="00C8218B"/>
    <w:rsid w:val="00C821EC"/>
    <w:rsid w:val="00C82569"/>
    <w:rsid w:val="00C82598"/>
    <w:rsid w:val="00C82617"/>
    <w:rsid w:val="00C82ADE"/>
    <w:rsid w:val="00C82BB9"/>
    <w:rsid w:val="00C82BF1"/>
    <w:rsid w:val="00C82BFD"/>
    <w:rsid w:val="00C82C0C"/>
    <w:rsid w:val="00C82CC5"/>
    <w:rsid w:val="00C82EBB"/>
    <w:rsid w:val="00C83022"/>
    <w:rsid w:val="00C831B2"/>
    <w:rsid w:val="00C83218"/>
    <w:rsid w:val="00C832D9"/>
    <w:rsid w:val="00C835E2"/>
    <w:rsid w:val="00C83629"/>
    <w:rsid w:val="00C838C6"/>
    <w:rsid w:val="00C83A09"/>
    <w:rsid w:val="00C83AED"/>
    <w:rsid w:val="00C83BCE"/>
    <w:rsid w:val="00C83C20"/>
    <w:rsid w:val="00C83C6C"/>
    <w:rsid w:val="00C83D2E"/>
    <w:rsid w:val="00C83D4E"/>
    <w:rsid w:val="00C83E6A"/>
    <w:rsid w:val="00C841F4"/>
    <w:rsid w:val="00C84267"/>
    <w:rsid w:val="00C843B6"/>
    <w:rsid w:val="00C84599"/>
    <w:rsid w:val="00C845FB"/>
    <w:rsid w:val="00C84609"/>
    <w:rsid w:val="00C8461D"/>
    <w:rsid w:val="00C846CF"/>
    <w:rsid w:val="00C84A55"/>
    <w:rsid w:val="00C84AE3"/>
    <w:rsid w:val="00C84C45"/>
    <w:rsid w:val="00C84E0C"/>
    <w:rsid w:val="00C84EA0"/>
    <w:rsid w:val="00C8545E"/>
    <w:rsid w:val="00C8553A"/>
    <w:rsid w:val="00C855CA"/>
    <w:rsid w:val="00C85701"/>
    <w:rsid w:val="00C85702"/>
    <w:rsid w:val="00C8572D"/>
    <w:rsid w:val="00C8586E"/>
    <w:rsid w:val="00C859D3"/>
    <w:rsid w:val="00C85BA2"/>
    <w:rsid w:val="00C85C28"/>
    <w:rsid w:val="00C85EE0"/>
    <w:rsid w:val="00C861BC"/>
    <w:rsid w:val="00C862F3"/>
    <w:rsid w:val="00C86355"/>
    <w:rsid w:val="00C863F3"/>
    <w:rsid w:val="00C86513"/>
    <w:rsid w:val="00C86B2C"/>
    <w:rsid w:val="00C86C69"/>
    <w:rsid w:val="00C86EE1"/>
    <w:rsid w:val="00C86F40"/>
    <w:rsid w:val="00C86F48"/>
    <w:rsid w:val="00C86F8D"/>
    <w:rsid w:val="00C872B6"/>
    <w:rsid w:val="00C87329"/>
    <w:rsid w:val="00C873C3"/>
    <w:rsid w:val="00C87422"/>
    <w:rsid w:val="00C8752F"/>
    <w:rsid w:val="00C87563"/>
    <w:rsid w:val="00C8777F"/>
    <w:rsid w:val="00C8781C"/>
    <w:rsid w:val="00C87AEF"/>
    <w:rsid w:val="00C87CBB"/>
    <w:rsid w:val="00C87CFA"/>
    <w:rsid w:val="00C87F71"/>
    <w:rsid w:val="00C87FDD"/>
    <w:rsid w:val="00C902E0"/>
    <w:rsid w:val="00C90318"/>
    <w:rsid w:val="00C90596"/>
    <w:rsid w:val="00C90746"/>
    <w:rsid w:val="00C907BE"/>
    <w:rsid w:val="00C90815"/>
    <w:rsid w:val="00C908AD"/>
    <w:rsid w:val="00C90AB5"/>
    <w:rsid w:val="00C90B68"/>
    <w:rsid w:val="00C90D6E"/>
    <w:rsid w:val="00C90E42"/>
    <w:rsid w:val="00C90F5C"/>
    <w:rsid w:val="00C910C6"/>
    <w:rsid w:val="00C910CA"/>
    <w:rsid w:val="00C910E1"/>
    <w:rsid w:val="00C9178A"/>
    <w:rsid w:val="00C91922"/>
    <w:rsid w:val="00C9196A"/>
    <w:rsid w:val="00C919AC"/>
    <w:rsid w:val="00C91DF2"/>
    <w:rsid w:val="00C91F81"/>
    <w:rsid w:val="00C92037"/>
    <w:rsid w:val="00C9215A"/>
    <w:rsid w:val="00C921C5"/>
    <w:rsid w:val="00C9229D"/>
    <w:rsid w:val="00C9241C"/>
    <w:rsid w:val="00C9278B"/>
    <w:rsid w:val="00C927E0"/>
    <w:rsid w:val="00C92A86"/>
    <w:rsid w:val="00C92B18"/>
    <w:rsid w:val="00C92B25"/>
    <w:rsid w:val="00C92BD0"/>
    <w:rsid w:val="00C92C9B"/>
    <w:rsid w:val="00C92CE4"/>
    <w:rsid w:val="00C92CE6"/>
    <w:rsid w:val="00C92CE9"/>
    <w:rsid w:val="00C92D57"/>
    <w:rsid w:val="00C92DF8"/>
    <w:rsid w:val="00C93080"/>
    <w:rsid w:val="00C9308B"/>
    <w:rsid w:val="00C930E3"/>
    <w:rsid w:val="00C9323E"/>
    <w:rsid w:val="00C9346C"/>
    <w:rsid w:val="00C934E3"/>
    <w:rsid w:val="00C93582"/>
    <w:rsid w:val="00C935A5"/>
    <w:rsid w:val="00C935B3"/>
    <w:rsid w:val="00C93670"/>
    <w:rsid w:val="00C937A9"/>
    <w:rsid w:val="00C937B2"/>
    <w:rsid w:val="00C938E6"/>
    <w:rsid w:val="00C93ADF"/>
    <w:rsid w:val="00C93CF1"/>
    <w:rsid w:val="00C93E2F"/>
    <w:rsid w:val="00C93EAF"/>
    <w:rsid w:val="00C93F7E"/>
    <w:rsid w:val="00C9412D"/>
    <w:rsid w:val="00C94201"/>
    <w:rsid w:val="00C9422A"/>
    <w:rsid w:val="00C9439A"/>
    <w:rsid w:val="00C94439"/>
    <w:rsid w:val="00C94567"/>
    <w:rsid w:val="00C94591"/>
    <w:rsid w:val="00C945FE"/>
    <w:rsid w:val="00C9462C"/>
    <w:rsid w:val="00C9493C"/>
    <w:rsid w:val="00C94B0E"/>
    <w:rsid w:val="00C94B68"/>
    <w:rsid w:val="00C94DCC"/>
    <w:rsid w:val="00C9511B"/>
    <w:rsid w:val="00C953CB"/>
    <w:rsid w:val="00C95454"/>
    <w:rsid w:val="00C95CAB"/>
    <w:rsid w:val="00C95CF8"/>
    <w:rsid w:val="00C95D2D"/>
    <w:rsid w:val="00C95DC8"/>
    <w:rsid w:val="00C95FCB"/>
    <w:rsid w:val="00C961E7"/>
    <w:rsid w:val="00C9622C"/>
    <w:rsid w:val="00C96302"/>
    <w:rsid w:val="00C96374"/>
    <w:rsid w:val="00C964C2"/>
    <w:rsid w:val="00C967F9"/>
    <w:rsid w:val="00C96902"/>
    <w:rsid w:val="00C96981"/>
    <w:rsid w:val="00C96ACF"/>
    <w:rsid w:val="00C96BC0"/>
    <w:rsid w:val="00C96CB7"/>
    <w:rsid w:val="00C96EC4"/>
    <w:rsid w:val="00C972E0"/>
    <w:rsid w:val="00C97361"/>
    <w:rsid w:val="00C973B9"/>
    <w:rsid w:val="00C97654"/>
    <w:rsid w:val="00C97BF0"/>
    <w:rsid w:val="00C97C44"/>
    <w:rsid w:val="00C97D88"/>
    <w:rsid w:val="00C97E51"/>
    <w:rsid w:val="00C97F56"/>
    <w:rsid w:val="00CA006B"/>
    <w:rsid w:val="00CA013F"/>
    <w:rsid w:val="00CA022F"/>
    <w:rsid w:val="00CA0245"/>
    <w:rsid w:val="00CA0635"/>
    <w:rsid w:val="00CA067B"/>
    <w:rsid w:val="00CA07B9"/>
    <w:rsid w:val="00CA08D4"/>
    <w:rsid w:val="00CA0937"/>
    <w:rsid w:val="00CA0DD2"/>
    <w:rsid w:val="00CA0F09"/>
    <w:rsid w:val="00CA1020"/>
    <w:rsid w:val="00CA1036"/>
    <w:rsid w:val="00CA1279"/>
    <w:rsid w:val="00CA12C4"/>
    <w:rsid w:val="00CA1391"/>
    <w:rsid w:val="00CA13C4"/>
    <w:rsid w:val="00CA13D5"/>
    <w:rsid w:val="00CA1438"/>
    <w:rsid w:val="00CA145B"/>
    <w:rsid w:val="00CA15DF"/>
    <w:rsid w:val="00CA1698"/>
    <w:rsid w:val="00CA17F3"/>
    <w:rsid w:val="00CA18D4"/>
    <w:rsid w:val="00CA1984"/>
    <w:rsid w:val="00CA1B5D"/>
    <w:rsid w:val="00CA1C7A"/>
    <w:rsid w:val="00CA1F0B"/>
    <w:rsid w:val="00CA2065"/>
    <w:rsid w:val="00CA20A0"/>
    <w:rsid w:val="00CA218F"/>
    <w:rsid w:val="00CA2358"/>
    <w:rsid w:val="00CA2396"/>
    <w:rsid w:val="00CA2478"/>
    <w:rsid w:val="00CA24B3"/>
    <w:rsid w:val="00CA26F7"/>
    <w:rsid w:val="00CA27C9"/>
    <w:rsid w:val="00CA2C48"/>
    <w:rsid w:val="00CA2D12"/>
    <w:rsid w:val="00CA2E12"/>
    <w:rsid w:val="00CA2F99"/>
    <w:rsid w:val="00CA30A8"/>
    <w:rsid w:val="00CA3140"/>
    <w:rsid w:val="00CA3170"/>
    <w:rsid w:val="00CA31DE"/>
    <w:rsid w:val="00CA33F0"/>
    <w:rsid w:val="00CA3561"/>
    <w:rsid w:val="00CA3574"/>
    <w:rsid w:val="00CA35A0"/>
    <w:rsid w:val="00CA3727"/>
    <w:rsid w:val="00CA37E8"/>
    <w:rsid w:val="00CA3C0D"/>
    <w:rsid w:val="00CA3CC8"/>
    <w:rsid w:val="00CA3CD5"/>
    <w:rsid w:val="00CA40BE"/>
    <w:rsid w:val="00CA4192"/>
    <w:rsid w:val="00CA466C"/>
    <w:rsid w:val="00CA486B"/>
    <w:rsid w:val="00CA487B"/>
    <w:rsid w:val="00CA4952"/>
    <w:rsid w:val="00CA4A26"/>
    <w:rsid w:val="00CA4B72"/>
    <w:rsid w:val="00CA4C0F"/>
    <w:rsid w:val="00CA4EC9"/>
    <w:rsid w:val="00CA50CA"/>
    <w:rsid w:val="00CA5104"/>
    <w:rsid w:val="00CA51FC"/>
    <w:rsid w:val="00CA521B"/>
    <w:rsid w:val="00CA540F"/>
    <w:rsid w:val="00CA57FF"/>
    <w:rsid w:val="00CA5A41"/>
    <w:rsid w:val="00CA5B2F"/>
    <w:rsid w:val="00CA5BD9"/>
    <w:rsid w:val="00CA5C98"/>
    <w:rsid w:val="00CA5DF1"/>
    <w:rsid w:val="00CA5E80"/>
    <w:rsid w:val="00CA6030"/>
    <w:rsid w:val="00CA6052"/>
    <w:rsid w:val="00CA6101"/>
    <w:rsid w:val="00CA61C4"/>
    <w:rsid w:val="00CA61EE"/>
    <w:rsid w:val="00CA6250"/>
    <w:rsid w:val="00CA637D"/>
    <w:rsid w:val="00CA6431"/>
    <w:rsid w:val="00CA6613"/>
    <w:rsid w:val="00CA66A8"/>
    <w:rsid w:val="00CA66C5"/>
    <w:rsid w:val="00CA67E1"/>
    <w:rsid w:val="00CA6990"/>
    <w:rsid w:val="00CA6A2C"/>
    <w:rsid w:val="00CA6D6C"/>
    <w:rsid w:val="00CA6DE0"/>
    <w:rsid w:val="00CA6E4A"/>
    <w:rsid w:val="00CA6F4F"/>
    <w:rsid w:val="00CA6FAF"/>
    <w:rsid w:val="00CA6FE7"/>
    <w:rsid w:val="00CA7563"/>
    <w:rsid w:val="00CA76A6"/>
    <w:rsid w:val="00CA785F"/>
    <w:rsid w:val="00CA7916"/>
    <w:rsid w:val="00CA791F"/>
    <w:rsid w:val="00CA7952"/>
    <w:rsid w:val="00CA7CAE"/>
    <w:rsid w:val="00CA7CCA"/>
    <w:rsid w:val="00CB0617"/>
    <w:rsid w:val="00CB0620"/>
    <w:rsid w:val="00CB0743"/>
    <w:rsid w:val="00CB0804"/>
    <w:rsid w:val="00CB09AB"/>
    <w:rsid w:val="00CB09DC"/>
    <w:rsid w:val="00CB09E1"/>
    <w:rsid w:val="00CB0C57"/>
    <w:rsid w:val="00CB0C8B"/>
    <w:rsid w:val="00CB0CD4"/>
    <w:rsid w:val="00CB0D7B"/>
    <w:rsid w:val="00CB0DAD"/>
    <w:rsid w:val="00CB0E04"/>
    <w:rsid w:val="00CB0EF7"/>
    <w:rsid w:val="00CB0F4E"/>
    <w:rsid w:val="00CB1191"/>
    <w:rsid w:val="00CB1390"/>
    <w:rsid w:val="00CB13C9"/>
    <w:rsid w:val="00CB1426"/>
    <w:rsid w:val="00CB143B"/>
    <w:rsid w:val="00CB1481"/>
    <w:rsid w:val="00CB15DB"/>
    <w:rsid w:val="00CB17D2"/>
    <w:rsid w:val="00CB1ACC"/>
    <w:rsid w:val="00CB1D43"/>
    <w:rsid w:val="00CB1E48"/>
    <w:rsid w:val="00CB1FFF"/>
    <w:rsid w:val="00CB2126"/>
    <w:rsid w:val="00CB212E"/>
    <w:rsid w:val="00CB21B9"/>
    <w:rsid w:val="00CB2220"/>
    <w:rsid w:val="00CB23F6"/>
    <w:rsid w:val="00CB24B5"/>
    <w:rsid w:val="00CB259F"/>
    <w:rsid w:val="00CB27AD"/>
    <w:rsid w:val="00CB28CE"/>
    <w:rsid w:val="00CB2907"/>
    <w:rsid w:val="00CB2934"/>
    <w:rsid w:val="00CB297C"/>
    <w:rsid w:val="00CB2A08"/>
    <w:rsid w:val="00CB2A36"/>
    <w:rsid w:val="00CB2C19"/>
    <w:rsid w:val="00CB2DCA"/>
    <w:rsid w:val="00CB2E59"/>
    <w:rsid w:val="00CB2EC8"/>
    <w:rsid w:val="00CB2FC6"/>
    <w:rsid w:val="00CB30D5"/>
    <w:rsid w:val="00CB3117"/>
    <w:rsid w:val="00CB313E"/>
    <w:rsid w:val="00CB314D"/>
    <w:rsid w:val="00CB3175"/>
    <w:rsid w:val="00CB31A3"/>
    <w:rsid w:val="00CB32C8"/>
    <w:rsid w:val="00CB32F3"/>
    <w:rsid w:val="00CB32FA"/>
    <w:rsid w:val="00CB362C"/>
    <w:rsid w:val="00CB364A"/>
    <w:rsid w:val="00CB382E"/>
    <w:rsid w:val="00CB38B8"/>
    <w:rsid w:val="00CB3A6D"/>
    <w:rsid w:val="00CB3AA2"/>
    <w:rsid w:val="00CB3B3A"/>
    <w:rsid w:val="00CB3C7F"/>
    <w:rsid w:val="00CB3D00"/>
    <w:rsid w:val="00CB3D77"/>
    <w:rsid w:val="00CB3D9D"/>
    <w:rsid w:val="00CB40F5"/>
    <w:rsid w:val="00CB4178"/>
    <w:rsid w:val="00CB42A8"/>
    <w:rsid w:val="00CB4324"/>
    <w:rsid w:val="00CB45F3"/>
    <w:rsid w:val="00CB46D3"/>
    <w:rsid w:val="00CB47A8"/>
    <w:rsid w:val="00CB4877"/>
    <w:rsid w:val="00CB4A1A"/>
    <w:rsid w:val="00CB4A3D"/>
    <w:rsid w:val="00CB4A7C"/>
    <w:rsid w:val="00CB4B5A"/>
    <w:rsid w:val="00CB4CD0"/>
    <w:rsid w:val="00CB4CDE"/>
    <w:rsid w:val="00CB4D69"/>
    <w:rsid w:val="00CB5013"/>
    <w:rsid w:val="00CB5062"/>
    <w:rsid w:val="00CB511F"/>
    <w:rsid w:val="00CB514D"/>
    <w:rsid w:val="00CB518E"/>
    <w:rsid w:val="00CB5282"/>
    <w:rsid w:val="00CB52BD"/>
    <w:rsid w:val="00CB530E"/>
    <w:rsid w:val="00CB53BF"/>
    <w:rsid w:val="00CB548F"/>
    <w:rsid w:val="00CB54B4"/>
    <w:rsid w:val="00CB56FD"/>
    <w:rsid w:val="00CB57EE"/>
    <w:rsid w:val="00CB599A"/>
    <w:rsid w:val="00CB5B3E"/>
    <w:rsid w:val="00CB5D36"/>
    <w:rsid w:val="00CB5E78"/>
    <w:rsid w:val="00CB5F0E"/>
    <w:rsid w:val="00CB6050"/>
    <w:rsid w:val="00CB6096"/>
    <w:rsid w:val="00CB6590"/>
    <w:rsid w:val="00CB65F0"/>
    <w:rsid w:val="00CB680C"/>
    <w:rsid w:val="00CB6967"/>
    <w:rsid w:val="00CB6A84"/>
    <w:rsid w:val="00CB6B35"/>
    <w:rsid w:val="00CB6B9D"/>
    <w:rsid w:val="00CB6C80"/>
    <w:rsid w:val="00CB6E3E"/>
    <w:rsid w:val="00CB7349"/>
    <w:rsid w:val="00CB74FB"/>
    <w:rsid w:val="00CB7740"/>
    <w:rsid w:val="00CB7751"/>
    <w:rsid w:val="00CB77BC"/>
    <w:rsid w:val="00CC019C"/>
    <w:rsid w:val="00CC02E5"/>
    <w:rsid w:val="00CC0441"/>
    <w:rsid w:val="00CC051A"/>
    <w:rsid w:val="00CC08CF"/>
    <w:rsid w:val="00CC097B"/>
    <w:rsid w:val="00CC0A10"/>
    <w:rsid w:val="00CC0A23"/>
    <w:rsid w:val="00CC0CE7"/>
    <w:rsid w:val="00CC0D73"/>
    <w:rsid w:val="00CC0DC4"/>
    <w:rsid w:val="00CC0E67"/>
    <w:rsid w:val="00CC10A3"/>
    <w:rsid w:val="00CC1169"/>
    <w:rsid w:val="00CC12EE"/>
    <w:rsid w:val="00CC14CD"/>
    <w:rsid w:val="00CC155E"/>
    <w:rsid w:val="00CC157C"/>
    <w:rsid w:val="00CC15CB"/>
    <w:rsid w:val="00CC1B39"/>
    <w:rsid w:val="00CC1C7B"/>
    <w:rsid w:val="00CC1D13"/>
    <w:rsid w:val="00CC1EE4"/>
    <w:rsid w:val="00CC2094"/>
    <w:rsid w:val="00CC20F1"/>
    <w:rsid w:val="00CC2152"/>
    <w:rsid w:val="00CC22B9"/>
    <w:rsid w:val="00CC246C"/>
    <w:rsid w:val="00CC26C6"/>
    <w:rsid w:val="00CC276B"/>
    <w:rsid w:val="00CC28B8"/>
    <w:rsid w:val="00CC2902"/>
    <w:rsid w:val="00CC2C2E"/>
    <w:rsid w:val="00CC2C3F"/>
    <w:rsid w:val="00CC2C47"/>
    <w:rsid w:val="00CC2D41"/>
    <w:rsid w:val="00CC2D67"/>
    <w:rsid w:val="00CC2F83"/>
    <w:rsid w:val="00CC3073"/>
    <w:rsid w:val="00CC308B"/>
    <w:rsid w:val="00CC314F"/>
    <w:rsid w:val="00CC34A3"/>
    <w:rsid w:val="00CC35ED"/>
    <w:rsid w:val="00CC3630"/>
    <w:rsid w:val="00CC36EA"/>
    <w:rsid w:val="00CC385B"/>
    <w:rsid w:val="00CC39DF"/>
    <w:rsid w:val="00CC3A0F"/>
    <w:rsid w:val="00CC3B1A"/>
    <w:rsid w:val="00CC3C75"/>
    <w:rsid w:val="00CC3CF3"/>
    <w:rsid w:val="00CC412E"/>
    <w:rsid w:val="00CC42F8"/>
    <w:rsid w:val="00CC4569"/>
    <w:rsid w:val="00CC4763"/>
    <w:rsid w:val="00CC47C1"/>
    <w:rsid w:val="00CC483F"/>
    <w:rsid w:val="00CC495A"/>
    <w:rsid w:val="00CC498E"/>
    <w:rsid w:val="00CC4B61"/>
    <w:rsid w:val="00CC4BEC"/>
    <w:rsid w:val="00CC4BF6"/>
    <w:rsid w:val="00CC4D81"/>
    <w:rsid w:val="00CC4F5A"/>
    <w:rsid w:val="00CC50F5"/>
    <w:rsid w:val="00CC516C"/>
    <w:rsid w:val="00CC5197"/>
    <w:rsid w:val="00CC55A5"/>
    <w:rsid w:val="00CC5BA8"/>
    <w:rsid w:val="00CC5C55"/>
    <w:rsid w:val="00CC5C8F"/>
    <w:rsid w:val="00CC5CA4"/>
    <w:rsid w:val="00CC6034"/>
    <w:rsid w:val="00CC60A9"/>
    <w:rsid w:val="00CC626A"/>
    <w:rsid w:val="00CC65BF"/>
    <w:rsid w:val="00CC667F"/>
    <w:rsid w:val="00CC6688"/>
    <w:rsid w:val="00CC66BC"/>
    <w:rsid w:val="00CC678B"/>
    <w:rsid w:val="00CC6977"/>
    <w:rsid w:val="00CC6D2F"/>
    <w:rsid w:val="00CC6DA2"/>
    <w:rsid w:val="00CC6E3A"/>
    <w:rsid w:val="00CC70CD"/>
    <w:rsid w:val="00CC732E"/>
    <w:rsid w:val="00CC73EE"/>
    <w:rsid w:val="00CC746F"/>
    <w:rsid w:val="00CC76D8"/>
    <w:rsid w:val="00CC79F7"/>
    <w:rsid w:val="00CC7A36"/>
    <w:rsid w:val="00CC7AB6"/>
    <w:rsid w:val="00CC7BFA"/>
    <w:rsid w:val="00CC7F2F"/>
    <w:rsid w:val="00CD00EB"/>
    <w:rsid w:val="00CD01AA"/>
    <w:rsid w:val="00CD0205"/>
    <w:rsid w:val="00CD0242"/>
    <w:rsid w:val="00CD03A7"/>
    <w:rsid w:val="00CD0837"/>
    <w:rsid w:val="00CD0860"/>
    <w:rsid w:val="00CD088F"/>
    <w:rsid w:val="00CD09E6"/>
    <w:rsid w:val="00CD0CDC"/>
    <w:rsid w:val="00CD102D"/>
    <w:rsid w:val="00CD104E"/>
    <w:rsid w:val="00CD116B"/>
    <w:rsid w:val="00CD13C0"/>
    <w:rsid w:val="00CD15B3"/>
    <w:rsid w:val="00CD15D4"/>
    <w:rsid w:val="00CD1A70"/>
    <w:rsid w:val="00CD1C49"/>
    <w:rsid w:val="00CD1E17"/>
    <w:rsid w:val="00CD1F37"/>
    <w:rsid w:val="00CD2017"/>
    <w:rsid w:val="00CD2142"/>
    <w:rsid w:val="00CD21A3"/>
    <w:rsid w:val="00CD23E0"/>
    <w:rsid w:val="00CD25F7"/>
    <w:rsid w:val="00CD2A64"/>
    <w:rsid w:val="00CD2AD3"/>
    <w:rsid w:val="00CD2B20"/>
    <w:rsid w:val="00CD2B8B"/>
    <w:rsid w:val="00CD2BB0"/>
    <w:rsid w:val="00CD2D7E"/>
    <w:rsid w:val="00CD2DB3"/>
    <w:rsid w:val="00CD2E6B"/>
    <w:rsid w:val="00CD2F6B"/>
    <w:rsid w:val="00CD2FD8"/>
    <w:rsid w:val="00CD3218"/>
    <w:rsid w:val="00CD351E"/>
    <w:rsid w:val="00CD35FE"/>
    <w:rsid w:val="00CD365D"/>
    <w:rsid w:val="00CD3661"/>
    <w:rsid w:val="00CD369B"/>
    <w:rsid w:val="00CD37A5"/>
    <w:rsid w:val="00CD37E2"/>
    <w:rsid w:val="00CD3CC9"/>
    <w:rsid w:val="00CD3DD3"/>
    <w:rsid w:val="00CD3E86"/>
    <w:rsid w:val="00CD4063"/>
    <w:rsid w:val="00CD4102"/>
    <w:rsid w:val="00CD410E"/>
    <w:rsid w:val="00CD4172"/>
    <w:rsid w:val="00CD41BE"/>
    <w:rsid w:val="00CD45E8"/>
    <w:rsid w:val="00CD4721"/>
    <w:rsid w:val="00CD472D"/>
    <w:rsid w:val="00CD4897"/>
    <w:rsid w:val="00CD4B1A"/>
    <w:rsid w:val="00CD4E50"/>
    <w:rsid w:val="00CD4F73"/>
    <w:rsid w:val="00CD5369"/>
    <w:rsid w:val="00CD546A"/>
    <w:rsid w:val="00CD5783"/>
    <w:rsid w:val="00CD5ABA"/>
    <w:rsid w:val="00CD5BCE"/>
    <w:rsid w:val="00CD5E28"/>
    <w:rsid w:val="00CD5F30"/>
    <w:rsid w:val="00CD5F7A"/>
    <w:rsid w:val="00CD5FE2"/>
    <w:rsid w:val="00CD619A"/>
    <w:rsid w:val="00CD64C5"/>
    <w:rsid w:val="00CD64FC"/>
    <w:rsid w:val="00CD65BA"/>
    <w:rsid w:val="00CD6772"/>
    <w:rsid w:val="00CD69B2"/>
    <w:rsid w:val="00CD6AAD"/>
    <w:rsid w:val="00CD6ACB"/>
    <w:rsid w:val="00CD6F81"/>
    <w:rsid w:val="00CD700B"/>
    <w:rsid w:val="00CD7048"/>
    <w:rsid w:val="00CD71B0"/>
    <w:rsid w:val="00CD7363"/>
    <w:rsid w:val="00CD7402"/>
    <w:rsid w:val="00CD7419"/>
    <w:rsid w:val="00CD75B3"/>
    <w:rsid w:val="00CD76A3"/>
    <w:rsid w:val="00CD76B1"/>
    <w:rsid w:val="00CD781A"/>
    <w:rsid w:val="00CD7A42"/>
    <w:rsid w:val="00CE0053"/>
    <w:rsid w:val="00CE00BF"/>
    <w:rsid w:val="00CE00D6"/>
    <w:rsid w:val="00CE0142"/>
    <w:rsid w:val="00CE01B3"/>
    <w:rsid w:val="00CE026F"/>
    <w:rsid w:val="00CE04B5"/>
    <w:rsid w:val="00CE0623"/>
    <w:rsid w:val="00CE0694"/>
    <w:rsid w:val="00CE0751"/>
    <w:rsid w:val="00CE087C"/>
    <w:rsid w:val="00CE09CB"/>
    <w:rsid w:val="00CE0BBD"/>
    <w:rsid w:val="00CE0F77"/>
    <w:rsid w:val="00CE124E"/>
    <w:rsid w:val="00CE1274"/>
    <w:rsid w:val="00CE130A"/>
    <w:rsid w:val="00CE170D"/>
    <w:rsid w:val="00CE176B"/>
    <w:rsid w:val="00CE190D"/>
    <w:rsid w:val="00CE1A29"/>
    <w:rsid w:val="00CE1A9F"/>
    <w:rsid w:val="00CE1C4D"/>
    <w:rsid w:val="00CE1D0D"/>
    <w:rsid w:val="00CE210D"/>
    <w:rsid w:val="00CE2193"/>
    <w:rsid w:val="00CE223A"/>
    <w:rsid w:val="00CE2608"/>
    <w:rsid w:val="00CE27C3"/>
    <w:rsid w:val="00CE2803"/>
    <w:rsid w:val="00CE293B"/>
    <w:rsid w:val="00CE2AAC"/>
    <w:rsid w:val="00CE2B3B"/>
    <w:rsid w:val="00CE2BA9"/>
    <w:rsid w:val="00CE2CB9"/>
    <w:rsid w:val="00CE2D1A"/>
    <w:rsid w:val="00CE2EBA"/>
    <w:rsid w:val="00CE303D"/>
    <w:rsid w:val="00CE30B8"/>
    <w:rsid w:val="00CE3285"/>
    <w:rsid w:val="00CE3439"/>
    <w:rsid w:val="00CE34E0"/>
    <w:rsid w:val="00CE3805"/>
    <w:rsid w:val="00CE382D"/>
    <w:rsid w:val="00CE3858"/>
    <w:rsid w:val="00CE3994"/>
    <w:rsid w:val="00CE39A0"/>
    <w:rsid w:val="00CE39BB"/>
    <w:rsid w:val="00CE39D0"/>
    <w:rsid w:val="00CE3AE5"/>
    <w:rsid w:val="00CE3D4F"/>
    <w:rsid w:val="00CE3DDD"/>
    <w:rsid w:val="00CE3EF0"/>
    <w:rsid w:val="00CE3FF6"/>
    <w:rsid w:val="00CE40A8"/>
    <w:rsid w:val="00CE40B6"/>
    <w:rsid w:val="00CE4124"/>
    <w:rsid w:val="00CE43D8"/>
    <w:rsid w:val="00CE451E"/>
    <w:rsid w:val="00CE45B6"/>
    <w:rsid w:val="00CE4617"/>
    <w:rsid w:val="00CE4754"/>
    <w:rsid w:val="00CE492C"/>
    <w:rsid w:val="00CE4B01"/>
    <w:rsid w:val="00CE4C00"/>
    <w:rsid w:val="00CE4C11"/>
    <w:rsid w:val="00CE4EA4"/>
    <w:rsid w:val="00CE52B6"/>
    <w:rsid w:val="00CE5620"/>
    <w:rsid w:val="00CE57DB"/>
    <w:rsid w:val="00CE5824"/>
    <w:rsid w:val="00CE58AC"/>
    <w:rsid w:val="00CE5AC0"/>
    <w:rsid w:val="00CE5E94"/>
    <w:rsid w:val="00CE5F5E"/>
    <w:rsid w:val="00CE6096"/>
    <w:rsid w:val="00CE60B1"/>
    <w:rsid w:val="00CE60F8"/>
    <w:rsid w:val="00CE61C8"/>
    <w:rsid w:val="00CE6293"/>
    <w:rsid w:val="00CE629F"/>
    <w:rsid w:val="00CE65E2"/>
    <w:rsid w:val="00CE691C"/>
    <w:rsid w:val="00CE6A18"/>
    <w:rsid w:val="00CE6D74"/>
    <w:rsid w:val="00CE6D7C"/>
    <w:rsid w:val="00CE6F07"/>
    <w:rsid w:val="00CE6F53"/>
    <w:rsid w:val="00CE6FB9"/>
    <w:rsid w:val="00CE6FF3"/>
    <w:rsid w:val="00CE70CC"/>
    <w:rsid w:val="00CE7423"/>
    <w:rsid w:val="00CE74EE"/>
    <w:rsid w:val="00CE766C"/>
    <w:rsid w:val="00CE7722"/>
    <w:rsid w:val="00CE7817"/>
    <w:rsid w:val="00CE7B32"/>
    <w:rsid w:val="00CE7C21"/>
    <w:rsid w:val="00CE7D73"/>
    <w:rsid w:val="00CE7DE4"/>
    <w:rsid w:val="00CE7E21"/>
    <w:rsid w:val="00CE7F34"/>
    <w:rsid w:val="00CE7F37"/>
    <w:rsid w:val="00CF0351"/>
    <w:rsid w:val="00CF0392"/>
    <w:rsid w:val="00CF0429"/>
    <w:rsid w:val="00CF076F"/>
    <w:rsid w:val="00CF090C"/>
    <w:rsid w:val="00CF099C"/>
    <w:rsid w:val="00CF09BF"/>
    <w:rsid w:val="00CF09F8"/>
    <w:rsid w:val="00CF0A73"/>
    <w:rsid w:val="00CF0BB8"/>
    <w:rsid w:val="00CF0E23"/>
    <w:rsid w:val="00CF0EFB"/>
    <w:rsid w:val="00CF0FE9"/>
    <w:rsid w:val="00CF1143"/>
    <w:rsid w:val="00CF11A8"/>
    <w:rsid w:val="00CF134E"/>
    <w:rsid w:val="00CF15A1"/>
    <w:rsid w:val="00CF165A"/>
    <w:rsid w:val="00CF176D"/>
    <w:rsid w:val="00CF19D6"/>
    <w:rsid w:val="00CF1A20"/>
    <w:rsid w:val="00CF1A64"/>
    <w:rsid w:val="00CF1ABF"/>
    <w:rsid w:val="00CF1B14"/>
    <w:rsid w:val="00CF1C86"/>
    <w:rsid w:val="00CF1F33"/>
    <w:rsid w:val="00CF1F85"/>
    <w:rsid w:val="00CF1FE1"/>
    <w:rsid w:val="00CF21E8"/>
    <w:rsid w:val="00CF22FF"/>
    <w:rsid w:val="00CF2335"/>
    <w:rsid w:val="00CF234A"/>
    <w:rsid w:val="00CF23E4"/>
    <w:rsid w:val="00CF2589"/>
    <w:rsid w:val="00CF25B0"/>
    <w:rsid w:val="00CF27AE"/>
    <w:rsid w:val="00CF2A6A"/>
    <w:rsid w:val="00CF2C6D"/>
    <w:rsid w:val="00CF2CDA"/>
    <w:rsid w:val="00CF2E69"/>
    <w:rsid w:val="00CF2F35"/>
    <w:rsid w:val="00CF2F36"/>
    <w:rsid w:val="00CF30E1"/>
    <w:rsid w:val="00CF3159"/>
    <w:rsid w:val="00CF3250"/>
    <w:rsid w:val="00CF32A3"/>
    <w:rsid w:val="00CF345A"/>
    <w:rsid w:val="00CF3566"/>
    <w:rsid w:val="00CF3766"/>
    <w:rsid w:val="00CF378F"/>
    <w:rsid w:val="00CF3808"/>
    <w:rsid w:val="00CF3A28"/>
    <w:rsid w:val="00CF3B80"/>
    <w:rsid w:val="00CF3C9E"/>
    <w:rsid w:val="00CF3F27"/>
    <w:rsid w:val="00CF4226"/>
    <w:rsid w:val="00CF42F8"/>
    <w:rsid w:val="00CF4359"/>
    <w:rsid w:val="00CF43A4"/>
    <w:rsid w:val="00CF4572"/>
    <w:rsid w:val="00CF4592"/>
    <w:rsid w:val="00CF462B"/>
    <w:rsid w:val="00CF4638"/>
    <w:rsid w:val="00CF4726"/>
    <w:rsid w:val="00CF4867"/>
    <w:rsid w:val="00CF49EE"/>
    <w:rsid w:val="00CF4A20"/>
    <w:rsid w:val="00CF4D29"/>
    <w:rsid w:val="00CF4E18"/>
    <w:rsid w:val="00CF4E23"/>
    <w:rsid w:val="00CF4E4C"/>
    <w:rsid w:val="00CF5112"/>
    <w:rsid w:val="00CF5215"/>
    <w:rsid w:val="00CF52EE"/>
    <w:rsid w:val="00CF530B"/>
    <w:rsid w:val="00CF55D2"/>
    <w:rsid w:val="00CF5713"/>
    <w:rsid w:val="00CF5C66"/>
    <w:rsid w:val="00CF5D29"/>
    <w:rsid w:val="00CF5D42"/>
    <w:rsid w:val="00CF5FC9"/>
    <w:rsid w:val="00CF6210"/>
    <w:rsid w:val="00CF622A"/>
    <w:rsid w:val="00CF62B6"/>
    <w:rsid w:val="00CF63A8"/>
    <w:rsid w:val="00CF6721"/>
    <w:rsid w:val="00CF6747"/>
    <w:rsid w:val="00CF69DA"/>
    <w:rsid w:val="00CF6B36"/>
    <w:rsid w:val="00CF6BA7"/>
    <w:rsid w:val="00CF6C9D"/>
    <w:rsid w:val="00CF6CD8"/>
    <w:rsid w:val="00CF6DA2"/>
    <w:rsid w:val="00CF705B"/>
    <w:rsid w:val="00CF71FB"/>
    <w:rsid w:val="00CF7589"/>
    <w:rsid w:val="00CF75AC"/>
    <w:rsid w:val="00CF76D0"/>
    <w:rsid w:val="00CF76FA"/>
    <w:rsid w:val="00CF7804"/>
    <w:rsid w:val="00CF7915"/>
    <w:rsid w:val="00CF7BA1"/>
    <w:rsid w:val="00CF7BBC"/>
    <w:rsid w:val="00CF7C93"/>
    <w:rsid w:val="00CF7D21"/>
    <w:rsid w:val="00CF7E56"/>
    <w:rsid w:val="00CF7E6E"/>
    <w:rsid w:val="00CF7EE1"/>
    <w:rsid w:val="00CF7F47"/>
    <w:rsid w:val="00D00026"/>
    <w:rsid w:val="00D0024A"/>
    <w:rsid w:val="00D002AE"/>
    <w:rsid w:val="00D0042A"/>
    <w:rsid w:val="00D00436"/>
    <w:rsid w:val="00D007E3"/>
    <w:rsid w:val="00D0080B"/>
    <w:rsid w:val="00D00831"/>
    <w:rsid w:val="00D0094F"/>
    <w:rsid w:val="00D00950"/>
    <w:rsid w:val="00D00A00"/>
    <w:rsid w:val="00D00BB5"/>
    <w:rsid w:val="00D00CCE"/>
    <w:rsid w:val="00D00D59"/>
    <w:rsid w:val="00D00D6C"/>
    <w:rsid w:val="00D00EE2"/>
    <w:rsid w:val="00D00EF9"/>
    <w:rsid w:val="00D00F66"/>
    <w:rsid w:val="00D00FA1"/>
    <w:rsid w:val="00D01095"/>
    <w:rsid w:val="00D01395"/>
    <w:rsid w:val="00D0145D"/>
    <w:rsid w:val="00D01478"/>
    <w:rsid w:val="00D01515"/>
    <w:rsid w:val="00D019D1"/>
    <w:rsid w:val="00D01BAF"/>
    <w:rsid w:val="00D01CB4"/>
    <w:rsid w:val="00D01D62"/>
    <w:rsid w:val="00D01EDC"/>
    <w:rsid w:val="00D01F81"/>
    <w:rsid w:val="00D02164"/>
    <w:rsid w:val="00D02263"/>
    <w:rsid w:val="00D022CF"/>
    <w:rsid w:val="00D022E4"/>
    <w:rsid w:val="00D02437"/>
    <w:rsid w:val="00D0260F"/>
    <w:rsid w:val="00D02763"/>
    <w:rsid w:val="00D02765"/>
    <w:rsid w:val="00D0276F"/>
    <w:rsid w:val="00D02774"/>
    <w:rsid w:val="00D02790"/>
    <w:rsid w:val="00D027CF"/>
    <w:rsid w:val="00D02960"/>
    <w:rsid w:val="00D02964"/>
    <w:rsid w:val="00D02971"/>
    <w:rsid w:val="00D02AC1"/>
    <w:rsid w:val="00D02CFC"/>
    <w:rsid w:val="00D02D85"/>
    <w:rsid w:val="00D02ED0"/>
    <w:rsid w:val="00D02EFE"/>
    <w:rsid w:val="00D02F60"/>
    <w:rsid w:val="00D02F7C"/>
    <w:rsid w:val="00D02FF5"/>
    <w:rsid w:val="00D03305"/>
    <w:rsid w:val="00D03A6F"/>
    <w:rsid w:val="00D03AB1"/>
    <w:rsid w:val="00D03BCB"/>
    <w:rsid w:val="00D03C78"/>
    <w:rsid w:val="00D0413D"/>
    <w:rsid w:val="00D0424E"/>
    <w:rsid w:val="00D042BA"/>
    <w:rsid w:val="00D04327"/>
    <w:rsid w:val="00D043CF"/>
    <w:rsid w:val="00D0455F"/>
    <w:rsid w:val="00D045EA"/>
    <w:rsid w:val="00D04697"/>
    <w:rsid w:val="00D048B9"/>
    <w:rsid w:val="00D0498F"/>
    <w:rsid w:val="00D04AA3"/>
    <w:rsid w:val="00D04B03"/>
    <w:rsid w:val="00D04B05"/>
    <w:rsid w:val="00D04D0C"/>
    <w:rsid w:val="00D05062"/>
    <w:rsid w:val="00D05104"/>
    <w:rsid w:val="00D052D4"/>
    <w:rsid w:val="00D05327"/>
    <w:rsid w:val="00D053CC"/>
    <w:rsid w:val="00D053D6"/>
    <w:rsid w:val="00D053FE"/>
    <w:rsid w:val="00D05405"/>
    <w:rsid w:val="00D054B5"/>
    <w:rsid w:val="00D0566C"/>
    <w:rsid w:val="00D05720"/>
    <w:rsid w:val="00D05A44"/>
    <w:rsid w:val="00D05A86"/>
    <w:rsid w:val="00D05AC4"/>
    <w:rsid w:val="00D05C33"/>
    <w:rsid w:val="00D05DD9"/>
    <w:rsid w:val="00D05E9C"/>
    <w:rsid w:val="00D05EBF"/>
    <w:rsid w:val="00D0608E"/>
    <w:rsid w:val="00D060F6"/>
    <w:rsid w:val="00D06154"/>
    <w:rsid w:val="00D06189"/>
    <w:rsid w:val="00D0628A"/>
    <w:rsid w:val="00D062AE"/>
    <w:rsid w:val="00D0644F"/>
    <w:rsid w:val="00D06690"/>
    <w:rsid w:val="00D06733"/>
    <w:rsid w:val="00D0676C"/>
    <w:rsid w:val="00D06979"/>
    <w:rsid w:val="00D06B49"/>
    <w:rsid w:val="00D06B55"/>
    <w:rsid w:val="00D06B7D"/>
    <w:rsid w:val="00D06C9B"/>
    <w:rsid w:val="00D06E0F"/>
    <w:rsid w:val="00D06FE8"/>
    <w:rsid w:val="00D07155"/>
    <w:rsid w:val="00D072CD"/>
    <w:rsid w:val="00D07451"/>
    <w:rsid w:val="00D07463"/>
    <w:rsid w:val="00D07542"/>
    <w:rsid w:val="00D07666"/>
    <w:rsid w:val="00D07875"/>
    <w:rsid w:val="00D078CA"/>
    <w:rsid w:val="00D07BD7"/>
    <w:rsid w:val="00D07BDD"/>
    <w:rsid w:val="00D07CBA"/>
    <w:rsid w:val="00D07E0A"/>
    <w:rsid w:val="00D07F94"/>
    <w:rsid w:val="00D1008A"/>
    <w:rsid w:val="00D100AC"/>
    <w:rsid w:val="00D102AE"/>
    <w:rsid w:val="00D10364"/>
    <w:rsid w:val="00D10373"/>
    <w:rsid w:val="00D103C8"/>
    <w:rsid w:val="00D104EF"/>
    <w:rsid w:val="00D10668"/>
    <w:rsid w:val="00D10821"/>
    <w:rsid w:val="00D108B7"/>
    <w:rsid w:val="00D108C1"/>
    <w:rsid w:val="00D10AD8"/>
    <w:rsid w:val="00D10B39"/>
    <w:rsid w:val="00D10B65"/>
    <w:rsid w:val="00D10BA5"/>
    <w:rsid w:val="00D10C6D"/>
    <w:rsid w:val="00D10D16"/>
    <w:rsid w:val="00D10D7B"/>
    <w:rsid w:val="00D10EA6"/>
    <w:rsid w:val="00D10EFB"/>
    <w:rsid w:val="00D10F2E"/>
    <w:rsid w:val="00D10F9D"/>
    <w:rsid w:val="00D10FC8"/>
    <w:rsid w:val="00D111AF"/>
    <w:rsid w:val="00D111E2"/>
    <w:rsid w:val="00D114DA"/>
    <w:rsid w:val="00D11695"/>
    <w:rsid w:val="00D1177F"/>
    <w:rsid w:val="00D1182E"/>
    <w:rsid w:val="00D11ACE"/>
    <w:rsid w:val="00D11B8C"/>
    <w:rsid w:val="00D11D29"/>
    <w:rsid w:val="00D11F29"/>
    <w:rsid w:val="00D121DB"/>
    <w:rsid w:val="00D121E6"/>
    <w:rsid w:val="00D122CB"/>
    <w:rsid w:val="00D1238A"/>
    <w:rsid w:val="00D1251E"/>
    <w:rsid w:val="00D12665"/>
    <w:rsid w:val="00D12684"/>
    <w:rsid w:val="00D126E2"/>
    <w:rsid w:val="00D1278F"/>
    <w:rsid w:val="00D12933"/>
    <w:rsid w:val="00D12A07"/>
    <w:rsid w:val="00D12B20"/>
    <w:rsid w:val="00D12D04"/>
    <w:rsid w:val="00D12D78"/>
    <w:rsid w:val="00D12DE3"/>
    <w:rsid w:val="00D13158"/>
    <w:rsid w:val="00D1367E"/>
    <w:rsid w:val="00D136CF"/>
    <w:rsid w:val="00D13750"/>
    <w:rsid w:val="00D137B4"/>
    <w:rsid w:val="00D137FC"/>
    <w:rsid w:val="00D139B2"/>
    <w:rsid w:val="00D13AB6"/>
    <w:rsid w:val="00D13C53"/>
    <w:rsid w:val="00D13CCD"/>
    <w:rsid w:val="00D13D82"/>
    <w:rsid w:val="00D13E00"/>
    <w:rsid w:val="00D13EAB"/>
    <w:rsid w:val="00D13F32"/>
    <w:rsid w:val="00D140DE"/>
    <w:rsid w:val="00D14189"/>
    <w:rsid w:val="00D14381"/>
    <w:rsid w:val="00D14393"/>
    <w:rsid w:val="00D14471"/>
    <w:rsid w:val="00D1458B"/>
    <w:rsid w:val="00D146F2"/>
    <w:rsid w:val="00D1475C"/>
    <w:rsid w:val="00D14B25"/>
    <w:rsid w:val="00D14B78"/>
    <w:rsid w:val="00D14B8F"/>
    <w:rsid w:val="00D14C16"/>
    <w:rsid w:val="00D14D63"/>
    <w:rsid w:val="00D14DA6"/>
    <w:rsid w:val="00D14F90"/>
    <w:rsid w:val="00D14FBB"/>
    <w:rsid w:val="00D14FD3"/>
    <w:rsid w:val="00D15022"/>
    <w:rsid w:val="00D15030"/>
    <w:rsid w:val="00D15266"/>
    <w:rsid w:val="00D15420"/>
    <w:rsid w:val="00D155BD"/>
    <w:rsid w:val="00D1568E"/>
    <w:rsid w:val="00D157D8"/>
    <w:rsid w:val="00D15963"/>
    <w:rsid w:val="00D15980"/>
    <w:rsid w:val="00D15A37"/>
    <w:rsid w:val="00D15B46"/>
    <w:rsid w:val="00D15B93"/>
    <w:rsid w:val="00D16315"/>
    <w:rsid w:val="00D16466"/>
    <w:rsid w:val="00D1651D"/>
    <w:rsid w:val="00D165A5"/>
    <w:rsid w:val="00D165BE"/>
    <w:rsid w:val="00D165FF"/>
    <w:rsid w:val="00D166EF"/>
    <w:rsid w:val="00D1682B"/>
    <w:rsid w:val="00D1689D"/>
    <w:rsid w:val="00D16BD3"/>
    <w:rsid w:val="00D16D20"/>
    <w:rsid w:val="00D16D7D"/>
    <w:rsid w:val="00D16F9D"/>
    <w:rsid w:val="00D17080"/>
    <w:rsid w:val="00D171AE"/>
    <w:rsid w:val="00D17220"/>
    <w:rsid w:val="00D174AD"/>
    <w:rsid w:val="00D1752E"/>
    <w:rsid w:val="00D17AD0"/>
    <w:rsid w:val="00D17D82"/>
    <w:rsid w:val="00D17DB4"/>
    <w:rsid w:val="00D17E65"/>
    <w:rsid w:val="00D17EED"/>
    <w:rsid w:val="00D20056"/>
    <w:rsid w:val="00D201BD"/>
    <w:rsid w:val="00D205F0"/>
    <w:rsid w:val="00D206BE"/>
    <w:rsid w:val="00D206C0"/>
    <w:rsid w:val="00D2083C"/>
    <w:rsid w:val="00D2099C"/>
    <w:rsid w:val="00D20B23"/>
    <w:rsid w:val="00D20B28"/>
    <w:rsid w:val="00D20BFB"/>
    <w:rsid w:val="00D20D69"/>
    <w:rsid w:val="00D20E13"/>
    <w:rsid w:val="00D20F1A"/>
    <w:rsid w:val="00D211B6"/>
    <w:rsid w:val="00D211E7"/>
    <w:rsid w:val="00D2148B"/>
    <w:rsid w:val="00D21696"/>
    <w:rsid w:val="00D216AE"/>
    <w:rsid w:val="00D21870"/>
    <w:rsid w:val="00D219EE"/>
    <w:rsid w:val="00D219FF"/>
    <w:rsid w:val="00D21CB9"/>
    <w:rsid w:val="00D21CCE"/>
    <w:rsid w:val="00D21D13"/>
    <w:rsid w:val="00D21DB2"/>
    <w:rsid w:val="00D21DFC"/>
    <w:rsid w:val="00D22035"/>
    <w:rsid w:val="00D2209D"/>
    <w:rsid w:val="00D220AB"/>
    <w:rsid w:val="00D22393"/>
    <w:rsid w:val="00D223DD"/>
    <w:rsid w:val="00D2249F"/>
    <w:rsid w:val="00D225B6"/>
    <w:rsid w:val="00D22747"/>
    <w:rsid w:val="00D22799"/>
    <w:rsid w:val="00D22879"/>
    <w:rsid w:val="00D228EC"/>
    <w:rsid w:val="00D22B59"/>
    <w:rsid w:val="00D22C45"/>
    <w:rsid w:val="00D2309A"/>
    <w:rsid w:val="00D23218"/>
    <w:rsid w:val="00D232CD"/>
    <w:rsid w:val="00D23450"/>
    <w:rsid w:val="00D2355C"/>
    <w:rsid w:val="00D23659"/>
    <w:rsid w:val="00D236CC"/>
    <w:rsid w:val="00D2391E"/>
    <w:rsid w:val="00D23B43"/>
    <w:rsid w:val="00D23B61"/>
    <w:rsid w:val="00D23B7E"/>
    <w:rsid w:val="00D23BB8"/>
    <w:rsid w:val="00D23DF6"/>
    <w:rsid w:val="00D23EAA"/>
    <w:rsid w:val="00D24026"/>
    <w:rsid w:val="00D2424E"/>
    <w:rsid w:val="00D2449B"/>
    <w:rsid w:val="00D246B5"/>
    <w:rsid w:val="00D246C5"/>
    <w:rsid w:val="00D2481A"/>
    <w:rsid w:val="00D24820"/>
    <w:rsid w:val="00D24994"/>
    <w:rsid w:val="00D24A02"/>
    <w:rsid w:val="00D24A98"/>
    <w:rsid w:val="00D24B5C"/>
    <w:rsid w:val="00D24D0E"/>
    <w:rsid w:val="00D25094"/>
    <w:rsid w:val="00D2521D"/>
    <w:rsid w:val="00D25284"/>
    <w:rsid w:val="00D2541C"/>
    <w:rsid w:val="00D255C9"/>
    <w:rsid w:val="00D255D4"/>
    <w:rsid w:val="00D25656"/>
    <w:rsid w:val="00D258C4"/>
    <w:rsid w:val="00D25980"/>
    <w:rsid w:val="00D25A69"/>
    <w:rsid w:val="00D25B2D"/>
    <w:rsid w:val="00D25F24"/>
    <w:rsid w:val="00D26364"/>
    <w:rsid w:val="00D26491"/>
    <w:rsid w:val="00D265E2"/>
    <w:rsid w:val="00D26737"/>
    <w:rsid w:val="00D2677C"/>
    <w:rsid w:val="00D2693A"/>
    <w:rsid w:val="00D269FC"/>
    <w:rsid w:val="00D26B0C"/>
    <w:rsid w:val="00D26C58"/>
    <w:rsid w:val="00D26CF2"/>
    <w:rsid w:val="00D26EDB"/>
    <w:rsid w:val="00D26FF0"/>
    <w:rsid w:val="00D271E4"/>
    <w:rsid w:val="00D27244"/>
    <w:rsid w:val="00D2758B"/>
    <w:rsid w:val="00D275A7"/>
    <w:rsid w:val="00D27633"/>
    <w:rsid w:val="00D278B7"/>
    <w:rsid w:val="00D27AE3"/>
    <w:rsid w:val="00D27C52"/>
    <w:rsid w:val="00D27E2C"/>
    <w:rsid w:val="00D27E3B"/>
    <w:rsid w:val="00D300DC"/>
    <w:rsid w:val="00D30277"/>
    <w:rsid w:val="00D302B9"/>
    <w:rsid w:val="00D30407"/>
    <w:rsid w:val="00D30720"/>
    <w:rsid w:val="00D309DB"/>
    <w:rsid w:val="00D30C70"/>
    <w:rsid w:val="00D30D99"/>
    <w:rsid w:val="00D31028"/>
    <w:rsid w:val="00D3102A"/>
    <w:rsid w:val="00D31043"/>
    <w:rsid w:val="00D31153"/>
    <w:rsid w:val="00D31225"/>
    <w:rsid w:val="00D3154F"/>
    <w:rsid w:val="00D316CF"/>
    <w:rsid w:val="00D317F6"/>
    <w:rsid w:val="00D31B01"/>
    <w:rsid w:val="00D31E91"/>
    <w:rsid w:val="00D31F03"/>
    <w:rsid w:val="00D320D6"/>
    <w:rsid w:val="00D32223"/>
    <w:rsid w:val="00D32276"/>
    <w:rsid w:val="00D323C5"/>
    <w:rsid w:val="00D32404"/>
    <w:rsid w:val="00D32774"/>
    <w:rsid w:val="00D32956"/>
    <w:rsid w:val="00D32C56"/>
    <w:rsid w:val="00D32CE5"/>
    <w:rsid w:val="00D32F6A"/>
    <w:rsid w:val="00D32FB3"/>
    <w:rsid w:val="00D33005"/>
    <w:rsid w:val="00D33216"/>
    <w:rsid w:val="00D333B4"/>
    <w:rsid w:val="00D3342C"/>
    <w:rsid w:val="00D33663"/>
    <w:rsid w:val="00D3375B"/>
    <w:rsid w:val="00D33930"/>
    <w:rsid w:val="00D33960"/>
    <w:rsid w:val="00D33CC6"/>
    <w:rsid w:val="00D33D0A"/>
    <w:rsid w:val="00D33DAC"/>
    <w:rsid w:val="00D33F41"/>
    <w:rsid w:val="00D3409A"/>
    <w:rsid w:val="00D34222"/>
    <w:rsid w:val="00D3428F"/>
    <w:rsid w:val="00D342A0"/>
    <w:rsid w:val="00D3437F"/>
    <w:rsid w:val="00D343AB"/>
    <w:rsid w:val="00D346DF"/>
    <w:rsid w:val="00D347AE"/>
    <w:rsid w:val="00D34892"/>
    <w:rsid w:val="00D348F2"/>
    <w:rsid w:val="00D34973"/>
    <w:rsid w:val="00D349DB"/>
    <w:rsid w:val="00D34B59"/>
    <w:rsid w:val="00D34BA6"/>
    <w:rsid w:val="00D34C6E"/>
    <w:rsid w:val="00D34C70"/>
    <w:rsid w:val="00D34D61"/>
    <w:rsid w:val="00D34D80"/>
    <w:rsid w:val="00D34DAC"/>
    <w:rsid w:val="00D34FC4"/>
    <w:rsid w:val="00D34FFC"/>
    <w:rsid w:val="00D35038"/>
    <w:rsid w:val="00D3548B"/>
    <w:rsid w:val="00D35533"/>
    <w:rsid w:val="00D35657"/>
    <w:rsid w:val="00D357AC"/>
    <w:rsid w:val="00D35A4D"/>
    <w:rsid w:val="00D35B05"/>
    <w:rsid w:val="00D35B0F"/>
    <w:rsid w:val="00D35C05"/>
    <w:rsid w:val="00D35C6E"/>
    <w:rsid w:val="00D35CB8"/>
    <w:rsid w:val="00D360FF"/>
    <w:rsid w:val="00D3620A"/>
    <w:rsid w:val="00D364E8"/>
    <w:rsid w:val="00D365DB"/>
    <w:rsid w:val="00D36730"/>
    <w:rsid w:val="00D36825"/>
    <w:rsid w:val="00D36906"/>
    <w:rsid w:val="00D36AEB"/>
    <w:rsid w:val="00D36B49"/>
    <w:rsid w:val="00D36D04"/>
    <w:rsid w:val="00D36E60"/>
    <w:rsid w:val="00D36F71"/>
    <w:rsid w:val="00D36FBD"/>
    <w:rsid w:val="00D36FDC"/>
    <w:rsid w:val="00D372CB"/>
    <w:rsid w:val="00D3756A"/>
    <w:rsid w:val="00D376C6"/>
    <w:rsid w:val="00D3797B"/>
    <w:rsid w:val="00D37A3E"/>
    <w:rsid w:val="00D37A7C"/>
    <w:rsid w:val="00D37A9B"/>
    <w:rsid w:val="00D37CF6"/>
    <w:rsid w:val="00D37DA1"/>
    <w:rsid w:val="00D37ECF"/>
    <w:rsid w:val="00D37FF3"/>
    <w:rsid w:val="00D40166"/>
    <w:rsid w:val="00D40498"/>
    <w:rsid w:val="00D40795"/>
    <w:rsid w:val="00D40813"/>
    <w:rsid w:val="00D408F4"/>
    <w:rsid w:val="00D40B45"/>
    <w:rsid w:val="00D40B75"/>
    <w:rsid w:val="00D40E9F"/>
    <w:rsid w:val="00D40F69"/>
    <w:rsid w:val="00D40FA3"/>
    <w:rsid w:val="00D40FEB"/>
    <w:rsid w:val="00D411D4"/>
    <w:rsid w:val="00D41595"/>
    <w:rsid w:val="00D41915"/>
    <w:rsid w:val="00D41BC1"/>
    <w:rsid w:val="00D42052"/>
    <w:rsid w:val="00D420F3"/>
    <w:rsid w:val="00D421EB"/>
    <w:rsid w:val="00D42399"/>
    <w:rsid w:val="00D4241E"/>
    <w:rsid w:val="00D424A3"/>
    <w:rsid w:val="00D425B7"/>
    <w:rsid w:val="00D4296D"/>
    <w:rsid w:val="00D42C05"/>
    <w:rsid w:val="00D42C13"/>
    <w:rsid w:val="00D42EA2"/>
    <w:rsid w:val="00D4300F"/>
    <w:rsid w:val="00D43627"/>
    <w:rsid w:val="00D436CE"/>
    <w:rsid w:val="00D43838"/>
    <w:rsid w:val="00D4386D"/>
    <w:rsid w:val="00D438D5"/>
    <w:rsid w:val="00D43B4E"/>
    <w:rsid w:val="00D43BD6"/>
    <w:rsid w:val="00D43C1E"/>
    <w:rsid w:val="00D43C4B"/>
    <w:rsid w:val="00D43C9C"/>
    <w:rsid w:val="00D43DF3"/>
    <w:rsid w:val="00D442B9"/>
    <w:rsid w:val="00D4436B"/>
    <w:rsid w:val="00D4437B"/>
    <w:rsid w:val="00D444F2"/>
    <w:rsid w:val="00D447F8"/>
    <w:rsid w:val="00D4490B"/>
    <w:rsid w:val="00D4495E"/>
    <w:rsid w:val="00D449AD"/>
    <w:rsid w:val="00D44BAF"/>
    <w:rsid w:val="00D44DDD"/>
    <w:rsid w:val="00D44DF8"/>
    <w:rsid w:val="00D44F55"/>
    <w:rsid w:val="00D450C2"/>
    <w:rsid w:val="00D45162"/>
    <w:rsid w:val="00D45318"/>
    <w:rsid w:val="00D4543E"/>
    <w:rsid w:val="00D4552A"/>
    <w:rsid w:val="00D4552F"/>
    <w:rsid w:val="00D45638"/>
    <w:rsid w:val="00D45728"/>
    <w:rsid w:val="00D45CFC"/>
    <w:rsid w:val="00D45E41"/>
    <w:rsid w:val="00D45F3B"/>
    <w:rsid w:val="00D46044"/>
    <w:rsid w:val="00D460E4"/>
    <w:rsid w:val="00D46361"/>
    <w:rsid w:val="00D463AE"/>
    <w:rsid w:val="00D4646A"/>
    <w:rsid w:val="00D46625"/>
    <w:rsid w:val="00D468A1"/>
    <w:rsid w:val="00D46B5D"/>
    <w:rsid w:val="00D46BF6"/>
    <w:rsid w:val="00D46E56"/>
    <w:rsid w:val="00D46EA8"/>
    <w:rsid w:val="00D46F2F"/>
    <w:rsid w:val="00D46F43"/>
    <w:rsid w:val="00D47052"/>
    <w:rsid w:val="00D47118"/>
    <w:rsid w:val="00D47167"/>
    <w:rsid w:val="00D47341"/>
    <w:rsid w:val="00D476DE"/>
    <w:rsid w:val="00D476E4"/>
    <w:rsid w:val="00D477F4"/>
    <w:rsid w:val="00D47892"/>
    <w:rsid w:val="00D478D6"/>
    <w:rsid w:val="00D47B3F"/>
    <w:rsid w:val="00D47CE6"/>
    <w:rsid w:val="00D47DA9"/>
    <w:rsid w:val="00D47DF4"/>
    <w:rsid w:val="00D47E08"/>
    <w:rsid w:val="00D47EA6"/>
    <w:rsid w:val="00D47F4A"/>
    <w:rsid w:val="00D47FD5"/>
    <w:rsid w:val="00D50030"/>
    <w:rsid w:val="00D50039"/>
    <w:rsid w:val="00D500A1"/>
    <w:rsid w:val="00D503A7"/>
    <w:rsid w:val="00D504A6"/>
    <w:rsid w:val="00D505DB"/>
    <w:rsid w:val="00D505FF"/>
    <w:rsid w:val="00D50805"/>
    <w:rsid w:val="00D5084B"/>
    <w:rsid w:val="00D509E3"/>
    <w:rsid w:val="00D50A83"/>
    <w:rsid w:val="00D50AE9"/>
    <w:rsid w:val="00D50AEA"/>
    <w:rsid w:val="00D50EA1"/>
    <w:rsid w:val="00D50EB3"/>
    <w:rsid w:val="00D51056"/>
    <w:rsid w:val="00D51127"/>
    <w:rsid w:val="00D5122C"/>
    <w:rsid w:val="00D517D4"/>
    <w:rsid w:val="00D51811"/>
    <w:rsid w:val="00D51857"/>
    <w:rsid w:val="00D51BB5"/>
    <w:rsid w:val="00D51D99"/>
    <w:rsid w:val="00D51FCE"/>
    <w:rsid w:val="00D52100"/>
    <w:rsid w:val="00D5218B"/>
    <w:rsid w:val="00D5246C"/>
    <w:rsid w:val="00D524CA"/>
    <w:rsid w:val="00D52551"/>
    <w:rsid w:val="00D52760"/>
    <w:rsid w:val="00D527E3"/>
    <w:rsid w:val="00D52970"/>
    <w:rsid w:val="00D52BF1"/>
    <w:rsid w:val="00D52BF3"/>
    <w:rsid w:val="00D52C5A"/>
    <w:rsid w:val="00D52CEC"/>
    <w:rsid w:val="00D52E78"/>
    <w:rsid w:val="00D52ECD"/>
    <w:rsid w:val="00D52F34"/>
    <w:rsid w:val="00D52FE6"/>
    <w:rsid w:val="00D5337F"/>
    <w:rsid w:val="00D53498"/>
    <w:rsid w:val="00D534CF"/>
    <w:rsid w:val="00D534F7"/>
    <w:rsid w:val="00D53598"/>
    <w:rsid w:val="00D535C3"/>
    <w:rsid w:val="00D537BD"/>
    <w:rsid w:val="00D53941"/>
    <w:rsid w:val="00D5398E"/>
    <w:rsid w:val="00D539DA"/>
    <w:rsid w:val="00D53AC5"/>
    <w:rsid w:val="00D53ACF"/>
    <w:rsid w:val="00D53B2E"/>
    <w:rsid w:val="00D53BBC"/>
    <w:rsid w:val="00D53C72"/>
    <w:rsid w:val="00D54002"/>
    <w:rsid w:val="00D54152"/>
    <w:rsid w:val="00D54348"/>
    <w:rsid w:val="00D543AC"/>
    <w:rsid w:val="00D5445B"/>
    <w:rsid w:val="00D5448D"/>
    <w:rsid w:val="00D544F0"/>
    <w:rsid w:val="00D5461E"/>
    <w:rsid w:val="00D546AE"/>
    <w:rsid w:val="00D5488E"/>
    <w:rsid w:val="00D5490A"/>
    <w:rsid w:val="00D54C6B"/>
    <w:rsid w:val="00D54CB1"/>
    <w:rsid w:val="00D54E6B"/>
    <w:rsid w:val="00D54EC2"/>
    <w:rsid w:val="00D54F08"/>
    <w:rsid w:val="00D550B4"/>
    <w:rsid w:val="00D550C7"/>
    <w:rsid w:val="00D550DA"/>
    <w:rsid w:val="00D5532F"/>
    <w:rsid w:val="00D55348"/>
    <w:rsid w:val="00D555DB"/>
    <w:rsid w:val="00D555E7"/>
    <w:rsid w:val="00D556A2"/>
    <w:rsid w:val="00D556CA"/>
    <w:rsid w:val="00D558F2"/>
    <w:rsid w:val="00D55900"/>
    <w:rsid w:val="00D55B2B"/>
    <w:rsid w:val="00D55C2F"/>
    <w:rsid w:val="00D55C58"/>
    <w:rsid w:val="00D55CE1"/>
    <w:rsid w:val="00D55E89"/>
    <w:rsid w:val="00D55EBA"/>
    <w:rsid w:val="00D5601C"/>
    <w:rsid w:val="00D56196"/>
    <w:rsid w:val="00D561F4"/>
    <w:rsid w:val="00D562DC"/>
    <w:rsid w:val="00D563AB"/>
    <w:rsid w:val="00D56579"/>
    <w:rsid w:val="00D56688"/>
    <w:rsid w:val="00D56786"/>
    <w:rsid w:val="00D567C1"/>
    <w:rsid w:val="00D567FA"/>
    <w:rsid w:val="00D568C8"/>
    <w:rsid w:val="00D56931"/>
    <w:rsid w:val="00D569C4"/>
    <w:rsid w:val="00D56B76"/>
    <w:rsid w:val="00D56CB0"/>
    <w:rsid w:val="00D56CE8"/>
    <w:rsid w:val="00D56F5E"/>
    <w:rsid w:val="00D57002"/>
    <w:rsid w:val="00D5741B"/>
    <w:rsid w:val="00D57664"/>
    <w:rsid w:val="00D57883"/>
    <w:rsid w:val="00D5792F"/>
    <w:rsid w:val="00D57995"/>
    <w:rsid w:val="00D57BA8"/>
    <w:rsid w:val="00D57E45"/>
    <w:rsid w:val="00D57E4B"/>
    <w:rsid w:val="00D57E83"/>
    <w:rsid w:val="00D600EC"/>
    <w:rsid w:val="00D6028C"/>
    <w:rsid w:val="00D604B7"/>
    <w:rsid w:val="00D604D3"/>
    <w:rsid w:val="00D60536"/>
    <w:rsid w:val="00D606C4"/>
    <w:rsid w:val="00D6082F"/>
    <w:rsid w:val="00D60851"/>
    <w:rsid w:val="00D608BA"/>
    <w:rsid w:val="00D60A6C"/>
    <w:rsid w:val="00D60AC0"/>
    <w:rsid w:val="00D60D69"/>
    <w:rsid w:val="00D60D88"/>
    <w:rsid w:val="00D60EFB"/>
    <w:rsid w:val="00D60FD1"/>
    <w:rsid w:val="00D60FDA"/>
    <w:rsid w:val="00D60FEE"/>
    <w:rsid w:val="00D61415"/>
    <w:rsid w:val="00D61444"/>
    <w:rsid w:val="00D614C4"/>
    <w:rsid w:val="00D61501"/>
    <w:rsid w:val="00D61920"/>
    <w:rsid w:val="00D61A13"/>
    <w:rsid w:val="00D61C9C"/>
    <w:rsid w:val="00D61D0E"/>
    <w:rsid w:val="00D61D47"/>
    <w:rsid w:val="00D61D92"/>
    <w:rsid w:val="00D61E2E"/>
    <w:rsid w:val="00D6203F"/>
    <w:rsid w:val="00D6230A"/>
    <w:rsid w:val="00D626FC"/>
    <w:rsid w:val="00D627B2"/>
    <w:rsid w:val="00D628A5"/>
    <w:rsid w:val="00D62C4D"/>
    <w:rsid w:val="00D62D68"/>
    <w:rsid w:val="00D62E06"/>
    <w:rsid w:val="00D62F1F"/>
    <w:rsid w:val="00D63191"/>
    <w:rsid w:val="00D6331B"/>
    <w:rsid w:val="00D63493"/>
    <w:rsid w:val="00D637BD"/>
    <w:rsid w:val="00D638A7"/>
    <w:rsid w:val="00D638B5"/>
    <w:rsid w:val="00D63C85"/>
    <w:rsid w:val="00D63CE7"/>
    <w:rsid w:val="00D63D9D"/>
    <w:rsid w:val="00D63DC6"/>
    <w:rsid w:val="00D63DD4"/>
    <w:rsid w:val="00D63DED"/>
    <w:rsid w:val="00D63E90"/>
    <w:rsid w:val="00D63FA5"/>
    <w:rsid w:val="00D64030"/>
    <w:rsid w:val="00D6418D"/>
    <w:rsid w:val="00D642A9"/>
    <w:rsid w:val="00D643A3"/>
    <w:rsid w:val="00D643DA"/>
    <w:rsid w:val="00D6454C"/>
    <w:rsid w:val="00D64A33"/>
    <w:rsid w:val="00D64A50"/>
    <w:rsid w:val="00D64BA2"/>
    <w:rsid w:val="00D64D64"/>
    <w:rsid w:val="00D64E75"/>
    <w:rsid w:val="00D64E82"/>
    <w:rsid w:val="00D65163"/>
    <w:rsid w:val="00D651CA"/>
    <w:rsid w:val="00D6527A"/>
    <w:rsid w:val="00D65295"/>
    <w:rsid w:val="00D65381"/>
    <w:rsid w:val="00D6551A"/>
    <w:rsid w:val="00D655E1"/>
    <w:rsid w:val="00D6572E"/>
    <w:rsid w:val="00D657D8"/>
    <w:rsid w:val="00D65859"/>
    <w:rsid w:val="00D658EB"/>
    <w:rsid w:val="00D65A47"/>
    <w:rsid w:val="00D65A4D"/>
    <w:rsid w:val="00D65B9C"/>
    <w:rsid w:val="00D65BDB"/>
    <w:rsid w:val="00D65C0B"/>
    <w:rsid w:val="00D65C63"/>
    <w:rsid w:val="00D65CF3"/>
    <w:rsid w:val="00D65E3C"/>
    <w:rsid w:val="00D6601C"/>
    <w:rsid w:val="00D66064"/>
    <w:rsid w:val="00D6619F"/>
    <w:rsid w:val="00D66337"/>
    <w:rsid w:val="00D663DB"/>
    <w:rsid w:val="00D665CD"/>
    <w:rsid w:val="00D6690A"/>
    <w:rsid w:val="00D6693C"/>
    <w:rsid w:val="00D66B9B"/>
    <w:rsid w:val="00D66E16"/>
    <w:rsid w:val="00D66E6F"/>
    <w:rsid w:val="00D66EFB"/>
    <w:rsid w:val="00D66F79"/>
    <w:rsid w:val="00D670AB"/>
    <w:rsid w:val="00D670CC"/>
    <w:rsid w:val="00D67102"/>
    <w:rsid w:val="00D67414"/>
    <w:rsid w:val="00D674AF"/>
    <w:rsid w:val="00D675ED"/>
    <w:rsid w:val="00D67706"/>
    <w:rsid w:val="00D67798"/>
    <w:rsid w:val="00D67995"/>
    <w:rsid w:val="00D67B2A"/>
    <w:rsid w:val="00D67B61"/>
    <w:rsid w:val="00D67D59"/>
    <w:rsid w:val="00D67DAF"/>
    <w:rsid w:val="00D67E3D"/>
    <w:rsid w:val="00D67F4C"/>
    <w:rsid w:val="00D67FCB"/>
    <w:rsid w:val="00D700B0"/>
    <w:rsid w:val="00D700D6"/>
    <w:rsid w:val="00D70266"/>
    <w:rsid w:val="00D70381"/>
    <w:rsid w:val="00D70500"/>
    <w:rsid w:val="00D7056E"/>
    <w:rsid w:val="00D7060A"/>
    <w:rsid w:val="00D7078E"/>
    <w:rsid w:val="00D708B3"/>
    <w:rsid w:val="00D70A61"/>
    <w:rsid w:val="00D70CF0"/>
    <w:rsid w:val="00D70DAE"/>
    <w:rsid w:val="00D70DF5"/>
    <w:rsid w:val="00D70E50"/>
    <w:rsid w:val="00D70E69"/>
    <w:rsid w:val="00D70EEB"/>
    <w:rsid w:val="00D71165"/>
    <w:rsid w:val="00D71185"/>
    <w:rsid w:val="00D7126A"/>
    <w:rsid w:val="00D71333"/>
    <w:rsid w:val="00D713B9"/>
    <w:rsid w:val="00D713E7"/>
    <w:rsid w:val="00D71559"/>
    <w:rsid w:val="00D71611"/>
    <w:rsid w:val="00D7182F"/>
    <w:rsid w:val="00D71922"/>
    <w:rsid w:val="00D719A9"/>
    <w:rsid w:val="00D71B72"/>
    <w:rsid w:val="00D71C21"/>
    <w:rsid w:val="00D71C7C"/>
    <w:rsid w:val="00D71CFD"/>
    <w:rsid w:val="00D71D09"/>
    <w:rsid w:val="00D71D48"/>
    <w:rsid w:val="00D71E47"/>
    <w:rsid w:val="00D71E7F"/>
    <w:rsid w:val="00D71F67"/>
    <w:rsid w:val="00D71F9A"/>
    <w:rsid w:val="00D7216A"/>
    <w:rsid w:val="00D7227D"/>
    <w:rsid w:val="00D72353"/>
    <w:rsid w:val="00D7255A"/>
    <w:rsid w:val="00D727FC"/>
    <w:rsid w:val="00D72938"/>
    <w:rsid w:val="00D72972"/>
    <w:rsid w:val="00D72AC3"/>
    <w:rsid w:val="00D72D0F"/>
    <w:rsid w:val="00D730FD"/>
    <w:rsid w:val="00D73194"/>
    <w:rsid w:val="00D73290"/>
    <w:rsid w:val="00D7357F"/>
    <w:rsid w:val="00D735C5"/>
    <w:rsid w:val="00D73614"/>
    <w:rsid w:val="00D73849"/>
    <w:rsid w:val="00D73908"/>
    <w:rsid w:val="00D73998"/>
    <w:rsid w:val="00D73A30"/>
    <w:rsid w:val="00D73C1F"/>
    <w:rsid w:val="00D73EB6"/>
    <w:rsid w:val="00D73ECE"/>
    <w:rsid w:val="00D73F20"/>
    <w:rsid w:val="00D73FC6"/>
    <w:rsid w:val="00D740C9"/>
    <w:rsid w:val="00D7423E"/>
    <w:rsid w:val="00D742CF"/>
    <w:rsid w:val="00D744E7"/>
    <w:rsid w:val="00D74641"/>
    <w:rsid w:val="00D7468B"/>
    <w:rsid w:val="00D747AD"/>
    <w:rsid w:val="00D74868"/>
    <w:rsid w:val="00D74B0B"/>
    <w:rsid w:val="00D74C94"/>
    <w:rsid w:val="00D74DFC"/>
    <w:rsid w:val="00D74E57"/>
    <w:rsid w:val="00D75169"/>
    <w:rsid w:val="00D75247"/>
    <w:rsid w:val="00D7532B"/>
    <w:rsid w:val="00D7544A"/>
    <w:rsid w:val="00D75472"/>
    <w:rsid w:val="00D75531"/>
    <w:rsid w:val="00D755D9"/>
    <w:rsid w:val="00D7569A"/>
    <w:rsid w:val="00D756AA"/>
    <w:rsid w:val="00D7594E"/>
    <w:rsid w:val="00D75D1A"/>
    <w:rsid w:val="00D75E58"/>
    <w:rsid w:val="00D760E9"/>
    <w:rsid w:val="00D76177"/>
    <w:rsid w:val="00D7617E"/>
    <w:rsid w:val="00D7630C"/>
    <w:rsid w:val="00D76392"/>
    <w:rsid w:val="00D7654E"/>
    <w:rsid w:val="00D766F3"/>
    <w:rsid w:val="00D76837"/>
    <w:rsid w:val="00D76DDB"/>
    <w:rsid w:val="00D76E02"/>
    <w:rsid w:val="00D76E3A"/>
    <w:rsid w:val="00D76E50"/>
    <w:rsid w:val="00D76F76"/>
    <w:rsid w:val="00D77160"/>
    <w:rsid w:val="00D7732B"/>
    <w:rsid w:val="00D775BB"/>
    <w:rsid w:val="00D7792A"/>
    <w:rsid w:val="00D779CD"/>
    <w:rsid w:val="00D779F5"/>
    <w:rsid w:val="00D77A10"/>
    <w:rsid w:val="00D77B92"/>
    <w:rsid w:val="00D77C9C"/>
    <w:rsid w:val="00D77CD2"/>
    <w:rsid w:val="00D77E3C"/>
    <w:rsid w:val="00D80226"/>
    <w:rsid w:val="00D802E9"/>
    <w:rsid w:val="00D803AA"/>
    <w:rsid w:val="00D80786"/>
    <w:rsid w:val="00D8085A"/>
    <w:rsid w:val="00D80B0C"/>
    <w:rsid w:val="00D80CED"/>
    <w:rsid w:val="00D80D9C"/>
    <w:rsid w:val="00D8108F"/>
    <w:rsid w:val="00D8117B"/>
    <w:rsid w:val="00D811DC"/>
    <w:rsid w:val="00D8133F"/>
    <w:rsid w:val="00D8138B"/>
    <w:rsid w:val="00D81724"/>
    <w:rsid w:val="00D81817"/>
    <w:rsid w:val="00D818CB"/>
    <w:rsid w:val="00D81ABA"/>
    <w:rsid w:val="00D81B8F"/>
    <w:rsid w:val="00D81B9E"/>
    <w:rsid w:val="00D81C79"/>
    <w:rsid w:val="00D81C8F"/>
    <w:rsid w:val="00D81DBB"/>
    <w:rsid w:val="00D81E47"/>
    <w:rsid w:val="00D81E84"/>
    <w:rsid w:val="00D81F7E"/>
    <w:rsid w:val="00D82094"/>
    <w:rsid w:val="00D820F8"/>
    <w:rsid w:val="00D8219D"/>
    <w:rsid w:val="00D82255"/>
    <w:rsid w:val="00D82499"/>
    <w:rsid w:val="00D825F9"/>
    <w:rsid w:val="00D8266C"/>
    <w:rsid w:val="00D826AD"/>
    <w:rsid w:val="00D82718"/>
    <w:rsid w:val="00D829A4"/>
    <w:rsid w:val="00D829D8"/>
    <w:rsid w:val="00D82ABC"/>
    <w:rsid w:val="00D82AD2"/>
    <w:rsid w:val="00D82B5C"/>
    <w:rsid w:val="00D82B8E"/>
    <w:rsid w:val="00D82D95"/>
    <w:rsid w:val="00D83051"/>
    <w:rsid w:val="00D83309"/>
    <w:rsid w:val="00D83319"/>
    <w:rsid w:val="00D83359"/>
    <w:rsid w:val="00D837FE"/>
    <w:rsid w:val="00D838E4"/>
    <w:rsid w:val="00D83BD7"/>
    <w:rsid w:val="00D83BE0"/>
    <w:rsid w:val="00D83D0D"/>
    <w:rsid w:val="00D83D2B"/>
    <w:rsid w:val="00D83E16"/>
    <w:rsid w:val="00D83E30"/>
    <w:rsid w:val="00D83F8F"/>
    <w:rsid w:val="00D84121"/>
    <w:rsid w:val="00D842DF"/>
    <w:rsid w:val="00D843B6"/>
    <w:rsid w:val="00D84449"/>
    <w:rsid w:val="00D84585"/>
    <w:rsid w:val="00D84632"/>
    <w:rsid w:val="00D84726"/>
    <w:rsid w:val="00D847E3"/>
    <w:rsid w:val="00D84B32"/>
    <w:rsid w:val="00D84BAB"/>
    <w:rsid w:val="00D84DCA"/>
    <w:rsid w:val="00D84F8C"/>
    <w:rsid w:val="00D84F90"/>
    <w:rsid w:val="00D85555"/>
    <w:rsid w:val="00D855B3"/>
    <w:rsid w:val="00D85652"/>
    <w:rsid w:val="00D85736"/>
    <w:rsid w:val="00D85AAB"/>
    <w:rsid w:val="00D85C5E"/>
    <w:rsid w:val="00D85C87"/>
    <w:rsid w:val="00D85D74"/>
    <w:rsid w:val="00D85DCD"/>
    <w:rsid w:val="00D85E47"/>
    <w:rsid w:val="00D85EFA"/>
    <w:rsid w:val="00D85FD6"/>
    <w:rsid w:val="00D86088"/>
    <w:rsid w:val="00D862F9"/>
    <w:rsid w:val="00D86473"/>
    <w:rsid w:val="00D864E3"/>
    <w:rsid w:val="00D86543"/>
    <w:rsid w:val="00D8664F"/>
    <w:rsid w:val="00D8674A"/>
    <w:rsid w:val="00D869BD"/>
    <w:rsid w:val="00D86AD1"/>
    <w:rsid w:val="00D86B0A"/>
    <w:rsid w:val="00D86CDA"/>
    <w:rsid w:val="00D86D07"/>
    <w:rsid w:val="00D86D3F"/>
    <w:rsid w:val="00D86D5C"/>
    <w:rsid w:val="00D86D90"/>
    <w:rsid w:val="00D86D93"/>
    <w:rsid w:val="00D8713F"/>
    <w:rsid w:val="00D87160"/>
    <w:rsid w:val="00D87245"/>
    <w:rsid w:val="00D8730D"/>
    <w:rsid w:val="00D873A3"/>
    <w:rsid w:val="00D875F3"/>
    <w:rsid w:val="00D8773E"/>
    <w:rsid w:val="00D879CB"/>
    <w:rsid w:val="00D87A0A"/>
    <w:rsid w:val="00D87C68"/>
    <w:rsid w:val="00D9012E"/>
    <w:rsid w:val="00D90494"/>
    <w:rsid w:val="00D907A1"/>
    <w:rsid w:val="00D908C0"/>
    <w:rsid w:val="00D909C7"/>
    <w:rsid w:val="00D90B8D"/>
    <w:rsid w:val="00D90DD5"/>
    <w:rsid w:val="00D90E4E"/>
    <w:rsid w:val="00D90EA9"/>
    <w:rsid w:val="00D912B4"/>
    <w:rsid w:val="00D912F5"/>
    <w:rsid w:val="00D91476"/>
    <w:rsid w:val="00D91669"/>
    <w:rsid w:val="00D9166E"/>
    <w:rsid w:val="00D9173A"/>
    <w:rsid w:val="00D91960"/>
    <w:rsid w:val="00D91BA7"/>
    <w:rsid w:val="00D91BD1"/>
    <w:rsid w:val="00D91BDA"/>
    <w:rsid w:val="00D91C82"/>
    <w:rsid w:val="00D91CE0"/>
    <w:rsid w:val="00D91F6B"/>
    <w:rsid w:val="00D92007"/>
    <w:rsid w:val="00D920A1"/>
    <w:rsid w:val="00D922A0"/>
    <w:rsid w:val="00D922E4"/>
    <w:rsid w:val="00D92618"/>
    <w:rsid w:val="00D92698"/>
    <w:rsid w:val="00D92711"/>
    <w:rsid w:val="00D92946"/>
    <w:rsid w:val="00D92A9A"/>
    <w:rsid w:val="00D92AF6"/>
    <w:rsid w:val="00D92B4A"/>
    <w:rsid w:val="00D92CBB"/>
    <w:rsid w:val="00D92D76"/>
    <w:rsid w:val="00D92F20"/>
    <w:rsid w:val="00D93089"/>
    <w:rsid w:val="00D934E3"/>
    <w:rsid w:val="00D935CE"/>
    <w:rsid w:val="00D9366E"/>
    <w:rsid w:val="00D938AD"/>
    <w:rsid w:val="00D939F7"/>
    <w:rsid w:val="00D93A84"/>
    <w:rsid w:val="00D93CB7"/>
    <w:rsid w:val="00D93E32"/>
    <w:rsid w:val="00D93E94"/>
    <w:rsid w:val="00D9416E"/>
    <w:rsid w:val="00D944B0"/>
    <w:rsid w:val="00D944DC"/>
    <w:rsid w:val="00D94640"/>
    <w:rsid w:val="00D94A43"/>
    <w:rsid w:val="00D94CAA"/>
    <w:rsid w:val="00D94CE0"/>
    <w:rsid w:val="00D94E7D"/>
    <w:rsid w:val="00D94FED"/>
    <w:rsid w:val="00D95119"/>
    <w:rsid w:val="00D9515A"/>
    <w:rsid w:val="00D95197"/>
    <w:rsid w:val="00D9559C"/>
    <w:rsid w:val="00D9572E"/>
    <w:rsid w:val="00D957FE"/>
    <w:rsid w:val="00D9589B"/>
    <w:rsid w:val="00D95D03"/>
    <w:rsid w:val="00D95ED5"/>
    <w:rsid w:val="00D96087"/>
    <w:rsid w:val="00D96174"/>
    <w:rsid w:val="00D96302"/>
    <w:rsid w:val="00D96462"/>
    <w:rsid w:val="00D967FE"/>
    <w:rsid w:val="00D969B9"/>
    <w:rsid w:val="00D969FC"/>
    <w:rsid w:val="00D96C0A"/>
    <w:rsid w:val="00D96EAA"/>
    <w:rsid w:val="00D96FA6"/>
    <w:rsid w:val="00D97047"/>
    <w:rsid w:val="00D97103"/>
    <w:rsid w:val="00D971BC"/>
    <w:rsid w:val="00D97265"/>
    <w:rsid w:val="00D973F6"/>
    <w:rsid w:val="00D97402"/>
    <w:rsid w:val="00D9741E"/>
    <w:rsid w:val="00D97426"/>
    <w:rsid w:val="00D9744B"/>
    <w:rsid w:val="00D976CE"/>
    <w:rsid w:val="00D977B0"/>
    <w:rsid w:val="00D97A85"/>
    <w:rsid w:val="00D97C0C"/>
    <w:rsid w:val="00D97D0A"/>
    <w:rsid w:val="00D97D45"/>
    <w:rsid w:val="00D97E25"/>
    <w:rsid w:val="00D97FF0"/>
    <w:rsid w:val="00DA0065"/>
    <w:rsid w:val="00DA01BD"/>
    <w:rsid w:val="00DA0204"/>
    <w:rsid w:val="00DA03C4"/>
    <w:rsid w:val="00DA04BB"/>
    <w:rsid w:val="00DA0533"/>
    <w:rsid w:val="00DA05C7"/>
    <w:rsid w:val="00DA06F9"/>
    <w:rsid w:val="00DA084D"/>
    <w:rsid w:val="00DA085C"/>
    <w:rsid w:val="00DA0AA1"/>
    <w:rsid w:val="00DA0AD8"/>
    <w:rsid w:val="00DA0CDD"/>
    <w:rsid w:val="00DA0D59"/>
    <w:rsid w:val="00DA0F3B"/>
    <w:rsid w:val="00DA0F73"/>
    <w:rsid w:val="00DA1042"/>
    <w:rsid w:val="00DA10BB"/>
    <w:rsid w:val="00DA117B"/>
    <w:rsid w:val="00DA1188"/>
    <w:rsid w:val="00DA1206"/>
    <w:rsid w:val="00DA12C5"/>
    <w:rsid w:val="00DA1366"/>
    <w:rsid w:val="00DA1592"/>
    <w:rsid w:val="00DA15A4"/>
    <w:rsid w:val="00DA15B0"/>
    <w:rsid w:val="00DA1870"/>
    <w:rsid w:val="00DA1A6C"/>
    <w:rsid w:val="00DA1AC0"/>
    <w:rsid w:val="00DA1AF6"/>
    <w:rsid w:val="00DA1BBD"/>
    <w:rsid w:val="00DA1C81"/>
    <w:rsid w:val="00DA1DBF"/>
    <w:rsid w:val="00DA1E81"/>
    <w:rsid w:val="00DA1F46"/>
    <w:rsid w:val="00DA20A9"/>
    <w:rsid w:val="00DA2107"/>
    <w:rsid w:val="00DA224B"/>
    <w:rsid w:val="00DA248E"/>
    <w:rsid w:val="00DA260E"/>
    <w:rsid w:val="00DA2810"/>
    <w:rsid w:val="00DA2B04"/>
    <w:rsid w:val="00DA2C0B"/>
    <w:rsid w:val="00DA2D6D"/>
    <w:rsid w:val="00DA2ED4"/>
    <w:rsid w:val="00DA3080"/>
    <w:rsid w:val="00DA3179"/>
    <w:rsid w:val="00DA31D3"/>
    <w:rsid w:val="00DA32AB"/>
    <w:rsid w:val="00DA32F4"/>
    <w:rsid w:val="00DA347E"/>
    <w:rsid w:val="00DA3498"/>
    <w:rsid w:val="00DA352F"/>
    <w:rsid w:val="00DA377C"/>
    <w:rsid w:val="00DA38B1"/>
    <w:rsid w:val="00DA39D4"/>
    <w:rsid w:val="00DA3A3A"/>
    <w:rsid w:val="00DA3D2F"/>
    <w:rsid w:val="00DA3E52"/>
    <w:rsid w:val="00DA3FD6"/>
    <w:rsid w:val="00DA4034"/>
    <w:rsid w:val="00DA431D"/>
    <w:rsid w:val="00DA4347"/>
    <w:rsid w:val="00DA43BA"/>
    <w:rsid w:val="00DA43F8"/>
    <w:rsid w:val="00DA44C1"/>
    <w:rsid w:val="00DA4621"/>
    <w:rsid w:val="00DA4622"/>
    <w:rsid w:val="00DA4688"/>
    <w:rsid w:val="00DA46C7"/>
    <w:rsid w:val="00DA48A6"/>
    <w:rsid w:val="00DA497B"/>
    <w:rsid w:val="00DA49A2"/>
    <w:rsid w:val="00DA4C20"/>
    <w:rsid w:val="00DA4C8D"/>
    <w:rsid w:val="00DA4CE2"/>
    <w:rsid w:val="00DA4D27"/>
    <w:rsid w:val="00DA4D7C"/>
    <w:rsid w:val="00DA4E88"/>
    <w:rsid w:val="00DA507D"/>
    <w:rsid w:val="00DA511B"/>
    <w:rsid w:val="00DA5226"/>
    <w:rsid w:val="00DA522A"/>
    <w:rsid w:val="00DA52DF"/>
    <w:rsid w:val="00DA54EA"/>
    <w:rsid w:val="00DA5561"/>
    <w:rsid w:val="00DA5630"/>
    <w:rsid w:val="00DA5663"/>
    <w:rsid w:val="00DA5688"/>
    <w:rsid w:val="00DA574A"/>
    <w:rsid w:val="00DA5858"/>
    <w:rsid w:val="00DA5A94"/>
    <w:rsid w:val="00DA5AB5"/>
    <w:rsid w:val="00DA5ADE"/>
    <w:rsid w:val="00DA5BDC"/>
    <w:rsid w:val="00DA5CD3"/>
    <w:rsid w:val="00DA5D5A"/>
    <w:rsid w:val="00DA5D8C"/>
    <w:rsid w:val="00DA5FA0"/>
    <w:rsid w:val="00DA6158"/>
    <w:rsid w:val="00DA627E"/>
    <w:rsid w:val="00DA6330"/>
    <w:rsid w:val="00DA64AD"/>
    <w:rsid w:val="00DA6511"/>
    <w:rsid w:val="00DA651E"/>
    <w:rsid w:val="00DA65F6"/>
    <w:rsid w:val="00DA67BB"/>
    <w:rsid w:val="00DA67E4"/>
    <w:rsid w:val="00DA6844"/>
    <w:rsid w:val="00DA6A38"/>
    <w:rsid w:val="00DA6A5E"/>
    <w:rsid w:val="00DA6B78"/>
    <w:rsid w:val="00DA7339"/>
    <w:rsid w:val="00DA74CD"/>
    <w:rsid w:val="00DA7597"/>
    <w:rsid w:val="00DA7745"/>
    <w:rsid w:val="00DA786C"/>
    <w:rsid w:val="00DA78F1"/>
    <w:rsid w:val="00DA79B7"/>
    <w:rsid w:val="00DA7A66"/>
    <w:rsid w:val="00DA7B53"/>
    <w:rsid w:val="00DA7BF7"/>
    <w:rsid w:val="00DA7C21"/>
    <w:rsid w:val="00DA7C8B"/>
    <w:rsid w:val="00DA7DE4"/>
    <w:rsid w:val="00DA7DFF"/>
    <w:rsid w:val="00DA7FB6"/>
    <w:rsid w:val="00DA7FDF"/>
    <w:rsid w:val="00DA7FE0"/>
    <w:rsid w:val="00DB00D1"/>
    <w:rsid w:val="00DB03F3"/>
    <w:rsid w:val="00DB0485"/>
    <w:rsid w:val="00DB05C0"/>
    <w:rsid w:val="00DB0615"/>
    <w:rsid w:val="00DB0664"/>
    <w:rsid w:val="00DB06D0"/>
    <w:rsid w:val="00DB06FB"/>
    <w:rsid w:val="00DB0753"/>
    <w:rsid w:val="00DB07E2"/>
    <w:rsid w:val="00DB0835"/>
    <w:rsid w:val="00DB0A93"/>
    <w:rsid w:val="00DB0AC4"/>
    <w:rsid w:val="00DB0B14"/>
    <w:rsid w:val="00DB0B1A"/>
    <w:rsid w:val="00DB0B6E"/>
    <w:rsid w:val="00DB0B97"/>
    <w:rsid w:val="00DB0C5E"/>
    <w:rsid w:val="00DB0C6A"/>
    <w:rsid w:val="00DB0D87"/>
    <w:rsid w:val="00DB0F11"/>
    <w:rsid w:val="00DB10A7"/>
    <w:rsid w:val="00DB10B7"/>
    <w:rsid w:val="00DB113A"/>
    <w:rsid w:val="00DB1207"/>
    <w:rsid w:val="00DB1321"/>
    <w:rsid w:val="00DB14EE"/>
    <w:rsid w:val="00DB1631"/>
    <w:rsid w:val="00DB1650"/>
    <w:rsid w:val="00DB176A"/>
    <w:rsid w:val="00DB1783"/>
    <w:rsid w:val="00DB17AB"/>
    <w:rsid w:val="00DB18DE"/>
    <w:rsid w:val="00DB19AD"/>
    <w:rsid w:val="00DB1A82"/>
    <w:rsid w:val="00DB1BFF"/>
    <w:rsid w:val="00DB1C3F"/>
    <w:rsid w:val="00DB1D9D"/>
    <w:rsid w:val="00DB1DE7"/>
    <w:rsid w:val="00DB1EC0"/>
    <w:rsid w:val="00DB212B"/>
    <w:rsid w:val="00DB217A"/>
    <w:rsid w:val="00DB2339"/>
    <w:rsid w:val="00DB236F"/>
    <w:rsid w:val="00DB24A4"/>
    <w:rsid w:val="00DB25CE"/>
    <w:rsid w:val="00DB266D"/>
    <w:rsid w:val="00DB2868"/>
    <w:rsid w:val="00DB29BE"/>
    <w:rsid w:val="00DB2BDF"/>
    <w:rsid w:val="00DB2E88"/>
    <w:rsid w:val="00DB329B"/>
    <w:rsid w:val="00DB3559"/>
    <w:rsid w:val="00DB3598"/>
    <w:rsid w:val="00DB3664"/>
    <w:rsid w:val="00DB369D"/>
    <w:rsid w:val="00DB3702"/>
    <w:rsid w:val="00DB3777"/>
    <w:rsid w:val="00DB38D1"/>
    <w:rsid w:val="00DB3A8B"/>
    <w:rsid w:val="00DB3B8B"/>
    <w:rsid w:val="00DB3C7C"/>
    <w:rsid w:val="00DB3E7F"/>
    <w:rsid w:val="00DB3E87"/>
    <w:rsid w:val="00DB3EB5"/>
    <w:rsid w:val="00DB422C"/>
    <w:rsid w:val="00DB426D"/>
    <w:rsid w:val="00DB4385"/>
    <w:rsid w:val="00DB439A"/>
    <w:rsid w:val="00DB43D3"/>
    <w:rsid w:val="00DB4491"/>
    <w:rsid w:val="00DB4806"/>
    <w:rsid w:val="00DB4856"/>
    <w:rsid w:val="00DB4863"/>
    <w:rsid w:val="00DB4893"/>
    <w:rsid w:val="00DB4C54"/>
    <w:rsid w:val="00DB4D1E"/>
    <w:rsid w:val="00DB4DD9"/>
    <w:rsid w:val="00DB4E89"/>
    <w:rsid w:val="00DB4ECE"/>
    <w:rsid w:val="00DB5033"/>
    <w:rsid w:val="00DB5801"/>
    <w:rsid w:val="00DB58ED"/>
    <w:rsid w:val="00DB5947"/>
    <w:rsid w:val="00DB5B3A"/>
    <w:rsid w:val="00DB5EA3"/>
    <w:rsid w:val="00DB5FB9"/>
    <w:rsid w:val="00DB621F"/>
    <w:rsid w:val="00DB628C"/>
    <w:rsid w:val="00DB6477"/>
    <w:rsid w:val="00DB6585"/>
    <w:rsid w:val="00DB66C5"/>
    <w:rsid w:val="00DB66FB"/>
    <w:rsid w:val="00DB6AFA"/>
    <w:rsid w:val="00DB6DD6"/>
    <w:rsid w:val="00DB6E57"/>
    <w:rsid w:val="00DB6EC1"/>
    <w:rsid w:val="00DB6FE1"/>
    <w:rsid w:val="00DB735B"/>
    <w:rsid w:val="00DB7495"/>
    <w:rsid w:val="00DB7575"/>
    <w:rsid w:val="00DB7634"/>
    <w:rsid w:val="00DB7641"/>
    <w:rsid w:val="00DB7675"/>
    <w:rsid w:val="00DB7BF9"/>
    <w:rsid w:val="00DB7F76"/>
    <w:rsid w:val="00DB7FA7"/>
    <w:rsid w:val="00DC001D"/>
    <w:rsid w:val="00DC0282"/>
    <w:rsid w:val="00DC02BD"/>
    <w:rsid w:val="00DC08AD"/>
    <w:rsid w:val="00DC090A"/>
    <w:rsid w:val="00DC0946"/>
    <w:rsid w:val="00DC096B"/>
    <w:rsid w:val="00DC0A9A"/>
    <w:rsid w:val="00DC0AD6"/>
    <w:rsid w:val="00DC0B56"/>
    <w:rsid w:val="00DC0E29"/>
    <w:rsid w:val="00DC0F5A"/>
    <w:rsid w:val="00DC10AC"/>
    <w:rsid w:val="00DC1152"/>
    <w:rsid w:val="00DC1189"/>
    <w:rsid w:val="00DC1201"/>
    <w:rsid w:val="00DC134E"/>
    <w:rsid w:val="00DC1537"/>
    <w:rsid w:val="00DC15C0"/>
    <w:rsid w:val="00DC15FF"/>
    <w:rsid w:val="00DC1613"/>
    <w:rsid w:val="00DC17D1"/>
    <w:rsid w:val="00DC17FC"/>
    <w:rsid w:val="00DC1801"/>
    <w:rsid w:val="00DC1861"/>
    <w:rsid w:val="00DC199F"/>
    <w:rsid w:val="00DC19C0"/>
    <w:rsid w:val="00DC1A24"/>
    <w:rsid w:val="00DC1AA5"/>
    <w:rsid w:val="00DC1C8A"/>
    <w:rsid w:val="00DC1E6C"/>
    <w:rsid w:val="00DC1F2F"/>
    <w:rsid w:val="00DC1F72"/>
    <w:rsid w:val="00DC1FDA"/>
    <w:rsid w:val="00DC2072"/>
    <w:rsid w:val="00DC243A"/>
    <w:rsid w:val="00DC243B"/>
    <w:rsid w:val="00DC2510"/>
    <w:rsid w:val="00DC2547"/>
    <w:rsid w:val="00DC25BC"/>
    <w:rsid w:val="00DC25F7"/>
    <w:rsid w:val="00DC281F"/>
    <w:rsid w:val="00DC2A36"/>
    <w:rsid w:val="00DC2B1C"/>
    <w:rsid w:val="00DC3106"/>
    <w:rsid w:val="00DC3141"/>
    <w:rsid w:val="00DC3194"/>
    <w:rsid w:val="00DC37D6"/>
    <w:rsid w:val="00DC3A86"/>
    <w:rsid w:val="00DC3ACF"/>
    <w:rsid w:val="00DC3C6E"/>
    <w:rsid w:val="00DC3C97"/>
    <w:rsid w:val="00DC3CAB"/>
    <w:rsid w:val="00DC3CEA"/>
    <w:rsid w:val="00DC3D8A"/>
    <w:rsid w:val="00DC3E16"/>
    <w:rsid w:val="00DC3FC6"/>
    <w:rsid w:val="00DC407D"/>
    <w:rsid w:val="00DC4232"/>
    <w:rsid w:val="00DC4293"/>
    <w:rsid w:val="00DC49FA"/>
    <w:rsid w:val="00DC4C8A"/>
    <w:rsid w:val="00DC4CDF"/>
    <w:rsid w:val="00DC4D55"/>
    <w:rsid w:val="00DC51BB"/>
    <w:rsid w:val="00DC52DD"/>
    <w:rsid w:val="00DC5370"/>
    <w:rsid w:val="00DC548F"/>
    <w:rsid w:val="00DC54C3"/>
    <w:rsid w:val="00DC54E2"/>
    <w:rsid w:val="00DC551D"/>
    <w:rsid w:val="00DC5669"/>
    <w:rsid w:val="00DC567E"/>
    <w:rsid w:val="00DC56E9"/>
    <w:rsid w:val="00DC5751"/>
    <w:rsid w:val="00DC576D"/>
    <w:rsid w:val="00DC5A13"/>
    <w:rsid w:val="00DC5EF6"/>
    <w:rsid w:val="00DC5FA8"/>
    <w:rsid w:val="00DC5FAC"/>
    <w:rsid w:val="00DC6023"/>
    <w:rsid w:val="00DC6433"/>
    <w:rsid w:val="00DC65A9"/>
    <w:rsid w:val="00DC66FA"/>
    <w:rsid w:val="00DC6AE4"/>
    <w:rsid w:val="00DC6B5D"/>
    <w:rsid w:val="00DC6B84"/>
    <w:rsid w:val="00DC6CAD"/>
    <w:rsid w:val="00DC70E2"/>
    <w:rsid w:val="00DC7109"/>
    <w:rsid w:val="00DC71FA"/>
    <w:rsid w:val="00DC73C3"/>
    <w:rsid w:val="00DC73CF"/>
    <w:rsid w:val="00DC744F"/>
    <w:rsid w:val="00DC75D5"/>
    <w:rsid w:val="00DC7653"/>
    <w:rsid w:val="00DC7710"/>
    <w:rsid w:val="00DC773F"/>
    <w:rsid w:val="00DC7941"/>
    <w:rsid w:val="00DC7960"/>
    <w:rsid w:val="00DC7AB8"/>
    <w:rsid w:val="00DC7CCE"/>
    <w:rsid w:val="00DC7D6A"/>
    <w:rsid w:val="00DC7FF2"/>
    <w:rsid w:val="00DD005B"/>
    <w:rsid w:val="00DD02A3"/>
    <w:rsid w:val="00DD053D"/>
    <w:rsid w:val="00DD06DE"/>
    <w:rsid w:val="00DD0718"/>
    <w:rsid w:val="00DD0757"/>
    <w:rsid w:val="00DD0775"/>
    <w:rsid w:val="00DD0784"/>
    <w:rsid w:val="00DD0A13"/>
    <w:rsid w:val="00DD0A5C"/>
    <w:rsid w:val="00DD0A75"/>
    <w:rsid w:val="00DD0AD6"/>
    <w:rsid w:val="00DD0B66"/>
    <w:rsid w:val="00DD0C10"/>
    <w:rsid w:val="00DD0D83"/>
    <w:rsid w:val="00DD0E0B"/>
    <w:rsid w:val="00DD0E47"/>
    <w:rsid w:val="00DD0E4D"/>
    <w:rsid w:val="00DD0E6D"/>
    <w:rsid w:val="00DD0E89"/>
    <w:rsid w:val="00DD0E9A"/>
    <w:rsid w:val="00DD160F"/>
    <w:rsid w:val="00DD161E"/>
    <w:rsid w:val="00DD1671"/>
    <w:rsid w:val="00DD1675"/>
    <w:rsid w:val="00DD184C"/>
    <w:rsid w:val="00DD1902"/>
    <w:rsid w:val="00DD19DC"/>
    <w:rsid w:val="00DD1A9E"/>
    <w:rsid w:val="00DD1B3D"/>
    <w:rsid w:val="00DD1B4B"/>
    <w:rsid w:val="00DD1FA5"/>
    <w:rsid w:val="00DD2265"/>
    <w:rsid w:val="00DD2379"/>
    <w:rsid w:val="00DD244F"/>
    <w:rsid w:val="00DD2704"/>
    <w:rsid w:val="00DD275C"/>
    <w:rsid w:val="00DD27C0"/>
    <w:rsid w:val="00DD2AAD"/>
    <w:rsid w:val="00DD2AD8"/>
    <w:rsid w:val="00DD2B0D"/>
    <w:rsid w:val="00DD2BB7"/>
    <w:rsid w:val="00DD2C86"/>
    <w:rsid w:val="00DD2D0A"/>
    <w:rsid w:val="00DD2FCA"/>
    <w:rsid w:val="00DD3028"/>
    <w:rsid w:val="00DD3208"/>
    <w:rsid w:val="00DD321B"/>
    <w:rsid w:val="00DD34CB"/>
    <w:rsid w:val="00DD3707"/>
    <w:rsid w:val="00DD377D"/>
    <w:rsid w:val="00DD385A"/>
    <w:rsid w:val="00DD396B"/>
    <w:rsid w:val="00DD3C06"/>
    <w:rsid w:val="00DD3E52"/>
    <w:rsid w:val="00DD4108"/>
    <w:rsid w:val="00DD4111"/>
    <w:rsid w:val="00DD433F"/>
    <w:rsid w:val="00DD4417"/>
    <w:rsid w:val="00DD45DA"/>
    <w:rsid w:val="00DD480C"/>
    <w:rsid w:val="00DD4886"/>
    <w:rsid w:val="00DD4D6C"/>
    <w:rsid w:val="00DD4E38"/>
    <w:rsid w:val="00DD4ED8"/>
    <w:rsid w:val="00DD4FE7"/>
    <w:rsid w:val="00DD50F3"/>
    <w:rsid w:val="00DD512F"/>
    <w:rsid w:val="00DD52EF"/>
    <w:rsid w:val="00DD564C"/>
    <w:rsid w:val="00DD5A48"/>
    <w:rsid w:val="00DD5BC5"/>
    <w:rsid w:val="00DD5E0D"/>
    <w:rsid w:val="00DD5FAA"/>
    <w:rsid w:val="00DD600B"/>
    <w:rsid w:val="00DD6100"/>
    <w:rsid w:val="00DD6324"/>
    <w:rsid w:val="00DD6329"/>
    <w:rsid w:val="00DD632C"/>
    <w:rsid w:val="00DD6347"/>
    <w:rsid w:val="00DD63EF"/>
    <w:rsid w:val="00DD6466"/>
    <w:rsid w:val="00DD65A7"/>
    <w:rsid w:val="00DD676E"/>
    <w:rsid w:val="00DD68EA"/>
    <w:rsid w:val="00DD69CF"/>
    <w:rsid w:val="00DD6B6C"/>
    <w:rsid w:val="00DD6C10"/>
    <w:rsid w:val="00DD6DA8"/>
    <w:rsid w:val="00DD6E3E"/>
    <w:rsid w:val="00DD6E7F"/>
    <w:rsid w:val="00DD6F44"/>
    <w:rsid w:val="00DD70C5"/>
    <w:rsid w:val="00DD7153"/>
    <w:rsid w:val="00DD71CF"/>
    <w:rsid w:val="00DD729A"/>
    <w:rsid w:val="00DD7504"/>
    <w:rsid w:val="00DD75F9"/>
    <w:rsid w:val="00DD77CA"/>
    <w:rsid w:val="00DD7894"/>
    <w:rsid w:val="00DD7A30"/>
    <w:rsid w:val="00DD7A85"/>
    <w:rsid w:val="00DD7A88"/>
    <w:rsid w:val="00DD7C2E"/>
    <w:rsid w:val="00DD7DFB"/>
    <w:rsid w:val="00DD7F79"/>
    <w:rsid w:val="00DE020E"/>
    <w:rsid w:val="00DE021E"/>
    <w:rsid w:val="00DE02DB"/>
    <w:rsid w:val="00DE0357"/>
    <w:rsid w:val="00DE0583"/>
    <w:rsid w:val="00DE06A5"/>
    <w:rsid w:val="00DE06FF"/>
    <w:rsid w:val="00DE090F"/>
    <w:rsid w:val="00DE0910"/>
    <w:rsid w:val="00DE098F"/>
    <w:rsid w:val="00DE0A02"/>
    <w:rsid w:val="00DE0A66"/>
    <w:rsid w:val="00DE0A9C"/>
    <w:rsid w:val="00DE0D02"/>
    <w:rsid w:val="00DE0F07"/>
    <w:rsid w:val="00DE0F7B"/>
    <w:rsid w:val="00DE0F9F"/>
    <w:rsid w:val="00DE1279"/>
    <w:rsid w:val="00DE128E"/>
    <w:rsid w:val="00DE14CC"/>
    <w:rsid w:val="00DE1821"/>
    <w:rsid w:val="00DE182D"/>
    <w:rsid w:val="00DE19EE"/>
    <w:rsid w:val="00DE1AD0"/>
    <w:rsid w:val="00DE1AFE"/>
    <w:rsid w:val="00DE1B67"/>
    <w:rsid w:val="00DE1F5C"/>
    <w:rsid w:val="00DE20DF"/>
    <w:rsid w:val="00DE21AD"/>
    <w:rsid w:val="00DE2272"/>
    <w:rsid w:val="00DE2280"/>
    <w:rsid w:val="00DE231C"/>
    <w:rsid w:val="00DE28D4"/>
    <w:rsid w:val="00DE293D"/>
    <w:rsid w:val="00DE297D"/>
    <w:rsid w:val="00DE29BD"/>
    <w:rsid w:val="00DE29C5"/>
    <w:rsid w:val="00DE2D0F"/>
    <w:rsid w:val="00DE2DC5"/>
    <w:rsid w:val="00DE30A8"/>
    <w:rsid w:val="00DE31E0"/>
    <w:rsid w:val="00DE31F3"/>
    <w:rsid w:val="00DE345D"/>
    <w:rsid w:val="00DE3626"/>
    <w:rsid w:val="00DE3746"/>
    <w:rsid w:val="00DE3777"/>
    <w:rsid w:val="00DE37A7"/>
    <w:rsid w:val="00DE37CE"/>
    <w:rsid w:val="00DE3986"/>
    <w:rsid w:val="00DE39EA"/>
    <w:rsid w:val="00DE3A37"/>
    <w:rsid w:val="00DE3AF9"/>
    <w:rsid w:val="00DE3D37"/>
    <w:rsid w:val="00DE3ED5"/>
    <w:rsid w:val="00DE40F2"/>
    <w:rsid w:val="00DE4248"/>
    <w:rsid w:val="00DE42B5"/>
    <w:rsid w:val="00DE433C"/>
    <w:rsid w:val="00DE4360"/>
    <w:rsid w:val="00DE4493"/>
    <w:rsid w:val="00DE455C"/>
    <w:rsid w:val="00DE4703"/>
    <w:rsid w:val="00DE4763"/>
    <w:rsid w:val="00DE4837"/>
    <w:rsid w:val="00DE4AFF"/>
    <w:rsid w:val="00DE4BC3"/>
    <w:rsid w:val="00DE4E53"/>
    <w:rsid w:val="00DE4E6C"/>
    <w:rsid w:val="00DE4FD7"/>
    <w:rsid w:val="00DE50AC"/>
    <w:rsid w:val="00DE5161"/>
    <w:rsid w:val="00DE51DE"/>
    <w:rsid w:val="00DE558F"/>
    <w:rsid w:val="00DE5619"/>
    <w:rsid w:val="00DE590F"/>
    <w:rsid w:val="00DE594C"/>
    <w:rsid w:val="00DE5AB4"/>
    <w:rsid w:val="00DE5D34"/>
    <w:rsid w:val="00DE6046"/>
    <w:rsid w:val="00DE616F"/>
    <w:rsid w:val="00DE62D3"/>
    <w:rsid w:val="00DE63D5"/>
    <w:rsid w:val="00DE64DD"/>
    <w:rsid w:val="00DE686F"/>
    <w:rsid w:val="00DE697F"/>
    <w:rsid w:val="00DE6B36"/>
    <w:rsid w:val="00DE6B65"/>
    <w:rsid w:val="00DE7002"/>
    <w:rsid w:val="00DE7198"/>
    <w:rsid w:val="00DE71AB"/>
    <w:rsid w:val="00DE7291"/>
    <w:rsid w:val="00DE72B9"/>
    <w:rsid w:val="00DE7374"/>
    <w:rsid w:val="00DE746E"/>
    <w:rsid w:val="00DE77FB"/>
    <w:rsid w:val="00DE7876"/>
    <w:rsid w:val="00DE7B68"/>
    <w:rsid w:val="00DE7CE9"/>
    <w:rsid w:val="00DE7D91"/>
    <w:rsid w:val="00DE7DCC"/>
    <w:rsid w:val="00DE7F00"/>
    <w:rsid w:val="00DE7F23"/>
    <w:rsid w:val="00DF0120"/>
    <w:rsid w:val="00DF025E"/>
    <w:rsid w:val="00DF067B"/>
    <w:rsid w:val="00DF06E5"/>
    <w:rsid w:val="00DF07D0"/>
    <w:rsid w:val="00DF0893"/>
    <w:rsid w:val="00DF09A7"/>
    <w:rsid w:val="00DF0A71"/>
    <w:rsid w:val="00DF0A88"/>
    <w:rsid w:val="00DF0AE1"/>
    <w:rsid w:val="00DF0D02"/>
    <w:rsid w:val="00DF0E72"/>
    <w:rsid w:val="00DF0EE3"/>
    <w:rsid w:val="00DF0F17"/>
    <w:rsid w:val="00DF0FD9"/>
    <w:rsid w:val="00DF101E"/>
    <w:rsid w:val="00DF1023"/>
    <w:rsid w:val="00DF10FC"/>
    <w:rsid w:val="00DF15BF"/>
    <w:rsid w:val="00DF15EF"/>
    <w:rsid w:val="00DF169C"/>
    <w:rsid w:val="00DF16F9"/>
    <w:rsid w:val="00DF1967"/>
    <w:rsid w:val="00DF19AF"/>
    <w:rsid w:val="00DF1B1A"/>
    <w:rsid w:val="00DF1DB5"/>
    <w:rsid w:val="00DF1E0A"/>
    <w:rsid w:val="00DF1E2C"/>
    <w:rsid w:val="00DF1EC3"/>
    <w:rsid w:val="00DF1EF6"/>
    <w:rsid w:val="00DF1F5A"/>
    <w:rsid w:val="00DF20CE"/>
    <w:rsid w:val="00DF2173"/>
    <w:rsid w:val="00DF2181"/>
    <w:rsid w:val="00DF2515"/>
    <w:rsid w:val="00DF299D"/>
    <w:rsid w:val="00DF29F3"/>
    <w:rsid w:val="00DF2A99"/>
    <w:rsid w:val="00DF2AFD"/>
    <w:rsid w:val="00DF2BB1"/>
    <w:rsid w:val="00DF2CC2"/>
    <w:rsid w:val="00DF2FCE"/>
    <w:rsid w:val="00DF33AB"/>
    <w:rsid w:val="00DF364C"/>
    <w:rsid w:val="00DF3694"/>
    <w:rsid w:val="00DF38A8"/>
    <w:rsid w:val="00DF3948"/>
    <w:rsid w:val="00DF3A2C"/>
    <w:rsid w:val="00DF3CFF"/>
    <w:rsid w:val="00DF3D9E"/>
    <w:rsid w:val="00DF3DF5"/>
    <w:rsid w:val="00DF3EBA"/>
    <w:rsid w:val="00DF3F6D"/>
    <w:rsid w:val="00DF40FC"/>
    <w:rsid w:val="00DF4336"/>
    <w:rsid w:val="00DF43F2"/>
    <w:rsid w:val="00DF443B"/>
    <w:rsid w:val="00DF4577"/>
    <w:rsid w:val="00DF45F6"/>
    <w:rsid w:val="00DF4734"/>
    <w:rsid w:val="00DF4876"/>
    <w:rsid w:val="00DF4889"/>
    <w:rsid w:val="00DF49F0"/>
    <w:rsid w:val="00DF4AE3"/>
    <w:rsid w:val="00DF4B09"/>
    <w:rsid w:val="00DF4CBE"/>
    <w:rsid w:val="00DF4D63"/>
    <w:rsid w:val="00DF4F85"/>
    <w:rsid w:val="00DF529C"/>
    <w:rsid w:val="00DF5493"/>
    <w:rsid w:val="00DF5704"/>
    <w:rsid w:val="00DF57A1"/>
    <w:rsid w:val="00DF5815"/>
    <w:rsid w:val="00DF586D"/>
    <w:rsid w:val="00DF5B4F"/>
    <w:rsid w:val="00DF5B74"/>
    <w:rsid w:val="00DF5BD5"/>
    <w:rsid w:val="00DF5C20"/>
    <w:rsid w:val="00DF5CDE"/>
    <w:rsid w:val="00DF5D3B"/>
    <w:rsid w:val="00DF5D8A"/>
    <w:rsid w:val="00DF5DD1"/>
    <w:rsid w:val="00DF5DE8"/>
    <w:rsid w:val="00DF5E1E"/>
    <w:rsid w:val="00DF5EE9"/>
    <w:rsid w:val="00DF5F3A"/>
    <w:rsid w:val="00DF5F98"/>
    <w:rsid w:val="00DF60CC"/>
    <w:rsid w:val="00DF620D"/>
    <w:rsid w:val="00DF6491"/>
    <w:rsid w:val="00DF64ED"/>
    <w:rsid w:val="00DF678A"/>
    <w:rsid w:val="00DF6826"/>
    <w:rsid w:val="00DF685E"/>
    <w:rsid w:val="00DF689C"/>
    <w:rsid w:val="00DF69AD"/>
    <w:rsid w:val="00DF69EA"/>
    <w:rsid w:val="00DF6C08"/>
    <w:rsid w:val="00DF6CA1"/>
    <w:rsid w:val="00DF6CD0"/>
    <w:rsid w:val="00DF6E55"/>
    <w:rsid w:val="00DF6E6D"/>
    <w:rsid w:val="00DF71A1"/>
    <w:rsid w:val="00DF7349"/>
    <w:rsid w:val="00DF7394"/>
    <w:rsid w:val="00DF742B"/>
    <w:rsid w:val="00DF743E"/>
    <w:rsid w:val="00DF7476"/>
    <w:rsid w:val="00DF74E9"/>
    <w:rsid w:val="00DF779D"/>
    <w:rsid w:val="00DF7A72"/>
    <w:rsid w:val="00DF7BAA"/>
    <w:rsid w:val="00DF7C38"/>
    <w:rsid w:val="00DF7DEE"/>
    <w:rsid w:val="00E00066"/>
    <w:rsid w:val="00E001B3"/>
    <w:rsid w:val="00E002E8"/>
    <w:rsid w:val="00E00405"/>
    <w:rsid w:val="00E00457"/>
    <w:rsid w:val="00E004C3"/>
    <w:rsid w:val="00E00987"/>
    <w:rsid w:val="00E009AF"/>
    <w:rsid w:val="00E00B64"/>
    <w:rsid w:val="00E00F5D"/>
    <w:rsid w:val="00E01321"/>
    <w:rsid w:val="00E01423"/>
    <w:rsid w:val="00E0168E"/>
    <w:rsid w:val="00E0169B"/>
    <w:rsid w:val="00E01775"/>
    <w:rsid w:val="00E017D0"/>
    <w:rsid w:val="00E0195A"/>
    <w:rsid w:val="00E019E3"/>
    <w:rsid w:val="00E01A1C"/>
    <w:rsid w:val="00E01B2A"/>
    <w:rsid w:val="00E01B8E"/>
    <w:rsid w:val="00E01CE5"/>
    <w:rsid w:val="00E01EA1"/>
    <w:rsid w:val="00E01EB5"/>
    <w:rsid w:val="00E01F0B"/>
    <w:rsid w:val="00E02197"/>
    <w:rsid w:val="00E023BD"/>
    <w:rsid w:val="00E02541"/>
    <w:rsid w:val="00E0285E"/>
    <w:rsid w:val="00E02936"/>
    <w:rsid w:val="00E0294D"/>
    <w:rsid w:val="00E029EC"/>
    <w:rsid w:val="00E02C42"/>
    <w:rsid w:val="00E02E9E"/>
    <w:rsid w:val="00E02FA5"/>
    <w:rsid w:val="00E0309D"/>
    <w:rsid w:val="00E031BE"/>
    <w:rsid w:val="00E031ED"/>
    <w:rsid w:val="00E03520"/>
    <w:rsid w:val="00E03551"/>
    <w:rsid w:val="00E036AD"/>
    <w:rsid w:val="00E036CA"/>
    <w:rsid w:val="00E03841"/>
    <w:rsid w:val="00E038D8"/>
    <w:rsid w:val="00E03953"/>
    <w:rsid w:val="00E039CD"/>
    <w:rsid w:val="00E03A05"/>
    <w:rsid w:val="00E03B3A"/>
    <w:rsid w:val="00E03BD2"/>
    <w:rsid w:val="00E03C0D"/>
    <w:rsid w:val="00E03C12"/>
    <w:rsid w:val="00E03C2A"/>
    <w:rsid w:val="00E03E7A"/>
    <w:rsid w:val="00E03EE1"/>
    <w:rsid w:val="00E03FB2"/>
    <w:rsid w:val="00E04102"/>
    <w:rsid w:val="00E041A6"/>
    <w:rsid w:val="00E041B4"/>
    <w:rsid w:val="00E043C6"/>
    <w:rsid w:val="00E043CC"/>
    <w:rsid w:val="00E0444D"/>
    <w:rsid w:val="00E045C8"/>
    <w:rsid w:val="00E0461E"/>
    <w:rsid w:val="00E04736"/>
    <w:rsid w:val="00E047FC"/>
    <w:rsid w:val="00E048C2"/>
    <w:rsid w:val="00E0493A"/>
    <w:rsid w:val="00E0495D"/>
    <w:rsid w:val="00E04BFE"/>
    <w:rsid w:val="00E04CF9"/>
    <w:rsid w:val="00E04E37"/>
    <w:rsid w:val="00E04EBA"/>
    <w:rsid w:val="00E04F1E"/>
    <w:rsid w:val="00E05122"/>
    <w:rsid w:val="00E0525F"/>
    <w:rsid w:val="00E052F8"/>
    <w:rsid w:val="00E0549F"/>
    <w:rsid w:val="00E056FC"/>
    <w:rsid w:val="00E05720"/>
    <w:rsid w:val="00E05755"/>
    <w:rsid w:val="00E0582F"/>
    <w:rsid w:val="00E0584C"/>
    <w:rsid w:val="00E0597F"/>
    <w:rsid w:val="00E05A6B"/>
    <w:rsid w:val="00E05A9C"/>
    <w:rsid w:val="00E05B6E"/>
    <w:rsid w:val="00E0608A"/>
    <w:rsid w:val="00E061AC"/>
    <w:rsid w:val="00E06447"/>
    <w:rsid w:val="00E0656A"/>
    <w:rsid w:val="00E065DE"/>
    <w:rsid w:val="00E0680E"/>
    <w:rsid w:val="00E06884"/>
    <w:rsid w:val="00E06891"/>
    <w:rsid w:val="00E06A8D"/>
    <w:rsid w:val="00E06B2F"/>
    <w:rsid w:val="00E06BA8"/>
    <w:rsid w:val="00E06C6B"/>
    <w:rsid w:val="00E06EE4"/>
    <w:rsid w:val="00E06F01"/>
    <w:rsid w:val="00E06F1A"/>
    <w:rsid w:val="00E06FFA"/>
    <w:rsid w:val="00E07008"/>
    <w:rsid w:val="00E070DC"/>
    <w:rsid w:val="00E07238"/>
    <w:rsid w:val="00E07340"/>
    <w:rsid w:val="00E07352"/>
    <w:rsid w:val="00E07665"/>
    <w:rsid w:val="00E076C2"/>
    <w:rsid w:val="00E078F4"/>
    <w:rsid w:val="00E079C6"/>
    <w:rsid w:val="00E07AED"/>
    <w:rsid w:val="00E07BF3"/>
    <w:rsid w:val="00E10046"/>
    <w:rsid w:val="00E10295"/>
    <w:rsid w:val="00E1040A"/>
    <w:rsid w:val="00E1048A"/>
    <w:rsid w:val="00E1074C"/>
    <w:rsid w:val="00E10798"/>
    <w:rsid w:val="00E107BD"/>
    <w:rsid w:val="00E1085C"/>
    <w:rsid w:val="00E1087A"/>
    <w:rsid w:val="00E1090D"/>
    <w:rsid w:val="00E10BDB"/>
    <w:rsid w:val="00E10D0C"/>
    <w:rsid w:val="00E10DA2"/>
    <w:rsid w:val="00E10DCA"/>
    <w:rsid w:val="00E10EA1"/>
    <w:rsid w:val="00E110AB"/>
    <w:rsid w:val="00E112B9"/>
    <w:rsid w:val="00E117D6"/>
    <w:rsid w:val="00E11864"/>
    <w:rsid w:val="00E11A18"/>
    <w:rsid w:val="00E11AF8"/>
    <w:rsid w:val="00E11D35"/>
    <w:rsid w:val="00E11DEF"/>
    <w:rsid w:val="00E12107"/>
    <w:rsid w:val="00E1210D"/>
    <w:rsid w:val="00E12423"/>
    <w:rsid w:val="00E12438"/>
    <w:rsid w:val="00E12516"/>
    <w:rsid w:val="00E125D6"/>
    <w:rsid w:val="00E1283B"/>
    <w:rsid w:val="00E12942"/>
    <w:rsid w:val="00E12C55"/>
    <w:rsid w:val="00E12C8F"/>
    <w:rsid w:val="00E12ED6"/>
    <w:rsid w:val="00E12F89"/>
    <w:rsid w:val="00E13045"/>
    <w:rsid w:val="00E13063"/>
    <w:rsid w:val="00E13226"/>
    <w:rsid w:val="00E13446"/>
    <w:rsid w:val="00E134A2"/>
    <w:rsid w:val="00E13837"/>
    <w:rsid w:val="00E138A2"/>
    <w:rsid w:val="00E13A08"/>
    <w:rsid w:val="00E13D13"/>
    <w:rsid w:val="00E13E85"/>
    <w:rsid w:val="00E13EB0"/>
    <w:rsid w:val="00E13FC2"/>
    <w:rsid w:val="00E1403D"/>
    <w:rsid w:val="00E142D1"/>
    <w:rsid w:val="00E143A2"/>
    <w:rsid w:val="00E1469B"/>
    <w:rsid w:val="00E14815"/>
    <w:rsid w:val="00E149CA"/>
    <w:rsid w:val="00E14A63"/>
    <w:rsid w:val="00E14B2E"/>
    <w:rsid w:val="00E14CCC"/>
    <w:rsid w:val="00E14CF8"/>
    <w:rsid w:val="00E14D23"/>
    <w:rsid w:val="00E14D37"/>
    <w:rsid w:val="00E14E5B"/>
    <w:rsid w:val="00E1510B"/>
    <w:rsid w:val="00E15464"/>
    <w:rsid w:val="00E154FC"/>
    <w:rsid w:val="00E1556B"/>
    <w:rsid w:val="00E156B1"/>
    <w:rsid w:val="00E15794"/>
    <w:rsid w:val="00E158F9"/>
    <w:rsid w:val="00E15A39"/>
    <w:rsid w:val="00E15B09"/>
    <w:rsid w:val="00E15B77"/>
    <w:rsid w:val="00E160D2"/>
    <w:rsid w:val="00E16138"/>
    <w:rsid w:val="00E16330"/>
    <w:rsid w:val="00E163CE"/>
    <w:rsid w:val="00E1654D"/>
    <w:rsid w:val="00E16667"/>
    <w:rsid w:val="00E16671"/>
    <w:rsid w:val="00E168D1"/>
    <w:rsid w:val="00E16B4B"/>
    <w:rsid w:val="00E16EBB"/>
    <w:rsid w:val="00E16EDB"/>
    <w:rsid w:val="00E16FD7"/>
    <w:rsid w:val="00E17027"/>
    <w:rsid w:val="00E17281"/>
    <w:rsid w:val="00E174D2"/>
    <w:rsid w:val="00E1760A"/>
    <w:rsid w:val="00E17625"/>
    <w:rsid w:val="00E176F7"/>
    <w:rsid w:val="00E1771D"/>
    <w:rsid w:val="00E17D0D"/>
    <w:rsid w:val="00E17F83"/>
    <w:rsid w:val="00E17FDD"/>
    <w:rsid w:val="00E201F5"/>
    <w:rsid w:val="00E20224"/>
    <w:rsid w:val="00E20249"/>
    <w:rsid w:val="00E2094E"/>
    <w:rsid w:val="00E209E2"/>
    <w:rsid w:val="00E20C50"/>
    <w:rsid w:val="00E20F76"/>
    <w:rsid w:val="00E21030"/>
    <w:rsid w:val="00E210AB"/>
    <w:rsid w:val="00E211AE"/>
    <w:rsid w:val="00E215DA"/>
    <w:rsid w:val="00E216E2"/>
    <w:rsid w:val="00E21823"/>
    <w:rsid w:val="00E21979"/>
    <w:rsid w:val="00E21A6B"/>
    <w:rsid w:val="00E21B3B"/>
    <w:rsid w:val="00E21C2A"/>
    <w:rsid w:val="00E21CF2"/>
    <w:rsid w:val="00E22452"/>
    <w:rsid w:val="00E229BC"/>
    <w:rsid w:val="00E22B24"/>
    <w:rsid w:val="00E22C20"/>
    <w:rsid w:val="00E22CF5"/>
    <w:rsid w:val="00E22D2B"/>
    <w:rsid w:val="00E22DB1"/>
    <w:rsid w:val="00E22F7E"/>
    <w:rsid w:val="00E22FB0"/>
    <w:rsid w:val="00E22FB8"/>
    <w:rsid w:val="00E233AF"/>
    <w:rsid w:val="00E2347B"/>
    <w:rsid w:val="00E23566"/>
    <w:rsid w:val="00E238B3"/>
    <w:rsid w:val="00E239BB"/>
    <w:rsid w:val="00E23A11"/>
    <w:rsid w:val="00E23AA2"/>
    <w:rsid w:val="00E23B62"/>
    <w:rsid w:val="00E23B89"/>
    <w:rsid w:val="00E23BD1"/>
    <w:rsid w:val="00E23FD4"/>
    <w:rsid w:val="00E240E6"/>
    <w:rsid w:val="00E242DF"/>
    <w:rsid w:val="00E24340"/>
    <w:rsid w:val="00E246BB"/>
    <w:rsid w:val="00E24ADD"/>
    <w:rsid w:val="00E24E92"/>
    <w:rsid w:val="00E24F4D"/>
    <w:rsid w:val="00E24FD8"/>
    <w:rsid w:val="00E2528E"/>
    <w:rsid w:val="00E254B3"/>
    <w:rsid w:val="00E25663"/>
    <w:rsid w:val="00E257C9"/>
    <w:rsid w:val="00E257E2"/>
    <w:rsid w:val="00E258C8"/>
    <w:rsid w:val="00E25B1B"/>
    <w:rsid w:val="00E25BB5"/>
    <w:rsid w:val="00E25D3C"/>
    <w:rsid w:val="00E25F6B"/>
    <w:rsid w:val="00E2605D"/>
    <w:rsid w:val="00E26084"/>
    <w:rsid w:val="00E26342"/>
    <w:rsid w:val="00E26717"/>
    <w:rsid w:val="00E26726"/>
    <w:rsid w:val="00E268BC"/>
    <w:rsid w:val="00E26AC9"/>
    <w:rsid w:val="00E26CAE"/>
    <w:rsid w:val="00E26CC8"/>
    <w:rsid w:val="00E26DB1"/>
    <w:rsid w:val="00E271A1"/>
    <w:rsid w:val="00E27207"/>
    <w:rsid w:val="00E27483"/>
    <w:rsid w:val="00E27627"/>
    <w:rsid w:val="00E278A4"/>
    <w:rsid w:val="00E27B07"/>
    <w:rsid w:val="00E27B6E"/>
    <w:rsid w:val="00E27CBF"/>
    <w:rsid w:val="00E27D3F"/>
    <w:rsid w:val="00E27D76"/>
    <w:rsid w:val="00E27F3D"/>
    <w:rsid w:val="00E30087"/>
    <w:rsid w:val="00E30155"/>
    <w:rsid w:val="00E301D8"/>
    <w:rsid w:val="00E30216"/>
    <w:rsid w:val="00E30382"/>
    <w:rsid w:val="00E3046A"/>
    <w:rsid w:val="00E3047C"/>
    <w:rsid w:val="00E30515"/>
    <w:rsid w:val="00E30556"/>
    <w:rsid w:val="00E305B5"/>
    <w:rsid w:val="00E3064C"/>
    <w:rsid w:val="00E306C3"/>
    <w:rsid w:val="00E308FA"/>
    <w:rsid w:val="00E30A0A"/>
    <w:rsid w:val="00E30BE3"/>
    <w:rsid w:val="00E30C35"/>
    <w:rsid w:val="00E30D0E"/>
    <w:rsid w:val="00E30DF6"/>
    <w:rsid w:val="00E3106B"/>
    <w:rsid w:val="00E310E8"/>
    <w:rsid w:val="00E31419"/>
    <w:rsid w:val="00E31472"/>
    <w:rsid w:val="00E314E4"/>
    <w:rsid w:val="00E315B3"/>
    <w:rsid w:val="00E31988"/>
    <w:rsid w:val="00E3198F"/>
    <w:rsid w:val="00E319BA"/>
    <w:rsid w:val="00E31BC3"/>
    <w:rsid w:val="00E31D99"/>
    <w:rsid w:val="00E31ECA"/>
    <w:rsid w:val="00E320E3"/>
    <w:rsid w:val="00E3229A"/>
    <w:rsid w:val="00E322A6"/>
    <w:rsid w:val="00E3242B"/>
    <w:rsid w:val="00E3242F"/>
    <w:rsid w:val="00E32623"/>
    <w:rsid w:val="00E32670"/>
    <w:rsid w:val="00E3268A"/>
    <w:rsid w:val="00E3286F"/>
    <w:rsid w:val="00E3298C"/>
    <w:rsid w:val="00E329E4"/>
    <w:rsid w:val="00E32D0D"/>
    <w:rsid w:val="00E32E6A"/>
    <w:rsid w:val="00E32F67"/>
    <w:rsid w:val="00E330D4"/>
    <w:rsid w:val="00E330ED"/>
    <w:rsid w:val="00E33106"/>
    <w:rsid w:val="00E33287"/>
    <w:rsid w:val="00E33434"/>
    <w:rsid w:val="00E33581"/>
    <w:rsid w:val="00E3369C"/>
    <w:rsid w:val="00E33860"/>
    <w:rsid w:val="00E33884"/>
    <w:rsid w:val="00E338B7"/>
    <w:rsid w:val="00E33977"/>
    <w:rsid w:val="00E33BB8"/>
    <w:rsid w:val="00E33C63"/>
    <w:rsid w:val="00E33D7A"/>
    <w:rsid w:val="00E33E67"/>
    <w:rsid w:val="00E33E9F"/>
    <w:rsid w:val="00E3410F"/>
    <w:rsid w:val="00E34415"/>
    <w:rsid w:val="00E344B3"/>
    <w:rsid w:val="00E344CA"/>
    <w:rsid w:val="00E345E2"/>
    <w:rsid w:val="00E34644"/>
    <w:rsid w:val="00E348D6"/>
    <w:rsid w:val="00E34924"/>
    <w:rsid w:val="00E3492B"/>
    <w:rsid w:val="00E3498B"/>
    <w:rsid w:val="00E349D5"/>
    <w:rsid w:val="00E349FD"/>
    <w:rsid w:val="00E34CE9"/>
    <w:rsid w:val="00E34D68"/>
    <w:rsid w:val="00E34DE3"/>
    <w:rsid w:val="00E34E08"/>
    <w:rsid w:val="00E3510A"/>
    <w:rsid w:val="00E3523E"/>
    <w:rsid w:val="00E352AC"/>
    <w:rsid w:val="00E35639"/>
    <w:rsid w:val="00E356EA"/>
    <w:rsid w:val="00E357AE"/>
    <w:rsid w:val="00E3581C"/>
    <w:rsid w:val="00E358B1"/>
    <w:rsid w:val="00E35A52"/>
    <w:rsid w:val="00E35B43"/>
    <w:rsid w:val="00E35C57"/>
    <w:rsid w:val="00E35C63"/>
    <w:rsid w:val="00E35EB9"/>
    <w:rsid w:val="00E360D9"/>
    <w:rsid w:val="00E3622C"/>
    <w:rsid w:val="00E36235"/>
    <w:rsid w:val="00E36318"/>
    <w:rsid w:val="00E3633F"/>
    <w:rsid w:val="00E36481"/>
    <w:rsid w:val="00E36573"/>
    <w:rsid w:val="00E3663A"/>
    <w:rsid w:val="00E3665D"/>
    <w:rsid w:val="00E3681D"/>
    <w:rsid w:val="00E36899"/>
    <w:rsid w:val="00E36A60"/>
    <w:rsid w:val="00E36B2F"/>
    <w:rsid w:val="00E36BE9"/>
    <w:rsid w:val="00E36C4D"/>
    <w:rsid w:val="00E36F04"/>
    <w:rsid w:val="00E370B9"/>
    <w:rsid w:val="00E37127"/>
    <w:rsid w:val="00E37270"/>
    <w:rsid w:val="00E37511"/>
    <w:rsid w:val="00E3756E"/>
    <w:rsid w:val="00E37634"/>
    <w:rsid w:val="00E3767A"/>
    <w:rsid w:val="00E3770F"/>
    <w:rsid w:val="00E377D5"/>
    <w:rsid w:val="00E379A5"/>
    <w:rsid w:val="00E37D01"/>
    <w:rsid w:val="00E37DDC"/>
    <w:rsid w:val="00E40043"/>
    <w:rsid w:val="00E40051"/>
    <w:rsid w:val="00E4009D"/>
    <w:rsid w:val="00E40484"/>
    <w:rsid w:val="00E4064E"/>
    <w:rsid w:val="00E407B4"/>
    <w:rsid w:val="00E407C8"/>
    <w:rsid w:val="00E409B7"/>
    <w:rsid w:val="00E40AAD"/>
    <w:rsid w:val="00E40BD1"/>
    <w:rsid w:val="00E40BE9"/>
    <w:rsid w:val="00E40E49"/>
    <w:rsid w:val="00E40F21"/>
    <w:rsid w:val="00E40FBC"/>
    <w:rsid w:val="00E412B4"/>
    <w:rsid w:val="00E413B6"/>
    <w:rsid w:val="00E413F3"/>
    <w:rsid w:val="00E414EB"/>
    <w:rsid w:val="00E4157C"/>
    <w:rsid w:val="00E415C5"/>
    <w:rsid w:val="00E416A6"/>
    <w:rsid w:val="00E416D5"/>
    <w:rsid w:val="00E419BB"/>
    <w:rsid w:val="00E41AA5"/>
    <w:rsid w:val="00E41B51"/>
    <w:rsid w:val="00E41D7E"/>
    <w:rsid w:val="00E41DF8"/>
    <w:rsid w:val="00E41FFD"/>
    <w:rsid w:val="00E42081"/>
    <w:rsid w:val="00E42118"/>
    <w:rsid w:val="00E42317"/>
    <w:rsid w:val="00E42966"/>
    <w:rsid w:val="00E429AA"/>
    <w:rsid w:val="00E42A0E"/>
    <w:rsid w:val="00E42A27"/>
    <w:rsid w:val="00E42ADC"/>
    <w:rsid w:val="00E42B19"/>
    <w:rsid w:val="00E4302C"/>
    <w:rsid w:val="00E43125"/>
    <w:rsid w:val="00E431C4"/>
    <w:rsid w:val="00E433D1"/>
    <w:rsid w:val="00E4340F"/>
    <w:rsid w:val="00E43599"/>
    <w:rsid w:val="00E43617"/>
    <w:rsid w:val="00E43757"/>
    <w:rsid w:val="00E438A4"/>
    <w:rsid w:val="00E4393B"/>
    <w:rsid w:val="00E43A9B"/>
    <w:rsid w:val="00E43AF1"/>
    <w:rsid w:val="00E43B1B"/>
    <w:rsid w:val="00E43C78"/>
    <w:rsid w:val="00E43E59"/>
    <w:rsid w:val="00E43F84"/>
    <w:rsid w:val="00E43FA8"/>
    <w:rsid w:val="00E4413F"/>
    <w:rsid w:val="00E44407"/>
    <w:rsid w:val="00E4465E"/>
    <w:rsid w:val="00E44745"/>
    <w:rsid w:val="00E447BB"/>
    <w:rsid w:val="00E447F3"/>
    <w:rsid w:val="00E44895"/>
    <w:rsid w:val="00E44D8C"/>
    <w:rsid w:val="00E45113"/>
    <w:rsid w:val="00E4512D"/>
    <w:rsid w:val="00E4526B"/>
    <w:rsid w:val="00E454A6"/>
    <w:rsid w:val="00E454DB"/>
    <w:rsid w:val="00E454E3"/>
    <w:rsid w:val="00E4556A"/>
    <w:rsid w:val="00E45729"/>
    <w:rsid w:val="00E45785"/>
    <w:rsid w:val="00E458C2"/>
    <w:rsid w:val="00E45A35"/>
    <w:rsid w:val="00E45A3C"/>
    <w:rsid w:val="00E45C0A"/>
    <w:rsid w:val="00E45DE8"/>
    <w:rsid w:val="00E45EC8"/>
    <w:rsid w:val="00E45F0C"/>
    <w:rsid w:val="00E46104"/>
    <w:rsid w:val="00E46285"/>
    <w:rsid w:val="00E4637A"/>
    <w:rsid w:val="00E46442"/>
    <w:rsid w:val="00E466D2"/>
    <w:rsid w:val="00E466FC"/>
    <w:rsid w:val="00E46798"/>
    <w:rsid w:val="00E467D9"/>
    <w:rsid w:val="00E467EF"/>
    <w:rsid w:val="00E4696B"/>
    <w:rsid w:val="00E469FB"/>
    <w:rsid w:val="00E46A77"/>
    <w:rsid w:val="00E46A9A"/>
    <w:rsid w:val="00E46D13"/>
    <w:rsid w:val="00E46D8E"/>
    <w:rsid w:val="00E46F4A"/>
    <w:rsid w:val="00E47002"/>
    <w:rsid w:val="00E4701A"/>
    <w:rsid w:val="00E472BF"/>
    <w:rsid w:val="00E473D5"/>
    <w:rsid w:val="00E473E1"/>
    <w:rsid w:val="00E47500"/>
    <w:rsid w:val="00E47560"/>
    <w:rsid w:val="00E475B1"/>
    <w:rsid w:val="00E4760E"/>
    <w:rsid w:val="00E478B5"/>
    <w:rsid w:val="00E47C8C"/>
    <w:rsid w:val="00E47CD8"/>
    <w:rsid w:val="00E47D65"/>
    <w:rsid w:val="00E47F20"/>
    <w:rsid w:val="00E47F79"/>
    <w:rsid w:val="00E500F3"/>
    <w:rsid w:val="00E50129"/>
    <w:rsid w:val="00E503E0"/>
    <w:rsid w:val="00E50402"/>
    <w:rsid w:val="00E504B9"/>
    <w:rsid w:val="00E505B7"/>
    <w:rsid w:val="00E5060D"/>
    <w:rsid w:val="00E506CD"/>
    <w:rsid w:val="00E507A5"/>
    <w:rsid w:val="00E507DE"/>
    <w:rsid w:val="00E50927"/>
    <w:rsid w:val="00E50984"/>
    <w:rsid w:val="00E509FD"/>
    <w:rsid w:val="00E50A73"/>
    <w:rsid w:val="00E50B90"/>
    <w:rsid w:val="00E50DBE"/>
    <w:rsid w:val="00E50F1A"/>
    <w:rsid w:val="00E5106E"/>
    <w:rsid w:val="00E5118D"/>
    <w:rsid w:val="00E51222"/>
    <w:rsid w:val="00E5147E"/>
    <w:rsid w:val="00E51598"/>
    <w:rsid w:val="00E515D1"/>
    <w:rsid w:val="00E516F7"/>
    <w:rsid w:val="00E5187D"/>
    <w:rsid w:val="00E51A82"/>
    <w:rsid w:val="00E51AF3"/>
    <w:rsid w:val="00E51C9C"/>
    <w:rsid w:val="00E51EAF"/>
    <w:rsid w:val="00E51FF5"/>
    <w:rsid w:val="00E5203B"/>
    <w:rsid w:val="00E520A5"/>
    <w:rsid w:val="00E5225D"/>
    <w:rsid w:val="00E522C8"/>
    <w:rsid w:val="00E523E3"/>
    <w:rsid w:val="00E526DB"/>
    <w:rsid w:val="00E527CB"/>
    <w:rsid w:val="00E52801"/>
    <w:rsid w:val="00E5296B"/>
    <w:rsid w:val="00E52A94"/>
    <w:rsid w:val="00E52B50"/>
    <w:rsid w:val="00E52C71"/>
    <w:rsid w:val="00E52D8E"/>
    <w:rsid w:val="00E52E0C"/>
    <w:rsid w:val="00E52FC0"/>
    <w:rsid w:val="00E530D4"/>
    <w:rsid w:val="00E530EE"/>
    <w:rsid w:val="00E5338B"/>
    <w:rsid w:val="00E533FD"/>
    <w:rsid w:val="00E5349E"/>
    <w:rsid w:val="00E53666"/>
    <w:rsid w:val="00E537E8"/>
    <w:rsid w:val="00E53805"/>
    <w:rsid w:val="00E53839"/>
    <w:rsid w:val="00E539EA"/>
    <w:rsid w:val="00E53AE2"/>
    <w:rsid w:val="00E53D04"/>
    <w:rsid w:val="00E53D4F"/>
    <w:rsid w:val="00E53DEA"/>
    <w:rsid w:val="00E53F86"/>
    <w:rsid w:val="00E54059"/>
    <w:rsid w:val="00E540BD"/>
    <w:rsid w:val="00E5411B"/>
    <w:rsid w:val="00E541CE"/>
    <w:rsid w:val="00E54536"/>
    <w:rsid w:val="00E5453E"/>
    <w:rsid w:val="00E547ED"/>
    <w:rsid w:val="00E5496A"/>
    <w:rsid w:val="00E5497B"/>
    <w:rsid w:val="00E549FE"/>
    <w:rsid w:val="00E54B8E"/>
    <w:rsid w:val="00E54BFA"/>
    <w:rsid w:val="00E54CF6"/>
    <w:rsid w:val="00E54F5C"/>
    <w:rsid w:val="00E5502D"/>
    <w:rsid w:val="00E55049"/>
    <w:rsid w:val="00E55313"/>
    <w:rsid w:val="00E55454"/>
    <w:rsid w:val="00E554FB"/>
    <w:rsid w:val="00E555CC"/>
    <w:rsid w:val="00E5568B"/>
    <w:rsid w:val="00E556AC"/>
    <w:rsid w:val="00E55724"/>
    <w:rsid w:val="00E5573B"/>
    <w:rsid w:val="00E558E4"/>
    <w:rsid w:val="00E55918"/>
    <w:rsid w:val="00E55919"/>
    <w:rsid w:val="00E55A0F"/>
    <w:rsid w:val="00E55A44"/>
    <w:rsid w:val="00E55B35"/>
    <w:rsid w:val="00E55CC6"/>
    <w:rsid w:val="00E55E1A"/>
    <w:rsid w:val="00E5604C"/>
    <w:rsid w:val="00E56147"/>
    <w:rsid w:val="00E561CC"/>
    <w:rsid w:val="00E5624B"/>
    <w:rsid w:val="00E562E1"/>
    <w:rsid w:val="00E5640E"/>
    <w:rsid w:val="00E5687E"/>
    <w:rsid w:val="00E56994"/>
    <w:rsid w:val="00E569C5"/>
    <w:rsid w:val="00E56A33"/>
    <w:rsid w:val="00E56D70"/>
    <w:rsid w:val="00E56DC1"/>
    <w:rsid w:val="00E56F6B"/>
    <w:rsid w:val="00E5703C"/>
    <w:rsid w:val="00E5722F"/>
    <w:rsid w:val="00E5736D"/>
    <w:rsid w:val="00E573C1"/>
    <w:rsid w:val="00E57476"/>
    <w:rsid w:val="00E574F8"/>
    <w:rsid w:val="00E57555"/>
    <w:rsid w:val="00E57704"/>
    <w:rsid w:val="00E57972"/>
    <w:rsid w:val="00E57A5D"/>
    <w:rsid w:val="00E57A8C"/>
    <w:rsid w:val="00E57B16"/>
    <w:rsid w:val="00E57B71"/>
    <w:rsid w:val="00E57CA0"/>
    <w:rsid w:val="00E57CC7"/>
    <w:rsid w:val="00E57D87"/>
    <w:rsid w:val="00E57DCF"/>
    <w:rsid w:val="00E57E8A"/>
    <w:rsid w:val="00E60048"/>
    <w:rsid w:val="00E605DD"/>
    <w:rsid w:val="00E60616"/>
    <w:rsid w:val="00E6061B"/>
    <w:rsid w:val="00E60641"/>
    <w:rsid w:val="00E6095A"/>
    <w:rsid w:val="00E60B8C"/>
    <w:rsid w:val="00E60D6A"/>
    <w:rsid w:val="00E60F03"/>
    <w:rsid w:val="00E60F55"/>
    <w:rsid w:val="00E60F88"/>
    <w:rsid w:val="00E610E0"/>
    <w:rsid w:val="00E61511"/>
    <w:rsid w:val="00E61724"/>
    <w:rsid w:val="00E61779"/>
    <w:rsid w:val="00E61844"/>
    <w:rsid w:val="00E6196D"/>
    <w:rsid w:val="00E61A5A"/>
    <w:rsid w:val="00E61CDE"/>
    <w:rsid w:val="00E61DB8"/>
    <w:rsid w:val="00E61F01"/>
    <w:rsid w:val="00E61F2D"/>
    <w:rsid w:val="00E61F3E"/>
    <w:rsid w:val="00E61FE4"/>
    <w:rsid w:val="00E6212D"/>
    <w:rsid w:val="00E6213E"/>
    <w:rsid w:val="00E6218C"/>
    <w:rsid w:val="00E62302"/>
    <w:rsid w:val="00E6233C"/>
    <w:rsid w:val="00E62464"/>
    <w:rsid w:val="00E625E9"/>
    <w:rsid w:val="00E62820"/>
    <w:rsid w:val="00E62A41"/>
    <w:rsid w:val="00E62D67"/>
    <w:rsid w:val="00E62D9A"/>
    <w:rsid w:val="00E62EAB"/>
    <w:rsid w:val="00E62ECD"/>
    <w:rsid w:val="00E62F73"/>
    <w:rsid w:val="00E63062"/>
    <w:rsid w:val="00E6308D"/>
    <w:rsid w:val="00E630FB"/>
    <w:rsid w:val="00E63175"/>
    <w:rsid w:val="00E63327"/>
    <w:rsid w:val="00E636AC"/>
    <w:rsid w:val="00E636CC"/>
    <w:rsid w:val="00E6375F"/>
    <w:rsid w:val="00E63860"/>
    <w:rsid w:val="00E6399F"/>
    <w:rsid w:val="00E63AC3"/>
    <w:rsid w:val="00E63AF0"/>
    <w:rsid w:val="00E63CB4"/>
    <w:rsid w:val="00E63D3D"/>
    <w:rsid w:val="00E645B1"/>
    <w:rsid w:val="00E646AE"/>
    <w:rsid w:val="00E64785"/>
    <w:rsid w:val="00E649BA"/>
    <w:rsid w:val="00E64AD4"/>
    <w:rsid w:val="00E64B47"/>
    <w:rsid w:val="00E64BBD"/>
    <w:rsid w:val="00E64C8E"/>
    <w:rsid w:val="00E64DBE"/>
    <w:rsid w:val="00E64E90"/>
    <w:rsid w:val="00E64F30"/>
    <w:rsid w:val="00E65093"/>
    <w:rsid w:val="00E65121"/>
    <w:rsid w:val="00E6512E"/>
    <w:rsid w:val="00E65351"/>
    <w:rsid w:val="00E6535B"/>
    <w:rsid w:val="00E65388"/>
    <w:rsid w:val="00E654D7"/>
    <w:rsid w:val="00E65539"/>
    <w:rsid w:val="00E65687"/>
    <w:rsid w:val="00E65786"/>
    <w:rsid w:val="00E65C5C"/>
    <w:rsid w:val="00E65CFC"/>
    <w:rsid w:val="00E65D15"/>
    <w:rsid w:val="00E65D52"/>
    <w:rsid w:val="00E65F0F"/>
    <w:rsid w:val="00E66008"/>
    <w:rsid w:val="00E66026"/>
    <w:rsid w:val="00E660C0"/>
    <w:rsid w:val="00E66129"/>
    <w:rsid w:val="00E66143"/>
    <w:rsid w:val="00E66317"/>
    <w:rsid w:val="00E664A1"/>
    <w:rsid w:val="00E6650A"/>
    <w:rsid w:val="00E6660E"/>
    <w:rsid w:val="00E66612"/>
    <w:rsid w:val="00E66747"/>
    <w:rsid w:val="00E66788"/>
    <w:rsid w:val="00E667CD"/>
    <w:rsid w:val="00E669BF"/>
    <w:rsid w:val="00E66A39"/>
    <w:rsid w:val="00E66B14"/>
    <w:rsid w:val="00E66B9D"/>
    <w:rsid w:val="00E66C5D"/>
    <w:rsid w:val="00E66EF1"/>
    <w:rsid w:val="00E67215"/>
    <w:rsid w:val="00E6728E"/>
    <w:rsid w:val="00E67300"/>
    <w:rsid w:val="00E675E1"/>
    <w:rsid w:val="00E67672"/>
    <w:rsid w:val="00E677C7"/>
    <w:rsid w:val="00E67993"/>
    <w:rsid w:val="00E67CB1"/>
    <w:rsid w:val="00E67D26"/>
    <w:rsid w:val="00E67D75"/>
    <w:rsid w:val="00E70096"/>
    <w:rsid w:val="00E70117"/>
    <w:rsid w:val="00E702B9"/>
    <w:rsid w:val="00E703F1"/>
    <w:rsid w:val="00E70587"/>
    <w:rsid w:val="00E7074A"/>
    <w:rsid w:val="00E70A18"/>
    <w:rsid w:val="00E70A90"/>
    <w:rsid w:val="00E70D42"/>
    <w:rsid w:val="00E70FD6"/>
    <w:rsid w:val="00E71189"/>
    <w:rsid w:val="00E71335"/>
    <w:rsid w:val="00E71490"/>
    <w:rsid w:val="00E71598"/>
    <w:rsid w:val="00E71652"/>
    <w:rsid w:val="00E716D5"/>
    <w:rsid w:val="00E717CF"/>
    <w:rsid w:val="00E717E2"/>
    <w:rsid w:val="00E71A71"/>
    <w:rsid w:val="00E71C79"/>
    <w:rsid w:val="00E720D9"/>
    <w:rsid w:val="00E72232"/>
    <w:rsid w:val="00E72389"/>
    <w:rsid w:val="00E7241C"/>
    <w:rsid w:val="00E72664"/>
    <w:rsid w:val="00E726C2"/>
    <w:rsid w:val="00E7284F"/>
    <w:rsid w:val="00E729AF"/>
    <w:rsid w:val="00E72B73"/>
    <w:rsid w:val="00E72C93"/>
    <w:rsid w:val="00E72CA2"/>
    <w:rsid w:val="00E72D21"/>
    <w:rsid w:val="00E72E82"/>
    <w:rsid w:val="00E72FE3"/>
    <w:rsid w:val="00E7315C"/>
    <w:rsid w:val="00E73368"/>
    <w:rsid w:val="00E73385"/>
    <w:rsid w:val="00E7340D"/>
    <w:rsid w:val="00E73503"/>
    <w:rsid w:val="00E73505"/>
    <w:rsid w:val="00E73692"/>
    <w:rsid w:val="00E73770"/>
    <w:rsid w:val="00E73A76"/>
    <w:rsid w:val="00E73AAA"/>
    <w:rsid w:val="00E73B43"/>
    <w:rsid w:val="00E73BCD"/>
    <w:rsid w:val="00E73C17"/>
    <w:rsid w:val="00E73EA6"/>
    <w:rsid w:val="00E741C6"/>
    <w:rsid w:val="00E742F9"/>
    <w:rsid w:val="00E74357"/>
    <w:rsid w:val="00E743D4"/>
    <w:rsid w:val="00E7477D"/>
    <w:rsid w:val="00E74949"/>
    <w:rsid w:val="00E74999"/>
    <w:rsid w:val="00E74B6E"/>
    <w:rsid w:val="00E74B93"/>
    <w:rsid w:val="00E7503C"/>
    <w:rsid w:val="00E750AF"/>
    <w:rsid w:val="00E752C5"/>
    <w:rsid w:val="00E75492"/>
    <w:rsid w:val="00E7564D"/>
    <w:rsid w:val="00E75B7E"/>
    <w:rsid w:val="00E75C9F"/>
    <w:rsid w:val="00E75E90"/>
    <w:rsid w:val="00E75FCC"/>
    <w:rsid w:val="00E7631C"/>
    <w:rsid w:val="00E763E3"/>
    <w:rsid w:val="00E764E6"/>
    <w:rsid w:val="00E7681B"/>
    <w:rsid w:val="00E76FEE"/>
    <w:rsid w:val="00E77034"/>
    <w:rsid w:val="00E771AD"/>
    <w:rsid w:val="00E771B0"/>
    <w:rsid w:val="00E773A2"/>
    <w:rsid w:val="00E7741C"/>
    <w:rsid w:val="00E776D7"/>
    <w:rsid w:val="00E778FC"/>
    <w:rsid w:val="00E77A5A"/>
    <w:rsid w:val="00E77A9D"/>
    <w:rsid w:val="00E77C0B"/>
    <w:rsid w:val="00E77C7A"/>
    <w:rsid w:val="00E77DD4"/>
    <w:rsid w:val="00E77E59"/>
    <w:rsid w:val="00E77EC2"/>
    <w:rsid w:val="00E77F76"/>
    <w:rsid w:val="00E80047"/>
    <w:rsid w:val="00E80069"/>
    <w:rsid w:val="00E8030B"/>
    <w:rsid w:val="00E80314"/>
    <w:rsid w:val="00E804DA"/>
    <w:rsid w:val="00E804FF"/>
    <w:rsid w:val="00E8054C"/>
    <w:rsid w:val="00E80842"/>
    <w:rsid w:val="00E80890"/>
    <w:rsid w:val="00E80906"/>
    <w:rsid w:val="00E809BF"/>
    <w:rsid w:val="00E80A1B"/>
    <w:rsid w:val="00E80A37"/>
    <w:rsid w:val="00E80A49"/>
    <w:rsid w:val="00E80A65"/>
    <w:rsid w:val="00E80CB8"/>
    <w:rsid w:val="00E80D72"/>
    <w:rsid w:val="00E80E02"/>
    <w:rsid w:val="00E80E8B"/>
    <w:rsid w:val="00E80EA7"/>
    <w:rsid w:val="00E80F1A"/>
    <w:rsid w:val="00E810D3"/>
    <w:rsid w:val="00E811E7"/>
    <w:rsid w:val="00E812A1"/>
    <w:rsid w:val="00E812C7"/>
    <w:rsid w:val="00E813C8"/>
    <w:rsid w:val="00E81532"/>
    <w:rsid w:val="00E8174D"/>
    <w:rsid w:val="00E81785"/>
    <w:rsid w:val="00E81893"/>
    <w:rsid w:val="00E81947"/>
    <w:rsid w:val="00E819C5"/>
    <w:rsid w:val="00E81BDE"/>
    <w:rsid w:val="00E81C88"/>
    <w:rsid w:val="00E81D3C"/>
    <w:rsid w:val="00E81E6A"/>
    <w:rsid w:val="00E81F88"/>
    <w:rsid w:val="00E8212B"/>
    <w:rsid w:val="00E82160"/>
    <w:rsid w:val="00E82194"/>
    <w:rsid w:val="00E82381"/>
    <w:rsid w:val="00E82417"/>
    <w:rsid w:val="00E82603"/>
    <w:rsid w:val="00E82840"/>
    <w:rsid w:val="00E82940"/>
    <w:rsid w:val="00E82A19"/>
    <w:rsid w:val="00E82A52"/>
    <w:rsid w:val="00E82CBA"/>
    <w:rsid w:val="00E82DF1"/>
    <w:rsid w:val="00E82F5F"/>
    <w:rsid w:val="00E8301D"/>
    <w:rsid w:val="00E83020"/>
    <w:rsid w:val="00E83172"/>
    <w:rsid w:val="00E8329C"/>
    <w:rsid w:val="00E83301"/>
    <w:rsid w:val="00E834D8"/>
    <w:rsid w:val="00E834FE"/>
    <w:rsid w:val="00E8356B"/>
    <w:rsid w:val="00E837C6"/>
    <w:rsid w:val="00E838A3"/>
    <w:rsid w:val="00E83ABF"/>
    <w:rsid w:val="00E83D18"/>
    <w:rsid w:val="00E83DA7"/>
    <w:rsid w:val="00E841EB"/>
    <w:rsid w:val="00E844B5"/>
    <w:rsid w:val="00E84694"/>
    <w:rsid w:val="00E8472B"/>
    <w:rsid w:val="00E848C2"/>
    <w:rsid w:val="00E84A0A"/>
    <w:rsid w:val="00E84C42"/>
    <w:rsid w:val="00E84C6A"/>
    <w:rsid w:val="00E84C83"/>
    <w:rsid w:val="00E84F60"/>
    <w:rsid w:val="00E8500C"/>
    <w:rsid w:val="00E85349"/>
    <w:rsid w:val="00E85390"/>
    <w:rsid w:val="00E853A2"/>
    <w:rsid w:val="00E853B4"/>
    <w:rsid w:val="00E853D4"/>
    <w:rsid w:val="00E854E6"/>
    <w:rsid w:val="00E8596D"/>
    <w:rsid w:val="00E85D7A"/>
    <w:rsid w:val="00E85DA1"/>
    <w:rsid w:val="00E86156"/>
    <w:rsid w:val="00E86179"/>
    <w:rsid w:val="00E861CB"/>
    <w:rsid w:val="00E861D7"/>
    <w:rsid w:val="00E862BF"/>
    <w:rsid w:val="00E863EE"/>
    <w:rsid w:val="00E866C2"/>
    <w:rsid w:val="00E8672E"/>
    <w:rsid w:val="00E86738"/>
    <w:rsid w:val="00E86785"/>
    <w:rsid w:val="00E86A41"/>
    <w:rsid w:val="00E86AFF"/>
    <w:rsid w:val="00E86B2D"/>
    <w:rsid w:val="00E86B89"/>
    <w:rsid w:val="00E86BB3"/>
    <w:rsid w:val="00E86BCB"/>
    <w:rsid w:val="00E86CCD"/>
    <w:rsid w:val="00E86E7F"/>
    <w:rsid w:val="00E86EF0"/>
    <w:rsid w:val="00E871CA"/>
    <w:rsid w:val="00E87245"/>
    <w:rsid w:val="00E87332"/>
    <w:rsid w:val="00E87409"/>
    <w:rsid w:val="00E874A4"/>
    <w:rsid w:val="00E874C4"/>
    <w:rsid w:val="00E87724"/>
    <w:rsid w:val="00E8786A"/>
    <w:rsid w:val="00E878C8"/>
    <w:rsid w:val="00E879C3"/>
    <w:rsid w:val="00E879D8"/>
    <w:rsid w:val="00E87C0B"/>
    <w:rsid w:val="00E87D99"/>
    <w:rsid w:val="00E87F3D"/>
    <w:rsid w:val="00E900F9"/>
    <w:rsid w:val="00E901A1"/>
    <w:rsid w:val="00E901E7"/>
    <w:rsid w:val="00E90406"/>
    <w:rsid w:val="00E9040C"/>
    <w:rsid w:val="00E90555"/>
    <w:rsid w:val="00E90627"/>
    <w:rsid w:val="00E906ED"/>
    <w:rsid w:val="00E90706"/>
    <w:rsid w:val="00E90797"/>
    <w:rsid w:val="00E907B5"/>
    <w:rsid w:val="00E90843"/>
    <w:rsid w:val="00E90A12"/>
    <w:rsid w:val="00E90AF1"/>
    <w:rsid w:val="00E90C1E"/>
    <w:rsid w:val="00E90D3E"/>
    <w:rsid w:val="00E90E0A"/>
    <w:rsid w:val="00E91152"/>
    <w:rsid w:val="00E91177"/>
    <w:rsid w:val="00E9177B"/>
    <w:rsid w:val="00E91804"/>
    <w:rsid w:val="00E91E54"/>
    <w:rsid w:val="00E91F44"/>
    <w:rsid w:val="00E91F96"/>
    <w:rsid w:val="00E9207E"/>
    <w:rsid w:val="00E921D0"/>
    <w:rsid w:val="00E923D8"/>
    <w:rsid w:val="00E92607"/>
    <w:rsid w:val="00E926A0"/>
    <w:rsid w:val="00E9299B"/>
    <w:rsid w:val="00E92CB0"/>
    <w:rsid w:val="00E92DC1"/>
    <w:rsid w:val="00E93039"/>
    <w:rsid w:val="00E93113"/>
    <w:rsid w:val="00E931F5"/>
    <w:rsid w:val="00E93480"/>
    <w:rsid w:val="00E93568"/>
    <w:rsid w:val="00E93665"/>
    <w:rsid w:val="00E937D5"/>
    <w:rsid w:val="00E93848"/>
    <w:rsid w:val="00E93909"/>
    <w:rsid w:val="00E93941"/>
    <w:rsid w:val="00E9398B"/>
    <w:rsid w:val="00E93A02"/>
    <w:rsid w:val="00E93A1E"/>
    <w:rsid w:val="00E93BD8"/>
    <w:rsid w:val="00E93C3C"/>
    <w:rsid w:val="00E93DDC"/>
    <w:rsid w:val="00E93EC0"/>
    <w:rsid w:val="00E93EED"/>
    <w:rsid w:val="00E93F32"/>
    <w:rsid w:val="00E94076"/>
    <w:rsid w:val="00E944E2"/>
    <w:rsid w:val="00E9474F"/>
    <w:rsid w:val="00E947DF"/>
    <w:rsid w:val="00E94AB5"/>
    <w:rsid w:val="00E94B55"/>
    <w:rsid w:val="00E94C40"/>
    <w:rsid w:val="00E9517D"/>
    <w:rsid w:val="00E951E4"/>
    <w:rsid w:val="00E9545C"/>
    <w:rsid w:val="00E9546E"/>
    <w:rsid w:val="00E955E3"/>
    <w:rsid w:val="00E95617"/>
    <w:rsid w:val="00E956F6"/>
    <w:rsid w:val="00E95724"/>
    <w:rsid w:val="00E957FF"/>
    <w:rsid w:val="00E95922"/>
    <w:rsid w:val="00E95927"/>
    <w:rsid w:val="00E95986"/>
    <w:rsid w:val="00E95BCD"/>
    <w:rsid w:val="00E95D7A"/>
    <w:rsid w:val="00E95DCE"/>
    <w:rsid w:val="00E95E13"/>
    <w:rsid w:val="00E95F2B"/>
    <w:rsid w:val="00E960F8"/>
    <w:rsid w:val="00E962B4"/>
    <w:rsid w:val="00E96302"/>
    <w:rsid w:val="00E96544"/>
    <w:rsid w:val="00E966E7"/>
    <w:rsid w:val="00E96940"/>
    <w:rsid w:val="00E97169"/>
    <w:rsid w:val="00E97268"/>
    <w:rsid w:val="00E972C6"/>
    <w:rsid w:val="00E972ED"/>
    <w:rsid w:val="00E9732A"/>
    <w:rsid w:val="00E9735B"/>
    <w:rsid w:val="00E974A5"/>
    <w:rsid w:val="00E974EB"/>
    <w:rsid w:val="00E9767D"/>
    <w:rsid w:val="00E977EA"/>
    <w:rsid w:val="00E978AB"/>
    <w:rsid w:val="00E97909"/>
    <w:rsid w:val="00E97952"/>
    <w:rsid w:val="00E97ABE"/>
    <w:rsid w:val="00E97B3A"/>
    <w:rsid w:val="00E97CF3"/>
    <w:rsid w:val="00E97D03"/>
    <w:rsid w:val="00EA0043"/>
    <w:rsid w:val="00EA0126"/>
    <w:rsid w:val="00EA01D8"/>
    <w:rsid w:val="00EA05BF"/>
    <w:rsid w:val="00EA0680"/>
    <w:rsid w:val="00EA069A"/>
    <w:rsid w:val="00EA0A87"/>
    <w:rsid w:val="00EA0B5C"/>
    <w:rsid w:val="00EA0C23"/>
    <w:rsid w:val="00EA0D70"/>
    <w:rsid w:val="00EA0DC6"/>
    <w:rsid w:val="00EA0EC5"/>
    <w:rsid w:val="00EA0F57"/>
    <w:rsid w:val="00EA1054"/>
    <w:rsid w:val="00EA1177"/>
    <w:rsid w:val="00EA1211"/>
    <w:rsid w:val="00EA12D3"/>
    <w:rsid w:val="00EA1309"/>
    <w:rsid w:val="00EA1388"/>
    <w:rsid w:val="00EA138E"/>
    <w:rsid w:val="00EA1453"/>
    <w:rsid w:val="00EA18FE"/>
    <w:rsid w:val="00EA1CAC"/>
    <w:rsid w:val="00EA1E04"/>
    <w:rsid w:val="00EA1E8F"/>
    <w:rsid w:val="00EA1ECA"/>
    <w:rsid w:val="00EA1F42"/>
    <w:rsid w:val="00EA21C4"/>
    <w:rsid w:val="00EA22CD"/>
    <w:rsid w:val="00EA248D"/>
    <w:rsid w:val="00EA24FE"/>
    <w:rsid w:val="00EA2616"/>
    <w:rsid w:val="00EA262E"/>
    <w:rsid w:val="00EA26EA"/>
    <w:rsid w:val="00EA2745"/>
    <w:rsid w:val="00EA27A7"/>
    <w:rsid w:val="00EA28D2"/>
    <w:rsid w:val="00EA28FB"/>
    <w:rsid w:val="00EA2ADB"/>
    <w:rsid w:val="00EA2BB1"/>
    <w:rsid w:val="00EA2F1A"/>
    <w:rsid w:val="00EA2F6F"/>
    <w:rsid w:val="00EA2FD1"/>
    <w:rsid w:val="00EA3113"/>
    <w:rsid w:val="00EA319D"/>
    <w:rsid w:val="00EA32C3"/>
    <w:rsid w:val="00EA33E4"/>
    <w:rsid w:val="00EA34A8"/>
    <w:rsid w:val="00EA35D9"/>
    <w:rsid w:val="00EA35FD"/>
    <w:rsid w:val="00EA37B0"/>
    <w:rsid w:val="00EA38B1"/>
    <w:rsid w:val="00EA3949"/>
    <w:rsid w:val="00EA3C5D"/>
    <w:rsid w:val="00EA3CA0"/>
    <w:rsid w:val="00EA3D4A"/>
    <w:rsid w:val="00EA3E85"/>
    <w:rsid w:val="00EA3EC5"/>
    <w:rsid w:val="00EA3F59"/>
    <w:rsid w:val="00EA4012"/>
    <w:rsid w:val="00EA406E"/>
    <w:rsid w:val="00EA4178"/>
    <w:rsid w:val="00EA43BA"/>
    <w:rsid w:val="00EA4511"/>
    <w:rsid w:val="00EA486E"/>
    <w:rsid w:val="00EA4897"/>
    <w:rsid w:val="00EA4A81"/>
    <w:rsid w:val="00EA4D52"/>
    <w:rsid w:val="00EA4DAA"/>
    <w:rsid w:val="00EA4EBB"/>
    <w:rsid w:val="00EA4F89"/>
    <w:rsid w:val="00EA53B4"/>
    <w:rsid w:val="00EA545F"/>
    <w:rsid w:val="00EA54C6"/>
    <w:rsid w:val="00EA55A0"/>
    <w:rsid w:val="00EA5C4C"/>
    <w:rsid w:val="00EA5D9E"/>
    <w:rsid w:val="00EA5E85"/>
    <w:rsid w:val="00EA5F76"/>
    <w:rsid w:val="00EA5FC7"/>
    <w:rsid w:val="00EA61CC"/>
    <w:rsid w:val="00EA621C"/>
    <w:rsid w:val="00EA627A"/>
    <w:rsid w:val="00EA6318"/>
    <w:rsid w:val="00EA6585"/>
    <w:rsid w:val="00EA668E"/>
    <w:rsid w:val="00EA66F9"/>
    <w:rsid w:val="00EA6732"/>
    <w:rsid w:val="00EA68AE"/>
    <w:rsid w:val="00EA6AD0"/>
    <w:rsid w:val="00EA6BF6"/>
    <w:rsid w:val="00EA6FD9"/>
    <w:rsid w:val="00EA70B6"/>
    <w:rsid w:val="00EA727F"/>
    <w:rsid w:val="00EA7406"/>
    <w:rsid w:val="00EA769A"/>
    <w:rsid w:val="00EA7860"/>
    <w:rsid w:val="00EA7906"/>
    <w:rsid w:val="00EA7988"/>
    <w:rsid w:val="00EA7B0C"/>
    <w:rsid w:val="00EA7BAF"/>
    <w:rsid w:val="00EA7BEE"/>
    <w:rsid w:val="00EA7CC7"/>
    <w:rsid w:val="00EA7D65"/>
    <w:rsid w:val="00EB000E"/>
    <w:rsid w:val="00EB0231"/>
    <w:rsid w:val="00EB0383"/>
    <w:rsid w:val="00EB03D7"/>
    <w:rsid w:val="00EB06E6"/>
    <w:rsid w:val="00EB0798"/>
    <w:rsid w:val="00EB084F"/>
    <w:rsid w:val="00EB08A6"/>
    <w:rsid w:val="00EB0901"/>
    <w:rsid w:val="00EB0A83"/>
    <w:rsid w:val="00EB0C04"/>
    <w:rsid w:val="00EB0CF1"/>
    <w:rsid w:val="00EB0DD8"/>
    <w:rsid w:val="00EB0E48"/>
    <w:rsid w:val="00EB10D0"/>
    <w:rsid w:val="00EB1144"/>
    <w:rsid w:val="00EB11A3"/>
    <w:rsid w:val="00EB12A4"/>
    <w:rsid w:val="00EB1362"/>
    <w:rsid w:val="00EB1395"/>
    <w:rsid w:val="00EB1445"/>
    <w:rsid w:val="00EB15C8"/>
    <w:rsid w:val="00EB17F6"/>
    <w:rsid w:val="00EB1927"/>
    <w:rsid w:val="00EB1959"/>
    <w:rsid w:val="00EB1982"/>
    <w:rsid w:val="00EB1B4D"/>
    <w:rsid w:val="00EB1B63"/>
    <w:rsid w:val="00EB1C36"/>
    <w:rsid w:val="00EB2106"/>
    <w:rsid w:val="00EB22E7"/>
    <w:rsid w:val="00EB242E"/>
    <w:rsid w:val="00EB246D"/>
    <w:rsid w:val="00EB24BB"/>
    <w:rsid w:val="00EB2987"/>
    <w:rsid w:val="00EB2BB3"/>
    <w:rsid w:val="00EB2BE8"/>
    <w:rsid w:val="00EB2CEA"/>
    <w:rsid w:val="00EB2F7A"/>
    <w:rsid w:val="00EB3131"/>
    <w:rsid w:val="00EB31FD"/>
    <w:rsid w:val="00EB33B8"/>
    <w:rsid w:val="00EB33BE"/>
    <w:rsid w:val="00EB33FF"/>
    <w:rsid w:val="00EB3555"/>
    <w:rsid w:val="00EB35A7"/>
    <w:rsid w:val="00EB35BD"/>
    <w:rsid w:val="00EB35DF"/>
    <w:rsid w:val="00EB35FF"/>
    <w:rsid w:val="00EB394E"/>
    <w:rsid w:val="00EB39C7"/>
    <w:rsid w:val="00EB3AB7"/>
    <w:rsid w:val="00EB3B63"/>
    <w:rsid w:val="00EB3E43"/>
    <w:rsid w:val="00EB3ECB"/>
    <w:rsid w:val="00EB3FCC"/>
    <w:rsid w:val="00EB4091"/>
    <w:rsid w:val="00EB413F"/>
    <w:rsid w:val="00EB4168"/>
    <w:rsid w:val="00EB4322"/>
    <w:rsid w:val="00EB4338"/>
    <w:rsid w:val="00EB4474"/>
    <w:rsid w:val="00EB44A6"/>
    <w:rsid w:val="00EB4562"/>
    <w:rsid w:val="00EB4583"/>
    <w:rsid w:val="00EB46C2"/>
    <w:rsid w:val="00EB48AC"/>
    <w:rsid w:val="00EB48B8"/>
    <w:rsid w:val="00EB4A1B"/>
    <w:rsid w:val="00EB4CCA"/>
    <w:rsid w:val="00EB4D66"/>
    <w:rsid w:val="00EB4EEB"/>
    <w:rsid w:val="00EB4F0A"/>
    <w:rsid w:val="00EB4FAC"/>
    <w:rsid w:val="00EB4FED"/>
    <w:rsid w:val="00EB50D4"/>
    <w:rsid w:val="00EB510B"/>
    <w:rsid w:val="00EB51C9"/>
    <w:rsid w:val="00EB5450"/>
    <w:rsid w:val="00EB54EA"/>
    <w:rsid w:val="00EB578D"/>
    <w:rsid w:val="00EB5845"/>
    <w:rsid w:val="00EB5849"/>
    <w:rsid w:val="00EB59B4"/>
    <w:rsid w:val="00EB610A"/>
    <w:rsid w:val="00EB63FE"/>
    <w:rsid w:val="00EB681F"/>
    <w:rsid w:val="00EB6841"/>
    <w:rsid w:val="00EB68CE"/>
    <w:rsid w:val="00EB6B03"/>
    <w:rsid w:val="00EB6C76"/>
    <w:rsid w:val="00EB6D91"/>
    <w:rsid w:val="00EB6F68"/>
    <w:rsid w:val="00EB6F8B"/>
    <w:rsid w:val="00EB7004"/>
    <w:rsid w:val="00EB70ED"/>
    <w:rsid w:val="00EB7140"/>
    <w:rsid w:val="00EB7257"/>
    <w:rsid w:val="00EB7419"/>
    <w:rsid w:val="00EB74A0"/>
    <w:rsid w:val="00EB74C5"/>
    <w:rsid w:val="00EB74E1"/>
    <w:rsid w:val="00EB74F0"/>
    <w:rsid w:val="00EB75AF"/>
    <w:rsid w:val="00EB7993"/>
    <w:rsid w:val="00EB7A21"/>
    <w:rsid w:val="00EB7C26"/>
    <w:rsid w:val="00EB7C41"/>
    <w:rsid w:val="00EB7CEB"/>
    <w:rsid w:val="00EB7D1E"/>
    <w:rsid w:val="00EB7DF6"/>
    <w:rsid w:val="00EB7E6E"/>
    <w:rsid w:val="00EC00C7"/>
    <w:rsid w:val="00EC01B0"/>
    <w:rsid w:val="00EC025C"/>
    <w:rsid w:val="00EC0363"/>
    <w:rsid w:val="00EC04AC"/>
    <w:rsid w:val="00EC0501"/>
    <w:rsid w:val="00EC063A"/>
    <w:rsid w:val="00EC0686"/>
    <w:rsid w:val="00EC07BD"/>
    <w:rsid w:val="00EC082B"/>
    <w:rsid w:val="00EC087C"/>
    <w:rsid w:val="00EC0BA8"/>
    <w:rsid w:val="00EC0DFC"/>
    <w:rsid w:val="00EC0E20"/>
    <w:rsid w:val="00EC0E91"/>
    <w:rsid w:val="00EC103F"/>
    <w:rsid w:val="00EC10E9"/>
    <w:rsid w:val="00EC1152"/>
    <w:rsid w:val="00EC12F4"/>
    <w:rsid w:val="00EC13BF"/>
    <w:rsid w:val="00EC158C"/>
    <w:rsid w:val="00EC15F7"/>
    <w:rsid w:val="00EC16C5"/>
    <w:rsid w:val="00EC1A0C"/>
    <w:rsid w:val="00EC1B68"/>
    <w:rsid w:val="00EC1B72"/>
    <w:rsid w:val="00EC1BD0"/>
    <w:rsid w:val="00EC1CA5"/>
    <w:rsid w:val="00EC1E55"/>
    <w:rsid w:val="00EC1F1C"/>
    <w:rsid w:val="00EC1FCE"/>
    <w:rsid w:val="00EC211E"/>
    <w:rsid w:val="00EC231D"/>
    <w:rsid w:val="00EC2366"/>
    <w:rsid w:val="00EC255A"/>
    <w:rsid w:val="00EC2593"/>
    <w:rsid w:val="00EC2698"/>
    <w:rsid w:val="00EC26FB"/>
    <w:rsid w:val="00EC2965"/>
    <w:rsid w:val="00EC2989"/>
    <w:rsid w:val="00EC29DE"/>
    <w:rsid w:val="00EC2AE5"/>
    <w:rsid w:val="00EC2B01"/>
    <w:rsid w:val="00EC2C3B"/>
    <w:rsid w:val="00EC2CF4"/>
    <w:rsid w:val="00EC312E"/>
    <w:rsid w:val="00EC31C7"/>
    <w:rsid w:val="00EC342F"/>
    <w:rsid w:val="00EC3838"/>
    <w:rsid w:val="00EC3883"/>
    <w:rsid w:val="00EC38E4"/>
    <w:rsid w:val="00EC3AE3"/>
    <w:rsid w:val="00EC3CFE"/>
    <w:rsid w:val="00EC3F93"/>
    <w:rsid w:val="00EC4018"/>
    <w:rsid w:val="00EC4269"/>
    <w:rsid w:val="00EC42EB"/>
    <w:rsid w:val="00EC4352"/>
    <w:rsid w:val="00EC4361"/>
    <w:rsid w:val="00EC4383"/>
    <w:rsid w:val="00EC44E4"/>
    <w:rsid w:val="00EC4D49"/>
    <w:rsid w:val="00EC4DC1"/>
    <w:rsid w:val="00EC506D"/>
    <w:rsid w:val="00EC5283"/>
    <w:rsid w:val="00EC54B3"/>
    <w:rsid w:val="00EC56B7"/>
    <w:rsid w:val="00EC572E"/>
    <w:rsid w:val="00EC58A4"/>
    <w:rsid w:val="00EC5983"/>
    <w:rsid w:val="00EC59EE"/>
    <w:rsid w:val="00EC5E10"/>
    <w:rsid w:val="00EC5FC7"/>
    <w:rsid w:val="00EC6189"/>
    <w:rsid w:val="00EC6232"/>
    <w:rsid w:val="00EC6233"/>
    <w:rsid w:val="00EC6441"/>
    <w:rsid w:val="00EC6483"/>
    <w:rsid w:val="00EC6680"/>
    <w:rsid w:val="00EC67A3"/>
    <w:rsid w:val="00EC6963"/>
    <w:rsid w:val="00EC6DD5"/>
    <w:rsid w:val="00EC6DFA"/>
    <w:rsid w:val="00EC7065"/>
    <w:rsid w:val="00EC75A9"/>
    <w:rsid w:val="00EC7852"/>
    <w:rsid w:val="00EC7912"/>
    <w:rsid w:val="00EC7BA9"/>
    <w:rsid w:val="00EC7BAB"/>
    <w:rsid w:val="00EC7D9E"/>
    <w:rsid w:val="00EC7E05"/>
    <w:rsid w:val="00EC7FEB"/>
    <w:rsid w:val="00ED0043"/>
    <w:rsid w:val="00ED0073"/>
    <w:rsid w:val="00ED0107"/>
    <w:rsid w:val="00ED012B"/>
    <w:rsid w:val="00ED020D"/>
    <w:rsid w:val="00ED04E3"/>
    <w:rsid w:val="00ED06D2"/>
    <w:rsid w:val="00ED0AAA"/>
    <w:rsid w:val="00ED0ACC"/>
    <w:rsid w:val="00ED0C41"/>
    <w:rsid w:val="00ED0CDD"/>
    <w:rsid w:val="00ED0CF7"/>
    <w:rsid w:val="00ED0E45"/>
    <w:rsid w:val="00ED1042"/>
    <w:rsid w:val="00ED114B"/>
    <w:rsid w:val="00ED12BE"/>
    <w:rsid w:val="00ED12F8"/>
    <w:rsid w:val="00ED14E5"/>
    <w:rsid w:val="00ED1604"/>
    <w:rsid w:val="00ED1654"/>
    <w:rsid w:val="00ED18D4"/>
    <w:rsid w:val="00ED18D5"/>
    <w:rsid w:val="00ED1AA2"/>
    <w:rsid w:val="00ED1AE7"/>
    <w:rsid w:val="00ED1CBA"/>
    <w:rsid w:val="00ED1D82"/>
    <w:rsid w:val="00ED1DA3"/>
    <w:rsid w:val="00ED1E88"/>
    <w:rsid w:val="00ED1EBC"/>
    <w:rsid w:val="00ED1F11"/>
    <w:rsid w:val="00ED224D"/>
    <w:rsid w:val="00ED225E"/>
    <w:rsid w:val="00ED2299"/>
    <w:rsid w:val="00ED2634"/>
    <w:rsid w:val="00ED2737"/>
    <w:rsid w:val="00ED2856"/>
    <w:rsid w:val="00ED2857"/>
    <w:rsid w:val="00ED2A9F"/>
    <w:rsid w:val="00ED2AB7"/>
    <w:rsid w:val="00ED2AC2"/>
    <w:rsid w:val="00ED2BBD"/>
    <w:rsid w:val="00ED2D02"/>
    <w:rsid w:val="00ED2F04"/>
    <w:rsid w:val="00ED3241"/>
    <w:rsid w:val="00ED32C4"/>
    <w:rsid w:val="00ED3316"/>
    <w:rsid w:val="00ED3362"/>
    <w:rsid w:val="00ED3500"/>
    <w:rsid w:val="00ED3537"/>
    <w:rsid w:val="00ED356A"/>
    <w:rsid w:val="00ED35E6"/>
    <w:rsid w:val="00ED3693"/>
    <w:rsid w:val="00ED36FE"/>
    <w:rsid w:val="00ED3733"/>
    <w:rsid w:val="00ED3A88"/>
    <w:rsid w:val="00ED3B18"/>
    <w:rsid w:val="00ED3CA6"/>
    <w:rsid w:val="00ED3D12"/>
    <w:rsid w:val="00ED3D34"/>
    <w:rsid w:val="00ED3D64"/>
    <w:rsid w:val="00ED3FFB"/>
    <w:rsid w:val="00ED4121"/>
    <w:rsid w:val="00ED4157"/>
    <w:rsid w:val="00ED419C"/>
    <w:rsid w:val="00ED4213"/>
    <w:rsid w:val="00ED4553"/>
    <w:rsid w:val="00ED46EB"/>
    <w:rsid w:val="00ED48C8"/>
    <w:rsid w:val="00ED4A61"/>
    <w:rsid w:val="00ED4ABE"/>
    <w:rsid w:val="00ED4B72"/>
    <w:rsid w:val="00ED4C05"/>
    <w:rsid w:val="00ED4E5A"/>
    <w:rsid w:val="00ED4E9E"/>
    <w:rsid w:val="00ED4EB7"/>
    <w:rsid w:val="00ED4FAB"/>
    <w:rsid w:val="00ED4FC5"/>
    <w:rsid w:val="00ED5058"/>
    <w:rsid w:val="00ED515B"/>
    <w:rsid w:val="00ED52F4"/>
    <w:rsid w:val="00ED533A"/>
    <w:rsid w:val="00ED553A"/>
    <w:rsid w:val="00ED56F5"/>
    <w:rsid w:val="00ED56FF"/>
    <w:rsid w:val="00ED58D8"/>
    <w:rsid w:val="00ED5984"/>
    <w:rsid w:val="00ED5991"/>
    <w:rsid w:val="00ED5B58"/>
    <w:rsid w:val="00ED5E5D"/>
    <w:rsid w:val="00ED65EB"/>
    <w:rsid w:val="00ED6879"/>
    <w:rsid w:val="00ED6924"/>
    <w:rsid w:val="00ED69E8"/>
    <w:rsid w:val="00ED6AB9"/>
    <w:rsid w:val="00ED6CBE"/>
    <w:rsid w:val="00ED6F1C"/>
    <w:rsid w:val="00ED718B"/>
    <w:rsid w:val="00ED7214"/>
    <w:rsid w:val="00ED7345"/>
    <w:rsid w:val="00ED73BE"/>
    <w:rsid w:val="00ED745D"/>
    <w:rsid w:val="00ED74DB"/>
    <w:rsid w:val="00ED7528"/>
    <w:rsid w:val="00ED755D"/>
    <w:rsid w:val="00ED7660"/>
    <w:rsid w:val="00ED775F"/>
    <w:rsid w:val="00ED7872"/>
    <w:rsid w:val="00ED79BD"/>
    <w:rsid w:val="00ED7ADE"/>
    <w:rsid w:val="00ED7CF1"/>
    <w:rsid w:val="00ED7DA6"/>
    <w:rsid w:val="00ED7E3D"/>
    <w:rsid w:val="00EE021F"/>
    <w:rsid w:val="00EE0303"/>
    <w:rsid w:val="00EE039E"/>
    <w:rsid w:val="00EE0512"/>
    <w:rsid w:val="00EE05E8"/>
    <w:rsid w:val="00EE0682"/>
    <w:rsid w:val="00EE06BE"/>
    <w:rsid w:val="00EE078A"/>
    <w:rsid w:val="00EE08B7"/>
    <w:rsid w:val="00EE0980"/>
    <w:rsid w:val="00EE09E7"/>
    <w:rsid w:val="00EE0C38"/>
    <w:rsid w:val="00EE0C62"/>
    <w:rsid w:val="00EE0CA0"/>
    <w:rsid w:val="00EE0CEB"/>
    <w:rsid w:val="00EE13A4"/>
    <w:rsid w:val="00EE169C"/>
    <w:rsid w:val="00EE1849"/>
    <w:rsid w:val="00EE1859"/>
    <w:rsid w:val="00EE1A41"/>
    <w:rsid w:val="00EE1AAE"/>
    <w:rsid w:val="00EE1AC5"/>
    <w:rsid w:val="00EE1BCE"/>
    <w:rsid w:val="00EE1EBC"/>
    <w:rsid w:val="00EE20C0"/>
    <w:rsid w:val="00EE229D"/>
    <w:rsid w:val="00EE25BA"/>
    <w:rsid w:val="00EE266D"/>
    <w:rsid w:val="00EE2838"/>
    <w:rsid w:val="00EE2846"/>
    <w:rsid w:val="00EE287A"/>
    <w:rsid w:val="00EE2BE3"/>
    <w:rsid w:val="00EE2C3D"/>
    <w:rsid w:val="00EE2D65"/>
    <w:rsid w:val="00EE2E1B"/>
    <w:rsid w:val="00EE2EBD"/>
    <w:rsid w:val="00EE3097"/>
    <w:rsid w:val="00EE30E3"/>
    <w:rsid w:val="00EE34D0"/>
    <w:rsid w:val="00EE35A6"/>
    <w:rsid w:val="00EE3694"/>
    <w:rsid w:val="00EE370D"/>
    <w:rsid w:val="00EE373A"/>
    <w:rsid w:val="00EE3803"/>
    <w:rsid w:val="00EE38AD"/>
    <w:rsid w:val="00EE3995"/>
    <w:rsid w:val="00EE3A12"/>
    <w:rsid w:val="00EE3AC3"/>
    <w:rsid w:val="00EE3C97"/>
    <w:rsid w:val="00EE3E39"/>
    <w:rsid w:val="00EE4050"/>
    <w:rsid w:val="00EE4094"/>
    <w:rsid w:val="00EE417C"/>
    <w:rsid w:val="00EE435A"/>
    <w:rsid w:val="00EE443E"/>
    <w:rsid w:val="00EE45C6"/>
    <w:rsid w:val="00EE48B2"/>
    <w:rsid w:val="00EE48FA"/>
    <w:rsid w:val="00EE4903"/>
    <w:rsid w:val="00EE495A"/>
    <w:rsid w:val="00EE49EC"/>
    <w:rsid w:val="00EE4A8F"/>
    <w:rsid w:val="00EE4C9E"/>
    <w:rsid w:val="00EE4E74"/>
    <w:rsid w:val="00EE516A"/>
    <w:rsid w:val="00EE52D4"/>
    <w:rsid w:val="00EE554C"/>
    <w:rsid w:val="00EE55E1"/>
    <w:rsid w:val="00EE55F8"/>
    <w:rsid w:val="00EE5693"/>
    <w:rsid w:val="00EE5734"/>
    <w:rsid w:val="00EE57AA"/>
    <w:rsid w:val="00EE5886"/>
    <w:rsid w:val="00EE58FC"/>
    <w:rsid w:val="00EE5905"/>
    <w:rsid w:val="00EE590F"/>
    <w:rsid w:val="00EE5A4B"/>
    <w:rsid w:val="00EE5BB3"/>
    <w:rsid w:val="00EE5C24"/>
    <w:rsid w:val="00EE5DAC"/>
    <w:rsid w:val="00EE5E23"/>
    <w:rsid w:val="00EE5F44"/>
    <w:rsid w:val="00EE5FD2"/>
    <w:rsid w:val="00EE6079"/>
    <w:rsid w:val="00EE6126"/>
    <w:rsid w:val="00EE6164"/>
    <w:rsid w:val="00EE634F"/>
    <w:rsid w:val="00EE65C5"/>
    <w:rsid w:val="00EE65EA"/>
    <w:rsid w:val="00EE689D"/>
    <w:rsid w:val="00EE6B60"/>
    <w:rsid w:val="00EE6B8E"/>
    <w:rsid w:val="00EE6EC5"/>
    <w:rsid w:val="00EE70BA"/>
    <w:rsid w:val="00EE73FD"/>
    <w:rsid w:val="00EE77A2"/>
    <w:rsid w:val="00EE7837"/>
    <w:rsid w:val="00EE7BEE"/>
    <w:rsid w:val="00EE7CCB"/>
    <w:rsid w:val="00EE7E72"/>
    <w:rsid w:val="00EE7FAA"/>
    <w:rsid w:val="00EF0094"/>
    <w:rsid w:val="00EF0126"/>
    <w:rsid w:val="00EF032B"/>
    <w:rsid w:val="00EF048B"/>
    <w:rsid w:val="00EF04FE"/>
    <w:rsid w:val="00EF053D"/>
    <w:rsid w:val="00EF087E"/>
    <w:rsid w:val="00EF09DE"/>
    <w:rsid w:val="00EF0A48"/>
    <w:rsid w:val="00EF0AE4"/>
    <w:rsid w:val="00EF0B01"/>
    <w:rsid w:val="00EF0CAA"/>
    <w:rsid w:val="00EF0F96"/>
    <w:rsid w:val="00EF105D"/>
    <w:rsid w:val="00EF109F"/>
    <w:rsid w:val="00EF11EB"/>
    <w:rsid w:val="00EF1209"/>
    <w:rsid w:val="00EF1348"/>
    <w:rsid w:val="00EF14FB"/>
    <w:rsid w:val="00EF15C7"/>
    <w:rsid w:val="00EF15FF"/>
    <w:rsid w:val="00EF1660"/>
    <w:rsid w:val="00EF17BB"/>
    <w:rsid w:val="00EF19BC"/>
    <w:rsid w:val="00EF1CBE"/>
    <w:rsid w:val="00EF1E8C"/>
    <w:rsid w:val="00EF1F7E"/>
    <w:rsid w:val="00EF2008"/>
    <w:rsid w:val="00EF231E"/>
    <w:rsid w:val="00EF2597"/>
    <w:rsid w:val="00EF2733"/>
    <w:rsid w:val="00EF283B"/>
    <w:rsid w:val="00EF28ED"/>
    <w:rsid w:val="00EF2CE0"/>
    <w:rsid w:val="00EF2D2A"/>
    <w:rsid w:val="00EF2D9B"/>
    <w:rsid w:val="00EF2F0F"/>
    <w:rsid w:val="00EF2F19"/>
    <w:rsid w:val="00EF3035"/>
    <w:rsid w:val="00EF30EE"/>
    <w:rsid w:val="00EF3203"/>
    <w:rsid w:val="00EF354E"/>
    <w:rsid w:val="00EF3714"/>
    <w:rsid w:val="00EF3745"/>
    <w:rsid w:val="00EF3798"/>
    <w:rsid w:val="00EF3806"/>
    <w:rsid w:val="00EF3860"/>
    <w:rsid w:val="00EF38BD"/>
    <w:rsid w:val="00EF3906"/>
    <w:rsid w:val="00EF3BC0"/>
    <w:rsid w:val="00EF3CCF"/>
    <w:rsid w:val="00EF3CF8"/>
    <w:rsid w:val="00EF3D5C"/>
    <w:rsid w:val="00EF3D70"/>
    <w:rsid w:val="00EF3DA1"/>
    <w:rsid w:val="00EF3E91"/>
    <w:rsid w:val="00EF3EF9"/>
    <w:rsid w:val="00EF402C"/>
    <w:rsid w:val="00EF4190"/>
    <w:rsid w:val="00EF41F8"/>
    <w:rsid w:val="00EF4333"/>
    <w:rsid w:val="00EF43F5"/>
    <w:rsid w:val="00EF4622"/>
    <w:rsid w:val="00EF47E0"/>
    <w:rsid w:val="00EF4A4B"/>
    <w:rsid w:val="00EF4B68"/>
    <w:rsid w:val="00EF4FD1"/>
    <w:rsid w:val="00EF50F1"/>
    <w:rsid w:val="00EF52E4"/>
    <w:rsid w:val="00EF54F5"/>
    <w:rsid w:val="00EF5604"/>
    <w:rsid w:val="00EF572F"/>
    <w:rsid w:val="00EF5785"/>
    <w:rsid w:val="00EF5A18"/>
    <w:rsid w:val="00EF5B04"/>
    <w:rsid w:val="00EF5BB8"/>
    <w:rsid w:val="00EF5C74"/>
    <w:rsid w:val="00EF5E07"/>
    <w:rsid w:val="00EF5EB2"/>
    <w:rsid w:val="00EF5FFA"/>
    <w:rsid w:val="00EF624B"/>
    <w:rsid w:val="00EF639D"/>
    <w:rsid w:val="00EF63B2"/>
    <w:rsid w:val="00EF6422"/>
    <w:rsid w:val="00EF6781"/>
    <w:rsid w:val="00EF688E"/>
    <w:rsid w:val="00EF6899"/>
    <w:rsid w:val="00EF69E3"/>
    <w:rsid w:val="00EF6AB7"/>
    <w:rsid w:val="00EF6CD0"/>
    <w:rsid w:val="00EF6FCF"/>
    <w:rsid w:val="00EF719D"/>
    <w:rsid w:val="00EF72F3"/>
    <w:rsid w:val="00EF7380"/>
    <w:rsid w:val="00EF73A2"/>
    <w:rsid w:val="00EF73B7"/>
    <w:rsid w:val="00EF75BB"/>
    <w:rsid w:val="00EF79DD"/>
    <w:rsid w:val="00EF7B7D"/>
    <w:rsid w:val="00EF7DCA"/>
    <w:rsid w:val="00EF7E81"/>
    <w:rsid w:val="00EF7E93"/>
    <w:rsid w:val="00EF7F59"/>
    <w:rsid w:val="00EF7FA5"/>
    <w:rsid w:val="00F000E4"/>
    <w:rsid w:val="00F0010A"/>
    <w:rsid w:val="00F003C6"/>
    <w:rsid w:val="00F003D0"/>
    <w:rsid w:val="00F0047D"/>
    <w:rsid w:val="00F004BD"/>
    <w:rsid w:val="00F00588"/>
    <w:rsid w:val="00F005E1"/>
    <w:rsid w:val="00F007A2"/>
    <w:rsid w:val="00F0085B"/>
    <w:rsid w:val="00F00865"/>
    <w:rsid w:val="00F009A8"/>
    <w:rsid w:val="00F00A8F"/>
    <w:rsid w:val="00F00B30"/>
    <w:rsid w:val="00F00CFC"/>
    <w:rsid w:val="00F00DBB"/>
    <w:rsid w:val="00F00E61"/>
    <w:rsid w:val="00F00E87"/>
    <w:rsid w:val="00F00FD3"/>
    <w:rsid w:val="00F01589"/>
    <w:rsid w:val="00F015C5"/>
    <w:rsid w:val="00F016B0"/>
    <w:rsid w:val="00F0170C"/>
    <w:rsid w:val="00F01826"/>
    <w:rsid w:val="00F01B8E"/>
    <w:rsid w:val="00F020C3"/>
    <w:rsid w:val="00F02318"/>
    <w:rsid w:val="00F024BA"/>
    <w:rsid w:val="00F024DD"/>
    <w:rsid w:val="00F024E1"/>
    <w:rsid w:val="00F025AC"/>
    <w:rsid w:val="00F026FE"/>
    <w:rsid w:val="00F02850"/>
    <w:rsid w:val="00F02909"/>
    <w:rsid w:val="00F02985"/>
    <w:rsid w:val="00F02B76"/>
    <w:rsid w:val="00F02D19"/>
    <w:rsid w:val="00F03089"/>
    <w:rsid w:val="00F031CA"/>
    <w:rsid w:val="00F031CF"/>
    <w:rsid w:val="00F031DC"/>
    <w:rsid w:val="00F03233"/>
    <w:rsid w:val="00F032DF"/>
    <w:rsid w:val="00F032F0"/>
    <w:rsid w:val="00F033A4"/>
    <w:rsid w:val="00F035FD"/>
    <w:rsid w:val="00F03647"/>
    <w:rsid w:val="00F0374B"/>
    <w:rsid w:val="00F0387D"/>
    <w:rsid w:val="00F03B92"/>
    <w:rsid w:val="00F0421D"/>
    <w:rsid w:val="00F04424"/>
    <w:rsid w:val="00F044DB"/>
    <w:rsid w:val="00F044EE"/>
    <w:rsid w:val="00F045FC"/>
    <w:rsid w:val="00F04604"/>
    <w:rsid w:val="00F048E4"/>
    <w:rsid w:val="00F04A5C"/>
    <w:rsid w:val="00F04AC3"/>
    <w:rsid w:val="00F04C2B"/>
    <w:rsid w:val="00F04CA2"/>
    <w:rsid w:val="00F04D0A"/>
    <w:rsid w:val="00F04DD6"/>
    <w:rsid w:val="00F04E37"/>
    <w:rsid w:val="00F04F46"/>
    <w:rsid w:val="00F04FB7"/>
    <w:rsid w:val="00F04FEC"/>
    <w:rsid w:val="00F05062"/>
    <w:rsid w:val="00F051EC"/>
    <w:rsid w:val="00F0552F"/>
    <w:rsid w:val="00F05564"/>
    <w:rsid w:val="00F05590"/>
    <w:rsid w:val="00F057BF"/>
    <w:rsid w:val="00F05979"/>
    <w:rsid w:val="00F05A67"/>
    <w:rsid w:val="00F05C83"/>
    <w:rsid w:val="00F05EFD"/>
    <w:rsid w:val="00F060ED"/>
    <w:rsid w:val="00F0620F"/>
    <w:rsid w:val="00F06285"/>
    <w:rsid w:val="00F0659E"/>
    <w:rsid w:val="00F06708"/>
    <w:rsid w:val="00F067ED"/>
    <w:rsid w:val="00F06826"/>
    <w:rsid w:val="00F0686E"/>
    <w:rsid w:val="00F06976"/>
    <w:rsid w:val="00F069DD"/>
    <w:rsid w:val="00F06F8B"/>
    <w:rsid w:val="00F072A8"/>
    <w:rsid w:val="00F07373"/>
    <w:rsid w:val="00F07542"/>
    <w:rsid w:val="00F07578"/>
    <w:rsid w:val="00F0759B"/>
    <w:rsid w:val="00F07635"/>
    <w:rsid w:val="00F07823"/>
    <w:rsid w:val="00F07850"/>
    <w:rsid w:val="00F078D6"/>
    <w:rsid w:val="00F07A72"/>
    <w:rsid w:val="00F07C6D"/>
    <w:rsid w:val="00F07E68"/>
    <w:rsid w:val="00F07FFD"/>
    <w:rsid w:val="00F10334"/>
    <w:rsid w:val="00F10393"/>
    <w:rsid w:val="00F106AC"/>
    <w:rsid w:val="00F106C2"/>
    <w:rsid w:val="00F107F9"/>
    <w:rsid w:val="00F1091D"/>
    <w:rsid w:val="00F109C1"/>
    <w:rsid w:val="00F109EC"/>
    <w:rsid w:val="00F10A2D"/>
    <w:rsid w:val="00F10BC4"/>
    <w:rsid w:val="00F11010"/>
    <w:rsid w:val="00F11034"/>
    <w:rsid w:val="00F110B3"/>
    <w:rsid w:val="00F11176"/>
    <w:rsid w:val="00F11187"/>
    <w:rsid w:val="00F112BC"/>
    <w:rsid w:val="00F113B1"/>
    <w:rsid w:val="00F11445"/>
    <w:rsid w:val="00F1146D"/>
    <w:rsid w:val="00F11524"/>
    <w:rsid w:val="00F116F6"/>
    <w:rsid w:val="00F11947"/>
    <w:rsid w:val="00F11A79"/>
    <w:rsid w:val="00F11CDA"/>
    <w:rsid w:val="00F11CDC"/>
    <w:rsid w:val="00F11D43"/>
    <w:rsid w:val="00F11DAE"/>
    <w:rsid w:val="00F11DFC"/>
    <w:rsid w:val="00F11E56"/>
    <w:rsid w:val="00F11E6D"/>
    <w:rsid w:val="00F11FCC"/>
    <w:rsid w:val="00F120AD"/>
    <w:rsid w:val="00F12104"/>
    <w:rsid w:val="00F121D9"/>
    <w:rsid w:val="00F12201"/>
    <w:rsid w:val="00F122DD"/>
    <w:rsid w:val="00F123BA"/>
    <w:rsid w:val="00F12407"/>
    <w:rsid w:val="00F124B9"/>
    <w:rsid w:val="00F124E1"/>
    <w:rsid w:val="00F125C6"/>
    <w:rsid w:val="00F125D5"/>
    <w:rsid w:val="00F129CA"/>
    <w:rsid w:val="00F12B95"/>
    <w:rsid w:val="00F12BAF"/>
    <w:rsid w:val="00F12E23"/>
    <w:rsid w:val="00F130DF"/>
    <w:rsid w:val="00F13221"/>
    <w:rsid w:val="00F1331D"/>
    <w:rsid w:val="00F13332"/>
    <w:rsid w:val="00F1337D"/>
    <w:rsid w:val="00F13458"/>
    <w:rsid w:val="00F13789"/>
    <w:rsid w:val="00F1381C"/>
    <w:rsid w:val="00F13855"/>
    <w:rsid w:val="00F1389A"/>
    <w:rsid w:val="00F1393B"/>
    <w:rsid w:val="00F13959"/>
    <w:rsid w:val="00F13A50"/>
    <w:rsid w:val="00F13BB4"/>
    <w:rsid w:val="00F13C96"/>
    <w:rsid w:val="00F13EE0"/>
    <w:rsid w:val="00F13F02"/>
    <w:rsid w:val="00F141C3"/>
    <w:rsid w:val="00F141E7"/>
    <w:rsid w:val="00F141F5"/>
    <w:rsid w:val="00F14215"/>
    <w:rsid w:val="00F14218"/>
    <w:rsid w:val="00F143F8"/>
    <w:rsid w:val="00F14542"/>
    <w:rsid w:val="00F1472F"/>
    <w:rsid w:val="00F1479F"/>
    <w:rsid w:val="00F14943"/>
    <w:rsid w:val="00F14973"/>
    <w:rsid w:val="00F149C1"/>
    <w:rsid w:val="00F14A17"/>
    <w:rsid w:val="00F14A20"/>
    <w:rsid w:val="00F14A6D"/>
    <w:rsid w:val="00F14B3C"/>
    <w:rsid w:val="00F14BAF"/>
    <w:rsid w:val="00F14BFA"/>
    <w:rsid w:val="00F14C75"/>
    <w:rsid w:val="00F14DA8"/>
    <w:rsid w:val="00F14EC8"/>
    <w:rsid w:val="00F15018"/>
    <w:rsid w:val="00F1507B"/>
    <w:rsid w:val="00F150A8"/>
    <w:rsid w:val="00F15106"/>
    <w:rsid w:val="00F1517B"/>
    <w:rsid w:val="00F1525B"/>
    <w:rsid w:val="00F152A3"/>
    <w:rsid w:val="00F153EE"/>
    <w:rsid w:val="00F1545F"/>
    <w:rsid w:val="00F154A6"/>
    <w:rsid w:val="00F155DE"/>
    <w:rsid w:val="00F15627"/>
    <w:rsid w:val="00F156D1"/>
    <w:rsid w:val="00F1577F"/>
    <w:rsid w:val="00F15780"/>
    <w:rsid w:val="00F157B2"/>
    <w:rsid w:val="00F15816"/>
    <w:rsid w:val="00F159B7"/>
    <w:rsid w:val="00F15B4D"/>
    <w:rsid w:val="00F15C0F"/>
    <w:rsid w:val="00F15D48"/>
    <w:rsid w:val="00F15DFC"/>
    <w:rsid w:val="00F15E4A"/>
    <w:rsid w:val="00F1607C"/>
    <w:rsid w:val="00F163D7"/>
    <w:rsid w:val="00F1651D"/>
    <w:rsid w:val="00F16593"/>
    <w:rsid w:val="00F1662F"/>
    <w:rsid w:val="00F166B2"/>
    <w:rsid w:val="00F166D3"/>
    <w:rsid w:val="00F16918"/>
    <w:rsid w:val="00F16BAA"/>
    <w:rsid w:val="00F16E12"/>
    <w:rsid w:val="00F16EE7"/>
    <w:rsid w:val="00F16F2E"/>
    <w:rsid w:val="00F170BF"/>
    <w:rsid w:val="00F1723D"/>
    <w:rsid w:val="00F1726B"/>
    <w:rsid w:val="00F1734D"/>
    <w:rsid w:val="00F17464"/>
    <w:rsid w:val="00F174E8"/>
    <w:rsid w:val="00F1752A"/>
    <w:rsid w:val="00F175B7"/>
    <w:rsid w:val="00F1765D"/>
    <w:rsid w:val="00F1768B"/>
    <w:rsid w:val="00F176FC"/>
    <w:rsid w:val="00F1772F"/>
    <w:rsid w:val="00F17853"/>
    <w:rsid w:val="00F178DC"/>
    <w:rsid w:val="00F1796A"/>
    <w:rsid w:val="00F17AF5"/>
    <w:rsid w:val="00F17B6F"/>
    <w:rsid w:val="00F17F75"/>
    <w:rsid w:val="00F17FFC"/>
    <w:rsid w:val="00F201FD"/>
    <w:rsid w:val="00F2020E"/>
    <w:rsid w:val="00F202CE"/>
    <w:rsid w:val="00F20353"/>
    <w:rsid w:val="00F20509"/>
    <w:rsid w:val="00F2057E"/>
    <w:rsid w:val="00F205E2"/>
    <w:rsid w:val="00F20619"/>
    <w:rsid w:val="00F208BE"/>
    <w:rsid w:val="00F20BFA"/>
    <w:rsid w:val="00F20C3D"/>
    <w:rsid w:val="00F20CB0"/>
    <w:rsid w:val="00F20D1A"/>
    <w:rsid w:val="00F20DB8"/>
    <w:rsid w:val="00F20F0F"/>
    <w:rsid w:val="00F20FD6"/>
    <w:rsid w:val="00F211A5"/>
    <w:rsid w:val="00F2134E"/>
    <w:rsid w:val="00F21386"/>
    <w:rsid w:val="00F21594"/>
    <w:rsid w:val="00F215F2"/>
    <w:rsid w:val="00F215F4"/>
    <w:rsid w:val="00F216B1"/>
    <w:rsid w:val="00F217F4"/>
    <w:rsid w:val="00F21871"/>
    <w:rsid w:val="00F218C6"/>
    <w:rsid w:val="00F2191D"/>
    <w:rsid w:val="00F21973"/>
    <w:rsid w:val="00F2198A"/>
    <w:rsid w:val="00F21A6B"/>
    <w:rsid w:val="00F21B29"/>
    <w:rsid w:val="00F21BA0"/>
    <w:rsid w:val="00F21D54"/>
    <w:rsid w:val="00F21DEA"/>
    <w:rsid w:val="00F220FA"/>
    <w:rsid w:val="00F221A7"/>
    <w:rsid w:val="00F2224C"/>
    <w:rsid w:val="00F222FB"/>
    <w:rsid w:val="00F22343"/>
    <w:rsid w:val="00F22475"/>
    <w:rsid w:val="00F22620"/>
    <w:rsid w:val="00F22904"/>
    <w:rsid w:val="00F22949"/>
    <w:rsid w:val="00F229FD"/>
    <w:rsid w:val="00F22B71"/>
    <w:rsid w:val="00F22C25"/>
    <w:rsid w:val="00F22C62"/>
    <w:rsid w:val="00F2305B"/>
    <w:rsid w:val="00F23072"/>
    <w:rsid w:val="00F23390"/>
    <w:rsid w:val="00F234DE"/>
    <w:rsid w:val="00F23678"/>
    <w:rsid w:val="00F238C3"/>
    <w:rsid w:val="00F2395B"/>
    <w:rsid w:val="00F23A20"/>
    <w:rsid w:val="00F23AC0"/>
    <w:rsid w:val="00F23B24"/>
    <w:rsid w:val="00F23B4F"/>
    <w:rsid w:val="00F23EAA"/>
    <w:rsid w:val="00F23F37"/>
    <w:rsid w:val="00F23F71"/>
    <w:rsid w:val="00F23F86"/>
    <w:rsid w:val="00F2404E"/>
    <w:rsid w:val="00F240D9"/>
    <w:rsid w:val="00F24102"/>
    <w:rsid w:val="00F24117"/>
    <w:rsid w:val="00F24191"/>
    <w:rsid w:val="00F24216"/>
    <w:rsid w:val="00F2485F"/>
    <w:rsid w:val="00F2487E"/>
    <w:rsid w:val="00F24883"/>
    <w:rsid w:val="00F2493D"/>
    <w:rsid w:val="00F24968"/>
    <w:rsid w:val="00F2496C"/>
    <w:rsid w:val="00F2499A"/>
    <w:rsid w:val="00F24AF5"/>
    <w:rsid w:val="00F24BBF"/>
    <w:rsid w:val="00F24C62"/>
    <w:rsid w:val="00F24CE4"/>
    <w:rsid w:val="00F24D0E"/>
    <w:rsid w:val="00F24DDE"/>
    <w:rsid w:val="00F24EA4"/>
    <w:rsid w:val="00F25388"/>
    <w:rsid w:val="00F255E5"/>
    <w:rsid w:val="00F25883"/>
    <w:rsid w:val="00F258E6"/>
    <w:rsid w:val="00F2591C"/>
    <w:rsid w:val="00F2599F"/>
    <w:rsid w:val="00F25B0B"/>
    <w:rsid w:val="00F25B57"/>
    <w:rsid w:val="00F25DBE"/>
    <w:rsid w:val="00F25DE3"/>
    <w:rsid w:val="00F25E90"/>
    <w:rsid w:val="00F26206"/>
    <w:rsid w:val="00F2625F"/>
    <w:rsid w:val="00F263BB"/>
    <w:rsid w:val="00F26A09"/>
    <w:rsid w:val="00F26A2B"/>
    <w:rsid w:val="00F26AB1"/>
    <w:rsid w:val="00F26CD7"/>
    <w:rsid w:val="00F26DED"/>
    <w:rsid w:val="00F26F07"/>
    <w:rsid w:val="00F26FAA"/>
    <w:rsid w:val="00F271BD"/>
    <w:rsid w:val="00F27291"/>
    <w:rsid w:val="00F27437"/>
    <w:rsid w:val="00F27497"/>
    <w:rsid w:val="00F274D5"/>
    <w:rsid w:val="00F275F4"/>
    <w:rsid w:val="00F27646"/>
    <w:rsid w:val="00F27741"/>
    <w:rsid w:val="00F27788"/>
    <w:rsid w:val="00F277CD"/>
    <w:rsid w:val="00F278DE"/>
    <w:rsid w:val="00F27920"/>
    <w:rsid w:val="00F2795A"/>
    <w:rsid w:val="00F27A69"/>
    <w:rsid w:val="00F27A81"/>
    <w:rsid w:val="00F27A8C"/>
    <w:rsid w:val="00F27AFE"/>
    <w:rsid w:val="00F27B3E"/>
    <w:rsid w:val="00F27BC7"/>
    <w:rsid w:val="00F27C89"/>
    <w:rsid w:val="00F27E49"/>
    <w:rsid w:val="00F27EB5"/>
    <w:rsid w:val="00F27FBB"/>
    <w:rsid w:val="00F30091"/>
    <w:rsid w:val="00F301BC"/>
    <w:rsid w:val="00F30663"/>
    <w:rsid w:val="00F307B9"/>
    <w:rsid w:val="00F30869"/>
    <w:rsid w:val="00F308D8"/>
    <w:rsid w:val="00F3095B"/>
    <w:rsid w:val="00F309A4"/>
    <w:rsid w:val="00F30AB5"/>
    <w:rsid w:val="00F30C0B"/>
    <w:rsid w:val="00F30CC1"/>
    <w:rsid w:val="00F30CCD"/>
    <w:rsid w:val="00F31198"/>
    <w:rsid w:val="00F31395"/>
    <w:rsid w:val="00F31458"/>
    <w:rsid w:val="00F316F0"/>
    <w:rsid w:val="00F3170C"/>
    <w:rsid w:val="00F31795"/>
    <w:rsid w:val="00F317BD"/>
    <w:rsid w:val="00F3187A"/>
    <w:rsid w:val="00F31B6C"/>
    <w:rsid w:val="00F31C3C"/>
    <w:rsid w:val="00F31C84"/>
    <w:rsid w:val="00F31C8F"/>
    <w:rsid w:val="00F31EB0"/>
    <w:rsid w:val="00F31FD6"/>
    <w:rsid w:val="00F322E4"/>
    <w:rsid w:val="00F32695"/>
    <w:rsid w:val="00F326E1"/>
    <w:rsid w:val="00F32796"/>
    <w:rsid w:val="00F328C7"/>
    <w:rsid w:val="00F32A1C"/>
    <w:rsid w:val="00F32A83"/>
    <w:rsid w:val="00F32B24"/>
    <w:rsid w:val="00F32B3D"/>
    <w:rsid w:val="00F32CC4"/>
    <w:rsid w:val="00F32EDA"/>
    <w:rsid w:val="00F32F4E"/>
    <w:rsid w:val="00F332CD"/>
    <w:rsid w:val="00F33340"/>
    <w:rsid w:val="00F3349F"/>
    <w:rsid w:val="00F335A9"/>
    <w:rsid w:val="00F336A8"/>
    <w:rsid w:val="00F336E8"/>
    <w:rsid w:val="00F337CC"/>
    <w:rsid w:val="00F33B2F"/>
    <w:rsid w:val="00F33BEF"/>
    <w:rsid w:val="00F3406A"/>
    <w:rsid w:val="00F3421D"/>
    <w:rsid w:val="00F34257"/>
    <w:rsid w:val="00F342CE"/>
    <w:rsid w:val="00F343AC"/>
    <w:rsid w:val="00F344DF"/>
    <w:rsid w:val="00F348D4"/>
    <w:rsid w:val="00F34C49"/>
    <w:rsid w:val="00F34CBC"/>
    <w:rsid w:val="00F34D35"/>
    <w:rsid w:val="00F34D42"/>
    <w:rsid w:val="00F34E2A"/>
    <w:rsid w:val="00F34EC3"/>
    <w:rsid w:val="00F350F6"/>
    <w:rsid w:val="00F3524B"/>
    <w:rsid w:val="00F3546A"/>
    <w:rsid w:val="00F35496"/>
    <w:rsid w:val="00F3549A"/>
    <w:rsid w:val="00F354B5"/>
    <w:rsid w:val="00F3557F"/>
    <w:rsid w:val="00F3576B"/>
    <w:rsid w:val="00F35A03"/>
    <w:rsid w:val="00F35BAA"/>
    <w:rsid w:val="00F35C35"/>
    <w:rsid w:val="00F3604F"/>
    <w:rsid w:val="00F36065"/>
    <w:rsid w:val="00F361FE"/>
    <w:rsid w:val="00F36307"/>
    <w:rsid w:val="00F36353"/>
    <w:rsid w:val="00F36379"/>
    <w:rsid w:val="00F36600"/>
    <w:rsid w:val="00F3674C"/>
    <w:rsid w:val="00F36A47"/>
    <w:rsid w:val="00F36A4E"/>
    <w:rsid w:val="00F36C50"/>
    <w:rsid w:val="00F36F59"/>
    <w:rsid w:val="00F37074"/>
    <w:rsid w:val="00F37250"/>
    <w:rsid w:val="00F372EA"/>
    <w:rsid w:val="00F37366"/>
    <w:rsid w:val="00F378EF"/>
    <w:rsid w:val="00F37A01"/>
    <w:rsid w:val="00F37AAC"/>
    <w:rsid w:val="00F37E02"/>
    <w:rsid w:val="00F40045"/>
    <w:rsid w:val="00F401CD"/>
    <w:rsid w:val="00F4024A"/>
    <w:rsid w:val="00F40387"/>
    <w:rsid w:val="00F403CC"/>
    <w:rsid w:val="00F40569"/>
    <w:rsid w:val="00F40583"/>
    <w:rsid w:val="00F405FC"/>
    <w:rsid w:val="00F407AF"/>
    <w:rsid w:val="00F40823"/>
    <w:rsid w:val="00F40B55"/>
    <w:rsid w:val="00F40C77"/>
    <w:rsid w:val="00F40CE0"/>
    <w:rsid w:val="00F40F30"/>
    <w:rsid w:val="00F4118E"/>
    <w:rsid w:val="00F411CE"/>
    <w:rsid w:val="00F41295"/>
    <w:rsid w:val="00F412AD"/>
    <w:rsid w:val="00F413AC"/>
    <w:rsid w:val="00F413E2"/>
    <w:rsid w:val="00F41494"/>
    <w:rsid w:val="00F41552"/>
    <w:rsid w:val="00F4164A"/>
    <w:rsid w:val="00F41714"/>
    <w:rsid w:val="00F418DC"/>
    <w:rsid w:val="00F41A38"/>
    <w:rsid w:val="00F41A6E"/>
    <w:rsid w:val="00F41B7E"/>
    <w:rsid w:val="00F41E24"/>
    <w:rsid w:val="00F4203A"/>
    <w:rsid w:val="00F421F0"/>
    <w:rsid w:val="00F422FB"/>
    <w:rsid w:val="00F4238D"/>
    <w:rsid w:val="00F4249C"/>
    <w:rsid w:val="00F424DD"/>
    <w:rsid w:val="00F4281B"/>
    <w:rsid w:val="00F42A93"/>
    <w:rsid w:val="00F42AC4"/>
    <w:rsid w:val="00F42C77"/>
    <w:rsid w:val="00F42CD3"/>
    <w:rsid w:val="00F42DF2"/>
    <w:rsid w:val="00F4319F"/>
    <w:rsid w:val="00F431D8"/>
    <w:rsid w:val="00F43244"/>
    <w:rsid w:val="00F4382F"/>
    <w:rsid w:val="00F43B43"/>
    <w:rsid w:val="00F43BE2"/>
    <w:rsid w:val="00F43C34"/>
    <w:rsid w:val="00F43CC2"/>
    <w:rsid w:val="00F43DC4"/>
    <w:rsid w:val="00F43DDD"/>
    <w:rsid w:val="00F43F16"/>
    <w:rsid w:val="00F43F22"/>
    <w:rsid w:val="00F43FA1"/>
    <w:rsid w:val="00F44078"/>
    <w:rsid w:val="00F4449C"/>
    <w:rsid w:val="00F444D8"/>
    <w:rsid w:val="00F44602"/>
    <w:rsid w:val="00F44678"/>
    <w:rsid w:val="00F4498B"/>
    <w:rsid w:val="00F44993"/>
    <w:rsid w:val="00F449B9"/>
    <w:rsid w:val="00F44C27"/>
    <w:rsid w:val="00F44EB8"/>
    <w:rsid w:val="00F44F8C"/>
    <w:rsid w:val="00F4504B"/>
    <w:rsid w:val="00F451E1"/>
    <w:rsid w:val="00F45209"/>
    <w:rsid w:val="00F45267"/>
    <w:rsid w:val="00F45409"/>
    <w:rsid w:val="00F45863"/>
    <w:rsid w:val="00F459BA"/>
    <w:rsid w:val="00F45A8F"/>
    <w:rsid w:val="00F45B4A"/>
    <w:rsid w:val="00F45E29"/>
    <w:rsid w:val="00F45E9B"/>
    <w:rsid w:val="00F46028"/>
    <w:rsid w:val="00F46091"/>
    <w:rsid w:val="00F460CA"/>
    <w:rsid w:val="00F461DE"/>
    <w:rsid w:val="00F46311"/>
    <w:rsid w:val="00F4639B"/>
    <w:rsid w:val="00F463D5"/>
    <w:rsid w:val="00F4651B"/>
    <w:rsid w:val="00F466E2"/>
    <w:rsid w:val="00F46878"/>
    <w:rsid w:val="00F46CB4"/>
    <w:rsid w:val="00F470FC"/>
    <w:rsid w:val="00F4719D"/>
    <w:rsid w:val="00F472E9"/>
    <w:rsid w:val="00F47306"/>
    <w:rsid w:val="00F475C0"/>
    <w:rsid w:val="00F4774B"/>
    <w:rsid w:val="00F47873"/>
    <w:rsid w:val="00F478B1"/>
    <w:rsid w:val="00F47A59"/>
    <w:rsid w:val="00F47CB3"/>
    <w:rsid w:val="00F47D0D"/>
    <w:rsid w:val="00F47E59"/>
    <w:rsid w:val="00F50005"/>
    <w:rsid w:val="00F50087"/>
    <w:rsid w:val="00F50197"/>
    <w:rsid w:val="00F5020B"/>
    <w:rsid w:val="00F504FD"/>
    <w:rsid w:val="00F507AF"/>
    <w:rsid w:val="00F5099F"/>
    <w:rsid w:val="00F50A0E"/>
    <w:rsid w:val="00F50D8F"/>
    <w:rsid w:val="00F50E0D"/>
    <w:rsid w:val="00F50E1C"/>
    <w:rsid w:val="00F50F0D"/>
    <w:rsid w:val="00F50F12"/>
    <w:rsid w:val="00F50F43"/>
    <w:rsid w:val="00F50F50"/>
    <w:rsid w:val="00F50F82"/>
    <w:rsid w:val="00F51065"/>
    <w:rsid w:val="00F510E7"/>
    <w:rsid w:val="00F51262"/>
    <w:rsid w:val="00F518DF"/>
    <w:rsid w:val="00F51929"/>
    <w:rsid w:val="00F51990"/>
    <w:rsid w:val="00F51A88"/>
    <w:rsid w:val="00F51BE8"/>
    <w:rsid w:val="00F51D9A"/>
    <w:rsid w:val="00F51F10"/>
    <w:rsid w:val="00F522E0"/>
    <w:rsid w:val="00F528B5"/>
    <w:rsid w:val="00F529FA"/>
    <w:rsid w:val="00F529FB"/>
    <w:rsid w:val="00F52B7A"/>
    <w:rsid w:val="00F52BCE"/>
    <w:rsid w:val="00F52DBC"/>
    <w:rsid w:val="00F52E5A"/>
    <w:rsid w:val="00F52F96"/>
    <w:rsid w:val="00F52FDB"/>
    <w:rsid w:val="00F5308B"/>
    <w:rsid w:val="00F53123"/>
    <w:rsid w:val="00F53196"/>
    <w:rsid w:val="00F5335A"/>
    <w:rsid w:val="00F53570"/>
    <w:rsid w:val="00F53605"/>
    <w:rsid w:val="00F5368F"/>
    <w:rsid w:val="00F538C3"/>
    <w:rsid w:val="00F538EA"/>
    <w:rsid w:val="00F53AC1"/>
    <w:rsid w:val="00F53BBE"/>
    <w:rsid w:val="00F53BF9"/>
    <w:rsid w:val="00F53FC4"/>
    <w:rsid w:val="00F53FE9"/>
    <w:rsid w:val="00F5417E"/>
    <w:rsid w:val="00F54495"/>
    <w:rsid w:val="00F547B4"/>
    <w:rsid w:val="00F54912"/>
    <w:rsid w:val="00F54A3F"/>
    <w:rsid w:val="00F54ACF"/>
    <w:rsid w:val="00F54B48"/>
    <w:rsid w:val="00F54E8F"/>
    <w:rsid w:val="00F54EA0"/>
    <w:rsid w:val="00F54ECF"/>
    <w:rsid w:val="00F54EDD"/>
    <w:rsid w:val="00F55030"/>
    <w:rsid w:val="00F550CF"/>
    <w:rsid w:val="00F550D1"/>
    <w:rsid w:val="00F5519F"/>
    <w:rsid w:val="00F55274"/>
    <w:rsid w:val="00F552F9"/>
    <w:rsid w:val="00F553B9"/>
    <w:rsid w:val="00F555BF"/>
    <w:rsid w:val="00F556E0"/>
    <w:rsid w:val="00F558B0"/>
    <w:rsid w:val="00F558B1"/>
    <w:rsid w:val="00F558E9"/>
    <w:rsid w:val="00F55918"/>
    <w:rsid w:val="00F55973"/>
    <w:rsid w:val="00F5599C"/>
    <w:rsid w:val="00F55EA9"/>
    <w:rsid w:val="00F55EE0"/>
    <w:rsid w:val="00F55F80"/>
    <w:rsid w:val="00F55FC4"/>
    <w:rsid w:val="00F56019"/>
    <w:rsid w:val="00F560F9"/>
    <w:rsid w:val="00F561FB"/>
    <w:rsid w:val="00F563A0"/>
    <w:rsid w:val="00F563BC"/>
    <w:rsid w:val="00F563E4"/>
    <w:rsid w:val="00F564A8"/>
    <w:rsid w:val="00F565B7"/>
    <w:rsid w:val="00F5694D"/>
    <w:rsid w:val="00F56C23"/>
    <w:rsid w:val="00F56C28"/>
    <w:rsid w:val="00F56D03"/>
    <w:rsid w:val="00F56FEE"/>
    <w:rsid w:val="00F57105"/>
    <w:rsid w:val="00F571EB"/>
    <w:rsid w:val="00F5722D"/>
    <w:rsid w:val="00F57480"/>
    <w:rsid w:val="00F57567"/>
    <w:rsid w:val="00F575F3"/>
    <w:rsid w:val="00F57615"/>
    <w:rsid w:val="00F576D0"/>
    <w:rsid w:val="00F5798C"/>
    <w:rsid w:val="00F57AF9"/>
    <w:rsid w:val="00F57D1E"/>
    <w:rsid w:val="00F57D20"/>
    <w:rsid w:val="00F57D95"/>
    <w:rsid w:val="00F57DD0"/>
    <w:rsid w:val="00F57E7B"/>
    <w:rsid w:val="00F57ECD"/>
    <w:rsid w:val="00F57F80"/>
    <w:rsid w:val="00F60175"/>
    <w:rsid w:val="00F602A0"/>
    <w:rsid w:val="00F60338"/>
    <w:rsid w:val="00F60455"/>
    <w:rsid w:val="00F604B4"/>
    <w:rsid w:val="00F60562"/>
    <w:rsid w:val="00F608F8"/>
    <w:rsid w:val="00F60C00"/>
    <w:rsid w:val="00F60D21"/>
    <w:rsid w:val="00F60E01"/>
    <w:rsid w:val="00F60EF5"/>
    <w:rsid w:val="00F60FDB"/>
    <w:rsid w:val="00F6132D"/>
    <w:rsid w:val="00F61887"/>
    <w:rsid w:val="00F619A2"/>
    <w:rsid w:val="00F61AAC"/>
    <w:rsid w:val="00F61AE5"/>
    <w:rsid w:val="00F61AEF"/>
    <w:rsid w:val="00F61BA3"/>
    <w:rsid w:val="00F61E64"/>
    <w:rsid w:val="00F61EDA"/>
    <w:rsid w:val="00F62170"/>
    <w:rsid w:val="00F622AE"/>
    <w:rsid w:val="00F62607"/>
    <w:rsid w:val="00F627E9"/>
    <w:rsid w:val="00F629DF"/>
    <w:rsid w:val="00F62B09"/>
    <w:rsid w:val="00F62B61"/>
    <w:rsid w:val="00F62FFB"/>
    <w:rsid w:val="00F6304A"/>
    <w:rsid w:val="00F630F4"/>
    <w:rsid w:val="00F63199"/>
    <w:rsid w:val="00F63273"/>
    <w:rsid w:val="00F63330"/>
    <w:rsid w:val="00F63402"/>
    <w:rsid w:val="00F63408"/>
    <w:rsid w:val="00F63550"/>
    <w:rsid w:val="00F6390B"/>
    <w:rsid w:val="00F639B4"/>
    <w:rsid w:val="00F63CAA"/>
    <w:rsid w:val="00F63CB5"/>
    <w:rsid w:val="00F63EC0"/>
    <w:rsid w:val="00F63FA6"/>
    <w:rsid w:val="00F63FB4"/>
    <w:rsid w:val="00F64028"/>
    <w:rsid w:val="00F64105"/>
    <w:rsid w:val="00F6425E"/>
    <w:rsid w:val="00F644F6"/>
    <w:rsid w:val="00F6461B"/>
    <w:rsid w:val="00F6465C"/>
    <w:rsid w:val="00F64698"/>
    <w:rsid w:val="00F64909"/>
    <w:rsid w:val="00F64B15"/>
    <w:rsid w:val="00F64CB0"/>
    <w:rsid w:val="00F64F95"/>
    <w:rsid w:val="00F64FAF"/>
    <w:rsid w:val="00F65019"/>
    <w:rsid w:val="00F65024"/>
    <w:rsid w:val="00F6503F"/>
    <w:rsid w:val="00F65137"/>
    <w:rsid w:val="00F651C3"/>
    <w:rsid w:val="00F652A4"/>
    <w:rsid w:val="00F653AA"/>
    <w:rsid w:val="00F6549E"/>
    <w:rsid w:val="00F65574"/>
    <w:rsid w:val="00F6571D"/>
    <w:rsid w:val="00F65812"/>
    <w:rsid w:val="00F65B31"/>
    <w:rsid w:val="00F66000"/>
    <w:rsid w:val="00F660C4"/>
    <w:rsid w:val="00F66235"/>
    <w:rsid w:val="00F663A8"/>
    <w:rsid w:val="00F663E9"/>
    <w:rsid w:val="00F664EC"/>
    <w:rsid w:val="00F666E0"/>
    <w:rsid w:val="00F66A2E"/>
    <w:rsid w:val="00F66D7B"/>
    <w:rsid w:val="00F66E60"/>
    <w:rsid w:val="00F674AF"/>
    <w:rsid w:val="00F6757E"/>
    <w:rsid w:val="00F675F5"/>
    <w:rsid w:val="00F67604"/>
    <w:rsid w:val="00F6784D"/>
    <w:rsid w:val="00F6795A"/>
    <w:rsid w:val="00F67B9E"/>
    <w:rsid w:val="00F67D29"/>
    <w:rsid w:val="00F67FAC"/>
    <w:rsid w:val="00F70025"/>
    <w:rsid w:val="00F70051"/>
    <w:rsid w:val="00F70131"/>
    <w:rsid w:val="00F70264"/>
    <w:rsid w:val="00F706B2"/>
    <w:rsid w:val="00F706ED"/>
    <w:rsid w:val="00F70700"/>
    <w:rsid w:val="00F707B7"/>
    <w:rsid w:val="00F708E0"/>
    <w:rsid w:val="00F70979"/>
    <w:rsid w:val="00F70AC1"/>
    <w:rsid w:val="00F70C1E"/>
    <w:rsid w:val="00F70C30"/>
    <w:rsid w:val="00F70D29"/>
    <w:rsid w:val="00F70E5F"/>
    <w:rsid w:val="00F71429"/>
    <w:rsid w:val="00F715A3"/>
    <w:rsid w:val="00F71680"/>
    <w:rsid w:val="00F7177B"/>
    <w:rsid w:val="00F7180C"/>
    <w:rsid w:val="00F7184E"/>
    <w:rsid w:val="00F71ACB"/>
    <w:rsid w:val="00F71D80"/>
    <w:rsid w:val="00F71E48"/>
    <w:rsid w:val="00F723CA"/>
    <w:rsid w:val="00F724BA"/>
    <w:rsid w:val="00F724C9"/>
    <w:rsid w:val="00F724E4"/>
    <w:rsid w:val="00F7251F"/>
    <w:rsid w:val="00F725E3"/>
    <w:rsid w:val="00F72625"/>
    <w:rsid w:val="00F7264A"/>
    <w:rsid w:val="00F726A2"/>
    <w:rsid w:val="00F72951"/>
    <w:rsid w:val="00F72971"/>
    <w:rsid w:val="00F72AA0"/>
    <w:rsid w:val="00F72D2F"/>
    <w:rsid w:val="00F72FF6"/>
    <w:rsid w:val="00F73202"/>
    <w:rsid w:val="00F73264"/>
    <w:rsid w:val="00F732E6"/>
    <w:rsid w:val="00F733CB"/>
    <w:rsid w:val="00F73526"/>
    <w:rsid w:val="00F735F9"/>
    <w:rsid w:val="00F7364D"/>
    <w:rsid w:val="00F73699"/>
    <w:rsid w:val="00F736B1"/>
    <w:rsid w:val="00F7390E"/>
    <w:rsid w:val="00F73A2E"/>
    <w:rsid w:val="00F73C59"/>
    <w:rsid w:val="00F73C77"/>
    <w:rsid w:val="00F73E46"/>
    <w:rsid w:val="00F74059"/>
    <w:rsid w:val="00F74588"/>
    <w:rsid w:val="00F745DC"/>
    <w:rsid w:val="00F746A0"/>
    <w:rsid w:val="00F74716"/>
    <w:rsid w:val="00F747DB"/>
    <w:rsid w:val="00F74843"/>
    <w:rsid w:val="00F74984"/>
    <w:rsid w:val="00F74A40"/>
    <w:rsid w:val="00F74A5D"/>
    <w:rsid w:val="00F74AA1"/>
    <w:rsid w:val="00F74CCC"/>
    <w:rsid w:val="00F74FC9"/>
    <w:rsid w:val="00F75271"/>
    <w:rsid w:val="00F754D0"/>
    <w:rsid w:val="00F754EE"/>
    <w:rsid w:val="00F756E6"/>
    <w:rsid w:val="00F75762"/>
    <w:rsid w:val="00F7576A"/>
    <w:rsid w:val="00F7577B"/>
    <w:rsid w:val="00F7586D"/>
    <w:rsid w:val="00F758A8"/>
    <w:rsid w:val="00F75959"/>
    <w:rsid w:val="00F7598A"/>
    <w:rsid w:val="00F76031"/>
    <w:rsid w:val="00F7605E"/>
    <w:rsid w:val="00F76168"/>
    <w:rsid w:val="00F761DF"/>
    <w:rsid w:val="00F76459"/>
    <w:rsid w:val="00F7646B"/>
    <w:rsid w:val="00F764FF"/>
    <w:rsid w:val="00F765E9"/>
    <w:rsid w:val="00F766A6"/>
    <w:rsid w:val="00F766E5"/>
    <w:rsid w:val="00F76763"/>
    <w:rsid w:val="00F76907"/>
    <w:rsid w:val="00F769B8"/>
    <w:rsid w:val="00F76B0D"/>
    <w:rsid w:val="00F76C3D"/>
    <w:rsid w:val="00F76CE4"/>
    <w:rsid w:val="00F76D3D"/>
    <w:rsid w:val="00F76E03"/>
    <w:rsid w:val="00F76EB0"/>
    <w:rsid w:val="00F77010"/>
    <w:rsid w:val="00F77021"/>
    <w:rsid w:val="00F7751B"/>
    <w:rsid w:val="00F775B3"/>
    <w:rsid w:val="00F7763C"/>
    <w:rsid w:val="00F77700"/>
    <w:rsid w:val="00F77888"/>
    <w:rsid w:val="00F77949"/>
    <w:rsid w:val="00F77A8F"/>
    <w:rsid w:val="00F77AC6"/>
    <w:rsid w:val="00F77AEE"/>
    <w:rsid w:val="00F77B98"/>
    <w:rsid w:val="00F77D72"/>
    <w:rsid w:val="00F77E3D"/>
    <w:rsid w:val="00F802AD"/>
    <w:rsid w:val="00F802B0"/>
    <w:rsid w:val="00F80480"/>
    <w:rsid w:val="00F80576"/>
    <w:rsid w:val="00F806DD"/>
    <w:rsid w:val="00F8078C"/>
    <w:rsid w:val="00F807C2"/>
    <w:rsid w:val="00F80824"/>
    <w:rsid w:val="00F80945"/>
    <w:rsid w:val="00F80A61"/>
    <w:rsid w:val="00F80B06"/>
    <w:rsid w:val="00F80C47"/>
    <w:rsid w:val="00F80C4E"/>
    <w:rsid w:val="00F80CC9"/>
    <w:rsid w:val="00F80D6E"/>
    <w:rsid w:val="00F80D72"/>
    <w:rsid w:val="00F80E31"/>
    <w:rsid w:val="00F80EAE"/>
    <w:rsid w:val="00F8125E"/>
    <w:rsid w:val="00F81471"/>
    <w:rsid w:val="00F81547"/>
    <w:rsid w:val="00F81743"/>
    <w:rsid w:val="00F818BF"/>
    <w:rsid w:val="00F81969"/>
    <w:rsid w:val="00F819FE"/>
    <w:rsid w:val="00F81B9D"/>
    <w:rsid w:val="00F81CA7"/>
    <w:rsid w:val="00F81DF9"/>
    <w:rsid w:val="00F820C7"/>
    <w:rsid w:val="00F82142"/>
    <w:rsid w:val="00F821DC"/>
    <w:rsid w:val="00F821FC"/>
    <w:rsid w:val="00F82355"/>
    <w:rsid w:val="00F8236E"/>
    <w:rsid w:val="00F82379"/>
    <w:rsid w:val="00F82471"/>
    <w:rsid w:val="00F8250E"/>
    <w:rsid w:val="00F825BB"/>
    <w:rsid w:val="00F8268E"/>
    <w:rsid w:val="00F826E7"/>
    <w:rsid w:val="00F82775"/>
    <w:rsid w:val="00F82798"/>
    <w:rsid w:val="00F82898"/>
    <w:rsid w:val="00F828FA"/>
    <w:rsid w:val="00F82B09"/>
    <w:rsid w:val="00F82C02"/>
    <w:rsid w:val="00F82C97"/>
    <w:rsid w:val="00F82CC4"/>
    <w:rsid w:val="00F82D6F"/>
    <w:rsid w:val="00F82FDE"/>
    <w:rsid w:val="00F830D9"/>
    <w:rsid w:val="00F83127"/>
    <w:rsid w:val="00F83164"/>
    <w:rsid w:val="00F83179"/>
    <w:rsid w:val="00F83211"/>
    <w:rsid w:val="00F832E5"/>
    <w:rsid w:val="00F833BA"/>
    <w:rsid w:val="00F83549"/>
    <w:rsid w:val="00F83578"/>
    <w:rsid w:val="00F8360C"/>
    <w:rsid w:val="00F83694"/>
    <w:rsid w:val="00F8371D"/>
    <w:rsid w:val="00F83747"/>
    <w:rsid w:val="00F83875"/>
    <w:rsid w:val="00F83ACD"/>
    <w:rsid w:val="00F83BA3"/>
    <w:rsid w:val="00F83EF7"/>
    <w:rsid w:val="00F840F4"/>
    <w:rsid w:val="00F8439C"/>
    <w:rsid w:val="00F844BB"/>
    <w:rsid w:val="00F84533"/>
    <w:rsid w:val="00F845DF"/>
    <w:rsid w:val="00F845FD"/>
    <w:rsid w:val="00F846DA"/>
    <w:rsid w:val="00F847F9"/>
    <w:rsid w:val="00F848AF"/>
    <w:rsid w:val="00F848E1"/>
    <w:rsid w:val="00F848ED"/>
    <w:rsid w:val="00F84938"/>
    <w:rsid w:val="00F84994"/>
    <w:rsid w:val="00F84A52"/>
    <w:rsid w:val="00F84BC2"/>
    <w:rsid w:val="00F84E6E"/>
    <w:rsid w:val="00F84EA0"/>
    <w:rsid w:val="00F84EFB"/>
    <w:rsid w:val="00F8516A"/>
    <w:rsid w:val="00F8547A"/>
    <w:rsid w:val="00F8548B"/>
    <w:rsid w:val="00F854D9"/>
    <w:rsid w:val="00F85525"/>
    <w:rsid w:val="00F8567D"/>
    <w:rsid w:val="00F85764"/>
    <w:rsid w:val="00F85A87"/>
    <w:rsid w:val="00F85C33"/>
    <w:rsid w:val="00F85C85"/>
    <w:rsid w:val="00F85CF6"/>
    <w:rsid w:val="00F85D49"/>
    <w:rsid w:val="00F85DDF"/>
    <w:rsid w:val="00F85E36"/>
    <w:rsid w:val="00F85F2A"/>
    <w:rsid w:val="00F85F8A"/>
    <w:rsid w:val="00F86010"/>
    <w:rsid w:val="00F8602F"/>
    <w:rsid w:val="00F8606F"/>
    <w:rsid w:val="00F860FD"/>
    <w:rsid w:val="00F861E2"/>
    <w:rsid w:val="00F864F3"/>
    <w:rsid w:val="00F865CC"/>
    <w:rsid w:val="00F86630"/>
    <w:rsid w:val="00F86810"/>
    <w:rsid w:val="00F8691A"/>
    <w:rsid w:val="00F86BB9"/>
    <w:rsid w:val="00F86BD8"/>
    <w:rsid w:val="00F86C67"/>
    <w:rsid w:val="00F86DEF"/>
    <w:rsid w:val="00F86F31"/>
    <w:rsid w:val="00F86F68"/>
    <w:rsid w:val="00F86FAC"/>
    <w:rsid w:val="00F87120"/>
    <w:rsid w:val="00F87292"/>
    <w:rsid w:val="00F874BA"/>
    <w:rsid w:val="00F87582"/>
    <w:rsid w:val="00F8772F"/>
    <w:rsid w:val="00F878FE"/>
    <w:rsid w:val="00F87909"/>
    <w:rsid w:val="00F87A8C"/>
    <w:rsid w:val="00F87B1C"/>
    <w:rsid w:val="00F87D41"/>
    <w:rsid w:val="00F87DB0"/>
    <w:rsid w:val="00F87DC6"/>
    <w:rsid w:val="00F87EC1"/>
    <w:rsid w:val="00F90131"/>
    <w:rsid w:val="00F9023F"/>
    <w:rsid w:val="00F90306"/>
    <w:rsid w:val="00F9091A"/>
    <w:rsid w:val="00F90A18"/>
    <w:rsid w:val="00F90AD9"/>
    <w:rsid w:val="00F90B15"/>
    <w:rsid w:val="00F90BA1"/>
    <w:rsid w:val="00F90ED8"/>
    <w:rsid w:val="00F910F7"/>
    <w:rsid w:val="00F91310"/>
    <w:rsid w:val="00F91525"/>
    <w:rsid w:val="00F91A5E"/>
    <w:rsid w:val="00F91AAB"/>
    <w:rsid w:val="00F91AEF"/>
    <w:rsid w:val="00F91C00"/>
    <w:rsid w:val="00F91DA6"/>
    <w:rsid w:val="00F921CA"/>
    <w:rsid w:val="00F92436"/>
    <w:rsid w:val="00F92626"/>
    <w:rsid w:val="00F92A67"/>
    <w:rsid w:val="00F92CCF"/>
    <w:rsid w:val="00F92D7A"/>
    <w:rsid w:val="00F92D9B"/>
    <w:rsid w:val="00F92DA1"/>
    <w:rsid w:val="00F92FA6"/>
    <w:rsid w:val="00F9323A"/>
    <w:rsid w:val="00F93344"/>
    <w:rsid w:val="00F93674"/>
    <w:rsid w:val="00F936AA"/>
    <w:rsid w:val="00F93850"/>
    <w:rsid w:val="00F939AD"/>
    <w:rsid w:val="00F93B27"/>
    <w:rsid w:val="00F93D46"/>
    <w:rsid w:val="00F93D84"/>
    <w:rsid w:val="00F93E99"/>
    <w:rsid w:val="00F93FC8"/>
    <w:rsid w:val="00F93FD5"/>
    <w:rsid w:val="00F93FD9"/>
    <w:rsid w:val="00F9400F"/>
    <w:rsid w:val="00F94098"/>
    <w:rsid w:val="00F940C0"/>
    <w:rsid w:val="00F941FA"/>
    <w:rsid w:val="00F94251"/>
    <w:rsid w:val="00F94377"/>
    <w:rsid w:val="00F943E2"/>
    <w:rsid w:val="00F944D2"/>
    <w:rsid w:val="00F9452C"/>
    <w:rsid w:val="00F946C6"/>
    <w:rsid w:val="00F946CA"/>
    <w:rsid w:val="00F9472B"/>
    <w:rsid w:val="00F947D5"/>
    <w:rsid w:val="00F94B6F"/>
    <w:rsid w:val="00F94F52"/>
    <w:rsid w:val="00F94FBE"/>
    <w:rsid w:val="00F95136"/>
    <w:rsid w:val="00F9520B"/>
    <w:rsid w:val="00F95475"/>
    <w:rsid w:val="00F954C1"/>
    <w:rsid w:val="00F954D0"/>
    <w:rsid w:val="00F958CC"/>
    <w:rsid w:val="00F95A07"/>
    <w:rsid w:val="00F95B82"/>
    <w:rsid w:val="00F95CB7"/>
    <w:rsid w:val="00F95D5C"/>
    <w:rsid w:val="00F95FD2"/>
    <w:rsid w:val="00F961A9"/>
    <w:rsid w:val="00F965FA"/>
    <w:rsid w:val="00F96914"/>
    <w:rsid w:val="00F969A9"/>
    <w:rsid w:val="00F96A30"/>
    <w:rsid w:val="00F96BD7"/>
    <w:rsid w:val="00F96E34"/>
    <w:rsid w:val="00F96F49"/>
    <w:rsid w:val="00F96F87"/>
    <w:rsid w:val="00F970EF"/>
    <w:rsid w:val="00F97497"/>
    <w:rsid w:val="00F974C0"/>
    <w:rsid w:val="00F976E9"/>
    <w:rsid w:val="00F97A5D"/>
    <w:rsid w:val="00F97CE6"/>
    <w:rsid w:val="00F97F24"/>
    <w:rsid w:val="00F97F5A"/>
    <w:rsid w:val="00FA0090"/>
    <w:rsid w:val="00FA0152"/>
    <w:rsid w:val="00FA0153"/>
    <w:rsid w:val="00FA0513"/>
    <w:rsid w:val="00FA0625"/>
    <w:rsid w:val="00FA0878"/>
    <w:rsid w:val="00FA087C"/>
    <w:rsid w:val="00FA0AE0"/>
    <w:rsid w:val="00FA0B26"/>
    <w:rsid w:val="00FA0BB9"/>
    <w:rsid w:val="00FA0C28"/>
    <w:rsid w:val="00FA0E0B"/>
    <w:rsid w:val="00FA1192"/>
    <w:rsid w:val="00FA125D"/>
    <w:rsid w:val="00FA1527"/>
    <w:rsid w:val="00FA1585"/>
    <w:rsid w:val="00FA162A"/>
    <w:rsid w:val="00FA1822"/>
    <w:rsid w:val="00FA1873"/>
    <w:rsid w:val="00FA18B4"/>
    <w:rsid w:val="00FA195A"/>
    <w:rsid w:val="00FA198D"/>
    <w:rsid w:val="00FA1A62"/>
    <w:rsid w:val="00FA1BA5"/>
    <w:rsid w:val="00FA1BB7"/>
    <w:rsid w:val="00FA1BE2"/>
    <w:rsid w:val="00FA1C13"/>
    <w:rsid w:val="00FA1C71"/>
    <w:rsid w:val="00FA1D1B"/>
    <w:rsid w:val="00FA1E18"/>
    <w:rsid w:val="00FA1F84"/>
    <w:rsid w:val="00FA1F94"/>
    <w:rsid w:val="00FA1FB1"/>
    <w:rsid w:val="00FA2137"/>
    <w:rsid w:val="00FA237A"/>
    <w:rsid w:val="00FA2653"/>
    <w:rsid w:val="00FA26DD"/>
    <w:rsid w:val="00FA28FC"/>
    <w:rsid w:val="00FA2983"/>
    <w:rsid w:val="00FA298F"/>
    <w:rsid w:val="00FA2B7E"/>
    <w:rsid w:val="00FA2BC0"/>
    <w:rsid w:val="00FA2E6A"/>
    <w:rsid w:val="00FA2F8C"/>
    <w:rsid w:val="00FA2FDB"/>
    <w:rsid w:val="00FA3148"/>
    <w:rsid w:val="00FA31F3"/>
    <w:rsid w:val="00FA32FF"/>
    <w:rsid w:val="00FA339F"/>
    <w:rsid w:val="00FA34F2"/>
    <w:rsid w:val="00FA3536"/>
    <w:rsid w:val="00FA3809"/>
    <w:rsid w:val="00FA3924"/>
    <w:rsid w:val="00FA3C73"/>
    <w:rsid w:val="00FA3E8E"/>
    <w:rsid w:val="00FA3F8C"/>
    <w:rsid w:val="00FA4189"/>
    <w:rsid w:val="00FA418A"/>
    <w:rsid w:val="00FA4209"/>
    <w:rsid w:val="00FA420F"/>
    <w:rsid w:val="00FA4231"/>
    <w:rsid w:val="00FA4583"/>
    <w:rsid w:val="00FA46D3"/>
    <w:rsid w:val="00FA46EF"/>
    <w:rsid w:val="00FA4715"/>
    <w:rsid w:val="00FA4A0B"/>
    <w:rsid w:val="00FA4A16"/>
    <w:rsid w:val="00FA4B78"/>
    <w:rsid w:val="00FA4D7E"/>
    <w:rsid w:val="00FA4D91"/>
    <w:rsid w:val="00FA4DAD"/>
    <w:rsid w:val="00FA4FF1"/>
    <w:rsid w:val="00FA526E"/>
    <w:rsid w:val="00FA52A6"/>
    <w:rsid w:val="00FA54C4"/>
    <w:rsid w:val="00FA553D"/>
    <w:rsid w:val="00FA55D2"/>
    <w:rsid w:val="00FA55D3"/>
    <w:rsid w:val="00FA55EB"/>
    <w:rsid w:val="00FA5839"/>
    <w:rsid w:val="00FA5840"/>
    <w:rsid w:val="00FA584A"/>
    <w:rsid w:val="00FA5866"/>
    <w:rsid w:val="00FA5B84"/>
    <w:rsid w:val="00FA5BA9"/>
    <w:rsid w:val="00FA5E07"/>
    <w:rsid w:val="00FA61AF"/>
    <w:rsid w:val="00FA646D"/>
    <w:rsid w:val="00FA65F5"/>
    <w:rsid w:val="00FA664A"/>
    <w:rsid w:val="00FA66AD"/>
    <w:rsid w:val="00FA66DB"/>
    <w:rsid w:val="00FA66DC"/>
    <w:rsid w:val="00FA676C"/>
    <w:rsid w:val="00FA6903"/>
    <w:rsid w:val="00FA690F"/>
    <w:rsid w:val="00FA6B53"/>
    <w:rsid w:val="00FA6E9D"/>
    <w:rsid w:val="00FA6FC7"/>
    <w:rsid w:val="00FA7162"/>
    <w:rsid w:val="00FA740B"/>
    <w:rsid w:val="00FA7485"/>
    <w:rsid w:val="00FA75AC"/>
    <w:rsid w:val="00FA778C"/>
    <w:rsid w:val="00FA783C"/>
    <w:rsid w:val="00FA78B6"/>
    <w:rsid w:val="00FA791C"/>
    <w:rsid w:val="00FA79F0"/>
    <w:rsid w:val="00FA7AF0"/>
    <w:rsid w:val="00FA7BF6"/>
    <w:rsid w:val="00FA7C7D"/>
    <w:rsid w:val="00FA7DF0"/>
    <w:rsid w:val="00FB00D9"/>
    <w:rsid w:val="00FB02BC"/>
    <w:rsid w:val="00FB0382"/>
    <w:rsid w:val="00FB0665"/>
    <w:rsid w:val="00FB06BB"/>
    <w:rsid w:val="00FB0781"/>
    <w:rsid w:val="00FB07D1"/>
    <w:rsid w:val="00FB0985"/>
    <w:rsid w:val="00FB0D2D"/>
    <w:rsid w:val="00FB0F7C"/>
    <w:rsid w:val="00FB0F9A"/>
    <w:rsid w:val="00FB100A"/>
    <w:rsid w:val="00FB135D"/>
    <w:rsid w:val="00FB13E3"/>
    <w:rsid w:val="00FB17A3"/>
    <w:rsid w:val="00FB17E2"/>
    <w:rsid w:val="00FB18E6"/>
    <w:rsid w:val="00FB198A"/>
    <w:rsid w:val="00FB1A77"/>
    <w:rsid w:val="00FB1C70"/>
    <w:rsid w:val="00FB1DF0"/>
    <w:rsid w:val="00FB2072"/>
    <w:rsid w:val="00FB20FD"/>
    <w:rsid w:val="00FB2192"/>
    <w:rsid w:val="00FB21B0"/>
    <w:rsid w:val="00FB21B3"/>
    <w:rsid w:val="00FB21C4"/>
    <w:rsid w:val="00FB2302"/>
    <w:rsid w:val="00FB2373"/>
    <w:rsid w:val="00FB2402"/>
    <w:rsid w:val="00FB2590"/>
    <w:rsid w:val="00FB2813"/>
    <w:rsid w:val="00FB2917"/>
    <w:rsid w:val="00FB2985"/>
    <w:rsid w:val="00FB29DA"/>
    <w:rsid w:val="00FB2DDC"/>
    <w:rsid w:val="00FB2E8B"/>
    <w:rsid w:val="00FB2F41"/>
    <w:rsid w:val="00FB2FB2"/>
    <w:rsid w:val="00FB2FD2"/>
    <w:rsid w:val="00FB3094"/>
    <w:rsid w:val="00FB30A8"/>
    <w:rsid w:val="00FB30D3"/>
    <w:rsid w:val="00FB33BF"/>
    <w:rsid w:val="00FB349B"/>
    <w:rsid w:val="00FB35F3"/>
    <w:rsid w:val="00FB361B"/>
    <w:rsid w:val="00FB3667"/>
    <w:rsid w:val="00FB394F"/>
    <w:rsid w:val="00FB39B5"/>
    <w:rsid w:val="00FB3AE6"/>
    <w:rsid w:val="00FB3BEC"/>
    <w:rsid w:val="00FB3E01"/>
    <w:rsid w:val="00FB3F5D"/>
    <w:rsid w:val="00FB4077"/>
    <w:rsid w:val="00FB408B"/>
    <w:rsid w:val="00FB40EF"/>
    <w:rsid w:val="00FB4249"/>
    <w:rsid w:val="00FB4265"/>
    <w:rsid w:val="00FB42A6"/>
    <w:rsid w:val="00FB4417"/>
    <w:rsid w:val="00FB44BC"/>
    <w:rsid w:val="00FB4573"/>
    <w:rsid w:val="00FB458E"/>
    <w:rsid w:val="00FB4605"/>
    <w:rsid w:val="00FB480D"/>
    <w:rsid w:val="00FB4AC5"/>
    <w:rsid w:val="00FB4AE5"/>
    <w:rsid w:val="00FB4D4F"/>
    <w:rsid w:val="00FB4FB0"/>
    <w:rsid w:val="00FB50DB"/>
    <w:rsid w:val="00FB5267"/>
    <w:rsid w:val="00FB52AD"/>
    <w:rsid w:val="00FB542F"/>
    <w:rsid w:val="00FB5465"/>
    <w:rsid w:val="00FB55CE"/>
    <w:rsid w:val="00FB573B"/>
    <w:rsid w:val="00FB5796"/>
    <w:rsid w:val="00FB57A6"/>
    <w:rsid w:val="00FB57C7"/>
    <w:rsid w:val="00FB5917"/>
    <w:rsid w:val="00FB59F1"/>
    <w:rsid w:val="00FB5A7E"/>
    <w:rsid w:val="00FB5C72"/>
    <w:rsid w:val="00FB5F1D"/>
    <w:rsid w:val="00FB5F30"/>
    <w:rsid w:val="00FB5F71"/>
    <w:rsid w:val="00FB615F"/>
    <w:rsid w:val="00FB626E"/>
    <w:rsid w:val="00FB67DD"/>
    <w:rsid w:val="00FB6914"/>
    <w:rsid w:val="00FB6F8D"/>
    <w:rsid w:val="00FB6FE8"/>
    <w:rsid w:val="00FB714A"/>
    <w:rsid w:val="00FB7151"/>
    <w:rsid w:val="00FB7324"/>
    <w:rsid w:val="00FB732A"/>
    <w:rsid w:val="00FB73A8"/>
    <w:rsid w:val="00FB74AB"/>
    <w:rsid w:val="00FB765E"/>
    <w:rsid w:val="00FB7894"/>
    <w:rsid w:val="00FB795C"/>
    <w:rsid w:val="00FB7B33"/>
    <w:rsid w:val="00FB7BF2"/>
    <w:rsid w:val="00FB7CFA"/>
    <w:rsid w:val="00FB7D4E"/>
    <w:rsid w:val="00FB7F1D"/>
    <w:rsid w:val="00FB7F51"/>
    <w:rsid w:val="00FC0010"/>
    <w:rsid w:val="00FC01AD"/>
    <w:rsid w:val="00FC0295"/>
    <w:rsid w:val="00FC034C"/>
    <w:rsid w:val="00FC0417"/>
    <w:rsid w:val="00FC0806"/>
    <w:rsid w:val="00FC08E8"/>
    <w:rsid w:val="00FC0B63"/>
    <w:rsid w:val="00FC0BC7"/>
    <w:rsid w:val="00FC0C05"/>
    <w:rsid w:val="00FC0E59"/>
    <w:rsid w:val="00FC0EC6"/>
    <w:rsid w:val="00FC115C"/>
    <w:rsid w:val="00FC1422"/>
    <w:rsid w:val="00FC1432"/>
    <w:rsid w:val="00FC1562"/>
    <w:rsid w:val="00FC1587"/>
    <w:rsid w:val="00FC16AE"/>
    <w:rsid w:val="00FC1AC6"/>
    <w:rsid w:val="00FC1B05"/>
    <w:rsid w:val="00FC1B1A"/>
    <w:rsid w:val="00FC1CF6"/>
    <w:rsid w:val="00FC1D86"/>
    <w:rsid w:val="00FC1EED"/>
    <w:rsid w:val="00FC1FE0"/>
    <w:rsid w:val="00FC202A"/>
    <w:rsid w:val="00FC23CD"/>
    <w:rsid w:val="00FC23CE"/>
    <w:rsid w:val="00FC2494"/>
    <w:rsid w:val="00FC24DB"/>
    <w:rsid w:val="00FC279D"/>
    <w:rsid w:val="00FC2AC5"/>
    <w:rsid w:val="00FC2B1D"/>
    <w:rsid w:val="00FC2C32"/>
    <w:rsid w:val="00FC314C"/>
    <w:rsid w:val="00FC332A"/>
    <w:rsid w:val="00FC33EB"/>
    <w:rsid w:val="00FC3425"/>
    <w:rsid w:val="00FC35B3"/>
    <w:rsid w:val="00FC3693"/>
    <w:rsid w:val="00FC3857"/>
    <w:rsid w:val="00FC3865"/>
    <w:rsid w:val="00FC38FD"/>
    <w:rsid w:val="00FC3924"/>
    <w:rsid w:val="00FC392C"/>
    <w:rsid w:val="00FC3AEA"/>
    <w:rsid w:val="00FC3CCE"/>
    <w:rsid w:val="00FC3DA1"/>
    <w:rsid w:val="00FC3DBA"/>
    <w:rsid w:val="00FC3E6D"/>
    <w:rsid w:val="00FC435A"/>
    <w:rsid w:val="00FC4614"/>
    <w:rsid w:val="00FC492F"/>
    <w:rsid w:val="00FC4D21"/>
    <w:rsid w:val="00FC4FAC"/>
    <w:rsid w:val="00FC4FE8"/>
    <w:rsid w:val="00FC4FF8"/>
    <w:rsid w:val="00FC50C4"/>
    <w:rsid w:val="00FC51D0"/>
    <w:rsid w:val="00FC51F0"/>
    <w:rsid w:val="00FC5218"/>
    <w:rsid w:val="00FC544B"/>
    <w:rsid w:val="00FC553A"/>
    <w:rsid w:val="00FC5620"/>
    <w:rsid w:val="00FC5732"/>
    <w:rsid w:val="00FC59E2"/>
    <w:rsid w:val="00FC5A4C"/>
    <w:rsid w:val="00FC5AC7"/>
    <w:rsid w:val="00FC5B2C"/>
    <w:rsid w:val="00FC5D5A"/>
    <w:rsid w:val="00FC5E1E"/>
    <w:rsid w:val="00FC5F5E"/>
    <w:rsid w:val="00FC618C"/>
    <w:rsid w:val="00FC619D"/>
    <w:rsid w:val="00FC62A9"/>
    <w:rsid w:val="00FC6734"/>
    <w:rsid w:val="00FC6751"/>
    <w:rsid w:val="00FC69BD"/>
    <w:rsid w:val="00FC6ACB"/>
    <w:rsid w:val="00FC6C58"/>
    <w:rsid w:val="00FC6DBA"/>
    <w:rsid w:val="00FC7099"/>
    <w:rsid w:val="00FC70D9"/>
    <w:rsid w:val="00FC714E"/>
    <w:rsid w:val="00FC71A4"/>
    <w:rsid w:val="00FC7255"/>
    <w:rsid w:val="00FC7285"/>
    <w:rsid w:val="00FC759F"/>
    <w:rsid w:val="00FC78AE"/>
    <w:rsid w:val="00FC78C3"/>
    <w:rsid w:val="00FC7CC2"/>
    <w:rsid w:val="00FC7F7C"/>
    <w:rsid w:val="00FC7F84"/>
    <w:rsid w:val="00FC7FF5"/>
    <w:rsid w:val="00FD00BB"/>
    <w:rsid w:val="00FD01F1"/>
    <w:rsid w:val="00FD02C3"/>
    <w:rsid w:val="00FD0615"/>
    <w:rsid w:val="00FD070E"/>
    <w:rsid w:val="00FD0743"/>
    <w:rsid w:val="00FD080A"/>
    <w:rsid w:val="00FD0AA9"/>
    <w:rsid w:val="00FD0B31"/>
    <w:rsid w:val="00FD0DBD"/>
    <w:rsid w:val="00FD133F"/>
    <w:rsid w:val="00FD134F"/>
    <w:rsid w:val="00FD14B8"/>
    <w:rsid w:val="00FD15D8"/>
    <w:rsid w:val="00FD1822"/>
    <w:rsid w:val="00FD1B2E"/>
    <w:rsid w:val="00FD1B32"/>
    <w:rsid w:val="00FD1B4F"/>
    <w:rsid w:val="00FD1C71"/>
    <w:rsid w:val="00FD1C81"/>
    <w:rsid w:val="00FD1F84"/>
    <w:rsid w:val="00FD2138"/>
    <w:rsid w:val="00FD227C"/>
    <w:rsid w:val="00FD230D"/>
    <w:rsid w:val="00FD2769"/>
    <w:rsid w:val="00FD279A"/>
    <w:rsid w:val="00FD282B"/>
    <w:rsid w:val="00FD2834"/>
    <w:rsid w:val="00FD2847"/>
    <w:rsid w:val="00FD2961"/>
    <w:rsid w:val="00FD29F3"/>
    <w:rsid w:val="00FD2C06"/>
    <w:rsid w:val="00FD2C2B"/>
    <w:rsid w:val="00FD2CA6"/>
    <w:rsid w:val="00FD2E36"/>
    <w:rsid w:val="00FD2EB3"/>
    <w:rsid w:val="00FD30FC"/>
    <w:rsid w:val="00FD3401"/>
    <w:rsid w:val="00FD3570"/>
    <w:rsid w:val="00FD35D8"/>
    <w:rsid w:val="00FD37EC"/>
    <w:rsid w:val="00FD3901"/>
    <w:rsid w:val="00FD3B08"/>
    <w:rsid w:val="00FD3B21"/>
    <w:rsid w:val="00FD3C9F"/>
    <w:rsid w:val="00FD3D22"/>
    <w:rsid w:val="00FD3D5E"/>
    <w:rsid w:val="00FD3D83"/>
    <w:rsid w:val="00FD3F45"/>
    <w:rsid w:val="00FD3FC8"/>
    <w:rsid w:val="00FD42D0"/>
    <w:rsid w:val="00FD436E"/>
    <w:rsid w:val="00FD479F"/>
    <w:rsid w:val="00FD486B"/>
    <w:rsid w:val="00FD49AD"/>
    <w:rsid w:val="00FD4F13"/>
    <w:rsid w:val="00FD503C"/>
    <w:rsid w:val="00FD5093"/>
    <w:rsid w:val="00FD5549"/>
    <w:rsid w:val="00FD5646"/>
    <w:rsid w:val="00FD565D"/>
    <w:rsid w:val="00FD580F"/>
    <w:rsid w:val="00FD5820"/>
    <w:rsid w:val="00FD5858"/>
    <w:rsid w:val="00FD592C"/>
    <w:rsid w:val="00FD5BF5"/>
    <w:rsid w:val="00FD5C43"/>
    <w:rsid w:val="00FD5D99"/>
    <w:rsid w:val="00FD5E29"/>
    <w:rsid w:val="00FD5FA4"/>
    <w:rsid w:val="00FD619D"/>
    <w:rsid w:val="00FD61AC"/>
    <w:rsid w:val="00FD65A5"/>
    <w:rsid w:val="00FD65D8"/>
    <w:rsid w:val="00FD687F"/>
    <w:rsid w:val="00FD68F1"/>
    <w:rsid w:val="00FD69E0"/>
    <w:rsid w:val="00FD69F9"/>
    <w:rsid w:val="00FD6A01"/>
    <w:rsid w:val="00FD6ACA"/>
    <w:rsid w:val="00FD6AD8"/>
    <w:rsid w:val="00FD6ADE"/>
    <w:rsid w:val="00FD6C2F"/>
    <w:rsid w:val="00FD6D5E"/>
    <w:rsid w:val="00FD6DFE"/>
    <w:rsid w:val="00FD6F1B"/>
    <w:rsid w:val="00FD6F76"/>
    <w:rsid w:val="00FD6F8E"/>
    <w:rsid w:val="00FD7046"/>
    <w:rsid w:val="00FD71B6"/>
    <w:rsid w:val="00FD72AD"/>
    <w:rsid w:val="00FD7364"/>
    <w:rsid w:val="00FD7401"/>
    <w:rsid w:val="00FD7437"/>
    <w:rsid w:val="00FD74D4"/>
    <w:rsid w:val="00FD7728"/>
    <w:rsid w:val="00FD779C"/>
    <w:rsid w:val="00FD781F"/>
    <w:rsid w:val="00FD7995"/>
    <w:rsid w:val="00FD7B3E"/>
    <w:rsid w:val="00FD7F4F"/>
    <w:rsid w:val="00FD7F6F"/>
    <w:rsid w:val="00FE014A"/>
    <w:rsid w:val="00FE02A2"/>
    <w:rsid w:val="00FE04D7"/>
    <w:rsid w:val="00FE066C"/>
    <w:rsid w:val="00FE0670"/>
    <w:rsid w:val="00FE070F"/>
    <w:rsid w:val="00FE078C"/>
    <w:rsid w:val="00FE0809"/>
    <w:rsid w:val="00FE0840"/>
    <w:rsid w:val="00FE09BD"/>
    <w:rsid w:val="00FE0A29"/>
    <w:rsid w:val="00FE0AF1"/>
    <w:rsid w:val="00FE0BB1"/>
    <w:rsid w:val="00FE0C49"/>
    <w:rsid w:val="00FE0C51"/>
    <w:rsid w:val="00FE0CB9"/>
    <w:rsid w:val="00FE0ECF"/>
    <w:rsid w:val="00FE0EDD"/>
    <w:rsid w:val="00FE0F2E"/>
    <w:rsid w:val="00FE1019"/>
    <w:rsid w:val="00FE10D1"/>
    <w:rsid w:val="00FE1115"/>
    <w:rsid w:val="00FE12B3"/>
    <w:rsid w:val="00FE1527"/>
    <w:rsid w:val="00FE1632"/>
    <w:rsid w:val="00FE18DC"/>
    <w:rsid w:val="00FE19ED"/>
    <w:rsid w:val="00FE1A20"/>
    <w:rsid w:val="00FE1A97"/>
    <w:rsid w:val="00FE1C69"/>
    <w:rsid w:val="00FE1CD0"/>
    <w:rsid w:val="00FE1DC4"/>
    <w:rsid w:val="00FE1F74"/>
    <w:rsid w:val="00FE2168"/>
    <w:rsid w:val="00FE21E9"/>
    <w:rsid w:val="00FE2272"/>
    <w:rsid w:val="00FE22CF"/>
    <w:rsid w:val="00FE2335"/>
    <w:rsid w:val="00FE2434"/>
    <w:rsid w:val="00FE2442"/>
    <w:rsid w:val="00FE24C9"/>
    <w:rsid w:val="00FE2535"/>
    <w:rsid w:val="00FE26A3"/>
    <w:rsid w:val="00FE26D6"/>
    <w:rsid w:val="00FE28FB"/>
    <w:rsid w:val="00FE29B0"/>
    <w:rsid w:val="00FE2C9E"/>
    <w:rsid w:val="00FE2EF9"/>
    <w:rsid w:val="00FE3093"/>
    <w:rsid w:val="00FE3373"/>
    <w:rsid w:val="00FE34E6"/>
    <w:rsid w:val="00FE35DF"/>
    <w:rsid w:val="00FE3665"/>
    <w:rsid w:val="00FE3793"/>
    <w:rsid w:val="00FE38A4"/>
    <w:rsid w:val="00FE38B0"/>
    <w:rsid w:val="00FE38F0"/>
    <w:rsid w:val="00FE394C"/>
    <w:rsid w:val="00FE3951"/>
    <w:rsid w:val="00FE3B6B"/>
    <w:rsid w:val="00FE3C24"/>
    <w:rsid w:val="00FE3C29"/>
    <w:rsid w:val="00FE3C68"/>
    <w:rsid w:val="00FE3EDA"/>
    <w:rsid w:val="00FE3F0B"/>
    <w:rsid w:val="00FE3FBE"/>
    <w:rsid w:val="00FE43E8"/>
    <w:rsid w:val="00FE447D"/>
    <w:rsid w:val="00FE44D5"/>
    <w:rsid w:val="00FE45CC"/>
    <w:rsid w:val="00FE472F"/>
    <w:rsid w:val="00FE474B"/>
    <w:rsid w:val="00FE4895"/>
    <w:rsid w:val="00FE491E"/>
    <w:rsid w:val="00FE4A23"/>
    <w:rsid w:val="00FE4A89"/>
    <w:rsid w:val="00FE4A9C"/>
    <w:rsid w:val="00FE4B28"/>
    <w:rsid w:val="00FE4D3C"/>
    <w:rsid w:val="00FE4F7A"/>
    <w:rsid w:val="00FE5024"/>
    <w:rsid w:val="00FE510B"/>
    <w:rsid w:val="00FE5332"/>
    <w:rsid w:val="00FE543C"/>
    <w:rsid w:val="00FE562B"/>
    <w:rsid w:val="00FE5669"/>
    <w:rsid w:val="00FE5702"/>
    <w:rsid w:val="00FE5861"/>
    <w:rsid w:val="00FE587A"/>
    <w:rsid w:val="00FE5C01"/>
    <w:rsid w:val="00FE5C39"/>
    <w:rsid w:val="00FE5D64"/>
    <w:rsid w:val="00FE5D6B"/>
    <w:rsid w:val="00FE5DA0"/>
    <w:rsid w:val="00FE5E21"/>
    <w:rsid w:val="00FE5FA7"/>
    <w:rsid w:val="00FE61AA"/>
    <w:rsid w:val="00FE622A"/>
    <w:rsid w:val="00FE636E"/>
    <w:rsid w:val="00FE6379"/>
    <w:rsid w:val="00FE643A"/>
    <w:rsid w:val="00FE654B"/>
    <w:rsid w:val="00FE65E1"/>
    <w:rsid w:val="00FE68AE"/>
    <w:rsid w:val="00FE690F"/>
    <w:rsid w:val="00FE6AA6"/>
    <w:rsid w:val="00FE6AAC"/>
    <w:rsid w:val="00FE6AF3"/>
    <w:rsid w:val="00FE6BA2"/>
    <w:rsid w:val="00FE6DB2"/>
    <w:rsid w:val="00FE6EA0"/>
    <w:rsid w:val="00FE7023"/>
    <w:rsid w:val="00FE7052"/>
    <w:rsid w:val="00FE7099"/>
    <w:rsid w:val="00FE7135"/>
    <w:rsid w:val="00FE71EA"/>
    <w:rsid w:val="00FE73D6"/>
    <w:rsid w:val="00FE75E3"/>
    <w:rsid w:val="00FE7735"/>
    <w:rsid w:val="00FE792B"/>
    <w:rsid w:val="00FE793F"/>
    <w:rsid w:val="00FE79C3"/>
    <w:rsid w:val="00FE7A84"/>
    <w:rsid w:val="00FE7C2D"/>
    <w:rsid w:val="00FE7CC3"/>
    <w:rsid w:val="00FE7E4A"/>
    <w:rsid w:val="00FE7E6B"/>
    <w:rsid w:val="00FF025C"/>
    <w:rsid w:val="00FF03BD"/>
    <w:rsid w:val="00FF0497"/>
    <w:rsid w:val="00FF04E5"/>
    <w:rsid w:val="00FF077C"/>
    <w:rsid w:val="00FF0831"/>
    <w:rsid w:val="00FF0904"/>
    <w:rsid w:val="00FF0B9D"/>
    <w:rsid w:val="00FF0C04"/>
    <w:rsid w:val="00FF0CDC"/>
    <w:rsid w:val="00FF108C"/>
    <w:rsid w:val="00FF1106"/>
    <w:rsid w:val="00FF1209"/>
    <w:rsid w:val="00FF1214"/>
    <w:rsid w:val="00FF126B"/>
    <w:rsid w:val="00FF12C2"/>
    <w:rsid w:val="00FF12DB"/>
    <w:rsid w:val="00FF13AF"/>
    <w:rsid w:val="00FF14A7"/>
    <w:rsid w:val="00FF15AF"/>
    <w:rsid w:val="00FF16FE"/>
    <w:rsid w:val="00FF1916"/>
    <w:rsid w:val="00FF19BC"/>
    <w:rsid w:val="00FF1A14"/>
    <w:rsid w:val="00FF1C08"/>
    <w:rsid w:val="00FF1C4D"/>
    <w:rsid w:val="00FF1CF5"/>
    <w:rsid w:val="00FF1D6C"/>
    <w:rsid w:val="00FF1E05"/>
    <w:rsid w:val="00FF1E5C"/>
    <w:rsid w:val="00FF1EE4"/>
    <w:rsid w:val="00FF1EF2"/>
    <w:rsid w:val="00FF1F08"/>
    <w:rsid w:val="00FF20E4"/>
    <w:rsid w:val="00FF21C4"/>
    <w:rsid w:val="00FF2275"/>
    <w:rsid w:val="00FF245D"/>
    <w:rsid w:val="00FF275D"/>
    <w:rsid w:val="00FF27AC"/>
    <w:rsid w:val="00FF283E"/>
    <w:rsid w:val="00FF297A"/>
    <w:rsid w:val="00FF29F4"/>
    <w:rsid w:val="00FF301B"/>
    <w:rsid w:val="00FF3026"/>
    <w:rsid w:val="00FF3353"/>
    <w:rsid w:val="00FF3392"/>
    <w:rsid w:val="00FF3397"/>
    <w:rsid w:val="00FF34FF"/>
    <w:rsid w:val="00FF3572"/>
    <w:rsid w:val="00FF35AE"/>
    <w:rsid w:val="00FF3871"/>
    <w:rsid w:val="00FF395B"/>
    <w:rsid w:val="00FF3C16"/>
    <w:rsid w:val="00FF3D73"/>
    <w:rsid w:val="00FF3EDD"/>
    <w:rsid w:val="00FF3FF3"/>
    <w:rsid w:val="00FF3FFE"/>
    <w:rsid w:val="00FF4006"/>
    <w:rsid w:val="00FF407B"/>
    <w:rsid w:val="00FF42AE"/>
    <w:rsid w:val="00FF42E3"/>
    <w:rsid w:val="00FF4361"/>
    <w:rsid w:val="00FF43E1"/>
    <w:rsid w:val="00FF47A5"/>
    <w:rsid w:val="00FF4901"/>
    <w:rsid w:val="00FF4C0D"/>
    <w:rsid w:val="00FF4C2D"/>
    <w:rsid w:val="00FF4CE8"/>
    <w:rsid w:val="00FF4D05"/>
    <w:rsid w:val="00FF4D1C"/>
    <w:rsid w:val="00FF51F9"/>
    <w:rsid w:val="00FF521D"/>
    <w:rsid w:val="00FF5300"/>
    <w:rsid w:val="00FF5523"/>
    <w:rsid w:val="00FF552C"/>
    <w:rsid w:val="00FF55A3"/>
    <w:rsid w:val="00FF5778"/>
    <w:rsid w:val="00FF5939"/>
    <w:rsid w:val="00FF5953"/>
    <w:rsid w:val="00FF59F6"/>
    <w:rsid w:val="00FF59FB"/>
    <w:rsid w:val="00FF5A9E"/>
    <w:rsid w:val="00FF5B58"/>
    <w:rsid w:val="00FF5CEF"/>
    <w:rsid w:val="00FF5F52"/>
    <w:rsid w:val="00FF62D2"/>
    <w:rsid w:val="00FF636A"/>
    <w:rsid w:val="00FF6495"/>
    <w:rsid w:val="00FF656D"/>
    <w:rsid w:val="00FF6719"/>
    <w:rsid w:val="00FF6827"/>
    <w:rsid w:val="00FF687B"/>
    <w:rsid w:val="00FF68B1"/>
    <w:rsid w:val="00FF69B1"/>
    <w:rsid w:val="00FF6A06"/>
    <w:rsid w:val="00FF6AA3"/>
    <w:rsid w:val="00FF6AA7"/>
    <w:rsid w:val="00FF6AEE"/>
    <w:rsid w:val="00FF6BCF"/>
    <w:rsid w:val="00FF6E05"/>
    <w:rsid w:val="00FF6F36"/>
    <w:rsid w:val="00FF6F73"/>
    <w:rsid w:val="00FF6F92"/>
    <w:rsid w:val="00FF7042"/>
    <w:rsid w:val="00FF70AC"/>
    <w:rsid w:val="00FF7157"/>
    <w:rsid w:val="00FF732E"/>
    <w:rsid w:val="00FF74A8"/>
    <w:rsid w:val="00FF76A3"/>
    <w:rsid w:val="00FF76C3"/>
    <w:rsid w:val="00FF76F2"/>
    <w:rsid w:val="00FF79D8"/>
    <w:rsid w:val="00FF7BDE"/>
    <w:rsid w:val="00FF7CD1"/>
    <w:rsid w:val="00FF7CE8"/>
    <w:rsid w:val="00FF7D73"/>
    <w:rsid w:val="40C536B0"/>
    <w:rsid w:val="40F224DE"/>
    <w:rsid w:val="45F46601"/>
    <w:rsid w:val="5327AE76"/>
    <w:rsid w:val="7576804F"/>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0E1A7"/>
  <w15:chartTrackingRefBased/>
  <w15:docId w15:val="{DDE04F85-5337-4B18-A111-4A0A643E5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80" w:line="24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5"/>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D7A48"/>
  </w:style>
  <w:style w:type="paragraph" w:styleId="Overskrift1">
    <w:name w:val="heading 1"/>
    <w:basedOn w:val="Normal"/>
    <w:next w:val="Normal"/>
    <w:link w:val="Overskrift1Tegn"/>
    <w:uiPriority w:val="9"/>
    <w:qFormat/>
    <w:rsid w:val="00193499"/>
    <w:pPr>
      <w:keepNext/>
      <w:keepLines/>
      <w:numPr>
        <w:numId w:val="29"/>
      </w:numPr>
      <w:spacing w:before="400" w:afterLines="70" w:after="70" w:line="240" w:lineRule="auto"/>
      <w:outlineLvl w:val="0"/>
    </w:pPr>
    <w:rPr>
      <w:rFonts w:asciiTheme="majorHAnsi" w:eastAsiaTheme="majorEastAsia" w:hAnsiTheme="majorHAnsi" w:cstheme="majorBidi"/>
      <w:b/>
      <w:bCs/>
      <w:sz w:val="32"/>
      <w:szCs w:val="32"/>
    </w:rPr>
  </w:style>
  <w:style w:type="paragraph" w:styleId="Overskrift2">
    <w:name w:val="heading 2"/>
    <w:basedOn w:val="Normal"/>
    <w:next w:val="Normal"/>
    <w:link w:val="Overskrift2Tegn"/>
    <w:uiPriority w:val="9"/>
    <w:qFormat/>
    <w:rsid w:val="00193499"/>
    <w:pPr>
      <w:keepNext/>
      <w:keepLines/>
      <w:numPr>
        <w:ilvl w:val="1"/>
        <w:numId w:val="29"/>
      </w:numPr>
      <w:spacing w:before="40" w:afterLines="70" w:after="168"/>
      <w:outlineLvl w:val="1"/>
    </w:pPr>
    <w:rPr>
      <w:rFonts w:asciiTheme="majorHAnsi" w:eastAsiaTheme="majorEastAsia" w:hAnsiTheme="majorHAnsi" w:cstheme="majorBidi"/>
      <w:sz w:val="28"/>
      <w:szCs w:val="28"/>
    </w:rPr>
  </w:style>
  <w:style w:type="paragraph" w:styleId="Overskrift3">
    <w:name w:val="heading 3"/>
    <w:basedOn w:val="Normal"/>
    <w:next w:val="Normal"/>
    <w:link w:val="Overskrift3Tegn"/>
    <w:uiPriority w:val="9"/>
    <w:qFormat/>
    <w:rsid w:val="003B2C71"/>
    <w:pPr>
      <w:keepNext/>
      <w:keepLines/>
      <w:numPr>
        <w:ilvl w:val="2"/>
        <w:numId w:val="29"/>
      </w:numPr>
      <w:spacing w:beforeLines="120" w:before="120" w:after="0"/>
      <w:ind w:left="1146"/>
      <w:outlineLvl w:val="2"/>
    </w:pPr>
    <w:rPr>
      <w:rFonts w:asciiTheme="majorHAnsi" w:eastAsiaTheme="majorEastAsia" w:hAnsiTheme="majorHAnsi" w:cstheme="majorBidi"/>
      <w:b/>
      <w:bCs/>
      <w:szCs w:val="24"/>
    </w:rPr>
  </w:style>
  <w:style w:type="paragraph" w:styleId="Overskrift4">
    <w:name w:val="heading 4"/>
    <w:basedOn w:val="Normal"/>
    <w:next w:val="Normal"/>
    <w:link w:val="Overskrift4Tegn"/>
    <w:uiPriority w:val="9"/>
    <w:semiHidden/>
    <w:qFormat/>
    <w:rsid w:val="00FC314C"/>
    <w:pPr>
      <w:keepNext/>
      <w:keepLines/>
      <w:numPr>
        <w:ilvl w:val="3"/>
        <w:numId w:val="29"/>
      </w:numPr>
      <w:spacing w:before="40" w:after="0"/>
      <w:outlineLvl w:val="3"/>
    </w:pPr>
    <w:rPr>
      <w:rFonts w:asciiTheme="majorHAnsi" w:eastAsiaTheme="majorEastAsia" w:hAnsiTheme="majorHAnsi" w:cstheme="majorBidi"/>
      <w:i/>
      <w:iCs/>
      <w:color w:val="BA1551" w:themeColor="accent1" w:themeShade="BF"/>
    </w:rPr>
  </w:style>
  <w:style w:type="paragraph" w:styleId="Overskrift5">
    <w:name w:val="heading 5"/>
    <w:basedOn w:val="Normal"/>
    <w:next w:val="Normal"/>
    <w:link w:val="Overskrift5Tegn"/>
    <w:uiPriority w:val="9"/>
    <w:semiHidden/>
    <w:qFormat/>
    <w:rsid w:val="00FC314C"/>
    <w:pPr>
      <w:keepNext/>
      <w:keepLines/>
      <w:numPr>
        <w:ilvl w:val="4"/>
        <w:numId w:val="29"/>
      </w:numPr>
      <w:spacing w:before="40" w:after="0"/>
      <w:outlineLvl w:val="4"/>
    </w:pPr>
    <w:rPr>
      <w:rFonts w:asciiTheme="majorHAnsi" w:eastAsiaTheme="majorEastAsia" w:hAnsiTheme="majorHAnsi" w:cstheme="majorBidi"/>
      <w:color w:val="BA1551" w:themeColor="accent1" w:themeShade="BF"/>
    </w:rPr>
  </w:style>
  <w:style w:type="paragraph" w:styleId="Overskrift6">
    <w:name w:val="heading 6"/>
    <w:basedOn w:val="Normal"/>
    <w:next w:val="Normal"/>
    <w:link w:val="Overskrift6Tegn"/>
    <w:uiPriority w:val="9"/>
    <w:semiHidden/>
    <w:qFormat/>
    <w:rsid w:val="00FC314C"/>
    <w:pPr>
      <w:keepNext/>
      <w:keepLines/>
      <w:numPr>
        <w:ilvl w:val="5"/>
        <w:numId w:val="29"/>
      </w:numPr>
      <w:spacing w:before="40" w:after="0"/>
      <w:outlineLvl w:val="5"/>
    </w:pPr>
    <w:rPr>
      <w:rFonts w:asciiTheme="majorHAnsi" w:eastAsiaTheme="majorEastAsia" w:hAnsiTheme="majorHAnsi" w:cstheme="majorBidi"/>
      <w:color w:val="7C0E35" w:themeColor="accent1" w:themeShade="7F"/>
    </w:rPr>
  </w:style>
  <w:style w:type="paragraph" w:styleId="Overskrift7">
    <w:name w:val="heading 7"/>
    <w:basedOn w:val="Normal"/>
    <w:next w:val="Normal"/>
    <w:link w:val="Overskrift7Tegn"/>
    <w:uiPriority w:val="9"/>
    <w:semiHidden/>
    <w:qFormat/>
    <w:rsid w:val="00FC314C"/>
    <w:pPr>
      <w:keepNext/>
      <w:keepLines/>
      <w:numPr>
        <w:ilvl w:val="6"/>
        <w:numId w:val="29"/>
      </w:numPr>
      <w:spacing w:before="40" w:after="0"/>
      <w:outlineLvl w:val="6"/>
    </w:pPr>
    <w:rPr>
      <w:rFonts w:asciiTheme="majorHAnsi" w:eastAsiaTheme="majorEastAsia" w:hAnsiTheme="majorHAnsi" w:cstheme="majorBidi"/>
      <w:i/>
      <w:iCs/>
      <w:color w:val="7C0E35" w:themeColor="accent1" w:themeShade="7F"/>
    </w:rPr>
  </w:style>
  <w:style w:type="paragraph" w:styleId="Overskrift8">
    <w:name w:val="heading 8"/>
    <w:basedOn w:val="Normal"/>
    <w:next w:val="Normal"/>
    <w:link w:val="Overskrift8Tegn"/>
    <w:uiPriority w:val="9"/>
    <w:semiHidden/>
    <w:qFormat/>
    <w:rsid w:val="00FC314C"/>
    <w:pPr>
      <w:keepNext/>
      <w:keepLines/>
      <w:numPr>
        <w:ilvl w:val="7"/>
        <w:numId w:val="29"/>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FC314C"/>
    <w:pPr>
      <w:keepNext/>
      <w:keepLines/>
      <w:numPr>
        <w:ilvl w:val="8"/>
        <w:numId w:val="2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7F1A88"/>
    <w:pPr>
      <w:spacing w:after="0" w:line="209" w:lineRule="auto"/>
      <w:contextualSpacing/>
    </w:pPr>
    <w:rPr>
      <w:rFonts w:asciiTheme="majorHAnsi" w:eastAsiaTheme="majorEastAsia" w:hAnsiTheme="majorHAnsi" w:cstheme="majorBidi"/>
      <w:b/>
      <w:kern w:val="28"/>
      <w:sz w:val="56"/>
      <w:szCs w:val="56"/>
    </w:rPr>
  </w:style>
  <w:style w:type="character" w:customStyle="1" w:styleId="TittelTegn">
    <w:name w:val="Tittel Tegn"/>
    <w:basedOn w:val="Standardskriftforavsnitt"/>
    <w:link w:val="Tittel"/>
    <w:uiPriority w:val="10"/>
    <w:rsid w:val="00FB5796"/>
    <w:rPr>
      <w:rFonts w:asciiTheme="majorHAnsi" w:eastAsiaTheme="majorEastAsia" w:hAnsiTheme="majorHAnsi" w:cstheme="majorBidi"/>
      <w:b/>
      <w:kern w:val="28"/>
      <w:sz w:val="56"/>
      <w:szCs w:val="56"/>
    </w:rPr>
  </w:style>
  <w:style w:type="paragraph" w:styleId="Undertittel">
    <w:name w:val="Subtitle"/>
    <w:basedOn w:val="Normal"/>
    <w:next w:val="Normal"/>
    <w:link w:val="UndertittelTegn"/>
    <w:uiPriority w:val="11"/>
    <w:qFormat/>
    <w:rsid w:val="007F1A88"/>
    <w:pPr>
      <w:numPr>
        <w:ilvl w:val="1"/>
      </w:numPr>
      <w:spacing w:after="0" w:line="240" w:lineRule="auto"/>
    </w:pPr>
    <w:rPr>
      <w:rFonts w:eastAsiaTheme="minorEastAsia"/>
      <w:color w:val="FF3399"/>
      <w:sz w:val="32"/>
      <w:szCs w:val="32"/>
    </w:rPr>
  </w:style>
  <w:style w:type="character" w:customStyle="1" w:styleId="UndertittelTegn">
    <w:name w:val="Undertittel Tegn"/>
    <w:basedOn w:val="Standardskriftforavsnitt"/>
    <w:link w:val="Undertittel"/>
    <w:uiPriority w:val="11"/>
    <w:rsid w:val="00FB5796"/>
    <w:rPr>
      <w:rFonts w:eastAsiaTheme="minorEastAsia"/>
      <w:color w:val="FF3399"/>
      <w:sz w:val="32"/>
      <w:szCs w:val="32"/>
    </w:rPr>
  </w:style>
  <w:style w:type="character" w:customStyle="1" w:styleId="Overskrift1Tegn">
    <w:name w:val="Overskrift 1 Tegn"/>
    <w:basedOn w:val="Standardskriftforavsnitt"/>
    <w:link w:val="Overskrift1"/>
    <w:uiPriority w:val="9"/>
    <w:rsid w:val="00193499"/>
    <w:rPr>
      <w:rFonts w:asciiTheme="majorHAnsi" w:eastAsiaTheme="majorEastAsia" w:hAnsiTheme="majorHAnsi" w:cstheme="majorBidi"/>
      <w:b/>
      <w:bCs/>
      <w:sz w:val="32"/>
      <w:szCs w:val="32"/>
    </w:rPr>
  </w:style>
  <w:style w:type="character" w:customStyle="1" w:styleId="Overskrift2Tegn">
    <w:name w:val="Overskrift 2 Tegn"/>
    <w:basedOn w:val="Standardskriftforavsnitt"/>
    <w:link w:val="Overskrift2"/>
    <w:uiPriority w:val="9"/>
    <w:rsid w:val="00193499"/>
    <w:rPr>
      <w:rFonts w:asciiTheme="majorHAnsi" w:eastAsiaTheme="majorEastAsia" w:hAnsiTheme="majorHAnsi" w:cstheme="majorBidi"/>
      <w:sz w:val="28"/>
      <w:szCs w:val="28"/>
    </w:rPr>
  </w:style>
  <w:style w:type="character" w:customStyle="1" w:styleId="Overskrift3Tegn">
    <w:name w:val="Overskrift 3 Tegn"/>
    <w:basedOn w:val="Standardskriftforavsnitt"/>
    <w:link w:val="Overskrift3"/>
    <w:uiPriority w:val="9"/>
    <w:rsid w:val="003B2C71"/>
    <w:rPr>
      <w:rFonts w:asciiTheme="majorHAnsi" w:eastAsiaTheme="majorEastAsia" w:hAnsiTheme="majorHAnsi" w:cstheme="majorBidi"/>
      <w:b/>
      <w:bCs/>
      <w:szCs w:val="24"/>
    </w:rPr>
  </w:style>
  <w:style w:type="paragraph" w:styleId="Topptekst">
    <w:name w:val="header"/>
    <w:basedOn w:val="Normal"/>
    <w:link w:val="TopptekstTegn"/>
    <w:uiPriority w:val="99"/>
    <w:rsid w:val="0097608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B5796"/>
  </w:style>
  <w:style w:type="paragraph" w:styleId="Bunntekst">
    <w:name w:val="footer"/>
    <w:basedOn w:val="Normal"/>
    <w:link w:val="BunntekstTegn"/>
    <w:uiPriority w:val="99"/>
    <w:semiHidden/>
    <w:rsid w:val="0097608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rsid w:val="00FB5796"/>
  </w:style>
  <w:style w:type="character" w:styleId="Plassholdertekst">
    <w:name w:val="Placeholder Text"/>
    <w:basedOn w:val="Standardskriftforavsnitt"/>
    <w:uiPriority w:val="99"/>
    <w:semiHidden/>
    <w:rsid w:val="00976083"/>
    <w:rPr>
      <w:color w:val="666666"/>
    </w:rPr>
  </w:style>
  <w:style w:type="paragraph" w:styleId="Bildetekst">
    <w:name w:val="caption"/>
    <w:basedOn w:val="Normal"/>
    <w:next w:val="Normal"/>
    <w:uiPriority w:val="35"/>
    <w:qFormat/>
    <w:rsid w:val="00155A55"/>
    <w:pPr>
      <w:spacing w:after="120" w:line="240" w:lineRule="auto"/>
    </w:pPr>
    <w:rPr>
      <w:iCs/>
      <w:color w:val="000000" w:themeColor="text1"/>
      <w:szCs w:val="18"/>
    </w:rPr>
  </w:style>
  <w:style w:type="table" w:styleId="Tabellrutenett">
    <w:name w:val="Table Grid"/>
    <w:basedOn w:val="Vanligtabell"/>
    <w:uiPriority w:val="39"/>
    <w:rsid w:val="00694690"/>
    <w:pPr>
      <w:spacing w:after="0" w:line="240" w:lineRule="auto"/>
    </w:pPr>
    <w:rPr>
      <w:rFonts w:eastAsiaTheme="minorEastAsia"/>
      <w:sz w:val="20"/>
      <w:lang w:val="nn-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4Tegn">
    <w:name w:val="Overskrift 4 Tegn"/>
    <w:basedOn w:val="Standardskriftforavsnitt"/>
    <w:link w:val="Overskrift4"/>
    <w:uiPriority w:val="9"/>
    <w:semiHidden/>
    <w:rsid w:val="00FB5796"/>
    <w:rPr>
      <w:rFonts w:asciiTheme="majorHAnsi" w:eastAsiaTheme="majorEastAsia" w:hAnsiTheme="majorHAnsi" w:cstheme="majorBidi"/>
      <w:i/>
      <w:iCs/>
      <w:color w:val="BA1551" w:themeColor="accent1" w:themeShade="BF"/>
    </w:rPr>
  </w:style>
  <w:style w:type="character" w:customStyle="1" w:styleId="Overskrift5Tegn">
    <w:name w:val="Overskrift 5 Tegn"/>
    <w:basedOn w:val="Standardskriftforavsnitt"/>
    <w:link w:val="Overskrift5"/>
    <w:uiPriority w:val="9"/>
    <w:semiHidden/>
    <w:rsid w:val="00FB5796"/>
    <w:rPr>
      <w:rFonts w:asciiTheme="majorHAnsi" w:eastAsiaTheme="majorEastAsia" w:hAnsiTheme="majorHAnsi" w:cstheme="majorBidi"/>
      <w:color w:val="BA1551" w:themeColor="accent1" w:themeShade="BF"/>
    </w:rPr>
  </w:style>
  <w:style w:type="character" w:customStyle="1" w:styleId="Overskrift6Tegn">
    <w:name w:val="Overskrift 6 Tegn"/>
    <w:basedOn w:val="Standardskriftforavsnitt"/>
    <w:link w:val="Overskrift6"/>
    <w:uiPriority w:val="9"/>
    <w:semiHidden/>
    <w:rsid w:val="00FB5796"/>
    <w:rPr>
      <w:rFonts w:asciiTheme="majorHAnsi" w:eastAsiaTheme="majorEastAsia" w:hAnsiTheme="majorHAnsi" w:cstheme="majorBidi"/>
      <w:color w:val="7C0E35" w:themeColor="accent1" w:themeShade="7F"/>
    </w:rPr>
  </w:style>
  <w:style w:type="character" w:customStyle="1" w:styleId="Overskrift7Tegn">
    <w:name w:val="Overskrift 7 Tegn"/>
    <w:basedOn w:val="Standardskriftforavsnitt"/>
    <w:link w:val="Overskrift7"/>
    <w:uiPriority w:val="9"/>
    <w:semiHidden/>
    <w:rsid w:val="00FB5796"/>
    <w:rPr>
      <w:rFonts w:asciiTheme="majorHAnsi" w:eastAsiaTheme="majorEastAsia" w:hAnsiTheme="majorHAnsi" w:cstheme="majorBidi"/>
      <w:i/>
      <w:iCs/>
      <w:color w:val="7C0E35" w:themeColor="accent1" w:themeShade="7F"/>
    </w:rPr>
  </w:style>
  <w:style w:type="character" w:customStyle="1" w:styleId="Overskrift8Tegn">
    <w:name w:val="Overskrift 8 Tegn"/>
    <w:basedOn w:val="Standardskriftforavsnitt"/>
    <w:link w:val="Overskrift8"/>
    <w:uiPriority w:val="9"/>
    <w:semiHidden/>
    <w:rsid w:val="00FB5796"/>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FB5796"/>
    <w:rPr>
      <w:rFonts w:asciiTheme="majorHAnsi" w:eastAsiaTheme="majorEastAsia" w:hAnsiTheme="majorHAnsi" w:cstheme="majorBidi"/>
      <w:i/>
      <w:iCs/>
      <w:color w:val="272727" w:themeColor="text1" w:themeTint="D8"/>
      <w:sz w:val="21"/>
      <w:szCs w:val="21"/>
    </w:rPr>
  </w:style>
  <w:style w:type="table" w:styleId="Vanligtabell3">
    <w:name w:val="Plain Table 3"/>
    <w:basedOn w:val="Vanligtabell"/>
    <w:uiPriority w:val="43"/>
    <w:rsid w:val="006909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enettabell1lys">
    <w:name w:val="Grid Table 1 Light"/>
    <w:basedOn w:val="Vanligtabell"/>
    <w:uiPriority w:val="46"/>
    <w:rsid w:val="00F3604F"/>
    <w:pPr>
      <w:spacing w:before="100" w:beforeAutospacing="1" w:after="100" w:afterAutospacing="1" w:line="240" w:lineRule="exact"/>
    </w:pPr>
    <w:rPr>
      <w:sz w:val="16"/>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left w:w="68" w:type="dxa"/>
        <w:right w:w="68" w:type="dxa"/>
      </w:tblCellMar>
    </w:tblPr>
    <w:tblStylePr w:type="firstRow">
      <w:rPr>
        <w:b/>
        <w:bCs/>
      </w:rPr>
      <w:tblPr/>
      <w:tcPr>
        <w:tcBorders>
          <w:bottom w:val="single" w:sz="12" w:space="0" w:color="666666" w:themeColor="text1" w:themeTint="99"/>
        </w:tcBorders>
      </w:tcPr>
    </w:tblStylePr>
    <w:tblStylePr w:type="lastRow">
      <w:rPr>
        <w:b/>
        <w:bCs/>
      </w:rPr>
      <w:tblPr/>
      <w:tcPr>
        <w:shd w:val="clear" w:color="auto" w:fill="E7E6E6" w:themeFill="background2"/>
      </w:tcPr>
    </w:tblStylePr>
    <w:tblStylePr w:type="firstCol">
      <w:rPr>
        <w:b/>
        <w:bCs/>
      </w:rPr>
    </w:tblStylePr>
    <w:tblStylePr w:type="lastCol">
      <w:rPr>
        <w:b/>
        <w:bCs/>
      </w:rPr>
    </w:tblStylePr>
  </w:style>
  <w:style w:type="table" w:styleId="Rutenettabell4uthevingsfarge2">
    <w:name w:val="Grid Table 4 Accent 2"/>
    <w:basedOn w:val="Vanligtabell"/>
    <w:uiPriority w:val="49"/>
    <w:rsid w:val="006909EB"/>
    <w:pPr>
      <w:spacing w:after="0" w:line="240" w:lineRule="auto"/>
    </w:pPr>
    <w:tblPr>
      <w:tblStyleRowBandSize w:val="1"/>
      <w:tblStyleColBandSize w:val="1"/>
      <w:tblBorders>
        <w:top w:val="single" w:sz="4" w:space="0" w:color="2D5CFF" w:themeColor="accent2" w:themeTint="99"/>
        <w:left w:val="single" w:sz="4" w:space="0" w:color="2D5CFF" w:themeColor="accent2" w:themeTint="99"/>
        <w:bottom w:val="single" w:sz="4" w:space="0" w:color="2D5CFF" w:themeColor="accent2" w:themeTint="99"/>
        <w:right w:val="single" w:sz="4" w:space="0" w:color="2D5CFF" w:themeColor="accent2" w:themeTint="99"/>
        <w:insideH w:val="single" w:sz="4" w:space="0" w:color="2D5CFF" w:themeColor="accent2" w:themeTint="99"/>
        <w:insideV w:val="single" w:sz="4" w:space="0" w:color="2D5CFF" w:themeColor="accent2" w:themeTint="99"/>
      </w:tblBorders>
    </w:tblPr>
    <w:tblStylePr w:type="firstRow">
      <w:rPr>
        <w:b/>
        <w:bCs/>
        <w:color w:val="FFFFFF" w:themeColor="background1"/>
      </w:rPr>
      <w:tblPr/>
      <w:tcPr>
        <w:tcBorders>
          <w:top w:val="single" w:sz="4" w:space="0" w:color="0025A0" w:themeColor="accent2"/>
          <w:left w:val="single" w:sz="4" w:space="0" w:color="0025A0" w:themeColor="accent2"/>
          <w:bottom w:val="single" w:sz="4" w:space="0" w:color="0025A0" w:themeColor="accent2"/>
          <w:right w:val="single" w:sz="4" w:space="0" w:color="0025A0" w:themeColor="accent2"/>
          <w:insideH w:val="nil"/>
          <w:insideV w:val="nil"/>
        </w:tcBorders>
        <w:shd w:val="clear" w:color="auto" w:fill="0025A0" w:themeFill="accent2"/>
      </w:tcPr>
    </w:tblStylePr>
    <w:tblStylePr w:type="lastRow">
      <w:rPr>
        <w:b/>
        <w:bCs/>
      </w:rPr>
      <w:tblPr/>
      <w:tcPr>
        <w:tcBorders>
          <w:top w:val="double" w:sz="4" w:space="0" w:color="0025A0" w:themeColor="accent2"/>
        </w:tcBorders>
      </w:tcPr>
    </w:tblStylePr>
    <w:tblStylePr w:type="firstCol">
      <w:rPr>
        <w:b/>
        <w:bCs/>
      </w:rPr>
    </w:tblStylePr>
    <w:tblStylePr w:type="lastCol">
      <w:rPr>
        <w:b/>
        <w:bCs/>
      </w:rPr>
    </w:tblStylePr>
    <w:tblStylePr w:type="band1Vert">
      <w:tblPr/>
      <w:tcPr>
        <w:shd w:val="clear" w:color="auto" w:fill="B9C8FF" w:themeFill="accent2" w:themeFillTint="33"/>
      </w:tcPr>
    </w:tblStylePr>
    <w:tblStylePr w:type="band1Horz">
      <w:tblPr/>
      <w:tcPr>
        <w:shd w:val="clear" w:color="auto" w:fill="B9C8FF" w:themeFill="accent2" w:themeFillTint="33"/>
      </w:tcPr>
    </w:tblStylePr>
  </w:style>
  <w:style w:type="paragraph" w:styleId="Overskriftforinnholdsfortegnelse">
    <w:name w:val="TOC Heading"/>
    <w:basedOn w:val="Overskrift1"/>
    <w:next w:val="Normal"/>
    <w:uiPriority w:val="39"/>
    <w:qFormat/>
    <w:rsid w:val="00390680"/>
    <w:pPr>
      <w:numPr>
        <w:numId w:val="0"/>
      </w:numPr>
      <w:spacing w:before="240" w:afterLines="0" w:after="240" w:line="259" w:lineRule="auto"/>
      <w:outlineLvl w:val="9"/>
    </w:pPr>
    <w:rPr>
      <w:b w:val="0"/>
      <w:bCs w:val="0"/>
      <w:color w:val="000000" w:themeColor="text1"/>
      <w:sz w:val="28"/>
      <w:lang w:eastAsia="nb-NO"/>
    </w:rPr>
  </w:style>
  <w:style w:type="paragraph" w:styleId="INNH2">
    <w:name w:val="toc 2"/>
    <w:basedOn w:val="Normal"/>
    <w:next w:val="Normal"/>
    <w:autoRedefine/>
    <w:uiPriority w:val="39"/>
    <w:rsid w:val="004C31C8"/>
    <w:pPr>
      <w:tabs>
        <w:tab w:val="right" w:leader="dot" w:pos="9016"/>
      </w:tabs>
      <w:spacing w:after="100"/>
      <w:ind w:left="220"/>
    </w:pPr>
    <w:rPr>
      <w:sz w:val="20"/>
    </w:rPr>
  </w:style>
  <w:style w:type="paragraph" w:styleId="INNH1">
    <w:name w:val="toc 1"/>
    <w:basedOn w:val="Normal"/>
    <w:next w:val="Normal"/>
    <w:autoRedefine/>
    <w:uiPriority w:val="39"/>
    <w:rsid w:val="00F05062"/>
    <w:pPr>
      <w:tabs>
        <w:tab w:val="right" w:leader="dot" w:pos="9016"/>
      </w:tabs>
      <w:spacing w:after="100"/>
    </w:pPr>
    <w:rPr>
      <w:sz w:val="20"/>
    </w:rPr>
  </w:style>
  <w:style w:type="paragraph" w:styleId="INNH3">
    <w:name w:val="toc 3"/>
    <w:basedOn w:val="Normal"/>
    <w:next w:val="Normal"/>
    <w:autoRedefine/>
    <w:uiPriority w:val="39"/>
    <w:rsid w:val="009D23C9"/>
    <w:pPr>
      <w:tabs>
        <w:tab w:val="right" w:leader="dot" w:pos="9016"/>
      </w:tabs>
      <w:spacing w:after="100"/>
      <w:ind w:left="440"/>
    </w:pPr>
    <w:rPr>
      <w:sz w:val="20"/>
    </w:rPr>
  </w:style>
  <w:style w:type="character" w:styleId="Hyperkobling">
    <w:name w:val="Hyperlink"/>
    <w:basedOn w:val="Standardskriftforavsnitt"/>
    <w:uiPriority w:val="99"/>
    <w:rsid w:val="006909EB"/>
    <w:rPr>
      <w:color w:val="0563C1" w:themeColor="hyperlink"/>
      <w:u w:val="single"/>
    </w:rPr>
  </w:style>
  <w:style w:type="paragraph" w:styleId="Figurliste">
    <w:name w:val="table of figures"/>
    <w:basedOn w:val="Normal"/>
    <w:next w:val="Normal"/>
    <w:uiPriority w:val="99"/>
    <w:rsid w:val="002E5842"/>
    <w:pPr>
      <w:pBdr>
        <w:top w:val="dashSmallGap" w:sz="4" w:space="1" w:color="auto"/>
        <w:bottom w:val="dashSmallGap" w:sz="4" w:space="1" w:color="auto"/>
      </w:pBdr>
      <w:spacing w:after="0" w:line="240" w:lineRule="auto"/>
    </w:pPr>
    <w:rPr>
      <w:rFonts w:asciiTheme="majorHAnsi" w:eastAsia="Times New Roman" w:hAnsiTheme="majorHAnsi" w:cs="Times New Roman"/>
      <w:sz w:val="18"/>
      <w:szCs w:val="24"/>
    </w:rPr>
  </w:style>
  <w:style w:type="paragraph" w:customStyle="1" w:styleId="uNummerertH2">
    <w:name w:val="uNummerert H2"/>
    <w:basedOn w:val="Normal"/>
    <w:semiHidden/>
    <w:rsid w:val="00FB5796"/>
    <w:pPr>
      <w:spacing w:after="330" w:line="480" w:lineRule="exact"/>
    </w:pPr>
    <w:rPr>
      <w:rFonts w:ascii="Verdana" w:eastAsia="Times New Roman" w:hAnsi="Verdana" w:cs="Arial"/>
      <w:bCs/>
      <w:kern w:val="32"/>
      <w:sz w:val="48"/>
      <w:szCs w:val="32"/>
    </w:rPr>
  </w:style>
  <w:style w:type="paragraph" w:styleId="Brdtekst">
    <w:name w:val="Body Text"/>
    <w:basedOn w:val="Normal"/>
    <w:link w:val="BrdtekstTegn"/>
    <w:uiPriority w:val="5"/>
    <w:rsid w:val="00FB5796"/>
    <w:pPr>
      <w:spacing w:after="0"/>
    </w:pPr>
    <w:rPr>
      <w:rFonts w:ascii="Verdana" w:eastAsia="Times New Roman" w:hAnsi="Verdana" w:cs="Times New Roman"/>
      <w:sz w:val="19"/>
      <w:szCs w:val="24"/>
    </w:rPr>
  </w:style>
  <w:style w:type="character" w:customStyle="1" w:styleId="BrdtekstTegn">
    <w:name w:val="Brødtekst Tegn"/>
    <w:basedOn w:val="Standardskriftforavsnitt"/>
    <w:link w:val="Brdtekst"/>
    <w:uiPriority w:val="5"/>
    <w:rsid w:val="00FB5796"/>
    <w:rPr>
      <w:rFonts w:ascii="Verdana" w:eastAsia="Times New Roman" w:hAnsi="Verdana" w:cs="Times New Roman"/>
      <w:sz w:val="19"/>
      <w:szCs w:val="24"/>
    </w:rPr>
  </w:style>
  <w:style w:type="table" w:styleId="Listetabell4uthevingsfarge2">
    <w:name w:val="List Table 4 Accent 2"/>
    <w:basedOn w:val="Vanligtabell"/>
    <w:uiPriority w:val="49"/>
    <w:rsid w:val="00694690"/>
    <w:pPr>
      <w:spacing w:after="0" w:line="240" w:lineRule="auto"/>
    </w:pPr>
    <w:tblPr>
      <w:tblStyleRowBandSize w:val="1"/>
      <w:tblStyleColBandSize w:val="1"/>
      <w:tblBorders>
        <w:top w:val="single" w:sz="4" w:space="0" w:color="2D5CFF" w:themeColor="accent2" w:themeTint="99"/>
        <w:left w:val="single" w:sz="4" w:space="0" w:color="2D5CFF" w:themeColor="accent2" w:themeTint="99"/>
        <w:bottom w:val="single" w:sz="4" w:space="0" w:color="2D5CFF" w:themeColor="accent2" w:themeTint="99"/>
        <w:right w:val="single" w:sz="4" w:space="0" w:color="2D5CFF" w:themeColor="accent2" w:themeTint="99"/>
        <w:insideH w:val="single" w:sz="4" w:space="0" w:color="2D5CFF" w:themeColor="accent2" w:themeTint="99"/>
      </w:tblBorders>
    </w:tblPr>
    <w:tblStylePr w:type="firstRow">
      <w:rPr>
        <w:b/>
        <w:bCs/>
        <w:color w:val="FFFFFF" w:themeColor="background1"/>
      </w:rPr>
      <w:tblPr/>
      <w:tcPr>
        <w:tcBorders>
          <w:top w:val="single" w:sz="4" w:space="0" w:color="0025A0" w:themeColor="accent2"/>
          <w:left w:val="single" w:sz="4" w:space="0" w:color="0025A0" w:themeColor="accent2"/>
          <w:bottom w:val="single" w:sz="4" w:space="0" w:color="0025A0" w:themeColor="accent2"/>
          <w:right w:val="single" w:sz="4" w:space="0" w:color="0025A0" w:themeColor="accent2"/>
          <w:insideH w:val="nil"/>
        </w:tcBorders>
        <w:shd w:val="clear" w:color="auto" w:fill="0025A0" w:themeFill="accent2"/>
      </w:tcPr>
    </w:tblStylePr>
    <w:tblStylePr w:type="lastRow">
      <w:rPr>
        <w:b/>
        <w:bCs/>
      </w:rPr>
      <w:tblPr/>
      <w:tcPr>
        <w:tcBorders>
          <w:top w:val="double" w:sz="4" w:space="0" w:color="2D5CFF" w:themeColor="accent2" w:themeTint="99"/>
        </w:tcBorders>
      </w:tcPr>
    </w:tblStylePr>
    <w:tblStylePr w:type="firstCol">
      <w:rPr>
        <w:b/>
        <w:bCs/>
      </w:rPr>
    </w:tblStylePr>
    <w:tblStylePr w:type="lastCol">
      <w:rPr>
        <w:b/>
        <w:bCs/>
      </w:rPr>
    </w:tblStylePr>
    <w:tblStylePr w:type="band1Vert">
      <w:tblPr/>
      <w:tcPr>
        <w:shd w:val="clear" w:color="auto" w:fill="B9C8FF" w:themeFill="accent2" w:themeFillTint="33"/>
      </w:tcPr>
    </w:tblStylePr>
    <w:tblStylePr w:type="band1Horz">
      <w:tblPr/>
      <w:tcPr>
        <w:shd w:val="clear" w:color="auto" w:fill="B9C8FF" w:themeFill="accent2" w:themeFillTint="33"/>
      </w:tcPr>
    </w:tblStylePr>
  </w:style>
  <w:style w:type="table" w:styleId="Rutenettabell1lysuthevingsfarge5">
    <w:name w:val="Grid Table 1 Light Accent 5"/>
    <w:basedOn w:val="Vanligtabell"/>
    <w:uiPriority w:val="46"/>
    <w:rsid w:val="00694690"/>
    <w:pPr>
      <w:spacing w:after="0" w:line="240" w:lineRule="auto"/>
    </w:pPr>
    <w:tblPr>
      <w:tblStyleRowBandSize w:val="1"/>
      <w:tblStyleColBandSize w:val="1"/>
      <w:tblBorders>
        <w:top w:val="single" w:sz="4" w:space="0" w:color="FFD0B3" w:themeColor="accent5" w:themeTint="66"/>
        <w:left w:val="single" w:sz="4" w:space="0" w:color="FFD0B3" w:themeColor="accent5" w:themeTint="66"/>
        <w:bottom w:val="single" w:sz="4" w:space="0" w:color="FFD0B3" w:themeColor="accent5" w:themeTint="66"/>
        <w:right w:val="single" w:sz="4" w:space="0" w:color="FFD0B3" w:themeColor="accent5" w:themeTint="66"/>
        <w:insideH w:val="single" w:sz="4" w:space="0" w:color="FFD0B3" w:themeColor="accent5" w:themeTint="66"/>
        <w:insideV w:val="single" w:sz="4" w:space="0" w:color="FFD0B3" w:themeColor="accent5" w:themeTint="66"/>
      </w:tblBorders>
    </w:tblPr>
    <w:tblStylePr w:type="firstRow">
      <w:rPr>
        <w:b/>
        <w:bCs/>
      </w:rPr>
      <w:tblPr/>
      <w:tcPr>
        <w:tcBorders>
          <w:bottom w:val="single" w:sz="12" w:space="0" w:color="FFB98E" w:themeColor="accent5" w:themeTint="99"/>
        </w:tcBorders>
      </w:tcPr>
    </w:tblStylePr>
    <w:tblStylePr w:type="lastRow">
      <w:rPr>
        <w:b/>
        <w:bCs/>
      </w:rPr>
      <w:tblPr/>
      <w:tcPr>
        <w:tcBorders>
          <w:top w:val="double" w:sz="2" w:space="0" w:color="FFB98E" w:themeColor="accent5" w:themeTint="99"/>
        </w:tcBorders>
      </w:tcPr>
    </w:tblStylePr>
    <w:tblStylePr w:type="firstCol">
      <w:rPr>
        <w:b/>
        <w:bCs/>
      </w:rPr>
    </w:tblStylePr>
    <w:tblStylePr w:type="lastCol">
      <w:rPr>
        <w:b/>
        <w:bCs/>
      </w:rPr>
    </w:tblStylePr>
  </w:style>
  <w:style w:type="paragraph" w:customStyle="1" w:styleId="Tabelltekst">
    <w:name w:val="Tabelltekst"/>
    <w:basedOn w:val="Normal"/>
    <w:qFormat/>
    <w:rsid w:val="00436D56"/>
    <w:pPr>
      <w:spacing w:after="0" w:line="240" w:lineRule="auto"/>
    </w:pPr>
    <w:rPr>
      <w:sz w:val="20"/>
    </w:rPr>
  </w:style>
  <w:style w:type="paragraph" w:customStyle="1" w:styleId="Merknad">
    <w:name w:val="Merknad"/>
    <w:basedOn w:val="Normal"/>
    <w:uiPriority w:val="22"/>
    <w:qFormat/>
    <w:rsid w:val="00BA1CE9"/>
    <w:pPr>
      <w:spacing w:before="160" w:after="0"/>
    </w:pPr>
    <w:rPr>
      <w:sz w:val="18"/>
    </w:rPr>
  </w:style>
  <w:style w:type="paragraph" w:customStyle="1" w:styleId="Litteratur">
    <w:name w:val="Litteratur"/>
    <w:basedOn w:val="Normal"/>
    <w:uiPriority w:val="22"/>
    <w:qFormat/>
    <w:rsid w:val="00B13E44"/>
    <w:pPr>
      <w:ind w:left="357" w:hanging="357"/>
    </w:pPr>
    <w:rPr>
      <w:sz w:val="18"/>
      <w:lang w:eastAsia="nb-NO"/>
    </w:rPr>
  </w:style>
  <w:style w:type="table" w:styleId="Rutenettabell1lysuthevingsfarge6">
    <w:name w:val="Grid Table 1 Light Accent 6"/>
    <w:basedOn w:val="Vanligtabell"/>
    <w:uiPriority w:val="46"/>
    <w:rsid w:val="00EC342F"/>
    <w:pPr>
      <w:spacing w:after="0" w:line="240" w:lineRule="auto"/>
    </w:pPr>
    <w:rPr>
      <w:kern w:val="2"/>
      <w14:ligatures w14:val="standardContextual"/>
    </w:rPr>
    <w:tblPr>
      <w:tblStyleRowBandSize w:val="1"/>
      <w:tblStyleColBandSize w:val="1"/>
      <w:tblBorders>
        <w:top w:val="single" w:sz="4" w:space="0" w:color="FF76A2" w:themeColor="accent6" w:themeTint="66"/>
        <w:left w:val="single" w:sz="4" w:space="0" w:color="FF76A2" w:themeColor="accent6" w:themeTint="66"/>
        <w:bottom w:val="single" w:sz="4" w:space="0" w:color="FF76A2" w:themeColor="accent6" w:themeTint="66"/>
        <w:right w:val="single" w:sz="4" w:space="0" w:color="FF76A2" w:themeColor="accent6" w:themeTint="66"/>
        <w:insideH w:val="single" w:sz="4" w:space="0" w:color="FF76A2" w:themeColor="accent6" w:themeTint="66"/>
        <w:insideV w:val="single" w:sz="4" w:space="0" w:color="FF76A2" w:themeColor="accent6" w:themeTint="66"/>
      </w:tblBorders>
    </w:tblPr>
    <w:tblStylePr w:type="firstRow">
      <w:rPr>
        <w:b/>
        <w:bCs/>
      </w:rPr>
      <w:tblPr/>
      <w:tcPr>
        <w:tcBorders>
          <w:bottom w:val="single" w:sz="12" w:space="0" w:color="FF3174" w:themeColor="accent6" w:themeTint="99"/>
        </w:tcBorders>
      </w:tcPr>
    </w:tblStylePr>
    <w:tblStylePr w:type="lastRow">
      <w:rPr>
        <w:b/>
        <w:bCs/>
      </w:rPr>
      <w:tblPr/>
      <w:tcPr>
        <w:tcBorders>
          <w:top w:val="double" w:sz="2" w:space="0" w:color="FF3174" w:themeColor="accent6" w:themeTint="99"/>
        </w:tcBorders>
      </w:tcPr>
    </w:tblStylePr>
    <w:tblStylePr w:type="firstCol">
      <w:rPr>
        <w:b/>
        <w:bCs/>
      </w:rPr>
    </w:tblStylePr>
    <w:tblStylePr w:type="lastCol">
      <w:rPr>
        <w:b/>
        <w:bCs/>
      </w:rPr>
    </w:tblStylePr>
  </w:style>
  <w:style w:type="table" w:styleId="Rutenettabell5mrkuthevingsfarge2">
    <w:name w:val="Grid Table 5 Dark Accent 2"/>
    <w:basedOn w:val="Vanligtabell"/>
    <w:uiPriority w:val="50"/>
    <w:rsid w:val="00EC34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C8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5A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5A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5A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5A0" w:themeFill="accent2"/>
      </w:tcPr>
    </w:tblStylePr>
    <w:tblStylePr w:type="band1Vert">
      <w:tblPr/>
      <w:tcPr>
        <w:shd w:val="clear" w:color="auto" w:fill="7392FF" w:themeFill="accent2" w:themeFillTint="66"/>
      </w:tcPr>
    </w:tblStylePr>
    <w:tblStylePr w:type="band1Horz">
      <w:tblPr/>
      <w:tcPr>
        <w:shd w:val="clear" w:color="auto" w:fill="7392FF" w:themeFill="accent2" w:themeFillTint="66"/>
      </w:tcPr>
    </w:tblStylePr>
  </w:style>
  <w:style w:type="table" w:styleId="Listetabell3uthevingsfarge2">
    <w:name w:val="List Table 3 Accent 2"/>
    <w:basedOn w:val="Vanligtabell"/>
    <w:uiPriority w:val="48"/>
    <w:rsid w:val="00EC342F"/>
    <w:pPr>
      <w:spacing w:after="0" w:line="240" w:lineRule="auto"/>
    </w:pPr>
    <w:tblPr>
      <w:tblStyleRowBandSize w:val="1"/>
      <w:tblStyleColBandSize w:val="1"/>
      <w:tblBorders>
        <w:top w:val="single" w:sz="4" w:space="0" w:color="0025A0" w:themeColor="accent2"/>
        <w:left w:val="single" w:sz="4" w:space="0" w:color="0025A0" w:themeColor="accent2"/>
        <w:bottom w:val="single" w:sz="4" w:space="0" w:color="0025A0" w:themeColor="accent2"/>
        <w:right w:val="single" w:sz="4" w:space="0" w:color="0025A0" w:themeColor="accent2"/>
      </w:tblBorders>
    </w:tblPr>
    <w:tblStylePr w:type="firstRow">
      <w:rPr>
        <w:b/>
        <w:bCs/>
        <w:color w:val="FFFFFF" w:themeColor="background1"/>
      </w:rPr>
      <w:tblPr/>
      <w:tcPr>
        <w:shd w:val="clear" w:color="auto" w:fill="0025A0" w:themeFill="accent2"/>
      </w:tcPr>
    </w:tblStylePr>
    <w:tblStylePr w:type="lastRow">
      <w:rPr>
        <w:b/>
        <w:bCs/>
      </w:rPr>
      <w:tblPr/>
      <w:tcPr>
        <w:tcBorders>
          <w:top w:val="double" w:sz="4" w:space="0" w:color="0025A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A0" w:themeColor="accent2"/>
          <w:right w:val="single" w:sz="4" w:space="0" w:color="0025A0" w:themeColor="accent2"/>
        </w:tcBorders>
      </w:tcPr>
    </w:tblStylePr>
    <w:tblStylePr w:type="band1Horz">
      <w:tblPr/>
      <w:tcPr>
        <w:tcBorders>
          <w:top w:val="single" w:sz="4" w:space="0" w:color="0025A0" w:themeColor="accent2"/>
          <w:bottom w:val="single" w:sz="4" w:space="0" w:color="0025A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A0" w:themeColor="accent2"/>
          <w:left w:val="nil"/>
        </w:tcBorders>
      </w:tcPr>
    </w:tblStylePr>
    <w:tblStylePr w:type="swCell">
      <w:tblPr/>
      <w:tcPr>
        <w:tcBorders>
          <w:top w:val="double" w:sz="4" w:space="0" w:color="0025A0" w:themeColor="accent2"/>
          <w:right w:val="nil"/>
        </w:tcBorders>
      </w:tcPr>
    </w:tblStylePr>
  </w:style>
  <w:style w:type="table" w:styleId="Listetabell3uthevingsfarge5">
    <w:name w:val="List Table 3 Accent 5"/>
    <w:basedOn w:val="Vanligtabell"/>
    <w:uiPriority w:val="48"/>
    <w:rsid w:val="00EC342F"/>
    <w:pPr>
      <w:spacing w:after="0" w:line="240" w:lineRule="auto"/>
    </w:pPr>
    <w:tblPr>
      <w:tblStyleRowBandSize w:val="1"/>
      <w:tblStyleColBandSize w:val="1"/>
      <w:tblBorders>
        <w:top w:val="single" w:sz="4" w:space="0" w:color="FF8C43" w:themeColor="accent5"/>
        <w:left w:val="single" w:sz="4" w:space="0" w:color="FF8C43" w:themeColor="accent5"/>
        <w:bottom w:val="single" w:sz="4" w:space="0" w:color="FF8C43" w:themeColor="accent5"/>
        <w:right w:val="single" w:sz="4" w:space="0" w:color="FF8C43" w:themeColor="accent5"/>
      </w:tblBorders>
    </w:tblPr>
    <w:tblStylePr w:type="firstRow">
      <w:rPr>
        <w:b/>
        <w:bCs/>
        <w:color w:val="FFFFFF" w:themeColor="background1"/>
      </w:rPr>
      <w:tblPr/>
      <w:tcPr>
        <w:shd w:val="clear" w:color="auto" w:fill="FF8C43" w:themeFill="accent5"/>
      </w:tcPr>
    </w:tblStylePr>
    <w:tblStylePr w:type="lastRow">
      <w:rPr>
        <w:b/>
        <w:bCs/>
      </w:rPr>
      <w:tblPr/>
      <w:tcPr>
        <w:tcBorders>
          <w:top w:val="double" w:sz="4" w:space="0" w:color="FF8C4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C43" w:themeColor="accent5"/>
          <w:right w:val="single" w:sz="4" w:space="0" w:color="FF8C43" w:themeColor="accent5"/>
        </w:tcBorders>
      </w:tcPr>
    </w:tblStylePr>
    <w:tblStylePr w:type="band1Horz">
      <w:tblPr/>
      <w:tcPr>
        <w:tcBorders>
          <w:top w:val="single" w:sz="4" w:space="0" w:color="FF8C43" w:themeColor="accent5"/>
          <w:bottom w:val="single" w:sz="4" w:space="0" w:color="FF8C4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C43" w:themeColor="accent5"/>
          <w:left w:val="nil"/>
        </w:tcBorders>
      </w:tcPr>
    </w:tblStylePr>
    <w:tblStylePr w:type="swCell">
      <w:tblPr/>
      <w:tcPr>
        <w:tcBorders>
          <w:top w:val="double" w:sz="4" w:space="0" w:color="FF8C43" w:themeColor="accent5"/>
          <w:right w:val="nil"/>
        </w:tcBorders>
      </w:tcPr>
    </w:tblStylePr>
  </w:style>
  <w:style w:type="paragraph" w:customStyle="1" w:styleId="Forsidetekst">
    <w:name w:val="Forsidetekst"/>
    <w:basedOn w:val="Normal"/>
    <w:qFormat/>
    <w:rsid w:val="00C35AE5"/>
    <w:pPr>
      <w:spacing w:after="160" w:line="259" w:lineRule="auto"/>
    </w:pPr>
    <w:rPr>
      <w:rFonts w:eastAsiaTheme="minorEastAsia"/>
      <w:sz w:val="26"/>
      <w:lang w:val="nn-NO" w:eastAsia="zh-CN"/>
    </w:rPr>
  </w:style>
  <w:style w:type="table" w:customStyle="1" w:styleId="Forsidetabell">
    <w:name w:val="Forsidetabell"/>
    <w:basedOn w:val="Vanligtabell"/>
    <w:uiPriority w:val="99"/>
    <w:rsid w:val="00C35AE5"/>
    <w:pPr>
      <w:spacing w:after="0" w:line="240" w:lineRule="auto"/>
    </w:pPr>
    <w:rPr>
      <w:rFonts w:eastAsiaTheme="minorEastAsia"/>
      <w:lang w:eastAsia="zh-CN"/>
    </w:rPr>
    <w:tblPr/>
    <w:tblStylePr w:type="firstRow">
      <w:tblPr/>
      <w:tcPr>
        <w:tcBorders>
          <w:top w:val="nil"/>
          <w:left w:val="nil"/>
          <w:bottom w:val="single" w:sz="4" w:space="0" w:color="EA591D" w:themeColor="accent3"/>
          <w:right w:val="nil"/>
        </w:tcBorders>
      </w:tcPr>
    </w:tblStylePr>
  </w:style>
  <w:style w:type="paragraph" w:styleId="Listeavsnitt">
    <w:name w:val="List Paragraph"/>
    <w:basedOn w:val="Normal"/>
    <w:uiPriority w:val="34"/>
    <w:qFormat/>
    <w:rsid w:val="009E729B"/>
    <w:pPr>
      <w:ind w:left="720"/>
      <w:contextualSpacing/>
    </w:pPr>
  </w:style>
  <w:style w:type="character" w:styleId="Merknadsreferanse">
    <w:name w:val="annotation reference"/>
    <w:basedOn w:val="Standardskriftforavsnitt"/>
    <w:uiPriority w:val="99"/>
    <w:semiHidden/>
    <w:rsid w:val="00353A78"/>
    <w:rPr>
      <w:sz w:val="16"/>
      <w:szCs w:val="16"/>
    </w:rPr>
  </w:style>
  <w:style w:type="paragraph" w:styleId="Merknadstekst">
    <w:name w:val="annotation text"/>
    <w:basedOn w:val="Normal"/>
    <w:link w:val="MerknadstekstTegn"/>
    <w:uiPriority w:val="99"/>
    <w:rsid w:val="00353A78"/>
    <w:pPr>
      <w:spacing w:line="240" w:lineRule="auto"/>
    </w:pPr>
    <w:rPr>
      <w:sz w:val="20"/>
      <w:szCs w:val="20"/>
    </w:rPr>
  </w:style>
  <w:style w:type="character" w:customStyle="1" w:styleId="MerknadstekstTegn">
    <w:name w:val="Merknadstekst Tegn"/>
    <w:basedOn w:val="Standardskriftforavsnitt"/>
    <w:link w:val="Merknadstekst"/>
    <w:uiPriority w:val="99"/>
    <w:rsid w:val="00353A78"/>
    <w:rPr>
      <w:sz w:val="20"/>
      <w:szCs w:val="20"/>
    </w:rPr>
  </w:style>
  <w:style w:type="paragraph" w:styleId="Kommentaremne">
    <w:name w:val="annotation subject"/>
    <w:basedOn w:val="Merknadstekst"/>
    <w:next w:val="Merknadstekst"/>
    <w:link w:val="KommentaremneTegn"/>
    <w:uiPriority w:val="99"/>
    <w:semiHidden/>
    <w:rsid w:val="00353A78"/>
    <w:rPr>
      <w:b/>
      <w:bCs/>
    </w:rPr>
  </w:style>
  <w:style w:type="character" w:customStyle="1" w:styleId="KommentaremneTegn">
    <w:name w:val="Kommentaremne Tegn"/>
    <w:basedOn w:val="MerknadstekstTegn"/>
    <w:link w:val="Kommentaremne"/>
    <w:uiPriority w:val="99"/>
    <w:semiHidden/>
    <w:rsid w:val="00353A78"/>
    <w:rPr>
      <w:b/>
      <w:bCs/>
      <w:sz w:val="20"/>
      <w:szCs w:val="20"/>
    </w:rPr>
  </w:style>
  <w:style w:type="paragraph" w:styleId="Fotnotetekst">
    <w:name w:val="footnote text"/>
    <w:basedOn w:val="Normal"/>
    <w:link w:val="FotnotetekstTegn"/>
    <w:uiPriority w:val="99"/>
    <w:semiHidden/>
    <w:rsid w:val="00095CA4"/>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095CA4"/>
    <w:rPr>
      <w:sz w:val="20"/>
      <w:szCs w:val="20"/>
    </w:rPr>
  </w:style>
  <w:style w:type="character" w:styleId="Fotnotereferanse">
    <w:name w:val="footnote reference"/>
    <w:basedOn w:val="Standardskriftforavsnitt"/>
    <w:uiPriority w:val="99"/>
    <w:semiHidden/>
    <w:rsid w:val="00095CA4"/>
    <w:rPr>
      <w:vertAlign w:val="superscript"/>
    </w:rPr>
  </w:style>
  <w:style w:type="character" w:styleId="Ulstomtale">
    <w:name w:val="Unresolved Mention"/>
    <w:basedOn w:val="Standardskriftforavsnitt"/>
    <w:uiPriority w:val="99"/>
    <w:semiHidden/>
    <w:rsid w:val="003549FB"/>
    <w:rPr>
      <w:color w:val="605E5C"/>
      <w:shd w:val="clear" w:color="auto" w:fill="E1DFDD"/>
    </w:rPr>
  </w:style>
  <w:style w:type="paragraph" w:styleId="NormalWeb">
    <w:name w:val="Normal (Web)"/>
    <w:basedOn w:val="Normal"/>
    <w:uiPriority w:val="99"/>
    <w:semiHidden/>
    <w:rsid w:val="00FF297A"/>
    <w:rPr>
      <w:rFonts w:ascii="Times New Roman" w:hAnsi="Times New Roman" w:cs="Times New Roman"/>
      <w:sz w:val="24"/>
      <w:szCs w:val="24"/>
    </w:rPr>
  </w:style>
  <w:style w:type="character" w:styleId="Fulgthyperkobling">
    <w:name w:val="FollowedHyperlink"/>
    <w:basedOn w:val="Standardskriftforavsnitt"/>
    <w:uiPriority w:val="99"/>
    <w:semiHidden/>
    <w:rsid w:val="006D78E1"/>
    <w:rPr>
      <w:color w:val="954F72" w:themeColor="followedHyperlink"/>
      <w:u w:val="single"/>
    </w:rPr>
  </w:style>
  <w:style w:type="character" w:styleId="Omtale">
    <w:name w:val="Mention"/>
    <w:basedOn w:val="Standardskriftforavsnitt"/>
    <w:uiPriority w:val="99"/>
    <w:semiHidden/>
    <w:rsid w:val="002349EC"/>
    <w:rPr>
      <w:color w:val="2B579A"/>
      <w:shd w:val="clear" w:color="auto" w:fill="E1DFDD"/>
    </w:rPr>
  </w:style>
  <w:style w:type="paragraph" w:styleId="Sluttnotetekst">
    <w:name w:val="endnote text"/>
    <w:basedOn w:val="Normal"/>
    <w:link w:val="SluttnotetekstTegn"/>
    <w:uiPriority w:val="99"/>
    <w:semiHidden/>
    <w:rsid w:val="00BB7DCA"/>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BB7DCA"/>
    <w:rPr>
      <w:sz w:val="20"/>
      <w:szCs w:val="20"/>
    </w:rPr>
  </w:style>
  <w:style w:type="character" w:styleId="Sluttnotereferanse">
    <w:name w:val="endnote reference"/>
    <w:basedOn w:val="Standardskriftforavsnitt"/>
    <w:uiPriority w:val="99"/>
    <w:semiHidden/>
    <w:rsid w:val="00BB7DCA"/>
    <w:rPr>
      <w:vertAlign w:val="superscript"/>
    </w:rPr>
  </w:style>
  <w:style w:type="character" w:customStyle="1" w:styleId="cf01">
    <w:name w:val="cf01"/>
    <w:basedOn w:val="Standardskriftforavsnitt"/>
    <w:rsid w:val="00127EA3"/>
    <w:rPr>
      <w:rFonts w:ascii="Segoe UI" w:hAnsi="Segoe UI" w:cs="Segoe UI" w:hint="default"/>
      <w:sz w:val="18"/>
      <w:szCs w:val="18"/>
    </w:rPr>
  </w:style>
  <w:style w:type="table" w:styleId="Rutenettabell3uthevingsfarge2">
    <w:name w:val="Grid Table 3 Accent 2"/>
    <w:basedOn w:val="Vanligtabell"/>
    <w:uiPriority w:val="48"/>
    <w:rsid w:val="00B064C8"/>
    <w:pPr>
      <w:spacing w:after="0" w:line="240" w:lineRule="auto"/>
    </w:pPr>
    <w:tblPr>
      <w:tblStyleRowBandSize w:val="1"/>
      <w:tblStyleColBandSize w:val="1"/>
      <w:tblBorders>
        <w:top w:val="single" w:sz="4" w:space="0" w:color="2D5CFF" w:themeColor="accent2" w:themeTint="99"/>
        <w:left w:val="single" w:sz="4" w:space="0" w:color="2D5CFF" w:themeColor="accent2" w:themeTint="99"/>
        <w:bottom w:val="single" w:sz="4" w:space="0" w:color="2D5CFF" w:themeColor="accent2" w:themeTint="99"/>
        <w:right w:val="single" w:sz="4" w:space="0" w:color="2D5CFF" w:themeColor="accent2" w:themeTint="99"/>
        <w:insideH w:val="single" w:sz="4" w:space="0" w:color="2D5CFF" w:themeColor="accent2" w:themeTint="99"/>
        <w:insideV w:val="single" w:sz="4" w:space="0" w:color="2D5C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F" w:themeFill="accent2" w:themeFillTint="33"/>
      </w:tcPr>
    </w:tblStylePr>
    <w:tblStylePr w:type="band1Horz">
      <w:tblPr/>
      <w:tcPr>
        <w:shd w:val="clear" w:color="auto" w:fill="B9C8FF" w:themeFill="accent2" w:themeFillTint="33"/>
      </w:tcPr>
    </w:tblStylePr>
    <w:tblStylePr w:type="neCell">
      <w:tblPr/>
      <w:tcPr>
        <w:tcBorders>
          <w:bottom w:val="single" w:sz="4" w:space="0" w:color="2D5CFF" w:themeColor="accent2" w:themeTint="99"/>
        </w:tcBorders>
      </w:tcPr>
    </w:tblStylePr>
    <w:tblStylePr w:type="nwCell">
      <w:tblPr/>
      <w:tcPr>
        <w:tcBorders>
          <w:bottom w:val="single" w:sz="4" w:space="0" w:color="2D5CFF" w:themeColor="accent2" w:themeTint="99"/>
        </w:tcBorders>
      </w:tcPr>
    </w:tblStylePr>
    <w:tblStylePr w:type="seCell">
      <w:tblPr/>
      <w:tcPr>
        <w:tcBorders>
          <w:top w:val="single" w:sz="4" w:space="0" w:color="2D5CFF" w:themeColor="accent2" w:themeTint="99"/>
        </w:tcBorders>
      </w:tcPr>
    </w:tblStylePr>
    <w:tblStylePr w:type="swCell">
      <w:tblPr/>
      <w:tcPr>
        <w:tcBorders>
          <w:top w:val="single" w:sz="4" w:space="0" w:color="2D5CFF" w:themeColor="accent2" w:themeTint="99"/>
        </w:tcBorders>
      </w:tcPr>
    </w:tblStylePr>
  </w:style>
  <w:style w:type="table" w:styleId="Rutenettabell1lysuthevingsfarge2">
    <w:name w:val="Grid Table 1 Light Accent 2"/>
    <w:basedOn w:val="Vanligtabell"/>
    <w:uiPriority w:val="46"/>
    <w:rsid w:val="00E541CE"/>
    <w:pPr>
      <w:spacing w:after="0" w:line="240" w:lineRule="auto"/>
    </w:pPr>
    <w:tblPr>
      <w:tblStyleRowBandSize w:val="1"/>
      <w:tblStyleColBandSize w:val="1"/>
      <w:tblBorders>
        <w:top w:val="single" w:sz="4" w:space="0" w:color="7392FF" w:themeColor="accent2" w:themeTint="66"/>
        <w:left w:val="single" w:sz="4" w:space="0" w:color="7392FF" w:themeColor="accent2" w:themeTint="66"/>
        <w:bottom w:val="single" w:sz="4" w:space="0" w:color="7392FF" w:themeColor="accent2" w:themeTint="66"/>
        <w:right w:val="single" w:sz="4" w:space="0" w:color="7392FF" w:themeColor="accent2" w:themeTint="66"/>
        <w:insideH w:val="single" w:sz="4" w:space="0" w:color="7392FF" w:themeColor="accent2" w:themeTint="66"/>
        <w:insideV w:val="single" w:sz="4" w:space="0" w:color="7392FF" w:themeColor="accent2" w:themeTint="66"/>
      </w:tblBorders>
    </w:tblPr>
    <w:tblStylePr w:type="firstRow">
      <w:rPr>
        <w:b/>
        <w:bCs/>
      </w:rPr>
      <w:tblPr/>
      <w:tcPr>
        <w:tcBorders>
          <w:bottom w:val="single" w:sz="12" w:space="0" w:color="2D5CFF" w:themeColor="accent2" w:themeTint="99"/>
        </w:tcBorders>
      </w:tcPr>
    </w:tblStylePr>
    <w:tblStylePr w:type="lastRow">
      <w:rPr>
        <w:b/>
        <w:bCs/>
      </w:rPr>
      <w:tblPr/>
      <w:tcPr>
        <w:tcBorders>
          <w:top w:val="double" w:sz="2" w:space="0" w:color="2D5CFF" w:themeColor="accent2" w:themeTint="99"/>
        </w:tcBorders>
      </w:tcPr>
    </w:tblStylePr>
    <w:tblStylePr w:type="firstCol">
      <w:rPr>
        <w:b/>
        <w:bCs/>
      </w:rPr>
    </w:tblStylePr>
    <w:tblStylePr w:type="lastCol">
      <w:rPr>
        <w:b/>
        <w:bCs/>
      </w:rPr>
    </w:tblStylePr>
  </w:style>
  <w:style w:type="paragraph" w:styleId="Revisjon">
    <w:name w:val="Revision"/>
    <w:hidden/>
    <w:uiPriority w:val="99"/>
    <w:semiHidden/>
    <w:rsid w:val="00FE5024"/>
    <w:pPr>
      <w:spacing w:after="0" w:line="240" w:lineRule="auto"/>
    </w:pPr>
  </w:style>
  <w:style w:type="paragraph" w:customStyle="1" w:styleId="pf0">
    <w:name w:val="pf0"/>
    <w:basedOn w:val="Normal"/>
    <w:rsid w:val="00EE7E7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EndNoteBibliographyTitle">
    <w:name w:val="EndNote Bibliography Title"/>
    <w:basedOn w:val="Normal"/>
    <w:link w:val="EndNoteBibliographyTitleTegn"/>
    <w:rsid w:val="003C1C69"/>
    <w:pPr>
      <w:spacing w:after="0"/>
      <w:jc w:val="center"/>
    </w:pPr>
    <w:rPr>
      <w:rFonts w:ascii="Verdana" w:hAnsi="Verdana"/>
      <w:noProof/>
      <w:sz w:val="18"/>
      <w:lang w:val="en-US"/>
    </w:rPr>
  </w:style>
  <w:style w:type="character" w:customStyle="1" w:styleId="EndNoteBibliographyTitleTegn">
    <w:name w:val="EndNote Bibliography Title Tegn"/>
    <w:basedOn w:val="Standardskriftforavsnitt"/>
    <w:link w:val="EndNoteBibliographyTitle"/>
    <w:rsid w:val="003C1C69"/>
    <w:rPr>
      <w:rFonts w:ascii="Verdana" w:hAnsi="Verdana"/>
      <w:noProof/>
      <w:sz w:val="18"/>
      <w:lang w:val="en-US"/>
    </w:rPr>
  </w:style>
  <w:style w:type="paragraph" w:customStyle="1" w:styleId="EndNoteBibliography">
    <w:name w:val="EndNote Bibliography"/>
    <w:basedOn w:val="Normal"/>
    <w:link w:val="EndNoteBibliographyTegn"/>
    <w:rsid w:val="003C1C69"/>
    <w:pPr>
      <w:spacing w:line="240" w:lineRule="auto"/>
    </w:pPr>
    <w:rPr>
      <w:rFonts w:ascii="Verdana" w:hAnsi="Verdana"/>
      <w:noProof/>
      <w:sz w:val="18"/>
      <w:lang w:val="en-US"/>
    </w:rPr>
  </w:style>
  <w:style w:type="character" w:customStyle="1" w:styleId="EndNoteBibliographyTegn">
    <w:name w:val="EndNote Bibliography Tegn"/>
    <w:basedOn w:val="Standardskriftforavsnitt"/>
    <w:link w:val="EndNoteBibliography"/>
    <w:rsid w:val="003C1C69"/>
    <w:rPr>
      <w:rFonts w:ascii="Verdana" w:hAnsi="Verdana"/>
      <w:noProof/>
      <w:sz w:val="18"/>
      <w:lang w:val="en-US"/>
    </w:rPr>
  </w:style>
  <w:style w:type="table" w:styleId="Vanligtabell2">
    <w:name w:val="Plain Table 2"/>
    <w:basedOn w:val="Vanligtabell"/>
    <w:uiPriority w:val="42"/>
    <w:rsid w:val="00764664"/>
    <w:pPr>
      <w:spacing w:after="0" w:line="240" w:lineRule="auto"/>
    </w:pPr>
    <w:rPr>
      <w:kern w:val="2"/>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utenettabell2uthevingsfarge2">
    <w:name w:val="Grid Table 2 Accent 2"/>
    <w:basedOn w:val="Vanligtabell"/>
    <w:uiPriority w:val="47"/>
    <w:rsid w:val="008D2153"/>
    <w:pPr>
      <w:spacing w:after="0" w:line="240" w:lineRule="auto"/>
    </w:pPr>
    <w:tblPr>
      <w:tblStyleRowBandSize w:val="1"/>
      <w:tblStyleColBandSize w:val="1"/>
      <w:tblBorders>
        <w:top w:val="single" w:sz="2" w:space="0" w:color="2D5CFF" w:themeColor="accent2" w:themeTint="99"/>
        <w:bottom w:val="single" w:sz="2" w:space="0" w:color="2D5CFF" w:themeColor="accent2" w:themeTint="99"/>
        <w:insideH w:val="single" w:sz="2" w:space="0" w:color="2D5CFF" w:themeColor="accent2" w:themeTint="99"/>
        <w:insideV w:val="single" w:sz="2" w:space="0" w:color="2D5CFF" w:themeColor="accent2" w:themeTint="99"/>
      </w:tblBorders>
    </w:tblPr>
    <w:tblStylePr w:type="firstRow">
      <w:rPr>
        <w:b/>
        <w:bCs/>
      </w:rPr>
      <w:tblPr/>
      <w:tcPr>
        <w:tcBorders>
          <w:top w:val="nil"/>
          <w:bottom w:val="single" w:sz="12" w:space="0" w:color="2D5CFF" w:themeColor="accent2" w:themeTint="99"/>
          <w:insideH w:val="nil"/>
          <w:insideV w:val="nil"/>
        </w:tcBorders>
        <w:shd w:val="clear" w:color="auto" w:fill="FFFFFF" w:themeFill="background1"/>
      </w:tcPr>
    </w:tblStylePr>
    <w:tblStylePr w:type="lastRow">
      <w:rPr>
        <w:b/>
        <w:bCs/>
      </w:rPr>
      <w:tblPr/>
      <w:tcPr>
        <w:tcBorders>
          <w:top w:val="double" w:sz="2" w:space="0" w:color="2D5C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F" w:themeFill="accent2" w:themeFillTint="33"/>
      </w:tcPr>
    </w:tblStylePr>
    <w:tblStylePr w:type="band1Horz">
      <w:tblPr/>
      <w:tcPr>
        <w:shd w:val="clear" w:color="auto" w:fill="B9C8FF" w:themeFill="accent2" w:themeFillTint="33"/>
      </w:tcPr>
    </w:tblStylePr>
  </w:style>
  <w:style w:type="paragraph" w:customStyle="1" w:styleId="Kilde">
    <w:name w:val="Kilde"/>
    <w:basedOn w:val="Normal"/>
    <w:next w:val="Normal"/>
    <w:link w:val="KildeTegn"/>
    <w:qFormat/>
    <w:rsid w:val="005528AA"/>
    <w:pPr>
      <w:keepNext/>
      <w:keepLines/>
    </w:pPr>
    <w:rPr>
      <w:sz w:val="18"/>
    </w:rPr>
  </w:style>
  <w:style w:type="character" w:customStyle="1" w:styleId="KildeTegn">
    <w:name w:val="Kilde Tegn"/>
    <w:basedOn w:val="Standardskriftforavsnitt"/>
    <w:link w:val="Kilde"/>
    <w:rsid w:val="005528AA"/>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988">
      <w:bodyDiv w:val="1"/>
      <w:marLeft w:val="0"/>
      <w:marRight w:val="0"/>
      <w:marTop w:val="0"/>
      <w:marBottom w:val="0"/>
      <w:divBdr>
        <w:top w:val="none" w:sz="0" w:space="0" w:color="auto"/>
        <w:left w:val="none" w:sz="0" w:space="0" w:color="auto"/>
        <w:bottom w:val="none" w:sz="0" w:space="0" w:color="auto"/>
        <w:right w:val="none" w:sz="0" w:space="0" w:color="auto"/>
      </w:divBdr>
    </w:div>
    <w:div w:id="47269209">
      <w:bodyDiv w:val="1"/>
      <w:marLeft w:val="0"/>
      <w:marRight w:val="0"/>
      <w:marTop w:val="0"/>
      <w:marBottom w:val="0"/>
      <w:divBdr>
        <w:top w:val="none" w:sz="0" w:space="0" w:color="auto"/>
        <w:left w:val="none" w:sz="0" w:space="0" w:color="auto"/>
        <w:bottom w:val="none" w:sz="0" w:space="0" w:color="auto"/>
        <w:right w:val="none" w:sz="0" w:space="0" w:color="auto"/>
      </w:divBdr>
    </w:div>
    <w:div w:id="80222948">
      <w:bodyDiv w:val="1"/>
      <w:marLeft w:val="0"/>
      <w:marRight w:val="0"/>
      <w:marTop w:val="0"/>
      <w:marBottom w:val="0"/>
      <w:divBdr>
        <w:top w:val="none" w:sz="0" w:space="0" w:color="auto"/>
        <w:left w:val="none" w:sz="0" w:space="0" w:color="auto"/>
        <w:bottom w:val="none" w:sz="0" w:space="0" w:color="auto"/>
        <w:right w:val="none" w:sz="0" w:space="0" w:color="auto"/>
      </w:divBdr>
    </w:div>
    <w:div w:id="195435910">
      <w:bodyDiv w:val="1"/>
      <w:marLeft w:val="0"/>
      <w:marRight w:val="0"/>
      <w:marTop w:val="0"/>
      <w:marBottom w:val="0"/>
      <w:divBdr>
        <w:top w:val="none" w:sz="0" w:space="0" w:color="auto"/>
        <w:left w:val="none" w:sz="0" w:space="0" w:color="auto"/>
        <w:bottom w:val="none" w:sz="0" w:space="0" w:color="auto"/>
        <w:right w:val="none" w:sz="0" w:space="0" w:color="auto"/>
      </w:divBdr>
    </w:div>
    <w:div w:id="226035494">
      <w:bodyDiv w:val="1"/>
      <w:marLeft w:val="0"/>
      <w:marRight w:val="0"/>
      <w:marTop w:val="0"/>
      <w:marBottom w:val="0"/>
      <w:divBdr>
        <w:top w:val="none" w:sz="0" w:space="0" w:color="auto"/>
        <w:left w:val="none" w:sz="0" w:space="0" w:color="auto"/>
        <w:bottom w:val="none" w:sz="0" w:space="0" w:color="auto"/>
        <w:right w:val="none" w:sz="0" w:space="0" w:color="auto"/>
      </w:divBdr>
    </w:div>
    <w:div w:id="237448765">
      <w:bodyDiv w:val="1"/>
      <w:marLeft w:val="0"/>
      <w:marRight w:val="0"/>
      <w:marTop w:val="0"/>
      <w:marBottom w:val="0"/>
      <w:divBdr>
        <w:top w:val="none" w:sz="0" w:space="0" w:color="auto"/>
        <w:left w:val="none" w:sz="0" w:space="0" w:color="auto"/>
        <w:bottom w:val="none" w:sz="0" w:space="0" w:color="auto"/>
        <w:right w:val="none" w:sz="0" w:space="0" w:color="auto"/>
      </w:divBdr>
    </w:div>
    <w:div w:id="280385478">
      <w:bodyDiv w:val="1"/>
      <w:marLeft w:val="0"/>
      <w:marRight w:val="0"/>
      <w:marTop w:val="0"/>
      <w:marBottom w:val="0"/>
      <w:divBdr>
        <w:top w:val="none" w:sz="0" w:space="0" w:color="auto"/>
        <w:left w:val="none" w:sz="0" w:space="0" w:color="auto"/>
        <w:bottom w:val="none" w:sz="0" w:space="0" w:color="auto"/>
        <w:right w:val="none" w:sz="0" w:space="0" w:color="auto"/>
      </w:divBdr>
    </w:div>
    <w:div w:id="300502828">
      <w:bodyDiv w:val="1"/>
      <w:marLeft w:val="0"/>
      <w:marRight w:val="0"/>
      <w:marTop w:val="0"/>
      <w:marBottom w:val="0"/>
      <w:divBdr>
        <w:top w:val="none" w:sz="0" w:space="0" w:color="auto"/>
        <w:left w:val="none" w:sz="0" w:space="0" w:color="auto"/>
        <w:bottom w:val="none" w:sz="0" w:space="0" w:color="auto"/>
        <w:right w:val="none" w:sz="0" w:space="0" w:color="auto"/>
      </w:divBdr>
    </w:div>
    <w:div w:id="328336897">
      <w:bodyDiv w:val="1"/>
      <w:marLeft w:val="0"/>
      <w:marRight w:val="0"/>
      <w:marTop w:val="0"/>
      <w:marBottom w:val="0"/>
      <w:divBdr>
        <w:top w:val="none" w:sz="0" w:space="0" w:color="auto"/>
        <w:left w:val="none" w:sz="0" w:space="0" w:color="auto"/>
        <w:bottom w:val="none" w:sz="0" w:space="0" w:color="auto"/>
        <w:right w:val="none" w:sz="0" w:space="0" w:color="auto"/>
      </w:divBdr>
    </w:div>
    <w:div w:id="383992806">
      <w:bodyDiv w:val="1"/>
      <w:marLeft w:val="0"/>
      <w:marRight w:val="0"/>
      <w:marTop w:val="0"/>
      <w:marBottom w:val="0"/>
      <w:divBdr>
        <w:top w:val="none" w:sz="0" w:space="0" w:color="auto"/>
        <w:left w:val="none" w:sz="0" w:space="0" w:color="auto"/>
        <w:bottom w:val="none" w:sz="0" w:space="0" w:color="auto"/>
        <w:right w:val="none" w:sz="0" w:space="0" w:color="auto"/>
      </w:divBdr>
    </w:div>
    <w:div w:id="390933231">
      <w:bodyDiv w:val="1"/>
      <w:marLeft w:val="0"/>
      <w:marRight w:val="0"/>
      <w:marTop w:val="0"/>
      <w:marBottom w:val="0"/>
      <w:divBdr>
        <w:top w:val="none" w:sz="0" w:space="0" w:color="auto"/>
        <w:left w:val="none" w:sz="0" w:space="0" w:color="auto"/>
        <w:bottom w:val="none" w:sz="0" w:space="0" w:color="auto"/>
        <w:right w:val="none" w:sz="0" w:space="0" w:color="auto"/>
      </w:divBdr>
    </w:div>
    <w:div w:id="397441031">
      <w:bodyDiv w:val="1"/>
      <w:marLeft w:val="0"/>
      <w:marRight w:val="0"/>
      <w:marTop w:val="0"/>
      <w:marBottom w:val="0"/>
      <w:divBdr>
        <w:top w:val="none" w:sz="0" w:space="0" w:color="auto"/>
        <w:left w:val="none" w:sz="0" w:space="0" w:color="auto"/>
        <w:bottom w:val="none" w:sz="0" w:space="0" w:color="auto"/>
        <w:right w:val="none" w:sz="0" w:space="0" w:color="auto"/>
      </w:divBdr>
    </w:div>
    <w:div w:id="399982574">
      <w:bodyDiv w:val="1"/>
      <w:marLeft w:val="0"/>
      <w:marRight w:val="0"/>
      <w:marTop w:val="0"/>
      <w:marBottom w:val="0"/>
      <w:divBdr>
        <w:top w:val="none" w:sz="0" w:space="0" w:color="auto"/>
        <w:left w:val="none" w:sz="0" w:space="0" w:color="auto"/>
        <w:bottom w:val="none" w:sz="0" w:space="0" w:color="auto"/>
        <w:right w:val="none" w:sz="0" w:space="0" w:color="auto"/>
      </w:divBdr>
    </w:div>
    <w:div w:id="401027714">
      <w:bodyDiv w:val="1"/>
      <w:marLeft w:val="0"/>
      <w:marRight w:val="0"/>
      <w:marTop w:val="0"/>
      <w:marBottom w:val="0"/>
      <w:divBdr>
        <w:top w:val="none" w:sz="0" w:space="0" w:color="auto"/>
        <w:left w:val="none" w:sz="0" w:space="0" w:color="auto"/>
        <w:bottom w:val="none" w:sz="0" w:space="0" w:color="auto"/>
        <w:right w:val="none" w:sz="0" w:space="0" w:color="auto"/>
      </w:divBdr>
    </w:div>
    <w:div w:id="421952994">
      <w:bodyDiv w:val="1"/>
      <w:marLeft w:val="0"/>
      <w:marRight w:val="0"/>
      <w:marTop w:val="0"/>
      <w:marBottom w:val="0"/>
      <w:divBdr>
        <w:top w:val="none" w:sz="0" w:space="0" w:color="auto"/>
        <w:left w:val="none" w:sz="0" w:space="0" w:color="auto"/>
        <w:bottom w:val="none" w:sz="0" w:space="0" w:color="auto"/>
        <w:right w:val="none" w:sz="0" w:space="0" w:color="auto"/>
      </w:divBdr>
    </w:div>
    <w:div w:id="459226345">
      <w:bodyDiv w:val="1"/>
      <w:marLeft w:val="0"/>
      <w:marRight w:val="0"/>
      <w:marTop w:val="0"/>
      <w:marBottom w:val="0"/>
      <w:divBdr>
        <w:top w:val="none" w:sz="0" w:space="0" w:color="auto"/>
        <w:left w:val="none" w:sz="0" w:space="0" w:color="auto"/>
        <w:bottom w:val="none" w:sz="0" w:space="0" w:color="auto"/>
        <w:right w:val="none" w:sz="0" w:space="0" w:color="auto"/>
      </w:divBdr>
      <w:divsChild>
        <w:div w:id="1238976177">
          <w:marLeft w:val="0"/>
          <w:marRight w:val="0"/>
          <w:marTop w:val="0"/>
          <w:marBottom w:val="0"/>
          <w:divBdr>
            <w:top w:val="none" w:sz="0" w:space="0" w:color="auto"/>
            <w:left w:val="none" w:sz="0" w:space="0" w:color="auto"/>
            <w:bottom w:val="none" w:sz="0" w:space="0" w:color="auto"/>
            <w:right w:val="none" w:sz="0" w:space="0" w:color="auto"/>
          </w:divBdr>
          <w:divsChild>
            <w:div w:id="275716073">
              <w:marLeft w:val="0"/>
              <w:marRight w:val="0"/>
              <w:marTop w:val="0"/>
              <w:marBottom w:val="0"/>
              <w:divBdr>
                <w:top w:val="none" w:sz="0" w:space="0" w:color="auto"/>
                <w:left w:val="none" w:sz="0" w:space="0" w:color="auto"/>
                <w:bottom w:val="none" w:sz="0" w:space="0" w:color="auto"/>
                <w:right w:val="none" w:sz="0" w:space="0" w:color="auto"/>
              </w:divBdr>
              <w:divsChild>
                <w:div w:id="318576405">
                  <w:marLeft w:val="0"/>
                  <w:marRight w:val="0"/>
                  <w:marTop w:val="0"/>
                  <w:marBottom w:val="0"/>
                  <w:divBdr>
                    <w:top w:val="none" w:sz="0" w:space="0" w:color="auto"/>
                    <w:left w:val="none" w:sz="0" w:space="0" w:color="auto"/>
                    <w:bottom w:val="none" w:sz="0" w:space="0" w:color="auto"/>
                    <w:right w:val="none" w:sz="0" w:space="0" w:color="auto"/>
                  </w:divBdr>
                </w:div>
                <w:div w:id="5577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27769">
      <w:bodyDiv w:val="1"/>
      <w:marLeft w:val="0"/>
      <w:marRight w:val="0"/>
      <w:marTop w:val="0"/>
      <w:marBottom w:val="0"/>
      <w:divBdr>
        <w:top w:val="none" w:sz="0" w:space="0" w:color="auto"/>
        <w:left w:val="none" w:sz="0" w:space="0" w:color="auto"/>
        <w:bottom w:val="none" w:sz="0" w:space="0" w:color="auto"/>
        <w:right w:val="none" w:sz="0" w:space="0" w:color="auto"/>
      </w:divBdr>
    </w:div>
    <w:div w:id="475879010">
      <w:bodyDiv w:val="1"/>
      <w:marLeft w:val="0"/>
      <w:marRight w:val="0"/>
      <w:marTop w:val="0"/>
      <w:marBottom w:val="0"/>
      <w:divBdr>
        <w:top w:val="none" w:sz="0" w:space="0" w:color="auto"/>
        <w:left w:val="none" w:sz="0" w:space="0" w:color="auto"/>
        <w:bottom w:val="none" w:sz="0" w:space="0" w:color="auto"/>
        <w:right w:val="none" w:sz="0" w:space="0" w:color="auto"/>
      </w:divBdr>
    </w:div>
    <w:div w:id="501166278">
      <w:bodyDiv w:val="1"/>
      <w:marLeft w:val="0"/>
      <w:marRight w:val="0"/>
      <w:marTop w:val="0"/>
      <w:marBottom w:val="0"/>
      <w:divBdr>
        <w:top w:val="none" w:sz="0" w:space="0" w:color="auto"/>
        <w:left w:val="none" w:sz="0" w:space="0" w:color="auto"/>
        <w:bottom w:val="none" w:sz="0" w:space="0" w:color="auto"/>
        <w:right w:val="none" w:sz="0" w:space="0" w:color="auto"/>
      </w:divBdr>
    </w:div>
    <w:div w:id="507673456">
      <w:bodyDiv w:val="1"/>
      <w:marLeft w:val="0"/>
      <w:marRight w:val="0"/>
      <w:marTop w:val="0"/>
      <w:marBottom w:val="0"/>
      <w:divBdr>
        <w:top w:val="none" w:sz="0" w:space="0" w:color="auto"/>
        <w:left w:val="none" w:sz="0" w:space="0" w:color="auto"/>
        <w:bottom w:val="none" w:sz="0" w:space="0" w:color="auto"/>
        <w:right w:val="none" w:sz="0" w:space="0" w:color="auto"/>
      </w:divBdr>
    </w:div>
    <w:div w:id="509100634">
      <w:bodyDiv w:val="1"/>
      <w:marLeft w:val="0"/>
      <w:marRight w:val="0"/>
      <w:marTop w:val="0"/>
      <w:marBottom w:val="0"/>
      <w:divBdr>
        <w:top w:val="none" w:sz="0" w:space="0" w:color="auto"/>
        <w:left w:val="none" w:sz="0" w:space="0" w:color="auto"/>
        <w:bottom w:val="none" w:sz="0" w:space="0" w:color="auto"/>
        <w:right w:val="none" w:sz="0" w:space="0" w:color="auto"/>
      </w:divBdr>
    </w:div>
    <w:div w:id="510415323">
      <w:bodyDiv w:val="1"/>
      <w:marLeft w:val="0"/>
      <w:marRight w:val="0"/>
      <w:marTop w:val="0"/>
      <w:marBottom w:val="0"/>
      <w:divBdr>
        <w:top w:val="none" w:sz="0" w:space="0" w:color="auto"/>
        <w:left w:val="none" w:sz="0" w:space="0" w:color="auto"/>
        <w:bottom w:val="none" w:sz="0" w:space="0" w:color="auto"/>
        <w:right w:val="none" w:sz="0" w:space="0" w:color="auto"/>
      </w:divBdr>
    </w:div>
    <w:div w:id="514536911">
      <w:bodyDiv w:val="1"/>
      <w:marLeft w:val="0"/>
      <w:marRight w:val="0"/>
      <w:marTop w:val="0"/>
      <w:marBottom w:val="0"/>
      <w:divBdr>
        <w:top w:val="none" w:sz="0" w:space="0" w:color="auto"/>
        <w:left w:val="none" w:sz="0" w:space="0" w:color="auto"/>
        <w:bottom w:val="none" w:sz="0" w:space="0" w:color="auto"/>
        <w:right w:val="none" w:sz="0" w:space="0" w:color="auto"/>
      </w:divBdr>
    </w:div>
    <w:div w:id="536352193">
      <w:bodyDiv w:val="1"/>
      <w:marLeft w:val="0"/>
      <w:marRight w:val="0"/>
      <w:marTop w:val="0"/>
      <w:marBottom w:val="0"/>
      <w:divBdr>
        <w:top w:val="none" w:sz="0" w:space="0" w:color="auto"/>
        <w:left w:val="none" w:sz="0" w:space="0" w:color="auto"/>
        <w:bottom w:val="none" w:sz="0" w:space="0" w:color="auto"/>
        <w:right w:val="none" w:sz="0" w:space="0" w:color="auto"/>
      </w:divBdr>
    </w:div>
    <w:div w:id="541595734">
      <w:bodyDiv w:val="1"/>
      <w:marLeft w:val="0"/>
      <w:marRight w:val="0"/>
      <w:marTop w:val="0"/>
      <w:marBottom w:val="0"/>
      <w:divBdr>
        <w:top w:val="none" w:sz="0" w:space="0" w:color="auto"/>
        <w:left w:val="none" w:sz="0" w:space="0" w:color="auto"/>
        <w:bottom w:val="none" w:sz="0" w:space="0" w:color="auto"/>
        <w:right w:val="none" w:sz="0" w:space="0" w:color="auto"/>
      </w:divBdr>
    </w:div>
    <w:div w:id="614168940">
      <w:bodyDiv w:val="1"/>
      <w:marLeft w:val="0"/>
      <w:marRight w:val="0"/>
      <w:marTop w:val="0"/>
      <w:marBottom w:val="0"/>
      <w:divBdr>
        <w:top w:val="none" w:sz="0" w:space="0" w:color="auto"/>
        <w:left w:val="none" w:sz="0" w:space="0" w:color="auto"/>
        <w:bottom w:val="none" w:sz="0" w:space="0" w:color="auto"/>
        <w:right w:val="none" w:sz="0" w:space="0" w:color="auto"/>
      </w:divBdr>
    </w:div>
    <w:div w:id="616372160">
      <w:bodyDiv w:val="1"/>
      <w:marLeft w:val="0"/>
      <w:marRight w:val="0"/>
      <w:marTop w:val="0"/>
      <w:marBottom w:val="0"/>
      <w:divBdr>
        <w:top w:val="none" w:sz="0" w:space="0" w:color="auto"/>
        <w:left w:val="none" w:sz="0" w:space="0" w:color="auto"/>
        <w:bottom w:val="none" w:sz="0" w:space="0" w:color="auto"/>
        <w:right w:val="none" w:sz="0" w:space="0" w:color="auto"/>
      </w:divBdr>
    </w:div>
    <w:div w:id="619145551">
      <w:bodyDiv w:val="1"/>
      <w:marLeft w:val="0"/>
      <w:marRight w:val="0"/>
      <w:marTop w:val="0"/>
      <w:marBottom w:val="0"/>
      <w:divBdr>
        <w:top w:val="none" w:sz="0" w:space="0" w:color="auto"/>
        <w:left w:val="none" w:sz="0" w:space="0" w:color="auto"/>
        <w:bottom w:val="none" w:sz="0" w:space="0" w:color="auto"/>
        <w:right w:val="none" w:sz="0" w:space="0" w:color="auto"/>
      </w:divBdr>
    </w:div>
    <w:div w:id="638269891">
      <w:bodyDiv w:val="1"/>
      <w:marLeft w:val="0"/>
      <w:marRight w:val="0"/>
      <w:marTop w:val="0"/>
      <w:marBottom w:val="0"/>
      <w:divBdr>
        <w:top w:val="none" w:sz="0" w:space="0" w:color="auto"/>
        <w:left w:val="none" w:sz="0" w:space="0" w:color="auto"/>
        <w:bottom w:val="none" w:sz="0" w:space="0" w:color="auto"/>
        <w:right w:val="none" w:sz="0" w:space="0" w:color="auto"/>
      </w:divBdr>
    </w:div>
    <w:div w:id="648096674">
      <w:bodyDiv w:val="1"/>
      <w:marLeft w:val="0"/>
      <w:marRight w:val="0"/>
      <w:marTop w:val="0"/>
      <w:marBottom w:val="0"/>
      <w:divBdr>
        <w:top w:val="none" w:sz="0" w:space="0" w:color="auto"/>
        <w:left w:val="none" w:sz="0" w:space="0" w:color="auto"/>
        <w:bottom w:val="none" w:sz="0" w:space="0" w:color="auto"/>
        <w:right w:val="none" w:sz="0" w:space="0" w:color="auto"/>
      </w:divBdr>
    </w:div>
    <w:div w:id="648244054">
      <w:bodyDiv w:val="1"/>
      <w:marLeft w:val="0"/>
      <w:marRight w:val="0"/>
      <w:marTop w:val="0"/>
      <w:marBottom w:val="0"/>
      <w:divBdr>
        <w:top w:val="none" w:sz="0" w:space="0" w:color="auto"/>
        <w:left w:val="none" w:sz="0" w:space="0" w:color="auto"/>
        <w:bottom w:val="none" w:sz="0" w:space="0" w:color="auto"/>
        <w:right w:val="none" w:sz="0" w:space="0" w:color="auto"/>
      </w:divBdr>
    </w:div>
    <w:div w:id="656611775">
      <w:bodyDiv w:val="1"/>
      <w:marLeft w:val="0"/>
      <w:marRight w:val="0"/>
      <w:marTop w:val="0"/>
      <w:marBottom w:val="0"/>
      <w:divBdr>
        <w:top w:val="none" w:sz="0" w:space="0" w:color="auto"/>
        <w:left w:val="none" w:sz="0" w:space="0" w:color="auto"/>
        <w:bottom w:val="none" w:sz="0" w:space="0" w:color="auto"/>
        <w:right w:val="none" w:sz="0" w:space="0" w:color="auto"/>
      </w:divBdr>
    </w:div>
    <w:div w:id="669916977">
      <w:bodyDiv w:val="1"/>
      <w:marLeft w:val="0"/>
      <w:marRight w:val="0"/>
      <w:marTop w:val="0"/>
      <w:marBottom w:val="0"/>
      <w:divBdr>
        <w:top w:val="none" w:sz="0" w:space="0" w:color="auto"/>
        <w:left w:val="none" w:sz="0" w:space="0" w:color="auto"/>
        <w:bottom w:val="none" w:sz="0" w:space="0" w:color="auto"/>
        <w:right w:val="none" w:sz="0" w:space="0" w:color="auto"/>
      </w:divBdr>
    </w:div>
    <w:div w:id="715349992">
      <w:bodyDiv w:val="1"/>
      <w:marLeft w:val="0"/>
      <w:marRight w:val="0"/>
      <w:marTop w:val="0"/>
      <w:marBottom w:val="0"/>
      <w:divBdr>
        <w:top w:val="none" w:sz="0" w:space="0" w:color="auto"/>
        <w:left w:val="none" w:sz="0" w:space="0" w:color="auto"/>
        <w:bottom w:val="none" w:sz="0" w:space="0" w:color="auto"/>
        <w:right w:val="none" w:sz="0" w:space="0" w:color="auto"/>
      </w:divBdr>
    </w:div>
    <w:div w:id="741374651">
      <w:bodyDiv w:val="1"/>
      <w:marLeft w:val="0"/>
      <w:marRight w:val="0"/>
      <w:marTop w:val="0"/>
      <w:marBottom w:val="0"/>
      <w:divBdr>
        <w:top w:val="none" w:sz="0" w:space="0" w:color="auto"/>
        <w:left w:val="none" w:sz="0" w:space="0" w:color="auto"/>
        <w:bottom w:val="none" w:sz="0" w:space="0" w:color="auto"/>
        <w:right w:val="none" w:sz="0" w:space="0" w:color="auto"/>
      </w:divBdr>
    </w:div>
    <w:div w:id="746341610">
      <w:bodyDiv w:val="1"/>
      <w:marLeft w:val="0"/>
      <w:marRight w:val="0"/>
      <w:marTop w:val="0"/>
      <w:marBottom w:val="0"/>
      <w:divBdr>
        <w:top w:val="none" w:sz="0" w:space="0" w:color="auto"/>
        <w:left w:val="none" w:sz="0" w:space="0" w:color="auto"/>
        <w:bottom w:val="none" w:sz="0" w:space="0" w:color="auto"/>
        <w:right w:val="none" w:sz="0" w:space="0" w:color="auto"/>
      </w:divBdr>
    </w:div>
    <w:div w:id="751122260">
      <w:bodyDiv w:val="1"/>
      <w:marLeft w:val="0"/>
      <w:marRight w:val="0"/>
      <w:marTop w:val="0"/>
      <w:marBottom w:val="0"/>
      <w:divBdr>
        <w:top w:val="none" w:sz="0" w:space="0" w:color="auto"/>
        <w:left w:val="none" w:sz="0" w:space="0" w:color="auto"/>
        <w:bottom w:val="none" w:sz="0" w:space="0" w:color="auto"/>
        <w:right w:val="none" w:sz="0" w:space="0" w:color="auto"/>
      </w:divBdr>
    </w:div>
    <w:div w:id="755201815">
      <w:bodyDiv w:val="1"/>
      <w:marLeft w:val="0"/>
      <w:marRight w:val="0"/>
      <w:marTop w:val="0"/>
      <w:marBottom w:val="0"/>
      <w:divBdr>
        <w:top w:val="none" w:sz="0" w:space="0" w:color="auto"/>
        <w:left w:val="none" w:sz="0" w:space="0" w:color="auto"/>
        <w:bottom w:val="none" w:sz="0" w:space="0" w:color="auto"/>
        <w:right w:val="none" w:sz="0" w:space="0" w:color="auto"/>
      </w:divBdr>
    </w:div>
    <w:div w:id="764960726">
      <w:bodyDiv w:val="1"/>
      <w:marLeft w:val="0"/>
      <w:marRight w:val="0"/>
      <w:marTop w:val="0"/>
      <w:marBottom w:val="0"/>
      <w:divBdr>
        <w:top w:val="none" w:sz="0" w:space="0" w:color="auto"/>
        <w:left w:val="none" w:sz="0" w:space="0" w:color="auto"/>
        <w:bottom w:val="none" w:sz="0" w:space="0" w:color="auto"/>
        <w:right w:val="none" w:sz="0" w:space="0" w:color="auto"/>
      </w:divBdr>
    </w:div>
    <w:div w:id="765266773">
      <w:bodyDiv w:val="1"/>
      <w:marLeft w:val="0"/>
      <w:marRight w:val="0"/>
      <w:marTop w:val="0"/>
      <w:marBottom w:val="0"/>
      <w:divBdr>
        <w:top w:val="none" w:sz="0" w:space="0" w:color="auto"/>
        <w:left w:val="none" w:sz="0" w:space="0" w:color="auto"/>
        <w:bottom w:val="none" w:sz="0" w:space="0" w:color="auto"/>
        <w:right w:val="none" w:sz="0" w:space="0" w:color="auto"/>
      </w:divBdr>
    </w:div>
    <w:div w:id="817260416">
      <w:bodyDiv w:val="1"/>
      <w:marLeft w:val="0"/>
      <w:marRight w:val="0"/>
      <w:marTop w:val="0"/>
      <w:marBottom w:val="0"/>
      <w:divBdr>
        <w:top w:val="none" w:sz="0" w:space="0" w:color="auto"/>
        <w:left w:val="none" w:sz="0" w:space="0" w:color="auto"/>
        <w:bottom w:val="none" w:sz="0" w:space="0" w:color="auto"/>
        <w:right w:val="none" w:sz="0" w:space="0" w:color="auto"/>
      </w:divBdr>
    </w:div>
    <w:div w:id="830945485">
      <w:bodyDiv w:val="1"/>
      <w:marLeft w:val="0"/>
      <w:marRight w:val="0"/>
      <w:marTop w:val="0"/>
      <w:marBottom w:val="0"/>
      <w:divBdr>
        <w:top w:val="none" w:sz="0" w:space="0" w:color="auto"/>
        <w:left w:val="none" w:sz="0" w:space="0" w:color="auto"/>
        <w:bottom w:val="none" w:sz="0" w:space="0" w:color="auto"/>
        <w:right w:val="none" w:sz="0" w:space="0" w:color="auto"/>
      </w:divBdr>
    </w:div>
    <w:div w:id="838740204">
      <w:bodyDiv w:val="1"/>
      <w:marLeft w:val="0"/>
      <w:marRight w:val="0"/>
      <w:marTop w:val="0"/>
      <w:marBottom w:val="0"/>
      <w:divBdr>
        <w:top w:val="none" w:sz="0" w:space="0" w:color="auto"/>
        <w:left w:val="none" w:sz="0" w:space="0" w:color="auto"/>
        <w:bottom w:val="none" w:sz="0" w:space="0" w:color="auto"/>
        <w:right w:val="none" w:sz="0" w:space="0" w:color="auto"/>
      </w:divBdr>
    </w:div>
    <w:div w:id="841286392">
      <w:bodyDiv w:val="1"/>
      <w:marLeft w:val="0"/>
      <w:marRight w:val="0"/>
      <w:marTop w:val="0"/>
      <w:marBottom w:val="0"/>
      <w:divBdr>
        <w:top w:val="none" w:sz="0" w:space="0" w:color="auto"/>
        <w:left w:val="none" w:sz="0" w:space="0" w:color="auto"/>
        <w:bottom w:val="none" w:sz="0" w:space="0" w:color="auto"/>
        <w:right w:val="none" w:sz="0" w:space="0" w:color="auto"/>
      </w:divBdr>
    </w:div>
    <w:div w:id="857699739">
      <w:bodyDiv w:val="1"/>
      <w:marLeft w:val="0"/>
      <w:marRight w:val="0"/>
      <w:marTop w:val="0"/>
      <w:marBottom w:val="0"/>
      <w:divBdr>
        <w:top w:val="none" w:sz="0" w:space="0" w:color="auto"/>
        <w:left w:val="none" w:sz="0" w:space="0" w:color="auto"/>
        <w:bottom w:val="none" w:sz="0" w:space="0" w:color="auto"/>
        <w:right w:val="none" w:sz="0" w:space="0" w:color="auto"/>
      </w:divBdr>
    </w:div>
    <w:div w:id="893541814">
      <w:bodyDiv w:val="1"/>
      <w:marLeft w:val="0"/>
      <w:marRight w:val="0"/>
      <w:marTop w:val="0"/>
      <w:marBottom w:val="0"/>
      <w:divBdr>
        <w:top w:val="none" w:sz="0" w:space="0" w:color="auto"/>
        <w:left w:val="none" w:sz="0" w:space="0" w:color="auto"/>
        <w:bottom w:val="none" w:sz="0" w:space="0" w:color="auto"/>
        <w:right w:val="none" w:sz="0" w:space="0" w:color="auto"/>
      </w:divBdr>
    </w:div>
    <w:div w:id="917128455">
      <w:bodyDiv w:val="1"/>
      <w:marLeft w:val="0"/>
      <w:marRight w:val="0"/>
      <w:marTop w:val="0"/>
      <w:marBottom w:val="0"/>
      <w:divBdr>
        <w:top w:val="none" w:sz="0" w:space="0" w:color="auto"/>
        <w:left w:val="none" w:sz="0" w:space="0" w:color="auto"/>
        <w:bottom w:val="none" w:sz="0" w:space="0" w:color="auto"/>
        <w:right w:val="none" w:sz="0" w:space="0" w:color="auto"/>
      </w:divBdr>
    </w:div>
    <w:div w:id="922686496">
      <w:bodyDiv w:val="1"/>
      <w:marLeft w:val="0"/>
      <w:marRight w:val="0"/>
      <w:marTop w:val="0"/>
      <w:marBottom w:val="0"/>
      <w:divBdr>
        <w:top w:val="none" w:sz="0" w:space="0" w:color="auto"/>
        <w:left w:val="none" w:sz="0" w:space="0" w:color="auto"/>
        <w:bottom w:val="none" w:sz="0" w:space="0" w:color="auto"/>
        <w:right w:val="none" w:sz="0" w:space="0" w:color="auto"/>
      </w:divBdr>
    </w:div>
    <w:div w:id="979918388">
      <w:bodyDiv w:val="1"/>
      <w:marLeft w:val="0"/>
      <w:marRight w:val="0"/>
      <w:marTop w:val="0"/>
      <w:marBottom w:val="0"/>
      <w:divBdr>
        <w:top w:val="none" w:sz="0" w:space="0" w:color="auto"/>
        <w:left w:val="none" w:sz="0" w:space="0" w:color="auto"/>
        <w:bottom w:val="none" w:sz="0" w:space="0" w:color="auto"/>
        <w:right w:val="none" w:sz="0" w:space="0" w:color="auto"/>
      </w:divBdr>
    </w:div>
    <w:div w:id="1001200428">
      <w:bodyDiv w:val="1"/>
      <w:marLeft w:val="0"/>
      <w:marRight w:val="0"/>
      <w:marTop w:val="0"/>
      <w:marBottom w:val="0"/>
      <w:divBdr>
        <w:top w:val="none" w:sz="0" w:space="0" w:color="auto"/>
        <w:left w:val="none" w:sz="0" w:space="0" w:color="auto"/>
        <w:bottom w:val="none" w:sz="0" w:space="0" w:color="auto"/>
        <w:right w:val="none" w:sz="0" w:space="0" w:color="auto"/>
      </w:divBdr>
    </w:div>
    <w:div w:id="1025059708">
      <w:bodyDiv w:val="1"/>
      <w:marLeft w:val="0"/>
      <w:marRight w:val="0"/>
      <w:marTop w:val="0"/>
      <w:marBottom w:val="0"/>
      <w:divBdr>
        <w:top w:val="none" w:sz="0" w:space="0" w:color="auto"/>
        <w:left w:val="none" w:sz="0" w:space="0" w:color="auto"/>
        <w:bottom w:val="none" w:sz="0" w:space="0" w:color="auto"/>
        <w:right w:val="none" w:sz="0" w:space="0" w:color="auto"/>
      </w:divBdr>
    </w:div>
    <w:div w:id="1028528925">
      <w:bodyDiv w:val="1"/>
      <w:marLeft w:val="0"/>
      <w:marRight w:val="0"/>
      <w:marTop w:val="0"/>
      <w:marBottom w:val="0"/>
      <w:divBdr>
        <w:top w:val="none" w:sz="0" w:space="0" w:color="auto"/>
        <w:left w:val="none" w:sz="0" w:space="0" w:color="auto"/>
        <w:bottom w:val="none" w:sz="0" w:space="0" w:color="auto"/>
        <w:right w:val="none" w:sz="0" w:space="0" w:color="auto"/>
      </w:divBdr>
    </w:div>
    <w:div w:id="1039433184">
      <w:bodyDiv w:val="1"/>
      <w:marLeft w:val="0"/>
      <w:marRight w:val="0"/>
      <w:marTop w:val="0"/>
      <w:marBottom w:val="0"/>
      <w:divBdr>
        <w:top w:val="none" w:sz="0" w:space="0" w:color="auto"/>
        <w:left w:val="none" w:sz="0" w:space="0" w:color="auto"/>
        <w:bottom w:val="none" w:sz="0" w:space="0" w:color="auto"/>
        <w:right w:val="none" w:sz="0" w:space="0" w:color="auto"/>
      </w:divBdr>
      <w:divsChild>
        <w:div w:id="1415081813">
          <w:marLeft w:val="0"/>
          <w:marRight w:val="0"/>
          <w:marTop w:val="0"/>
          <w:marBottom w:val="0"/>
          <w:divBdr>
            <w:top w:val="none" w:sz="0" w:space="0" w:color="auto"/>
            <w:left w:val="none" w:sz="0" w:space="0" w:color="auto"/>
            <w:bottom w:val="none" w:sz="0" w:space="0" w:color="auto"/>
            <w:right w:val="none" w:sz="0" w:space="0" w:color="auto"/>
          </w:divBdr>
        </w:div>
      </w:divsChild>
    </w:div>
    <w:div w:id="1039623147">
      <w:bodyDiv w:val="1"/>
      <w:marLeft w:val="0"/>
      <w:marRight w:val="0"/>
      <w:marTop w:val="0"/>
      <w:marBottom w:val="0"/>
      <w:divBdr>
        <w:top w:val="none" w:sz="0" w:space="0" w:color="auto"/>
        <w:left w:val="none" w:sz="0" w:space="0" w:color="auto"/>
        <w:bottom w:val="none" w:sz="0" w:space="0" w:color="auto"/>
        <w:right w:val="none" w:sz="0" w:space="0" w:color="auto"/>
      </w:divBdr>
    </w:div>
    <w:div w:id="1052536786">
      <w:bodyDiv w:val="1"/>
      <w:marLeft w:val="0"/>
      <w:marRight w:val="0"/>
      <w:marTop w:val="0"/>
      <w:marBottom w:val="0"/>
      <w:divBdr>
        <w:top w:val="none" w:sz="0" w:space="0" w:color="auto"/>
        <w:left w:val="none" w:sz="0" w:space="0" w:color="auto"/>
        <w:bottom w:val="none" w:sz="0" w:space="0" w:color="auto"/>
        <w:right w:val="none" w:sz="0" w:space="0" w:color="auto"/>
      </w:divBdr>
    </w:div>
    <w:div w:id="1064063724">
      <w:bodyDiv w:val="1"/>
      <w:marLeft w:val="0"/>
      <w:marRight w:val="0"/>
      <w:marTop w:val="0"/>
      <w:marBottom w:val="0"/>
      <w:divBdr>
        <w:top w:val="none" w:sz="0" w:space="0" w:color="auto"/>
        <w:left w:val="none" w:sz="0" w:space="0" w:color="auto"/>
        <w:bottom w:val="none" w:sz="0" w:space="0" w:color="auto"/>
        <w:right w:val="none" w:sz="0" w:space="0" w:color="auto"/>
      </w:divBdr>
    </w:div>
    <w:div w:id="1069613163">
      <w:bodyDiv w:val="1"/>
      <w:marLeft w:val="0"/>
      <w:marRight w:val="0"/>
      <w:marTop w:val="0"/>
      <w:marBottom w:val="0"/>
      <w:divBdr>
        <w:top w:val="none" w:sz="0" w:space="0" w:color="auto"/>
        <w:left w:val="none" w:sz="0" w:space="0" w:color="auto"/>
        <w:bottom w:val="none" w:sz="0" w:space="0" w:color="auto"/>
        <w:right w:val="none" w:sz="0" w:space="0" w:color="auto"/>
      </w:divBdr>
    </w:div>
    <w:div w:id="1094789327">
      <w:bodyDiv w:val="1"/>
      <w:marLeft w:val="0"/>
      <w:marRight w:val="0"/>
      <w:marTop w:val="0"/>
      <w:marBottom w:val="0"/>
      <w:divBdr>
        <w:top w:val="none" w:sz="0" w:space="0" w:color="auto"/>
        <w:left w:val="none" w:sz="0" w:space="0" w:color="auto"/>
        <w:bottom w:val="none" w:sz="0" w:space="0" w:color="auto"/>
        <w:right w:val="none" w:sz="0" w:space="0" w:color="auto"/>
      </w:divBdr>
    </w:div>
    <w:div w:id="1114398651">
      <w:bodyDiv w:val="1"/>
      <w:marLeft w:val="0"/>
      <w:marRight w:val="0"/>
      <w:marTop w:val="0"/>
      <w:marBottom w:val="0"/>
      <w:divBdr>
        <w:top w:val="none" w:sz="0" w:space="0" w:color="auto"/>
        <w:left w:val="none" w:sz="0" w:space="0" w:color="auto"/>
        <w:bottom w:val="none" w:sz="0" w:space="0" w:color="auto"/>
        <w:right w:val="none" w:sz="0" w:space="0" w:color="auto"/>
      </w:divBdr>
    </w:div>
    <w:div w:id="1114595565">
      <w:bodyDiv w:val="1"/>
      <w:marLeft w:val="0"/>
      <w:marRight w:val="0"/>
      <w:marTop w:val="0"/>
      <w:marBottom w:val="0"/>
      <w:divBdr>
        <w:top w:val="none" w:sz="0" w:space="0" w:color="auto"/>
        <w:left w:val="none" w:sz="0" w:space="0" w:color="auto"/>
        <w:bottom w:val="none" w:sz="0" w:space="0" w:color="auto"/>
        <w:right w:val="none" w:sz="0" w:space="0" w:color="auto"/>
      </w:divBdr>
    </w:div>
    <w:div w:id="1144197373">
      <w:bodyDiv w:val="1"/>
      <w:marLeft w:val="0"/>
      <w:marRight w:val="0"/>
      <w:marTop w:val="0"/>
      <w:marBottom w:val="0"/>
      <w:divBdr>
        <w:top w:val="none" w:sz="0" w:space="0" w:color="auto"/>
        <w:left w:val="none" w:sz="0" w:space="0" w:color="auto"/>
        <w:bottom w:val="none" w:sz="0" w:space="0" w:color="auto"/>
        <w:right w:val="none" w:sz="0" w:space="0" w:color="auto"/>
      </w:divBdr>
    </w:div>
    <w:div w:id="1166939876">
      <w:bodyDiv w:val="1"/>
      <w:marLeft w:val="0"/>
      <w:marRight w:val="0"/>
      <w:marTop w:val="0"/>
      <w:marBottom w:val="0"/>
      <w:divBdr>
        <w:top w:val="none" w:sz="0" w:space="0" w:color="auto"/>
        <w:left w:val="none" w:sz="0" w:space="0" w:color="auto"/>
        <w:bottom w:val="none" w:sz="0" w:space="0" w:color="auto"/>
        <w:right w:val="none" w:sz="0" w:space="0" w:color="auto"/>
      </w:divBdr>
    </w:div>
    <w:div w:id="1254313747">
      <w:bodyDiv w:val="1"/>
      <w:marLeft w:val="0"/>
      <w:marRight w:val="0"/>
      <w:marTop w:val="0"/>
      <w:marBottom w:val="0"/>
      <w:divBdr>
        <w:top w:val="none" w:sz="0" w:space="0" w:color="auto"/>
        <w:left w:val="none" w:sz="0" w:space="0" w:color="auto"/>
        <w:bottom w:val="none" w:sz="0" w:space="0" w:color="auto"/>
        <w:right w:val="none" w:sz="0" w:space="0" w:color="auto"/>
      </w:divBdr>
    </w:div>
    <w:div w:id="1254434930">
      <w:bodyDiv w:val="1"/>
      <w:marLeft w:val="0"/>
      <w:marRight w:val="0"/>
      <w:marTop w:val="0"/>
      <w:marBottom w:val="0"/>
      <w:divBdr>
        <w:top w:val="none" w:sz="0" w:space="0" w:color="auto"/>
        <w:left w:val="none" w:sz="0" w:space="0" w:color="auto"/>
        <w:bottom w:val="none" w:sz="0" w:space="0" w:color="auto"/>
        <w:right w:val="none" w:sz="0" w:space="0" w:color="auto"/>
      </w:divBdr>
    </w:div>
    <w:div w:id="1270433607">
      <w:bodyDiv w:val="1"/>
      <w:marLeft w:val="0"/>
      <w:marRight w:val="0"/>
      <w:marTop w:val="0"/>
      <w:marBottom w:val="0"/>
      <w:divBdr>
        <w:top w:val="none" w:sz="0" w:space="0" w:color="auto"/>
        <w:left w:val="none" w:sz="0" w:space="0" w:color="auto"/>
        <w:bottom w:val="none" w:sz="0" w:space="0" w:color="auto"/>
        <w:right w:val="none" w:sz="0" w:space="0" w:color="auto"/>
      </w:divBdr>
    </w:div>
    <w:div w:id="1276719412">
      <w:bodyDiv w:val="1"/>
      <w:marLeft w:val="0"/>
      <w:marRight w:val="0"/>
      <w:marTop w:val="0"/>
      <w:marBottom w:val="0"/>
      <w:divBdr>
        <w:top w:val="none" w:sz="0" w:space="0" w:color="auto"/>
        <w:left w:val="none" w:sz="0" w:space="0" w:color="auto"/>
        <w:bottom w:val="none" w:sz="0" w:space="0" w:color="auto"/>
        <w:right w:val="none" w:sz="0" w:space="0" w:color="auto"/>
      </w:divBdr>
    </w:div>
    <w:div w:id="1283877542">
      <w:bodyDiv w:val="1"/>
      <w:marLeft w:val="0"/>
      <w:marRight w:val="0"/>
      <w:marTop w:val="0"/>
      <w:marBottom w:val="0"/>
      <w:divBdr>
        <w:top w:val="none" w:sz="0" w:space="0" w:color="auto"/>
        <w:left w:val="none" w:sz="0" w:space="0" w:color="auto"/>
        <w:bottom w:val="none" w:sz="0" w:space="0" w:color="auto"/>
        <w:right w:val="none" w:sz="0" w:space="0" w:color="auto"/>
      </w:divBdr>
    </w:div>
    <w:div w:id="1286154529">
      <w:bodyDiv w:val="1"/>
      <w:marLeft w:val="0"/>
      <w:marRight w:val="0"/>
      <w:marTop w:val="0"/>
      <w:marBottom w:val="0"/>
      <w:divBdr>
        <w:top w:val="none" w:sz="0" w:space="0" w:color="auto"/>
        <w:left w:val="none" w:sz="0" w:space="0" w:color="auto"/>
        <w:bottom w:val="none" w:sz="0" w:space="0" w:color="auto"/>
        <w:right w:val="none" w:sz="0" w:space="0" w:color="auto"/>
      </w:divBdr>
    </w:div>
    <w:div w:id="1317107944">
      <w:bodyDiv w:val="1"/>
      <w:marLeft w:val="0"/>
      <w:marRight w:val="0"/>
      <w:marTop w:val="0"/>
      <w:marBottom w:val="0"/>
      <w:divBdr>
        <w:top w:val="none" w:sz="0" w:space="0" w:color="auto"/>
        <w:left w:val="none" w:sz="0" w:space="0" w:color="auto"/>
        <w:bottom w:val="none" w:sz="0" w:space="0" w:color="auto"/>
        <w:right w:val="none" w:sz="0" w:space="0" w:color="auto"/>
      </w:divBdr>
    </w:div>
    <w:div w:id="1330020080">
      <w:bodyDiv w:val="1"/>
      <w:marLeft w:val="0"/>
      <w:marRight w:val="0"/>
      <w:marTop w:val="0"/>
      <w:marBottom w:val="0"/>
      <w:divBdr>
        <w:top w:val="none" w:sz="0" w:space="0" w:color="auto"/>
        <w:left w:val="none" w:sz="0" w:space="0" w:color="auto"/>
        <w:bottom w:val="none" w:sz="0" w:space="0" w:color="auto"/>
        <w:right w:val="none" w:sz="0" w:space="0" w:color="auto"/>
      </w:divBdr>
    </w:div>
    <w:div w:id="1349983586">
      <w:bodyDiv w:val="1"/>
      <w:marLeft w:val="0"/>
      <w:marRight w:val="0"/>
      <w:marTop w:val="0"/>
      <w:marBottom w:val="0"/>
      <w:divBdr>
        <w:top w:val="none" w:sz="0" w:space="0" w:color="auto"/>
        <w:left w:val="none" w:sz="0" w:space="0" w:color="auto"/>
        <w:bottom w:val="none" w:sz="0" w:space="0" w:color="auto"/>
        <w:right w:val="none" w:sz="0" w:space="0" w:color="auto"/>
      </w:divBdr>
    </w:div>
    <w:div w:id="1351565527">
      <w:bodyDiv w:val="1"/>
      <w:marLeft w:val="0"/>
      <w:marRight w:val="0"/>
      <w:marTop w:val="0"/>
      <w:marBottom w:val="0"/>
      <w:divBdr>
        <w:top w:val="none" w:sz="0" w:space="0" w:color="auto"/>
        <w:left w:val="none" w:sz="0" w:space="0" w:color="auto"/>
        <w:bottom w:val="none" w:sz="0" w:space="0" w:color="auto"/>
        <w:right w:val="none" w:sz="0" w:space="0" w:color="auto"/>
      </w:divBdr>
    </w:div>
    <w:div w:id="1370454595">
      <w:bodyDiv w:val="1"/>
      <w:marLeft w:val="0"/>
      <w:marRight w:val="0"/>
      <w:marTop w:val="0"/>
      <w:marBottom w:val="0"/>
      <w:divBdr>
        <w:top w:val="none" w:sz="0" w:space="0" w:color="auto"/>
        <w:left w:val="none" w:sz="0" w:space="0" w:color="auto"/>
        <w:bottom w:val="none" w:sz="0" w:space="0" w:color="auto"/>
        <w:right w:val="none" w:sz="0" w:space="0" w:color="auto"/>
      </w:divBdr>
    </w:div>
    <w:div w:id="1386680906">
      <w:bodyDiv w:val="1"/>
      <w:marLeft w:val="0"/>
      <w:marRight w:val="0"/>
      <w:marTop w:val="0"/>
      <w:marBottom w:val="0"/>
      <w:divBdr>
        <w:top w:val="none" w:sz="0" w:space="0" w:color="auto"/>
        <w:left w:val="none" w:sz="0" w:space="0" w:color="auto"/>
        <w:bottom w:val="none" w:sz="0" w:space="0" w:color="auto"/>
        <w:right w:val="none" w:sz="0" w:space="0" w:color="auto"/>
      </w:divBdr>
    </w:div>
    <w:div w:id="1387875430">
      <w:bodyDiv w:val="1"/>
      <w:marLeft w:val="0"/>
      <w:marRight w:val="0"/>
      <w:marTop w:val="0"/>
      <w:marBottom w:val="0"/>
      <w:divBdr>
        <w:top w:val="none" w:sz="0" w:space="0" w:color="auto"/>
        <w:left w:val="none" w:sz="0" w:space="0" w:color="auto"/>
        <w:bottom w:val="none" w:sz="0" w:space="0" w:color="auto"/>
        <w:right w:val="none" w:sz="0" w:space="0" w:color="auto"/>
      </w:divBdr>
    </w:div>
    <w:div w:id="1391807126">
      <w:bodyDiv w:val="1"/>
      <w:marLeft w:val="0"/>
      <w:marRight w:val="0"/>
      <w:marTop w:val="0"/>
      <w:marBottom w:val="0"/>
      <w:divBdr>
        <w:top w:val="none" w:sz="0" w:space="0" w:color="auto"/>
        <w:left w:val="none" w:sz="0" w:space="0" w:color="auto"/>
        <w:bottom w:val="none" w:sz="0" w:space="0" w:color="auto"/>
        <w:right w:val="none" w:sz="0" w:space="0" w:color="auto"/>
      </w:divBdr>
    </w:div>
    <w:div w:id="1396468462">
      <w:bodyDiv w:val="1"/>
      <w:marLeft w:val="0"/>
      <w:marRight w:val="0"/>
      <w:marTop w:val="0"/>
      <w:marBottom w:val="0"/>
      <w:divBdr>
        <w:top w:val="none" w:sz="0" w:space="0" w:color="auto"/>
        <w:left w:val="none" w:sz="0" w:space="0" w:color="auto"/>
        <w:bottom w:val="none" w:sz="0" w:space="0" w:color="auto"/>
        <w:right w:val="none" w:sz="0" w:space="0" w:color="auto"/>
      </w:divBdr>
    </w:div>
    <w:div w:id="1430273817">
      <w:bodyDiv w:val="1"/>
      <w:marLeft w:val="0"/>
      <w:marRight w:val="0"/>
      <w:marTop w:val="0"/>
      <w:marBottom w:val="0"/>
      <w:divBdr>
        <w:top w:val="none" w:sz="0" w:space="0" w:color="auto"/>
        <w:left w:val="none" w:sz="0" w:space="0" w:color="auto"/>
        <w:bottom w:val="none" w:sz="0" w:space="0" w:color="auto"/>
        <w:right w:val="none" w:sz="0" w:space="0" w:color="auto"/>
      </w:divBdr>
    </w:div>
    <w:div w:id="1446346111">
      <w:bodyDiv w:val="1"/>
      <w:marLeft w:val="0"/>
      <w:marRight w:val="0"/>
      <w:marTop w:val="0"/>
      <w:marBottom w:val="0"/>
      <w:divBdr>
        <w:top w:val="none" w:sz="0" w:space="0" w:color="auto"/>
        <w:left w:val="none" w:sz="0" w:space="0" w:color="auto"/>
        <w:bottom w:val="none" w:sz="0" w:space="0" w:color="auto"/>
        <w:right w:val="none" w:sz="0" w:space="0" w:color="auto"/>
      </w:divBdr>
    </w:div>
    <w:div w:id="1447314102">
      <w:bodyDiv w:val="1"/>
      <w:marLeft w:val="0"/>
      <w:marRight w:val="0"/>
      <w:marTop w:val="0"/>
      <w:marBottom w:val="0"/>
      <w:divBdr>
        <w:top w:val="none" w:sz="0" w:space="0" w:color="auto"/>
        <w:left w:val="none" w:sz="0" w:space="0" w:color="auto"/>
        <w:bottom w:val="none" w:sz="0" w:space="0" w:color="auto"/>
        <w:right w:val="none" w:sz="0" w:space="0" w:color="auto"/>
      </w:divBdr>
    </w:div>
    <w:div w:id="1464498750">
      <w:bodyDiv w:val="1"/>
      <w:marLeft w:val="0"/>
      <w:marRight w:val="0"/>
      <w:marTop w:val="0"/>
      <w:marBottom w:val="0"/>
      <w:divBdr>
        <w:top w:val="none" w:sz="0" w:space="0" w:color="auto"/>
        <w:left w:val="none" w:sz="0" w:space="0" w:color="auto"/>
        <w:bottom w:val="none" w:sz="0" w:space="0" w:color="auto"/>
        <w:right w:val="none" w:sz="0" w:space="0" w:color="auto"/>
      </w:divBdr>
    </w:div>
    <w:div w:id="1474322935">
      <w:bodyDiv w:val="1"/>
      <w:marLeft w:val="0"/>
      <w:marRight w:val="0"/>
      <w:marTop w:val="0"/>
      <w:marBottom w:val="0"/>
      <w:divBdr>
        <w:top w:val="none" w:sz="0" w:space="0" w:color="auto"/>
        <w:left w:val="none" w:sz="0" w:space="0" w:color="auto"/>
        <w:bottom w:val="none" w:sz="0" w:space="0" w:color="auto"/>
        <w:right w:val="none" w:sz="0" w:space="0" w:color="auto"/>
      </w:divBdr>
    </w:div>
    <w:div w:id="1512450755">
      <w:bodyDiv w:val="1"/>
      <w:marLeft w:val="0"/>
      <w:marRight w:val="0"/>
      <w:marTop w:val="0"/>
      <w:marBottom w:val="0"/>
      <w:divBdr>
        <w:top w:val="none" w:sz="0" w:space="0" w:color="auto"/>
        <w:left w:val="none" w:sz="0" w:space="0" w:color="auto"/>
        <w:bottom w:val="none" w:sz="0" w:space="0" w:color="auto"/>
        <w:right w:val="none" w:sz="0" w:space="0" w:color="auto"/>
      </w:divBdr>
    </w:div>
    <w:div w:id="1532646965">
      <w:bodyDiv w:val="1"/>
      <w:marLeft w:val="0"/>
      <w:marRight w:val="0"/>
      <w:marTop w:val="0"/>
      <w:marBottom w:val="0"/>
      <w:divBdr>
        <w:top w:val="none" w:sz="0" w:space="0" w:color="auto"/>
        <w:left w:val="none" w:sz="0" w:space="0" w:color="auto"/>
        <w:bottom w:val="none" w:sz="0" w:space="0" w:color="auto"/>
        <w:right w:val="none" w:sz="0" w:space="0" w:color="auto"/>
      </w:divBdr>
    </w:div>
    <w:div w:id="1547180004">
      <w:bodyDiv w:val="1"/>
      <w:marLeft w:val="0"/>
      <w:marRight w:val="0"/>
      <w:marTop w:val="0"/>
      <w:marBottom w:val="0"/>
      <w:divBdr>
        <w:top w:val="none" w:sz="0" w:space="0" w:color="auto"/>
        <w:left w:val="none" w:sz="0" w:space="0" w:color="auto"/>
        <w:bottom w:val="none" w:sz="0" w:space="0" w:color="auto"/>
        <w:right w:val="none" w:sz="0" w:space="0" w:color="auto"/>
      </w:divBdr>
    </w:div>
    <w:div w:id="1646005652">
      <w:bodyDiv w:val="1"/>
      <w:marLeft w:val="0"/>
      <w:marRight w:val="0"/>
      <w:marTop w:val="0"/>
      <w:marBottom w:val="0"/>
      <w:divBdr>
        <w:top w:val="none" w:sz="0" w:space="0" w:color="auto"/>
        <w:left w:val="none" w:sz="0" w:space="0" w:color="auto"/>
        <w:bottom w:val="none" w:sz="0" w:space="0" w:color="auto"/>
        <w:right w:val="none" w:sz="0" w:space="0" w:color="auto"/>
      </w:divBdr>
    </w:div>
    <w:div w:id="1657412836">
      <w:bodyDiv w:val="1"/>
      <w:marLeft w:val="0"/>
      <w:marRight w:val="0"/>
      <w:marTop w:val="0"/>
      <w:marBottom w:val="0"/>
      <w:divBdr>
        <w:top w:val="none" w:sz="0" w:space="0" w:color="auto"/>
        <w:left w:val="none" w:sz="0" w:space="0" w:color="auto"/>
        <w:bottom w:val="none" w:sz="0" w:space="0" w:color="auto"/>
        <w:right w:val="none" w:sz="0" w:space="0" w:color="auto"/>
      </w:divBdr>
    </w:div>
    <w:div w:id="1674457777">
      <w:bodyDiv w:val="1"/>
      <w:marLeft w:val="0"/>
      <w:marRight w:val="0"/>
      <w:marTop w:val="0"/>
      <w:marBottom w:val="0"/>
      <w:divBdr>
        <w:top w:val="none" w:sz="0" w:space="0" w:color="auto"/>
        <w:left w:val="none" w:sz="0" w:space="0" w:color="auto"/>
        <w:bottom w:val="none" w:sz="0" w:space="0" w:color="auto"/>
        <w:right w:val="none" w:sz="0" w:space="0" w:color="auto"/>
      </w:divBdr>
    </w:div>
    <w:div w:id="1682123712">
      <w:bodyDiv w:val="1"/>
      <w:marLeft w:val="0"/>
      <w:marRight w:val="0"/>
      <w:marTop w:val="0"/>
      <w:marBottom w:val="0"/>
      <w:divBdr>
        <w:top w:val="none" w:sz="0" w:space="0" w:color="auto"/>
        <w:left w:val="none" w:sz="0" w:space="0" w:color="auto"/>
        <w:bottom w:val="none" w:sz="0" w:space="0" w:color="auto"/>
        <w:right w:val="none" w:sz="0" w:space="0" w:color="auto"/>
      </w:divBdr>
    </w:div>
    <w:div w:id="1691298689">
      <w:bodyDiv w:val="1"/>
      <w:marLeft w:val="0"/>
      <w:marRight w:val="0"/>
      <w:marTop w:val="0"/>
      <w:marBottom w:val="0"/>
      <w:divBdr>
        <w:top w:val="none" w:sz="0" w:space="0" w:color="auto"/>
        <w:left w:val="none" w:sz="0" w:space="0" w:color="auto"/>
        <w:bottom w:val="none" w:sz="0" w:space="0" w:color="auto"/>
        <w:right w:val="none" w:sz="0" w:space="0" w:color="auto"/>
      </w:divBdr>
    </w:div>
    <w:div w:id="1693023193">
      <w:bodyDiv w:val="1"/>
      <w:marLeft w:val="0"/>
      <w:marRight w:val="0"/>
      <w:marTop w:val="0"/>
      <w:marBottom w:val="0"/>
      <w:divBdr>
        <w:top w:val="none" w:sz="0" w:space="0" w:color="auto"/>
        <w:left w:val="none" w:sz="0" w:space="0" w:color="auto"/>
        <w:bottom w:val="none" w:sz="0" w:space="0" w:color="auto"/>
        <w:right w:val="none" w:sz="0" w:space="0" w:color="auto"/>
      </w:divBdr>
    </w:div>
    <w:div w:id="1701927785">
      <w:bodyDiv w:val="1"/>
      <w:marLeft w:val="0"/>
      <w:marRight w:val="0"/>
      <w:marTop w:val="0"/>
      <w:marBottom w:val="0"/>
      <w:divBdr>
        <w:top w:val="none" w:sz="0" w:space="0" w:color="auto"/>
        <w:left w:val="none" w:sz="0" w:space="0" w:color="auto"/>
        <w:bottom w:val="none" w:sz="0" w:space="0" w:color="auto"/>
        <w:right w:val="none" w:sz="0" w:space="0" w:color="auto"/>
      </w:divBdr>
    </w:div>
    <w:div w:id="1706364759">
      <w:bodyDiv w:val="1"/>
      <w:marLeft w:val="0"/>
      <w:marRight w:val="0"/>
      <w:marTop w:val="0"/>
      <w:marBottom w:val="0"/>
      <w:divBdr>
        <w:top w:val="none" w:sz="0" w:space="0" w:color="auto"/>
        <w:left w:val="none" w:sz="0" w:space="0" w:color="auto"/>
        <w:bottom w:val="none" w:sz="0" w:space="0" w:color="auto"/>
        <w:right w:val="none" w:sz="0" w:space="0" w:color="auto"/>
      </w:divBdr>
    </w:div>
    <w:div w:id="1716352152">
      <w:bodyDiv w:val="1"/>
      <w:marLeft w:val="0"/>
      <w:marRight w:val="0"/>
      <w:marTop w:val="0"/>
      <w:marBottom w:val="0"/>
      <w:divBdr>
        <w:top w:val="none" w:sz="0" w:space="0" w:color="auto"/>
        <w:left w:val="none" w:sz="0" w:space="0" w:color="auto"/>
        <w:bottom w:val="none" w:sz="0" w:space="0" w:color="auto"/>
        <w:right w:val="none" w:sz="0" w:space="0" w:color="auto"/>
      </w:divBdr>
    </w:div>
    <w:div w:id="1722943046">
      <w:bodyDiv w:val="1"/>
      <w:marLeft w:val="0"/>
      <w:marRight w:val="0"/>
      <w:marTop w:val="0"/>
      <w:marBottom w:val="0"/>
      <w:divBdr>
        <w:top w:val="none" w:sz="0" w:space="0" w:color="auto"/>
        <w:left w:val="none" w:sz="0" w:space="0" w:color="auto"/>
        <w:bottom w:val="none" w:sz="0" w:space="0" w:color="auto"/>
        <w:right w:val="none" w:sz="0" w:space="0" w:color="auto"/>
      </w:divBdr>
    </w:div>
    <w:div w:id="1737629391">
      <w:bodyDiv w:val="1"/>
      <w:marLeft w:val="0"/>
      <w:marRight w:val="0"/>
      <w:marTop w:val="0"/>
      <w:marBottom w:val="0"/>
      <w:divBdr>
        <w:top w:val="none" w:sz="0" w:space="0" w:color="auto"/>
        <w:left w:val="none" w:sz="0" w:space="0" w:color="auto"/>
        <w:bottom w:val="none" w:sz="0" w:space="0" w:color="auto"/>
        <w:right w:val="none" w:sz="0" w:space="0" w:color="auto"/>
      </w:divBdr>
    </w:div>
    <w:div w:id="1742092516">
      <w:bodyDiv w:val="1"/>
      <w:marLeft w:val="0"/>
      <w:marRight w:val="0"/>
      <w:marTop w:val="0"/>
      <w:marBottom w:val="0"/>
      <w:divBdr>
        <w:top w:val="none" w:sz="0" w:space="0" w:color="auto"/>
        <w:left w:val="none" w:sz="0" w:space="0" w:color="auto"/>
        <w:bottom w:val="none" w:sz="0" w:space="0" w:color="auto"/>
        <w:right w:val="none" w:sz="0" w:space="0" w:color="auto"/>
      </w:divBdr>
    </w:div>
    <w:div w:id="1780297690">
      <w:bodyDiv w:val="1"/>
      <w:marLeft w:val="0"/>
      <w:marRight w:val="0"/>
      <w:marTop w:val="0"/>
      <w:marBottom w:val="0"/>
      <w:divBdr>
        <w:top w:val="none" w:sz="0" w:space="0" w:color="auto"/>
        <w:left w:val="none" w:sz="0" w:space="0" w:color="auto"/>
        <w:bottom w:val="none" w:sz="0" w:space="0" w:color="auto"/>
        <w:right w:val="none" w:sz="0" w:space="0" w:color="auto"/>
      </w:divBdr>
    </w:div>
    <w:div w:id="1785151293">
      <w:bodyDiv w:val="1"/>
      <w:marLeft w:val="0"/>
      <w:marRight w:val="0"/>
      <w:marTop w:val="0"/>
      <w:marBottom w:val="0"/>
      <w:divBdr>
        <w:top w:val="none" w:sz="0" w:space="0" w:color="auto"/>
        <w:left w:val="none" w:sz="0" w:space="0" w:color="auto"/>
        <w:bottom w:val="none" w:sz="0" w:space="0" w:color="auto"/>
        <w:right w:val="none" w:sz="0" w:space="0" w:color="auto"/>
      </w:divBdr>
    </w:div>
    <w:div w:id="1785345092">
      <w:bodyDiv w:val="1"/>
      <w:marLeft w:val="0"/>
      <w:marRight w:val="0"/>
      <w:marTop w:val="0"/>
      <w:marBottom w:val="0"/>
      <w:divBdr>
        <w:top w:val="none" w:sz="0" w:space="0" w:color="auto"/>
        <w:left w:val="none" w:sz="0" w:space="0" w:color="auto"/>
        <w:bottom w:val="none" w:sz="0" w:space="0" w:color="auto"/>
        <w:right w:val="none" w:sz="0" w:space="0" w:color="auto"/>
      </w:divBdr>
    </w:div>
    <w:div w:id="1811508546">
      <w:bodyDiv w:val="1"/>
      <w:marLeft w:val="0"/>
      <w:marRight w:val="0"/>
      <w:marTop w:val="0"/>
      <w:marBottom w:val="0"/>
      <w:divBdr>
        <w:top w:val="none" w:sz="0" w:space="0" w:color="auto"/>
        <w:left w:val="none" w:sz="0" w:space="0" w:color="auto"/>
        <w:bottom w:val="none" w:sz="0" w:space="0" w:color="auto"/>
        <w:right w:val="none" w:sz="0" w:space="0" w:color="auto"/>
      </w:divBdr>
    </w:div>
    <w:div w:id="1814103324">
      <w:bodyDiv w:val="1"/>
      <w:marLeft w:val="0"/>
      <w:marRight w:val="0"/>
      <w:marTop w:val="0"/>
      <w:marBottom w:val="0"/>
      <w:divBdr>
        <w:top w:val="none" w:sz="0" w:space="0" w:color="auto"/>
        <w:left w:val="none" w:sz="0" w:space="0" w:color="auto"/>
        <w:bottom w:val="none" w:sz="0" w:space="0" w:color="auto"/>
        <w:right w:val="none" w:sz="0" w:space="0" w:color="auto"/>
      </w:divBdr>
    </w:div>
    <w:div w:id="1819372101">
      <w:bodyDiv w:val="1"/>
      <w:marLeft w:val="0"/>
      <w:marRight w:val="0"/>
      <w:marTop w:val="0"/>
      <w:marBottom w:val="0"/>
      <w:divBdr>
        <w:top w:val="none" w:sz="0" w:space="0" w:color="auto"/>
        <w:left w:val="none" w:sz="0" w:space="0" w:color="auto"/>
        <w:bottom w:val="none" w:sz="0" w:space="0" w:color="auto"/>
        <w:right w:val="none" w:sz="0" w:space="0" w:color="auto"/>
      </w:divBdr>
    </w:div>
    <w:div w:id="1838572703">
      <w:bodyDiv w:val="1"/>
      <w:marLeft w:val="0"/>
      <w:marRight w:val="0"/>
      <w:marTop w:val="0"/>
      <w:marBottom w:val="0"/>
      <w:divBdr>
        <w:top w:val="none" w:sz="0" w:space="0" w:color="auto"/>
        <w:left w:val="none" w:sz="0" w:space="0" w:color="auto"/>
        <w:bottom w:val="none" w:sz="0" w:space="0" w:color="auto"/>
        <w:right w:val="none" w:sz="0" w:space="0" w:color="auto"/>
      </w:divBdr>
    </w:div>
    <w:div w:id="1878200938">
      <w:bodyDiv w:val="1"/>
      <w:marLeft w:val="0"/>
      <w:marRight w:val="0"/>
      <w:marTop w:val="0"/>
      <w:marBottom w:val="0"/>
      <w:divBdr>
        <w:top w:val="none" w:sz="0" w:space="0" w:color="auto"/>
        <w:left w:val="none" w:sz="0" w:space="0" w:color="auto"/>
        <w:bottom w:val="none" w:sz="0" w:space="0" w:color="auto"/>
        <w:right w:val="none" w:sz="0" w:space="0" w:color="auto"/>
      </w:divBdr>
    </w:div>
    <w:div w:id="1894342791">
      <w:bodyDiv w:val="1"/>
      <w:marLeft w:val="0"/>
      <w:marRight w:val="0"/>
      <w:marTop w:val="0"/>
      <w:marBottom w:val="0"/>
      <w:divBdr>
        <w:top w:val="none" w:sz="0" w:space="0" w:color="auto"/>
        <w:left w:val="none" w:sz="0" w:space="0" w:color="auto"/>
        <w:bottom w:val="none" w:sz="0" w:space="0" w:color="auto"/>
        <w:right w:val="none" w:sz="0" w:space="0" w:color="auto"/>
      </w:divBdr>
    </w:div>
    <w:div w:id="1918712775">
      <w:bodyDiv w:val="1"/>
      <w:marLeft w:val="0"/>
      <w:marRight w:val="0"/>
      <w:marTop w:val="0"/>
      <w:marBottom w:val="0"/>
      <w:divBdr>
        <w:top w:val="none" w:sz="0" w:space="0" w:color="auto"/>
        <w:left w:val="none" w:sz="0" w:space="0" w:color="auto"/>
        <w:bottom w:val="none" w:sz="0" w:space="0" w:color="auto"/>
        <w:right w:val="none" w:sz="0" w:space="0" w:color="auto"/>
      </w:divBdr>
    </w:div>
    <w:div w:id="1919168391">
      <w:bodyDiv w:val="1"/>
      <w:marLeft w:val="0"/>
      <w:marRight w:val="0"/>
      <w:marTop w:val="0"/>
      <w:marBottom w:val="0"/>
      <w:divBdr>
        <w:top w:val="none" w:sz="0" w:space="0" w:color="auto"/>
        <w:left w:val="none" w:sz="0" w:space="0" w:color="auto"/>
        <w:bottom w:val="none" w:sz="0" w:space="0" w:color="auto"/>
        <w:right w:val="none" w:sz="0" w:space="0" w:color="auto"/>
      </w:divBdr>
    </w:div>
    <w:div w:id="1926720423">
      <w:bodyDiv w:val="1"/>
      <w:marLeft w:val="0"/>
      <w:marRight w:val="0"/>
      <w:marTop w:val="0"/>
      <w:marBottom w:val="0"/>
      <w:divBdr>
        <w:top w:val="none" w:sz="0" w:space="0" w:color="auto"/>
        <w:left w:val="none" w:sz="0" w:space="0" w:color="auto"/>
        <w:bottom w:val="none" w:sz="0" w:space="0" w:color="auto"/>
        <w:right w:val="none" w:sz="0" w:space="0" w:color="auto"/>
      </w:divBdr>
    </w:div>
    <w:div w:id="1986734630">
      <w:bodyDiv w:val="1"/>
      <w:marLeft w:val="0"/>
      <w:marRight w:val="0"/>
      <w:marTop w:val="0"/>
      <w:marBottom w:val="0"/>
      <w:divBdr>
        <w:top w:val="none" w:sz="0" w:space="0" w:color="auto"/>
        <w:left w:val="none" w:sz="0" w:space="0" w:color="auto"/>
        <w:bottom w:val="none" w:sz="0" w:space="0" w:color="auto"/>
        <w:right w:val="none" w:sz="0" w:space="0" w:color="auto"/>
      </w:divBdr>
    </w:div>
    <w:div w:id="1994799069">
      <w:bodyDiv w:val="1"/>
      <w:marLeft w:val="0"/>
      <w:marRight w:val="0"/>
      <w:marTop w:val="0"/>
      <w:marBottom w:val="0"/>
      <w:divBdr>
        <w:top w:val="none" w:sz="0" w:space="0" w:color="auto"/>
        <w:left w:val="none" w:sz="0" w:space="0" w:color="auto"/>
        <w:bottom w:val="none" w:sz="0" w:space="0" w:color="auto"/>
        <w:right w:val="none" w:sz="0" w:space="0" w:color="auto"/>
      </w:divBdr>
    </w:div>
    <w:div w:id="2000845169">
      <w:bodyDiv w:val="1"/>
      <w:marLeft w:val="0"/>
      <w:marRight w:val="0"/>
      <w:marTop w:val="0"/>
      <w:marBottom w:val="0"/>
      <w:divBdr>
        <w:top w:val="none" w:sz="0" w:space="0" w:color="auto"/>
        <w:left w:val="none" w:sz="0" w:space="0" w:color="auto"/>
        <w:bottom w:val="none" w:sz="0" w:space="0" w:color="auto"/>
        <w:right w:val="none" w:sz="0" w:space="0" w:color="auto"/>
      </w:divBdr>
    </w:div>
    <w:div w:id="2008360344">
      <w:bodyDiv w:val="1"/>
      <w:marLeft w:val="0"/>
      <w:marRight w:val="0"/>
      <w:marTop w:val="0"/>
      <w:marBottom w:val="0"/>
      <w:divBdr>
        <w:top w:val="none" w:sz="0" w:space="0" w:color="auto"/>
        <w:left w:val="none" w:sz="0" w:space="0" w:color="auto"/>
        <w:bottom w:val="none" w:sz="0" w:space="0" w:color="auto"/>
        <w:right w:val="none" w:sz="0" w:space="0" w:color="auto"/>
      </w:divBdr>
    </w:div>
    <w:div w:id="2030594581">
      <w:bodyDiv w:val="1"/>
      <w:marLeft w:val="0"/>
      <w:marRight w:val="0"/>
      <w:marTop w:val="0"/>
      <w:marBottom w:val="0"/>
      <w:divBdr>
        <w:top w:val="none" w:sz="0" w:space="0" w:color="auto"/>
        <w:left w:val="none" w:sz="0" w:space="0" w:color="auto"/>
        <w:bottom w:val="none" w:sz="0" w:space="0" w:color="auto"/>
        <w:right w:val="none" w:sz="0" w:space="0" w:color="auto"/>
      </w:divBdr>
    </w:div>
    <w:div w:id="2042196209">
      <w:bodyDiv w:val="1"/>
      <w:marLeft w:val="0"/>
      <w:marRight w:val="0"/>
      <w:marTop w:val="0"/>
      <w:marBottom w:val="0"/>
      <w:divBdr>
        <w:top w:val="none" w:sz="0" w:space="0" w:color="auto"/>
        <w:left w:val="none" w:sz="0" w:space="0" w:color="auto"/>
        <w:bottom w:val="none" w:sz="0" w:space="0" w:color="auto"/>
        <w:right w:val="none" w:sz="0" w:space="0" w:color="auto"/>
      </w:divBdr>
    </w:div>
    <w:div w:id="2043550388">
      <w:bodyDiv w:val="1"/>
      <w:marLeft w:val="0"/>
      <w:marRight w:val="0"/>
      <w:marTop w:val="0"/>
      <w:marBottom w:val="0"/>
      <w:divBdr>
        <w:top w:val="none" w:sz="0" w:space="0" w:color="auto"/>
        <w:left w:val="none" w:sz="0" w:space="0" w:color="auto"/>
        <w:bottom w:val="none" w:sz="0" w:space="0" w:color="auto"/>
        <w:right w:val="none" w:sz="0" w:space="0" w:color="auto"/>
      </w:divBdr>
    </w:div>
    <w:div w:id="2052262224">
      <w:bodyDiv w:val="1"/>
      <w:marLeft w:val="0"/>
      <w:marRight w:val="0"/>
      <w:marTop w:val="0"/>
      <w:marBottom w:val="0"/>
      <w:divBdr>
        <w:top w:val="none" w:sz="0" w:space="0" w:color="auto"/>
        <w:left w:val="none" w:sz="0" w:space="0" w:color="auto"/>
        <w:bottom w:val="none" w:sz="0" w:space="0" w:color="auto"/>
        <w:right w:val="none" w:sz="0" w:space="0" w:color="auto"/>
      </w:divBdr>
    </w:div>
    <w:div w:id="2063408165">
      <w:bodyDiv w:val="1"/>
      <w:marLeft w:val="0"/>
      <w:marRight w:val="0"/>
      <w:marTop w:val="0"/>
      <w:marBottom w:val="0"/>
      <w:divBdr>
        <w:top w:val="none" w:sz="0" w:space="0" w:color="auto"/>
        <w:left w:val="none" w:sz="0" w:space="0" w:color="auto"/>
        <w:bottom w:val="none" w:sz="0" w:space="0" w:color="auto"/>
        <w:right w:val="none" w:sz="0" w:space="0" w:color="auto"/>
      </w:divBdr>
    </w:div>
    <w:div w:id="2068186207">
      <w:bodyDiv w:val="1"/>
      <w:marLeft w:val="0"/>
      <w:marRight w:val="0"/>
      <w:marTop w:val="0"/>
      <w:marBottom w:val="0"/>
      <w:divBdr>
        <w:top w:val="none" w:sz="0" w:space="0" w:color="auto"/>
        <w:left w:val="none" w:sz="0" w:space="0" w:color="auto"/>
        <w:bottom w:val="none" w:sz="0" w:space="0" w:color="auto"/>
        <w:right w:val="none" w:sz="0" w:space="0" w:color="auto"/>
      </w:divBdr>
    </w:div>
    <w:div w:id="2080593593">
      <w:bodyDiv w:val="1"/>
      <w:marLeft w:val="0"/>
      <w:marRight w:val="0"/>
      <w:marTop w:val="0"/>
      <w:marBottom w:val="0"/>
      <w:divBdr>
        <w:top w:val="none" w:sz="0" w:space="0" w:color="auto"/>
        <w:left w:val="none" w:sz="0" w:space="0" w:color="auto"/>
        <w:bottom w:val="none" w:sz="0" w:space="0" w:color="auto"/>
        <w:right w:val="none" w:sz="0" w:space="0" w:color="auto"/>
      </w:divBdr>
    </w:div>
    <w:div w:id="2122718391">
      <w:bodyDiv w:val="1"/>
      <w:marLeft w:val="0"/>
      <w:marRight w:val="0"/>
      <w:marTop w:val="0"/>
      <w:marBottom w:val="0"/>
      <w:divBdr>
        <w:top w:val="none" w:sz="0" w:space="0" w:color="auto"/>
        <w:left w:val="none" w:sz="0" w:space="0" w:color="auto"/>
        <w:bottom w:val="none" w:sz="0" w:space="0" w:color="auto"/>
        <w:right w:val="none" w:sz="0" w:space="0" w:color="auto"/>
      </w:divBdr>
    </w:div>
    <w:div w:id="2136293272">
      <w:bodyDiv w:val="1"/>
      <w:marLeft w:val="0"/>
      <w:marRight w:val="0"/>
      <w:marTop w:val="0"/>
      <w:marBottom w:val="0"/>
      <w:divBdr>
        <w:top w:val="none" w:sz="0" w:space="0" w:color="auto"/>
        <w:left w:val="none" w:sz="0" w:space="0" w:color="auto"/>
        <w:bottom w:val="none" w:sz="0" w:space="0" w:color="auto"/>
        <w:right w:val="none" w:sz="0" w:space="0" w:color="auto"/>
      </w:divBdr>
      <w:divsChild>
        <w:div w:id="241569643">
          <w:marLeft w:val="0"/>
          <w:marRight w:val="0"/>
          <w:marTop w:val="0"/>
          <w:marBottom w:val="0"/>
          <w:divBdr>
            <w:top w:val="single" w:sz="2" w:space="0" w:color="E3E3E3"/>
            <w:left w:val="single" w:sz="2" w:space="0" w:color="E3E3E3"/>
            <w:bottom w:val="single" w:sz="2" w:space="0" w:color="E3E3E3"/>
            <w:right w:val="single" w:sz="2" w:space="0" w:color="E3E3E3"/>
          </w:divBdr>
          <w:divsChild>
            <w:div w:id="1423377705">
              <w:marLeft w:val="0"/>
              <w:marRight w:val="0"/>
              <w:marTop w:val="0"/>
              <w:marBottom w:val="0"/>
              <w:divBdr>
                <w:top w:val="single" w:sz="2" w:space="0" w:color="E3E3E3"/>
                <w:left w:val="single" w:sz="2" w:space="0" w:color="E3E3E3"/>
                <w:bottom w:val="single" w:sz="2" w:space="0" w:color="E3E3E3"/>
                <w:right w:val="single" w:sz="2" w:space="0" w:color="E3E3E3"/>
              </w:divBdr>
              <w:divsChild>
                <w:div w:id="850417309">
                  <w:marLeft w:val="0"/>
                  <w:marRight w:val="0"/>
                  <w:marTop w:val="0"/>
                  <w:marBottom w:val="0"/>
                  <w:divBdr>
                    <w:top w:val="single" w:sz="2" w:space="0" w:color="E3E3E3"/>
                    <w:left w:val="single" w:sz="2" w:space="0" w:color="E3E3E3"/>
                    <w:bottom w:val="single" w:sz="2" w:space="0" w:color="E3E3E3"/>
                    <w:right w:val="single" w:sz="2" w:space="0" w:color="E3E3E3"/>
                  </w:divBdr>
                  <w:divsChild>
                    <w:div w:id="1555894308">
                      <w:marLeft w:val="0"/>
                      <w:marRight w:val="0"/>
                      <w:marTop w:val="0"/>
                      <w:marBottom w:val="0"/>
                      <w:divBdr>
                        <w:top w:val="single" w:sz="2" w:space="0" w:color="E3E3E3"/>
                        <w:left w:val="single" w:sz="2" w:space="0" w:color="E3E3E3"/>
                        <w:bottom w:val="single" w:sz="2" w:space="0" w:color="E3E3E3"/>
                        <w:right w:val="single" w:sz="2" w:space="0" w:color="E3E3E3"/>
                      </w:divBdr>
                      <w:divsChild>
                        <w:div w:id="11377226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36467596">
          <w:marLeft w:val="0"/>
          <w:marRight w:val="0"/>
          <w:marTop w:val="0"/>
          <w:marBottom w:val="0"/>
          <w:divBdr>
            <w:top w:val="single" w:sz="2" w:space="0" w:color="E3E3E3"/>
            <w:left w:val="single" w:sz="2" w:space="0" w:color="E3E3E3"/>
            <w:bottom w:val="single" w:sz="2" w:space="0" w:color="E3E3E3"/>
            <w:right w:val="single" w:sz="2" w:space="0" w:color="E3E3E3"/>
          </w:divBdr>
          <w:divsChild>
            <w:div w:id="386488085">
              <w:marLeft w:val="0"/>
              <w:marRight w:val="0"/>
              <w:marTop w:val="0"/>
              <w:marBottom w:val="0"/>
              <w:divBdr>
                <w:top w:val="single" w:sz="2" w:space="0" w:color="E3E3E3"/>
                <w:left w:val="single" w:sz="2" w:space="0" w:color="E3E3E3"/>
                <w:bottom w:val="single" w:sz="2" w:space="0" w:color="E3E3E3"/>
                <w:right w:val="single" w:sz="2" w:space="0" w:color="E3E3E3"/>
              </w:divBdr>
            </w:div>
            <w:div w:id="862210077">
              <w:marLeft w:val="0"/>
              <w:marRight w:val="0"/>
              <w:marTop w:val="0"/>
              <w:marBottom w:val="0"/>
              <w:divBdr>
                <w:top w:val="single" w:sz="2" w:space="0" w:color="E3E3E3"/>
                <w:left w:val="single" w:sz="2" w:space="0" w:color="E3E3E3"/>
                <w:bottom w:val="single" w:sz="2" w:space="0" w:color="E3E3E3"/>
                <w:right w:val="single" w:sz="2" w:space="0" w:color="E3E3E3"/>
              </w:divBdr>
              <w:divsChild>
                <w:div w:id="689723523">
                  <w:marLeft w:val="0"/>
                  <w:marRight w:val="0"/>
                  <w:marTop w:val="0"/>
                  <w:marBottom w:val="0"/>
                  <w:divBdr>
                    <w:top w:val="single" w:sz="2" w:space="0" w:color="E3E3E3"/>
                    <w:left w:val="single" w:sz="2" w:space="0" w:color="E3E3E3"/>
                    <w:bottom w:val="single" w:sz="2" w:space="0" w:color="E3E3E3"/>
                    <w:right w:val="single" w:sz="2" w:space="0" w:color="E3E3E3"/>
                  </w:divBdr>
                  <w:divsChild>
                    <w:div w:id="62143310">
                      <w:marLeft w:val="0"/>
                      <w:marRight w:val="0"/>
                      <w:marTop w:val="0"/>
                      <w:marBottom w:val="0"/>
                      <w:divBdr>
                        <w:top w:val="single" w:sz="2" w:space="0" w:color="E3E3E3"/>
                        <w:left w:val="single" w:sz="2" w:space="0" w:color="E3E3E3"/>
                        <w:bottom w:val="single" w:sz="2" w:space="0" w:color="E3E3E3"/>
                        <w:right w:val="single" w:sz="2" w:space="0" w:color="E3E3E3"/>
                      </w:divBdr>
                      <w:divsChild>
                        <w:div w:id="151218563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214553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egjeringen.no/contentassets/216ef613554042ccae0c127a6b3b3ac8/no/pdfs/nou201920190002000dddpdfs.pdf" TargetMode="External"/><Relationship Id="rId21" Type="http://schemas.openxmlformats.org/officeDocument/2006/relationships/chart" Target="charts/chart8.xml"/><Relationship Id="rId42" Type="http://schemas.openxmlformats.org/officeDocument/2006/relationships/chart" Target="charts/chart28.xml"/><Relationship Id="rId63" Type="http://schemas.openxmlformats.org/officeDocument/2006/relationships/chart" Target="charts/chart48.xml"/><Relationship Id="rId84" Type="http://schemas.openxmlformats.org/officeDocument/2006/relationships/hyperlink" Target="https://www.ssb.no/nasjonalregnskap-og-konjunkturer/konjunkturer/artikler/utfordringer-for-lonnsdannelsen-og-norsk-okonomi/_/attachment/inline/8f6c764d-e7f8-4253-9551-88cc187468ce:03fe13c797378730d261d421f952b844f7c33729/RAPP2023-47.pdf" TargetMode="External"/><Relationship Id="rId16" Type="http://schemas.openxmlformats.org/officeDocument/2006/relationships/chart" Target="charts/chart3.xml"/><Relationship Id="rId107" Type="http://schemas.openxmlformats.org/officeDocument/2006/relationships/hyperlink" Target="https://www.regjeringen.no/no/dokumenter/stmeld-nr-14-2008-2009-/id545749/" TargetMode="External"/><Relationship Id="rId11" Type="http://schemas.openxmlformats.org/officeDocument/2006/relationships/footnotes" Target="footnotes.xml"/><Relationship Id="rId32" Type="http://schemas.openxmlformats.org/officeDocument/2006/relationships/chart" Target="charts/chart18.xml"/><Relationship Id="rId37" Type="http://schemas.openxmlformats.org/officeDocument/2006/relationships/chart" Target="charts/chart23.xml"/><Relationship Id="rId53" Type="http://schemas.openxmlformats.org/officeDocument/2006/relationships/chart" Target="charts/chart38.xml"/><Relationship Id="rId58" Type="http://schemas.openxmlformats.org/officeDocument/2006/relationships/chart" Target="charts/chart43.xml"/><Relationship Id="rId74" Type="http://schemas.openxmlformats.org/officeDocument/2006/relationships/chart" Target="charts/chart59.xml"/><Relationship Id="rId79" Type="http://schemas.openxmlformats.org/officeDocument/2006/relationships/chart" Target="charts/chart64.xml"/><Relationship Id="rId102" Type="http://schemas.openxmlformats.org/officeDocument/2006/relationships/hyperlink" Target="https://www.regjeringen.no/contentassets/31af8e2c3a224ac2829e48cc91d89083/v3.-orientering-om-statsbudsjettet-2024-for-universitet-og-hogskular.pdf" TargetMode="External"/><Relationship Id="rId123" Type="http://schemas.openxmlformats.org/officeDocument/2006/relationships/hyperlink" Target="https://www.uia.no/media/files/om-uia/aarsrapport-2022-2023" TargetMode="External"/><Relationship Id="rId128" Type="http://schemas.openxmlformats.org/officeDocument/2006/relationships/header" Target="header2.xml"/><Relationship Id="rId5" Type="http://schemas.openxmlformats.org/officeDocument/2006/relationships/customXml" Target="../customXml/item5.xml"/><Relationship Id="rId90" Type="http://schemas.openxmlformats.org/officeDocument/2006/relationships/hyperlink" Target="https://vedlegg.hkdir.no/TRHU/2022" TargetMode="External"/><Relationship Id="rId95" Type="http://schemas.openxmlformats.org/officeDocument/2006/relationships/hyperlink" Target="https://www.inn.no/om-hogskolen/kvalitetssystem-for-utdanning/dokumentasjon/kvalitetsrapport-for-utdanning/2021_kvalitetsrapport_hinn.pdf" TargetMode="External"/><Relationship Id="rId22" Type="http://schemas.openxmlformats.org/officeDocument/2006/relationships/chart" Target="charts/chart9.xml"/><Relationship Id="rId27" Type="http://schemas.openxmlformats.org/officeDocument/2006/relationships/chart" Target="charts/chart13.xml"/><Relationship Id="rId43" Type="http://schemas.openxmlformats.org/officeDocument/2006/relationships/chart" Target="charts/chart29.xml"/><Relationship Id="rId48" Type="http://schemas.openxmlformats.org/officeDocument/2006/relationships/chart" Target="charts/chart34.xml"/><Relationship Id="rId64" Type="http://schemas.openxmlformats.org/officeDocument/2006/relationships/chart" Target="charts/chart49.xml"/><Relationship Id="rId69" Type="http://schemas.openxmlformats.org/officeDocument/2006/relationships/chart" Target="charts/chart54.xml"/><Relationship Id="rId113" Type="http://schemas.openxmlformats.org/officeDocument/2006/relationships/hyperlink" Target="https://www.khrono.no/daehlen-frafall-meninger/er-frafallet-i-hoyere-utdanning-et-sa-stort-problem-som-noen-vil-ha-det-til/406268" TargetMode="External"/><Relationship Id="rId118" Type="http://schemas.openxmlformats.org/officeDocument/2006/relationships/hyperlink" Target="https://ansatt.oslomet.no/documents/585743/54495365/OsloMet_Aarsrapport_2022+.pdf/e56f1f4a-1e74-a85b-fbe6-542730226576?t=1682600003954" TargetMode="External"/><Relationship Id="rId134" Type="http://schemas.microsoft.com/office/2019/05/relationships/documenttasks" Target="documenttasks/documenttasks1.xml"/><Relationship Id="rId80" Type="http://schemas.openxmlformats.org/officeDocument/2006/relationships/chart" Target="charts/chart65.xml"/><Relationship Id="rId85" Type="http://schemas.openxmlformats.org/officeDocument/2006/relationships/hyperlink" Target="https://database.eurostudent.eu/drm/?eust_nr=7&amp;e=time_budget_all&amp;fg=e_age&amp;country_list=NO&amp;Curr=NCU" TargetMode="External"/><Relationship Id="rId12" Type="http://schemas.openxmlformats.org/officeDocument/2006/relationships/endnotes" Target="endnotes.xml"/><Relationship Id="rId17" Type="http://schemas.openxmlformats.org/officeDocument/2006/relationships/chart" Target="charts/chart4.xml"/><Relationship Id="rId33" Type="http://schemas.openxmlformats.org/officeDocument/2006/relationships/chart" Target="charts/chart19.xml"/><Relationship Id="rId38" Type="http://schemas.openxmlformats.org/officeDocument/2006/relationships/chart" Target="charts/chart24.xml"/><Relationship Id="rId59" Type="http://schemas.openxmlformats.org/officeDocument/2006/relationships/chart" Target="charts/chart44.xml"/><Relationship Id="rId103" Type="http://schemas.openxmlformats.org/officeDocument/2006/relationships/hyperlink" Target="https://doi.org/10.1093/scipol/scab024" TargetMode="External"/><Relationship Id="rId108" Type="http://schemas.openxmlformats.org/officeDocument/2006/relationships/hyperlink" Target="https://www.regjeringen.no/contentassets/aee30e4b7d3241d5bd89db69fe38f7ba/no/pdfs/stm201620170016000dddpdfs.pdf" TargetMode="External"/><Relationship Id="rId124" Type="http://schemas.openxmlformats.org/officeDocument/2006/relationships/hyperlink" Target="https://www.uib.no/foransatte/117829/f%C3%A6rre-midlertidige-ansettelser" TargetMode="External"/><Relationship Id="rId129" Type="http://schemas.openxmlformats.org/officeDocument/2006/relationships/footer" Target="footer1.xml"/><Relationship Id="rId54" Type="http://schemas.openxmlformats.org/officeDocument/2006/relationships/chart" Target="charts/chart39.xml"/><Relationship Id="rId70" Type="http://schemas.openxmlformats.org/officeDocument/2006/relationships/chart" Target="charts/chart55.xml"/><Relationship Id="rId75" Type="http://schemas.openxmlformats.org/officeDocument/2006/relationships/chart" Target="charts/chart60.xml"/><Relationship Id="rId91" Type="http://schemas.openxmlformats.org/officeDocument/2006/relationships/hyperlink" Target="https://hkdir.no/rapporter-undersokelser-og-statistikk/fleksible-profesjonsutdanninger-en-undersokelse-av-studietilbud-og-studenter" TargetMode="External"/><Relationship Id="rId96" Type="http://schemas.openxmlformats.org/officeDocument/2006/relationships/hyperlink" Target="https://www.inn.no/om-hogskolen/organisering/styringsdokumenter/hinn-aarsrapport-2022.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hart" Target="charts/chart10.xml"/><Relationship Id="rId28" Type="http://schemas.openxmlformats.org/officeDocument/2006/relationships/chart" Target="charts/chart14.xml"/><Relationship Id="rId49" Type="http://schemas.openxmlformats.org/officeDocument/2006/relationships/chart" Target="charts/chart35.xml"/><Relationship Id="rId114" Type="http://schemas.openxmlformats.org/officeDocument/2006/relationships/hyperlink" Target="https://www.nokut.no/globalassets/studiebarometeret/2016/rom_for_mer_laring_2016.pdf" TargetMode="External"/><Relationship Id="rId119" Type="http://schemas.openxmlformats.org/officeDocument/2006/relationships/hyperlink" Target="https://proba.no/rapport/analyse-av-ekstern-finansiering-og-midlertidighet-i-universitetsog-hoyskolesektoren/" TargetMode="External"/><Relationship Id="rId44" Type="http://schemas.openxmlformats.org/officeDocument/2006/relationships/chart" Target="charts/chart30.xml"/><Relationship Id="rId60" Type="http://schemas.openxmlformats.org/officeDocument/2006/relationships/chart" Target="charts/chart45.xml"/><Relationship Id="rId65" Type="http://schemas.openxmlformats.org/officeDocument/2006/relationships/chart" Target="charts/chart50.xml"/><Relationship Id="rId81" Type="http://schemas.openxmlformats.org/officeDocument/2006/relationships/chart" Target="charts/chart66.xml"/><Relationship Id="rId86" Type="http://schemas.openxmlformats.org/officeDocument/2006/relationships/hyperlink" Target="https://www.forskningsradet.no/indikatorrapporten/indikatorrapporten-dokument/" TargetMode="External"/><Relationship Id="rId130" Type="http://schemas.openxmlformats.org/officeDocument/2006/relationships/header" Target="header3.xml"/><Relationship Id="rId13" Type="http://schemas.openxmlformats.org/officeDocument/2006/relationships/image" Target="media/image1.jpeg"/><Relationship Id="rId18" Type="http://schemas.openxmlformats.org/officeDocument/2006/relationships/chart" Target="charts/chart5.xml"/><Relationship Id="rId39" Type="http://schemas.openxmlformats.org/officeDocument/2006/relationships/chart" Target="charts/chart25.xml"/><Relationship Id="rId109" Type="http://schemas.openxmlformats.org/officeDocument/2006/relationships/hyperlink" Target="https://www.regjeringen.no/no/dokumenter/meld.-st.-16-20162017/id2536007/" TargetMode="External"/><Relationship Id="rId34" Type="http://schemas.openxmlformats.org/officeDocument/2006/relationships/chart" Target="charts/chart20.xml"/><Relationship Id="rId50" Type="http://schemas.openxmlformats.org/officeDocument/2006/relationships/image" Target="media/image2.png"/><Relationship Id="rId55" Type="http://schemas.openxmlformats.org/officeDocument/2006/relationships/chart" Target="charts/chart40.xml"/><Relationship Id="rId76" Type="http://schemas.openxmlformats.org/officeDocument/2006/relationships/chart" Target="charts/chart61.xml"/><Relationship Id="rId97" Type="http://schemas.openxmlformats.org/officeDocument/2006/relationships/hyperlink" Target="https://kudos.dfo.no/documents/33329/files/29689.pdf" TargetMode="External"/><Relationship Id="rId104" Type="http://schemas.openxmlformats.org/officeDocument/2006/relationships/hyperlink" Target="https://www.regjeringen.no/no/dokumenter/meld.-st.-5-20192020/id2674349/" TargetMode="External"/><Relationship Id="rId120" Type="http://schemas.openxmlformats.org/officeDocument/2006/relationships/hyperlink" Target="https://www.nifu.no/publikasjoner/forskerhverdag-under-koronapandemien-resultater-fra-en-panelundersokelse-av-norske-forskere-2022/" TargetMode="External"/><Relationship Id="rId125" Type="http://schemas.openxmlformats.org/officeDocument/2006/relationships/hyperlink" Target="https://www.uio.no/om/organisasjon/styret/moter/2024/02-06/i-sak-1-24-arbeid-med-midlertidighet-ved-universtetet-i-oslo.pdf" TargetMode="External"/><Relationship Id="rId7" Type="http://schemas.openxmlformats.org/officeDocument/2006/relationships/numbering" Target="numbering.xml"/><Relationship Id="rId71" Type="http://schemas.openxmlformats.org/officeDocument/2006/relationships/chart" Target="charts/chart56.xml"/><Relationship Id="rId92" Type="http://schemas.openxmlformats.org/officeDocument/2006/relationships/hyperlink" Target="https://hkdir.no/rapporter-undersokelser-og-statistikk/framtidige-kompetansebehov-kunnskapsgrunnlag-for-kompetansepolitikken-2023" TargetMode="External"/><Relationship Id="rId2" Type="http://schemas.openxmlformats.org/officeDocument/2006/relationships/customXml" Target="../customXml/item2.xml"/><Relationship Id="rId29" Type="http://schemas.openxmlformats.org/officeDocument/2006/relationships/chart" Target="charts/chart15.xml"/><Relationship Id="rId24" Type="http://schemas.openxmlformats.org/officeDocument/2006/relationships/hyperlink" Target="https://vedlegg.hkdir.no/MichaelRev/2024/figur/V2.7" TargetMode="External"/><Relationship Id="rId40" Type="http://schemas.openxmlformats.org/officeDocument/2006/relationships/chart" Target="charts/chart26.xml"/><Relationship Id="rId45" Type="http://schemas.openxmlformats.org/officeDocument/2006/relationships/chart" Target="charts/chart31.xml"/><Relationship Id="rId66" Type="http://schemas.openxmlformats.org/officeDocument/2006/relationships/chart" Target="charts/chart51.xml"/><Relationship Id="rId87" Type="http://schemas.openxmlformats.org/officeDocument/2006/relationships/hyperlink" Target="https://www.ssb.no/utdanning/utdanningsniva/artikler/slik-henger-utdanning-sammen-med-foreldrenes-utdanningsniva" TargetMode="External"/><Relationship Id="rId110" Type="http://schemas.openxmlformats.org/officeDocument/2006/relationships/hyperlink" Target="https://www.regjeringen.no/no/dokumenter/meld.-st.-20-20232024/id3032432/" TargetMode="External"/><Relationship Id="rId115" Type="http://schemas.openxmlformats.org/officeDocument/2006/relationships/hyperlink" Target="https://www.nokut.no/globalassets/studiebarometeret/2024/hoyere-utdanning/studiebarometeret-2023_hovedtendenser_4-2024.pdf" TargetMode="External"/><Relationship Id="rId131" Type="http://schemas.openxmlformats.org/officeDocument/2006/relationships/fontTable" Target="fontTable.xml"/><Relationship Id="rId61" Type="http://schemas.openxmlformats.org/officeDocument/2006/relationships/chart" Target="charts/chart46.xml"/><Relationship Id="rId82" Type="http://schemas.openxmlformats.org/officeDocument/2006/relationships/chart" Target="charts/chart67.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6.xml"/><Relationship Id="rId35" Type="http://schemas.openxmlformats.org/officeDocument/2006/relationships/chart" Target="charts/chart21.xml"/><Relationship Id="rId56" Type="http://schemas.openxmlformats.org/officeDocument/2006/relationships/chart" Target="charts/chart41.xml"/><Relationship Id="rId77" Type="http://schemas.openxmlformats.org/officeDocument/2006/relationships/chart" Target="charts/chart62.xml"/><Relationship Id="rId100" Type="http://schemas.openxmlformats.org/officeDocument/2006/relationships/hyperlink" Target="https://nifu.brage.unit.no/nifu-xmlui/handle/11250/3117072" TargetMode="External"/><Relationship Id="rId105" Type="http://schemas.openxmlformats.org/officeDocument/2006/relationships/hyperlink" Target="https://www.regjeringen.no/no/dokumenter/meld.-st.-14-20192020/id2698284/" TargetMode="External"/><Relationship Id="rId126" Type="http://schemas.openxmlformats.org/officeDocument/2006/relationships/hyperlink" Target="https://www.usn.no/getfile.php/13760751-1679060583/usn.no/om_USN/%C3%85rsrapport/%C3%85rsrapport_2022-2023.pdf" TargetMode="External"/><Relationship Id="rId8" Type="http://schemas.openxmlformats.org/officeDocument/2006/relationships/styles" Target="styles.xml"/><Relationship Id="rId51" Type="http://schemas.openxmlformats.org/officeDocument/2006/relationships/chart" Target="charts/chart36.xml"/><Relationship Id="rId72" Type="http://schemas.openxmlformats.org/officeDocument/2006/relationships/chart" Target="charts/chart57.xml"/><Relationship Id="rId93" Type="http://schemas.openxmlformats.org/officeDocument/2006/relationships/hyperlink" Target="https://hkdir.no/rapporter-undersokelser-og-statistikk/digital-omstilling-i-uh-sektoren-status-muligheter-og-utfordringer-2023" TargetMode="External"/><Relationship Id="rId98" Type="http://schemas.openxmlformats.org/officeDocument/2006/relationships/hyperlink" Target="https://www.hvl.no/globalassets/hvl-internett/dokument/rapport/hvl_arsrapport_2022.pdf" TargetMode="External"/><Relationship Id="rId121" Type="http://schemas.openxmlformats.org/officeDocument/2006/relationships/hyperlink" Target="https://ideas2evidence.com/nb/publications/mellom-styring-og-marked-kartlegging-av-behovet-et-kunnskapsgrunnlag-dimensjonering-av" TargetMode="External"/><Relationship Id="rId3" Type="http://schemas.openxmlformats.org/officeDocument/2006/relationships/customXml" Target="../customXml/item3.xml"/><Relationship Id="rId25" Type="http://schemas.openxmlformats.org/officeDocument/2006/relationships/chart" Target="charts/chart11.xml"/><Relationship Id="rId46" Type="http://schemas.openxmlformats.org/officeDocument/2006/relationships/chart" Target="charts/chart32.xml"/><Relationship Id="rId67" Type="http://schemas.openxmlformats.org/officeDocument/2006/relationships/chart" Target="charts/chart52.xml"/><Relationship Id="rId116" Type="http://schemas.openxmlformats.org/officeDocument/2006/relationships/hyperlink" Target="https://www.nord.no/sites/default/files/2023-05/Arsrapport-2022-Nord-universitet.pdf" TargetMode="External"/><Relationship Id="rId20" Type="http://schemas.openxmlformats.org/officeDocument/2006/relationships/chart" Target="charts/chart7.xml"/><Relationship Id="rId41" Type="http://schemas.openxmlformats.org/officeDocument/2006/relationships/chart" Target="charts/chart27.xml"/><Relationship Id="rId62" Type="http://schemas.openxmlformats.org/officeDocument/2006/relationships/chart" Target="charts/chart47.xml"/><Relationship Id="rId83" Type="http://schemas.openxmlformats.org/officeDocument/2006/relationships/chart" Target="charts/chart68.xml"/><Relationship Id="rId88" Type="http://schemas.openxmlformats.org/officeDocument/2006/relationships/hyperlink" Target="https://hkdir.no/rapporter-undersokelser-og-statistikk/avtalelengder-og-tidsbruk-i-ph-d-utdanninga" TargetMode="External"/><Relationship Id="rId111" Type="http://schemas.openxmlformats.org/officeDocument/2006/relationships/hyperlink" Target="https://www.regjeringen.no/no/dokumenter/meld.-st.-25-20162017/id2545646/" TargetMode="External"/><Relationship Id="rId132" Type="http://schemas.openxmlformats.org/officeDocument/2006/relationships/glossaryDocument" Target="glossary/document.xml"/><Relationship Id="rId15" Type="http://schemas.openxmlformats.org/officeDocument/2006/relationships/chart" Target="charts/chart2.xml"/><Relationship Id="rId36" Type="http://schemas.openxmlformats.org/officeDocument/2006/relationships/chart" Target="charts/chart22.xml"/><Relationship Id="rId57" Type="http://schemas.openxmlformats.org/officeDocument/2006/relationships/chart" Target="charts/chart42.xml"/><Relationship Id="rId106" Type="http://schemas.openxmlformats.org/officeDocument/2006/relationships/hyperlink" Target="https://www.regjeringen.no/no/dokumenter/meld.-st.-14-20222023/id2967608/" TargetMode="External"/><Relationship Id="rId127" Type="http://schemas.openxmlformats.org/officeDocument/2006/relationships/header" Target="header1.xml"/><Relationship Id="rId10" Type="http://schemas.openxmlformats.org/officeDocument/2006/relationships/webSettings" Target="webSettings.xml"/><Relationship Id="rId31" Type="http://schemas.openxmlformats.org/officeDocument/2006/relationships/chart" Target="charts/chart17.xml"/><Relationship Id="rId52" Type="http://schemas.openxmlformats.org/officeDocument/2006/relationships/chart" Target="charts/chart37.xml"/><Relationship Id="rId73" Type="http://schemas.openxmlformats.org/officeDocument/2006/relationships/chart" Target="charts/chart58.xml"/><Relationship Id="rId78" Type="http://schemas.openxmlformats.org/officeDocument/2006/relationships/chart" Target="charts/chart63.xml"/><Relationship Id="rId94" Type="http://schemas.openxmlformats.org/officeDocument/2006/relationships/hyperlink" Target="https://nifu.brage.unit.no/nifu-xmlui/handle/11250/2432088" TargetMode="External"/><Relationship Id="rId99" Type="http://schemas.openxmlformats.org/officeDocument/2006/relationships/hyperlink" Target="https://www.ssb.no/arbeid-og-lonn/sysselsetting/artikler/arbeidsmarkedet-for-helsepersonell-fram-mot-2040/_/attachment/inline/487396f0-0469-49de-8b79-092941ac346f:9861f0cf62d33b5643028f02e0e8f7c22f80a709/RAPP2023-02.pdf" TargetMode="External"/><Relationship Id="rId101" Type="http://schemas.openxmlformats.org/officeDocument/2006/relationships/hyperlink" Target="https://www.regjeringen.no/contentassets/c151afba427f446b8aa44aa1a673e6d6/no/pdfs/kd-strategi-digital-omstilling.pdf" TargetMode="External"/><Relationship Id="rId122" Type="http://schemas.openxmlformats.org/officeDocument/2006/relationships/hyperlink" Target="https://www.khrono.no/faktakampen-om-midlertidigheten/633923"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hart" Target="charts/chart12.xml"/><Relationship Id="rId47" Type="http://schemas.openxmlformats.org/officeDocument/2006/relationships/chart" Target="charts/chart33.xml"/><Relationship Id="rId68" Type="http://schemas.openxmlformats.org/officeDocument/2006/relationships/chart" Target="charts/chart53.xml"/><Relationship Id="rId89" Type="http://schemas.openxmlformats.org/officeDocument/2006/relationships/hyperlink" Target="https://erasmuspluss.no/rapporter-undersokelser-og-statistikk/erasmus-i-norsk-hoyere-utdanning-2022" TargetMode="External"/><Relationship Id="rId112" Type="http://schemas.openxmlformats.org/officeDocument/2006/relationships/hyperlink" Target="https://www.nav.no/_/attachment/download/53351692-1196-4647-bee2-3055f8c81ed5:3b00bf572c1b9aa10ef9f0d10dbbc8a585329c88/NAVs%20bedriftsunders%C3%B8kelse%202023.pdf" TargetMode="External"/><Relationship Id="rId13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ssb.no/utdanning/grunnskoler/artikler/hva-er-det-mest-populaere-fremmedspraket-i-grunnskolen" TargetMode="External"/><Relationship Id="rId2" Type="http://schemas.openxmlformats.org/officeDocument/2006/relationships/hyperlink" Target="https://www.ssb.no/utenriksokonomi/utenrikshandel/statistikk/utenrikshandel-med-varer/artikler/norges-viktigste-handelspartnere" TargetMode="External"/><Relationship Id="rId1" Type="http://schemas.openxmlformats.org/officeDocument/2006/relationships/hyperlink" Target="https://www.ssb.no/utdanning/artikler-og-publikasjoner/norske-studenter-blant-de-eldste-i-europa" TargetMode="External"/><Relationship Id="rId4" Type="http://schemas.openxmlformats.org/officeDocument/2006/relationships/hyperlink" Target="http://www.samordnaopptak.no/info/opptak/poengberegn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ne.haugen\HKdirektoratet\Tilstandsrapport%20h&#248;yere%20utdanning%20-%20Dokumenter\TRHU2024\Tekst\Mal\Wordmal_ikke%20endelig.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7.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9.bin"/><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regneark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regneark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hkdirektoratet.sharepoint.com/sites/Tilstandsrapport-hoy-utd/Shared%20Documents/TRHU2024/Data/Sikt/Spr&#229;k%20master%20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embeddings/oleObject10.bin"/><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embeddings/oleObject11.bin"/></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regneark8.xlsx"/><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regneark9.xlsx"/><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embeddings/oleObject13.bin"/><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embeddings/oleObject14.bin"/><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regneark10.xlsx"/><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regneark11.xlsx"/><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regneark12.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regneark13.xlsx"/><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regneark14.xlsx"/><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regneark15.xlsx"/><Relationship Id="rId2" Type="http://schemas.microsoft.com/office/2011/relationships/chartColorStyle" Target="colors29.xml"/><Relationship Id="rId1" Type="http://schemas.microsoft.com/office/2011/relationships/chartStyle" Target="style29.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regneark16.xlsx"/><Relationship Id="rId2" Type="http://schemas.microsoft.com/office/2011/relationships/chartColorStyle" Target="colors30.xml"/><Relationship Id="rId1" Type="http://schemas.microsoft.com/office/2011/relationships/chartStyle" Target="style30.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regneark17.xlsx"/><Relationship Id="rId2" Type="http://schemas.microsoft.com/office/2011/relationships/chartColorStyle" Target="colors31.xml"/><Relationship Id="rId1" Type="http://schemas.microsoft.com/office/2011/relationships/chartStyle" Target="style31.xml"/></Relationships>
</file>

<file path=word/charts/_rels/chart34.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32.xml"/><Relationship Id="rId1" Type="http://schemas.microsoft.com/office/2011/relationships/chartStyle" Target="style32.xml"/></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16.bin"/></Relationships>
</file>

<file path=word/charts/_rels/chart36.xml.rels><?xml version="1.0" encoding="UTF-8" standalone="yes"?>
<Relationships xmlns="http://schemas.openxmlformats.org/package/2006/relationships"><Relationship Id="rId3" Type="http://schemas.openxmlformats.org/officeDocument/2006/relationships/oleObject" Target="../embeddings/oleObject17.bin"/><Relationship Id="rId2" Type="http://schemas.microsoft.com/office/2011/relationships/chartColorStyle" Target="colors33.xml"/><Relationship Id="rId1" Type="http://schemas.microsoft.com/office/2011/relationships/chartStyle" Target="style33.xml"/></Relationships>
</file>

<file path=word/charts/_rels/chart37.xml.rels><?xml version="1.0" encoding="UTF-8" standalone="yes"?>
<Relationships xmlns="http://schemas.openxmlformats.org/package/2006/relationships"><Relationship Id="rId3" Type="http://schemas.openxmlformats.org/officeDocument/2006/relationships/oleObject" Target="../embeddings/oleObject18.bin"/><Relationship Id="rId2" Type="http://schemas.microsoft.com/office/2011/relationships/chartColorStyle" Target="colors34.xml"/><Relationship Id="rId1" Type="http://schemas.microsoft.com/office/2011/relationships/chartStyle" Target="style34.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regneark18.xlsx"/><Relationship Id="rId2" Type="http://schemas.microsoft.com/office/2011/relationships/chartColorStyle" Target="colors35.xml"/><Relationship Id="rId1" Type="http://schemas.microsoft.com/office/2011/relationships/chartStyle" Target="style35.xml"/></Relationships>
</file>

<file path=word/charts/_rels/chart39.xml.rels><?xml version="1.0" encoding="UTF-8" standalone="yes"?>
<Relationships xmlns="http://schemas.openxmlformats.org/package/2006/relationships"><Relationship Id="rId3" Type="http://schemas.openxmlformats.org/officeDocument/2006/relationships/oleObject" Target="../embeddings/oleObject19.bin"/><Relationship Id="rId2" Type="http://schemas.microsoft.com/office/2011/relationships/chartColorStyle" Target="colors36.xml"/><Relationship Id="rId1" Type="http://schemas.microsoft.com/office/2011/relationships/chartStyle" Target="style36.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regneark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embeddings/oleObject20.bin"/><Relationship Id="rId2" Type="http://schemas.microsoft.com/office/2011/relationships/chartColorStyle" Target="colors37.xml"/><Relationship Id="rId1" Type="http://schemas.microsoft.com/office/2011/relationships/chartStyle" Target="style37.xml"/></Relationships>
</file>

<file path=word/charts/_rels/chart41.xml.rels><?xml version="1.0" encoding="UTF-8" standalone="yes"?>
<Relationships xmlns="http://schemas.openxmlformats.org/package/2006/relationships"><Relationship Id="rId3" Type="http://schemas.openxmlformats.org/officeDocument/2006/relationships/oleObject" Target="../embeddings/oleObject21.bin"/><Relationship Id="rId2" Type="http://schemas.microsoft.com/office/2011/relationships/chartColorStyle" Target="colors38.xml"/><Relationship Id="rId1" Type="http://schemas.microsoft.com/office/2011/relationships/chartStyle" Target="style38.xml"/></Relationships>
</file>

<file path=word/charts/_rels/chart42.xml.rels><?xml version="1.0" encoding="UTF-8" standalone="yes"?>
<Relationships xmlns="http://schemas.openxmlformats.org/package/2006/relationships"><Relationship Id="rId3" Type="http://schemas.openxmlformats.org/officeDocument/2006/relationships/oleObject" Target="../embeddings/oleObject22.bin"/><Relationship Id="rId2" Type="http://schemas.microsoft.com/office/2011/relationships/chartColorStyle" Target="colors39.xml"/><Relationship Id="rId1" Type="http://schemas.microsoft.com/office/2011/relationships/chartStyle" Target="style39.xml"/></Relationships>
</file>

<file path=word/charts/_rels/chart43.xml.rels><?xml version="1.0" encoding="UTF-8" standalone="yes"?>
<Relationships xmlns="http://schemas.openxmlformats.org/package/2006/relationships"><Relationship Id="rId1" Type="http://schemas.openxmlformats.org/officeDocument/2006/relationships/oleObject" Target="../embeddings/oleObject23.bin"/></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regneark19.xlsx"/><Relationship Id="rId2" Type="http://schemas.microsoft.com/office/2011/relationships/chartColorStyle" Target="colors40.xml"/><Relationship Id="rId1" Type="http://schemas.microsoft.com/office/2011/relationships/chartStyle" Target="style40.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arne.haugen\Downloads\13522_20240323-130403.xlsx" TargetMode="External"/><Relationship Id="rId2" Type="http://schemas.microsoft.com/office/2011/relationships/chartColorStyle" Target="colors41.xml"/><Relationship Id="rId1" Type="http://schemas.microsoft.com/office/2011/relationships/chartStyle" Target="style41.xml"/></Relationships>
</file>

<file path=word/charts/_rels/chart46.xml.rels><?xml version="1.0" encoding="UTF-8" standalone="yes"?>
<Relationships xmlns="http://schemas.openxmlformats.org/package/2006/relationships"><Relationship Id="rId3" Type="http://schemas.openxmlformats.org/officeDocument/2006/relationships/oleObject" Target="https://hkdirektoratet.sharepoint.com/sites/Tilstandsrapport-hoy-utd/Shared%20Documents/TRHU2024/Data/SSB/V3.8%20Utenlandske%20doktorander%20per%20institusjon.xlsx" TargetMode="External"/><Relationship Id="rId2" Type="http://schemas.microsoft.com/office/2011/relationships/chartColorStyle" Target="colors42.xml"/><Relationship Id="rId1" Type="http://schemas.microsoft.com/office/2011/relationships/chartStyle" Target="style42.xml"/></Relationships>
</file>

<file path=word/charts/_rels/chart47.xml.rels><?xml version="1.0" encoding="UTF-8" standalone="yes"?>
<Relationships xmlns="http://schemas.openxmlformats.org/package/2006/relationships"><Relationship Id="rId3" Type="http://schemas.openxmlformats.org/officeDocument/2006/relationships/oleObject" Target="https://hkdirektoratet.sharepoint.com/sites/Tilstandsrapport-hoy-utd/Shared%20Documents/TRHU2024/Data/SSB/Dr_grad%20utland%20region.xlsx" TargetMode="External"/><Relationship Id="rId2" Type="http://schemas.microsoft.com/office/2011/relationships/chartColorStyle" Target="colors43.xml"/><Relationship Id="rId1" Type="http://schemas.microsoft.com/office/2011/relationships/chartStyle" Target="style43.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regneark20.xlsx"/><Relationship Id="rId2" Type="http://schemas.microsoft.com/office/2011/relationships/chartColorStyle" Target="colors44.xml"/><Relationship Id="rId1" Type="http://schemas.microsoft.com/office/2011/relationships/chartStyle" Target="style44.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regneark21.xlsx"/><Relationship Id="rId2" Type="http://schemas.microsoft.com/office/2011/relationships/chartColorStyle" Target="colors45.xml"/><Relationship Id="rId1" Type="http://schemas.microsoft.com/office/2011/relationships/chartStyle" Target="style45.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regneark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regneark22.xlsx"/><Relationship Id="rId2" Type="http://schemas.microsoft.com/office/2011/relationships/chartColorStyle" Target="colors46.xml"/><Relationship Id="rId1" Type="http://schemas.microsoft.com/office/2011/relationships/chartStyle" Target="style46.xml"/></Relationships>
</file>

<file path=word/charts/_rels/chart51.xml.rels><?xml version="1.0" encoding="UTF-8" standalone="yes"?>
<Relationships xmlns="http://schemas.openxmlformats.org/package/2006/relationships"><Relationship Id="rId3" Type="http://schemas.openxmlformats.org/officeDocument/2006/relationships/oleObject" Target="../embeddings/oleObject24.bin"/><Relationship Id="rId2" Type="http://schemas.microsoft.com/office/2011/relationships/chartColorStyle" Target="colors47.xml"/><Relationship Id="rId1" Type="http://schemas.microsoft.com/office/2011/relationships/chartStyle" Target="style47.xml"/></Relationships>
</file>

<file path=word/charts/_rels/chart52.xml.rels><?xml version="1.0" encoding="UTF-8" standalone="yes"?>
<Relationships xmlns="http://schemas.openxmlformats.org/package/2006/relationships"><Relationship Id="rId3" Type="http://schemas.openxmlformats.org/officeDocument/2006/relationships/oleObject" Target="../embeddings/oleObject25.bin"/><Relationship Id="rId2" Type="http://schemas.microsoft.com/office/2011/relationships/chartColorStyle" Target="colors48.xml"/><Relationship Id="rId1" Type="http://schemas.microsoft.com/office/2011/relationships/chartStyle" Target="style48.xml"/></Relationships>
</file>

<file path=word/charts/_rels/chart53.xml.rels><?xml version="1.0" encoding="UTF-8" standalone="yes"?>
<Relationships xmlns="http://schemas.openxmlformats.org/package/2006/relationships"><Relationship Id="rId3" Type="http://schemas.openxmlformats.org/officeDocument/2006/relationships/oleObject" Target="../embeddings/oleObject26.bin"/><Relationship Id="rId2" Type="http://schemas.microsoft.com/office/2011/relationships/chartColorStyle" Target="colors49.xml"/><Relationship Id="rId1" Type="http://schemas.microsoft.com/office/2011/relationships/chartStyle" Target="style49.xml"/></Relationships>
</file>

<file path=word/charts/_rels/chart54.xml.rels><?xml version="1.0" encoding="UTF-8" standalone="yes"?>
<Relationships xmlns="http://schemas.openxmlformats.org/package/2006/relationships"><Relationship Id="rId3" Type="http://schemas.openxmlformats.org/officeDocument/2006/relationships/oleObject" Target="../embeddings/oleObject27.bin"/><Relationship Id="rId2" Type="http://schemas.microsoft.com/office/2011/relationships/chartColorStyle" Target="colors50.xml"/><Relationship Id="rId1" Type="http://schemas.microsoft.com/office/2011/relationships/chartStyle" Target="style50.xml"/></Relationships>
</file>

<file path=word/charts/_rels/chart55.xml.rels><?xml version="1.0" encoding="UTF-8" standalone="yes"?>
<Relationships xmlns="http://schemas.openxmlformats.org/package/2006/relationships"><Relationship Id="rId3" Type="http://schemas.openxmlformats.org/officeDocument/2006/relationships/oleObject" Target="../embeddings/oleObject28.bin"/><Relationship Id="rId2" Type="http://schemas.microsoft.com/office/2011/relationships/chartColorStyle" Target="colors51.xml"/><Relationship Id="rId1" Type="http://schemas.microsoft.com/office/2011/relationships/chartStyle" Target="style51.xml"/></Relationships>
</file>

<file path=word/charts/_rels/chart56.xml.rels><?xml version="1.0" encoding="UTF-8" standalone="yes"?>
<Relationships xmlns="http://schemas.openxmlformats.org/package/2006/relationships"><Relationship Id="rId1" Type="http://schemas.openxmlformats.org/officeDocument/2006/relationships/oleObject" Target="../embeddings/oleObject29.bin"/></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embeddings/oleObject30.bin"/></Relationships>
</file>

<file path=word/charts/_rels/chart58.xml.rels><?xml version="1.0" encoding="UTF-8" standalone="yes"?>
<Relationships xmlns="http://schemas.openxmlformats.org/package/2006/relationships"><Relationship Id="rId3" Type="http://schemas.openxmlformats.org/officeDocument/2006/relationships/oleObject" Target="../embeddings/oleObject31.bin"/><Relationship Id="rId2" Type="http://schemas.microsoft.com/office/2011/relationships/chartColorStyle" Target="colors53.xml"/><Relationship Id="rId1" Type="http://schemas.microsoft.com/office/2011/relationships/chartStyle" Target="style53.xml"/></Relationships>
</file>

<file path=word/charts/_rels/chart59.xml.rels><?xml version="1.0" encoding="UTF-8" standalone="yes"?>
<Relationships xmlns="http://schemas.openxmlformats.org/package/2006/relationships"><Relationship Id="rId1" Type="http://schemas.openxmlformats.org/officeDocument/2006/relationships/oleObject" Target="../embeddings/oleObject32.bin"/></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regneark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embeddings/oleObject33.bin"/><Relationship Id="rId2" Type="http://schemas.microsoft.com/office/2011/relationships/chartColorStyle" Target="colors54.xml"/><Relationship Id="rId1" Type="http://schemas.microsoft.com/office/2011/relationships/chartStyle" Target="style54.xml"/></Relationships>
</file>

<file path=word/charts/_rels/chart61.xml.rels><?xml version="1.0" encoding="UTF-8" standalone="yes"?>
<Relationships xmlns="http://schemas.openxmlformats.org/package/2006/relationships"><Relationship Id="rId1" Type="http://schemas.openxmlformats.org/officeDocument/2006/relationships/oleObject" Target="https://hkdirektoratet.sharepoint.com/sites/Tilstandsrapport-hoy-utd/Shared%20Documents/TRHU2024/Data/DBH/Mottatte%20filer/tabellar_laga_26_januar_original.xlsx" TargetMode="External"/></Relationships>
</file>

<file path=word/charts/_rels/chart62.xml.rels><?xml version="1.0" encoding="UTF-8" standalone="yes"?>
<Relationships xmlns="http://schemas.openxmlformats.org/package/2006/relationships"><Relationship Id="rId2" Type="http://schemas.openxmlformats.org/officeDocument/2006/relationships/oleObject" Target="../embeddings/oleObject34.bin"/><Relationship Id="rId1" Type="http://schemas.openxmlformats.org/officeDocument/2006/relationships/themeOverride" Target="../theme/themeOverride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regneark23.xlsx"/><Relationship Id="rId2" Type="http://schemas.microsoft.com/office/2011/relationships/chartColorStyle" Target="colors55.xml"/><Relationship Id="rId1" Type="http://schemas.microsoft.com/office/2011/relationships/chartStyle" Target="style55.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regneark24.xlsx"/><Relationship Id="rId2" Type="http://schemas.microsoft.com/office/2011/relationships/chartColorStyle" Target="colors56.xml"/><Relationship Id="rId1" Type="http://schemas.microsoft.com/office/2011/relationships/chartStyle" Target="style56.xml"/></Relationships>
</file>

<file path=word/charts/_rels/chart65.xml.rels><?xml version="1.0" encoding="UTF-8" standalone="yes"?>
<Relationships xmlns="http://schemas.openxmlformats.org/package/2006/relationships"><Relationship Id="rId3" Type="http://schemas.openxmlformats.org/officeDocument/2006/relationships/oleObject" Target="../embeddings/oleObject35.bin"/><Relationship Id="rId2" Type="http://schemas.microsoft.com/office/2011/relationships/chartColorStyle" Target="colors57.xml"/><Relationship Id="rId1" Type="http://schemas.microsoft.com/office/2011/relationships/chartStyle" Target="style57.xml"/></Relationships>
</file>

<file path=word/charts/_rels/chart66.xml.rels><?xml version="1.0" encoding="UTF-8" standalone="yes"?>
<Relationships xmlns="http://schemas.openxmlformats.org/package/2006/relationships"><Relationship Id="rId3" Type="http://schemas.openxmlformats.org/officeDocument/2006/relationships/oleObject" Target="../embeddings/oleObject36.bin"/><Relationship Id="rId2" Type="http://schemas.microsoft.com/office/2011/relationships/chartColorStyle" Target="colors58.xml"/><Relationship Id="rId1" Type="http://schemas.microsoft.com/office/2011/relationships/chartStyle" Target="style58.xml"/></Relationships>
</file>

<file path=word/charts/_rels/chart67.xml.rels><?xml version="1.0" encoding="UTF-8" standalone="yes"?>
<Relationships xmlns="http://schemas.openxmlformats.org/package/2006/relationships"><Relationship Id="rId1" Type="http://schemas.openxmlformats.org/officeDocument/2006/relationships/oleObject" Target="../embeddings/oleObject37.bin"/></Relationships>
</file>

<file path=word/charts/_rels/chart68.xml.rels><?xml version="1.0" encoding="UTF-8" standalone="yes"?>
<Relationships xmlns="http://schemas.openxmlformats.org/package/2006/relationships"><Relationship Id="rId3" Type="http://schemas.openxmlformats.org/officeDocument/2006/relationships/oleObject" Target="../embeddings/oleObject38.bin"/><Relationship Id="rId2" Type="http://schemas.microsoft.com/office/2011/relationships/chartColorStyle" Target="colors59.xml"/><Relationship Id="rId1" Type="http://schemas.microsoft.com/office/2011/relationships/chartStyle" Target="style59.xml"/></Relationships>
</file>

<file path=word/charts/_rels/chart7.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'Ark7'!$L$1</c:f>
              <c:strCache>
                <c:ptCount val="1"/>
                <c:pt idx="0">
                  <c:v>Studenter</c:v>
                </c:pt>
              </c:strCache>
            </c:strRef>
          </c:tx>
          <c:spPr>
            <a:ln w="28575" cap="rnd">
              <a:solidFill>
                <a:schemeClr val="accent1"/>
              </a:solidFill>
              <a:round/>
            </a:ln>
            <a:effectLst/>
          </c:spPr>
          <c:marker>
            <c:symbol val="none"/>
          </c:marker>
          <c:cat>
            <c:numRef>
              <c:f>'Ark7'!$K$2:$K$25</c:f>
              <c:numCache>
                <c:formatCode>0</c:formatCode>
                <c:ptCount val="2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numCache>
            </c:numRef>
          </c:cat>
          <c:val>
            <c:numRef>
              <c:f>'Ark7'!$L$2:$L$25</c:f>
              <c:numCache>
                <c:formatCode>0</c:formatCode>
                <c:ptCount val="24"/>
                <c:pt idx="0">
                  <c:v>186002</c:v>
                </c:pt>
                <c:pt idx="1">
                  <c:v>192897</c:v>
                </c:pt>
                <c:pt idx="2">
                  <c:v>208693</c:v>
                </c:pt>
                <c:pt idx="3">
                  <c:v>209770</c:v>
                </c:pt>
                <c:pt idx="4">
                  <c:v>211001</c:v>
                </c:pt>
                <c:pt idx="5">
                  <c:v>211264</c:v>
                </c:pt>
                <c:pt idx="6">
                  <c:v>211229</c:v>
                </c:pt>
                <c:pt idx="7">
                  <c:v>208263</c:v>
                </c:pt>
                <c:pt idx="8">
                  <c:v>214183</c:v>
                </c:pt>
                <c:pt idx="9">
                  <c:v>222920</c:v>
                </c:pt>
                <c:pt idx="10">
                  <c:v>227747</c:v>
                </c:pt>
                <c:pt idx="11">
                  <c:v>235840</c:v>
                </c:pt>
                <c:pt idx="12">
                  <c:v>245572</c:v>
                </c:pt>
                <c:pt idx="13">
                  <c:v>253317</c:v>
                </c:pt>
                <c:pt idx="14">
                  <c:v>255588</c:v>
                </c:pt>
                <c:pt idx="15">
                  <c:v>266428</c:v>
                </c:pt>
                <c:pt idx="16">
                  <c:v>273227</c:v>
                </c:pt>
                <c:pt idx="17">
                  <c:v>277637</c:v>
                </c:pt>
                <c:pt idx="18">
                  <c:v>278334</c:v>
                </c:pt>
                <c:pt idx="19">
                  <c:v>281702</c:v>
                </c:pt>
                <c:pt idx="20">
                  <c:v>292834</c:v>
                </c:pt>
                <c:pt idx="21">
                  <c:v>304885</c:v>
                </c:pt>
                <c:pt idx="22">
                  <c:v>297775</c:v>
                </c:pt>
                <c:pt idx="23">
                  <c:v>299062</c:v>
                </c:pt>
              </c:numCache>
            </c:numRef>
          </c:val>
          <c:smooth val="0"/>
          <c:extLst>
            <c:ext xmlns:c16="http://schemas.microsoft.com/office/drawing/2014/chart" uri="{C3380CC4-5D6E-409C-BE32-E72D297353CC}">
              <c16:uniqueId val="{00000000-75E5-4D96-8BBB-9E07EF4F00A0}"/>
            </c:ext>
          </c:extLst>
        </c:ser>
        <c:dLbls>
          <c:showLegendKey val="0"/>
          <c:showVal val="0"/>
          <c:showCatName val="0"/>
          <c:showSerName val="0"/>
          <c:showPercent val="0"/>
          <c:showBubbleSize val="0"/>
        </c:dLbls>
        <c:smooth val="0"/>
        <c:axId val="1469492575"/>
        <c:axId val="1409373023"/>
      </c:lineChart>
      <c:catAx>
        <c:axId val="1469492575"/>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09373023"/>
        <c:crosses val="autoZero"/>
        <c:auto val="1"/>
        <c:lblAlgn val="ctr"/>
        <c:lblOffset val="100"/>
        <c:noMultiLvlLbl val="0"/>
      </c:catAx>
      <c:valAx>
        <c:axId val="14093730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694925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'[Inst_fylke_campusfylke.xlsx]Per institusjon'!$I$4:$I$24</c:f>
              <c:strCache>
                <c:ptCount val="21"/>
                <c:pt idx="1">
                  <c:v>HiØ</c:v>
                </c:pt>
                <c:pt idx="2">
                  <c:v>UiS</c:v>
                </c:pt>
                <c:pt idx="3">
                  <c:v>HVL</c:v>
                </c:pt>
                <c:pt idx="4">
                  <c:v>UiA</c:v>
                </c:pt>
                <c:pt idx="5">
                  <c:v>UiB</c:v>
                </c:pt>
                <c:pt idx="6">
                  <c:v>USN</c:v>
                </c:pt>
                <c:pt idx="7">
                  <c:v>UiT</c:v>
                </c:pt>
                <c:pt idx="8">
                  <c:v>NU</c:v>
                </c:pt>
                <c:pt idx="9">
                  <c:v>UiO</c:v>
                </c:pt>
                <c:pt idx="10">
                  <c:v>BI</c:v>
                </c:pt>
                <c:pt idx="11">
                  <c:v>VID</c:v>
                </c:pt>
                <c:pt idx="12">
                  <c:v>NLA</c:v>
                </c:pt>
                <c:pt idx="13">
                  <c:v>NTNU</c:v>
                </c:pt>
                <c:pt idx="14">
                  <c:v>HINN</c:v>
                </c:pt>
                <c:pt idx="15">
                  <c:v>NMBU</c:v>
                </c:pt>
                <c:pt idx="16">
                  <c:v>HK</c:v>
                </c:pt>
                <c:pt idx="17">
                  <c:v>HiM</c:v>
                </c:pt>
                <c:pt idx="18">
                  <c:v>HVO</c:v>
                </c:pt>
                <c:pt idx="19">
                  <c:v>NHH</c:v>
                </c:pt>
                <c:pt idx="20">
                  <c:v>OsloMet</c:v>
                </c:pt>
              </c:strCache>
            </c:strRef>
          </c:cat>
          <c:val>
            <c:numRef>
              <c:f>'[Inst_fylke_campusfylke.xlsx]Per institusjon'!$J$4:$J$24</c:f>
              <c:numCache>
                <c:formatCode>0%</c:formatCode>
                <c:ptCount val="21"/>
                <c:pt idx="1">
                  <c:v>0.74403164288741352</c:v>
                </c:pt>
                <c:pt idx="2">
                  <c:v>0.70717919728660261</c:v>
                </c:pt>
                <c:pt idx="3">
                  <c:v>0.65716192440696475</c:v>
                </c:pt>
                <c:pt idx="4">
                  <c:v>0.62340379481999852</c:v>
                </c:pt>
                <c:pt idx="5">
                  <c:v>0.54458693707127948</c:v>
                </c:pt>
                <c:pt idx="6">
                  <c:v>0.53813166434863235</c:v>
                </c:pt>
                <c:pt idx="7">
                  <c:v>0.53487810765146027</c:v>
                </c:pt>
                <c:pt idx="8">
                  <c:v>0.51521407414056186</c:v>
                </c:pt>
                <c:pt idx="9">
                  <c:v>0.50826699326393143</c:v>
                </c:pt>
                <c:pt idx="10">
                  <c:v>0.50742934835388953</c:v>
                </c:pt>
                <c:pt idx="11">
                  <c:v>0.48056042031523644</c:v>
                </c:pt>
                <c:pt idx="12">
                  <c:v>0.44865258557902404</c:v>
                </c:pt>
                <c:pt idx="13">
                  <c:v>0.42356774987466389</c:v>
                </c:pt>
                <c:pt idx="14">
                  <c:v>0.42256830234275355</c:v>
                </c:pt>
                <c:pt idx="15">
                  <c:v>0.42201118771952645</c:v>
                </c:pt>
                <c:pt idx="16">
                  <c:v>0.42016533229187009</c:v>
                </c:pt>
                <c:pt idx="17">
                  <c:v>0.41440723019670389</c:v>
                </c:pt>
                <c:pt idx="18">
                  <c:v>0.41215106732348111</c:v>
                </c:pt>
                <c:pt idx="19">
                  <c:v>0.39899352983465131</c:v>
                </c:pt>
                <c:pt idx="20">
                  <c:v>0.35819065551517276</c:v>
                </c:pt>
              </c:numCache>
            </c:numRef>
          </c:val>
          <c:extLst>
            <c:ext xmlns:c16="http://schemas.microsoft.com/office/drawing/2014/chart" uri="{C3380CC4-5D6E-409C-BE32-E72D297353CC}">
              <c16:uniqueId val="{00000000-1CAB-4CDD-8C40-346AF4C0574C}"/>
            </c:ext>
          </c:extLst>
        </c:ser>
        <c:dLbls>
          <c:showLegendKey val="0"/>
          <c:showVal val="0"/>
          <c:showCatName val="0"/>
          <c:showSerName val="0"/>
          <c:showPercent val="0"/>
          <c:showBubbleSize val="0"/>
        </c:dLbls>
        <c:gapWidth val="219"/>
        <c:overlap val="-27"/>
        <c:axId val="958666527"/>
        <c:axId val="1041248304"/>
      </c:barChart>
      <c:catAx>
        <c:axId val="95866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41248304"/>
        <c:crosses val="autoZero"/>
        <c:auto val="1"/>
        <c:lblAlgn val="ctr"/>
        <c:lblOffset val="100"/>
        <c:noMultiLvlLbl val="0"/>
      </c:catAx>
      <c:valAx>
        <c:axId val="1041248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586665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'[Profesjon_sos_bakgrunn_2.xlsx]Foreldres utdanning_utvida'!$W$1</c:f>
              <c:strCache>
                <c:ptCount val="1"/>
                <c:pt idx="0">
                  <c:v>Lang høyere utdanning</c:v>
                </c:pt>
              </c:strCache>
            </c:strRef>
          </c:tx>
          <c:spPr>
            <a:solidFill>
              <a:schemeClr val="accent1"/>
            </a:solidFill>
            <a:ln>
              <a:noFill/>
            </a:ln>
            <a:effectLst/>
          </c:spPr>
          <c:invertIfNegative val="0"/>
          <c:cat>
            <c:strRef>
              <c:f>'[Profesjon_sos_bakgrunn_2.xlsx]Foreldres utdanning_utvida'!$V$2:$V$29</c:f>
              <c:strCache>
                <c:ptCount val="28"/>
                <c:pt idx="0">
                  <c:v>Bachelor, barnehagelærerutdanning</c:v>
                </c:pt>
                <c:pt idx="1">
                  <c:v>Bachelor, vernepleie</c:v>
                </c:pt>
                <c:pt idx="2">
                  <c:v>Bachelor, barnevern</c:v>
                </c:pt>
                <c:pt idx="3">
                  <c:v>PPU for yrkesfag</c:v>
                </c:pt>
                <c:pt idx="4">
                  <c:v>Bachelor, sosialfag</c:v>
                </c:pt>
                <c:pt idx="5">
                  <c:v>Bachelor, ergoterapi</c:v>
                </c:pt>
                <c:pt idx="6">
                  <c:v>Bachelor, sykepleie</c:v>
                </c:pt>
                <c:pt idx="7">
                  <c:v>Master, GLU 1.-7. trinn</c:v>
                </c:pt>
                <c:pt idx="8">
                  <c:v>Master, GLU 5.-10. trinn</c:v>
                </c:pt>
                <c:pt idx="9">
                  <c:v>Master, øk-adm (ikke siviløkonom)</c:v>
                </c:pt>
                <c:pt idx="10">
                  <c:v>Bachelor, bioingeniørfag</c:v>
                </c:pt>
                <c:pt idx="11">
                  <c:v>Master, farmasi-utdanning</c:v>
                </c:pt>
                <c:pt idx="12">
                  <c:v>Bachelor, øk-adm</c:v>
                </c:pt>
                <c:pt idx="13">
                  <c:v>PPU</c:v>
                </c:pt>
                <c:pt idx="14">
                  <c:v>Bachelor, ingeniørfag</c:v>
                </c:pt>
                <c:pt idx="15">
                  <c:v>Bachelor, humanistiske og estetiske fag</c:v>
                </c:pt>
                <c:pt idx="16">
                  <c:v>Master, humanistiske fag</c:v>
                </c:pt>
                <c:pt idx="17">
                  <c:v>Bachelor, samfunnsfag og juridiske fag</c:v>
                </c:pt>
                <c:pt idx="18">
                  <c:v>Master, lektorutdanning</c:v>
                </c:pt>
                <c:pt idx="19">
                  <c:v>Bachelor, naturvitenskapelige fag, håndverksfag og tekniske fag (ikke ingeniør)</c:v>
                </c:pt>
                <c:pt idx="20">
                  <c:v>Bachelor, fysioterapi</c:v>
                </c:pt>
                <c:pt idx="21">
                  <c:v>Master, samfunnsfag og juridiske fag (ikke rettsvitenskap)</c:v>
                </c:pt>
                <c:pt idx="22">
                  <c:v>Master, siviløkonom</c:v>
                </c:pt>
                <c:pt idx="23">
                  <c:v>Master, naturvitenskapelige fag, håndverksfag og tekniske fag (ikke sivilingeniør/master i teknologi)</c:v>
                </c:pt>
                <c:pt idx="24">
                  <c:v>Master, odontologi-utdanning</c:v>
                </c:pt>
                <c:pt idx="25">
                  <c:v>Master, rettsvitenskap</c:v>
                </c:pt>
                <c:pt idx="26">
                  <c:v>Master, teknologifag</c:v>
                </c:pt>
                <c:pt idx="27">
                  <c:v>Cand.med.-utdanning</c:v>
                </c:pt>
              </c:strCache>
            </c:strRef>
          </c:cat>
          <c:val>
            <c:numRef>
              <c:f>'[Profesjon_sos_bakgrunn_2.xlsx]Foreldres utdanning_utvida'!$W$2:$W$29</c:f>
              <c:numCache>
                <c:formatCode>General</c:formatCode>
                <c:ptCount val="28"/>
                <c:pt idx="0">
                  <c:v>6.0999999999999999E-2</c:v>
                </c:pt>
                <c:pt idx="1">
                  <c:v>6.5000000000000002E-2</c:v>
                </c:pt>
                <c:pt idx="2">
                  <c:v>7.5999999999999998E-2</c:v>
                </c:pt>
                <c:pt idx="3">
                  <c:v>8.5000000000000006E-2</c:v>
                </c:pt>
                <c:pt idx="4">
                  <c:v>9.6000000000000002E-2</c:v>
                </c:pt>
                <c:pt idx="5">
                  <c:v>0.109</c:v>
                </c:pt>
                <c:pt idx="6">
                  <c:v>0.11</c:v>
                </c:pt>
                <c:pt idx="7">
                  <c:v>0.13800000000000001</c:v>
                </c:pt>
                <c:pt idx="8">
                  <c:v>0.13800000000000001</c:v>
                </c:pt>
                <c:pt idx="9">
                  <c:v>0.14000000000000001</c:v>
                </c:pt>
                <c:pt idx="10">
                  <c:v>0.14199999999999999</c:v>
                </c:pt>
                <c:pt idx="11">
                  <c:v>0.159</c:v>
                </c:pt>
                <c:pt idx="12">
                  <c:v>0.16200000000000001</c:v>
                </c:pt>
                <c:pt idx="13">
                  <c:v>0.17499999999999999</c:v>
                </c:pt>
                <c:pt idx="14">
                  <c:v>0.19600000000000001</c:v>
                </c:pt>
                <c:pt idx="15">
                  <c:v>0.20699999999999999</c:v>
                </c:pt>
                <c:pt idx="16">
                  <c:v>0.20899999999999999</c:v>
                </c:pt>
                <c:pt idx="17">
                  <c:v>0.22600000000000001</c:v>
                </c:pt>
                <c:pt idx="18">
                  <c:v>0.22899999999999998</c:v>
                </c:pt>
                <c:pt idx="19">
                  <c:v>0.252</c:v>
                </c:pt>
                <c:pt idx="20">
                  <c:v>0.255</c:v>
                </c:pt>
                <c:pt idx="21">
                  <c:v>0.25700000000000001</c:v>
                </c:pt>
                <c:pt idx="22">
                  <c:v>0.27399999999999997</c:v>
                </c:pt>
                <c:pt idx="23">
                  <c:v>0.29699999999999999</c:v>
                </c:pt>
                <c:pt idx="24">
                  <c:v>0.32299999999999995</c:v>
                </c:pt>
                <c:pt idx="25">
                  <c:v>0.38600000000000001</c:v>
                </c:pt>
                <c:pt idx="26">
                  <c:v>0.41399999999999998</c:v>
                </c:pt>
                <c:pt idx="27">
                  <c:v>0.46299999999999997</c:v>
                </c:pt>
              </c:numCache>
            </c:numRef>
          </c:val>
          <c:extLst>
            <c:ext xmlns:c16="http://schemas.microsoft.com/office/drawing/2014/chart" uri="{C3380CC4-5D6E-409C-BE32-E72D297353CC}">
              <c16:uniqueId val="{00000000-E500-4A38-93FB-5A69D44102B1}"/>
            </c:ext>
          </c:extLst>
        </c:ser>
        <c:ser>
          <c:idx val="1"/>
          <c:order val="1"/>
          <c:tx>
            <c:strRef>
              <c:f>'[Profesjon_sos_bakgrunn_2.xlsx]Foreldres utdanning_utvida'!$X$1</c:f>
              <c:strCache>
                <c:ptCount val="1"/>
                <c:pt idx="0">
                  <c:v>Kort høyere utdanning</c:v>
                </c:pt>
              </c:strCache>
            </c:strRef>
          </c:tx>
          <c:spPr>
            <a:solidFill>
              <a:schemeClr val="accent2"/>
            </a:solidFill>
            <a:ln>
              <a:noFill/>
            </a:ln>
            <a:effectLst/>
          </c:spPr>
          <c:invertIfNegative val="0"/>
          <c:cat>
            <c:strRef>
              <c:f>'[Profesjon_sos_bakgrunn_2.xlsx]Foreldres utdanning_utvida'!$V$2:$V$29</c:f>
              <c:strCache>
                <c:ptCount val="28"/>
                <c:pt idx="0">
                  <c:v>Bachelor, barnehagelærerutdanning</c:v>
                </c:pt>
                <c:pt idx="1">
                  <c:v>Bachelor, vernepleie</c:v>
                </c:pt>
                <c:pt idx="2">
                  <c:v>Bachelor, barnevern</c:v>
                </c:pt>
                <c:pt idx="3">
                  <c:v>PPU for yrkesfag</c:v>
                </c:pt>
                <c:pt idx="4">
                  <c:v>Bachelor, sosialfag</c:v>
                </c:pt>
                <c:pt idx="5">
                  <c:v>Bachelor, ergoterapi</c:v>
                </c:pt>
                <c:pt idx="6">
                  <c:v>Bachelor, sykepleie</c:v>
                </c:pt>
                <c:pt idx="7">
                  <c:v>Master, GLU 1.-7. trinn</c:v>
                </c:pt>
                <c:pt idx="8">
                  <c:v>Master, GLU 5.-10. trinn</c:v>
                </c:pt>
                <c:pt idx="9">
                  <c:v>Master, øk-adm (ikke siviløkonom)</c:v>
                </c:pt>
                <c:pt idx="10">
                  <c:v>Bachelor, bioingeniørfag</c:v>
                </c:pt>
                <c:pt idx="11">
                  <c:v>Master, farmasi-utdanning</c:v>
                </c:pt>
                <c:pt idx="12">
                  <c:v>Bachelor, øk-adm</c:v>
                </c:pt>
                <c:pt idx="13">
                  <c:v>PPU</c:v>
                </c:pt>
                <c:pt idx="14">
                  <c:v>Bachelor, ingeniørfag</c:v>
                </c:pt>
                <c:pt idx="15">
                  <c:v>Bachelor, humanistiske og estetiske fag</c:v>
                </c:pt>
                <c:pt idx="16">
                  <c:v>Master, humanistiske fag</c:v>
                </c:pt>
                <c:pt idx="17">
                  <c:v>Bachelor, samfunnsfag og juridiske fag</c:v>
                </c:pt>
                <c:pt idx="18">
                  <c:v>Master, lektorutdanning</c:v>
                </c:pt>
                <c:pt idx="19">
                  <c:v>Bachelor, naturvitenskapelige fag, håndverksfag og tekniske fag (ikke ingeniør)</c:v>
                </c:pt>
                <c:pt idx="20">
                  <c:v>Bachelor, fysioterapi</c:v>
                </c:pt>
                <c:pt idx="21">
                  <c:v>Master, samfunnsfag og juridiske fag (ikke rettsvitenskap)</c:v>
                </c:pt>
                <c:pt idx="22">
                  <c:v>Master, siviløkonom</c:v>
                </c:pt>
                <c:pt idx="23">
                  <c:v>Master, naturvitenskapelige fag, håndverksfag og tekniske fag (ikke sivilingeniør/master i teknologi)</c:v>
                </c:pt>
                <c:pt idx="24">
                  <c:v>Master, odontologi-utdanning</c:v>
                </c:pt>
                <c:pt idx="25">
                  <c:v>Master, rettsvitenskap</c:v>
                </c:pt>
                <c:pt idx="26">
                  <c:v>Master, teknologifag</c:v>
                </c:pt>
                <c:pt idx="27">
                  <c:v>Cand.med.-utdanning</c:v>
                </c:pt>
              </c:strCache>
            </c:strRef>
          </c:cat>
          <c:val>
            <c:numRef>
              <c:f>'[Profesjon_sos_bakgrunn_2.xlsx]Foreldres utdanning_utvida'!$X$2:$X$29</c:f>
              <c:numCache>
                <c:formatCode>General</c:formatCode>
                <c:ptCount val="28"/>
                <c:pt idx="0">
                  <c:v>0.33600000000000002</c:v>
                </c:pt>
                <c:pt idx="1">
                  <c:v>0.34299999999999997</c:v>
                </c:pt>
                <c:pt idx="2">
                  <c:v>0.34899999999999998</c:v>
                </c:pt>
                <c:pt idx="3">
                  <c:v>0.315</c:v>
                </c:pt>
                <c:pt idx="4">
                  <c:v>0.35499999999999998</c:v>
                </c:pt>
                <c:pt idx="5">
                  <c:v>0.43700000000000006</c:v>
                </c:pt>
                <c:pt idx="6">
                  <c:v>0.37</c:v>
                </c:pt>
                <c:pt idx="7">
                  <c:v>0.46799999999999997</c:v>
                </c:pt>
                <c:pt idx="8">
                  <c:v>0.501</c:v>
                </c:pt>
                <c:pt idx="9">
                  <c:v>0.37799999999999995</c:v>
                </c:pt>
                <c:pt idx="10">
                  <c:v>0.35799999999999998</c:v>
                </c:pt>
                <c:pt idx="11">
                  <c:v>0.33200000000000002</c:v>
                </c:pt>
                <c:pt idx="12">
                  <c:v>0.40299999999999997</c:v>
                </c:pt>
                <c:pt idx="13">
                  <c:v>0.40799999999999997</c:v>
                </c:pt>
                <c:pt idx="14">
                  <c:v>0.40100000000000002</c:v>
                </c:pt>
                <c:pt idx="15">
                  <c:v>0.38100000000000001</c:v>
                </c:pt>
                <c:pt idx="16">
                  <c:v>0.34299999999999997</c:v>
                </c:pt>
                <c:pt idx="17">
                  <c:v>0.39600000000000002</c:v>
                </c:pt>
                <c:pt idx="18">
                  <c:v>0.47899999999999998</c:v>
                </c:pt>
                <c:pt idx="19">
                  <c:v>0.38799999999999996</c:v>
                </c:pt>
                <c:pt idx="20">
                  <c:v>0.48700000000000004</c:v>
                </c:pt>
                <c:pt idx="21">
                  <c:v>0.38400000000000001</c:v>
                </c:pt>
                <c:pt idx="22">
                  <c:v>0.441</c:v>
                </c:pt>
                <c:pt idx="23">
                  <c:v>0.33899999999999997</c:v>
                </c:pt>
                <c:pt idx="24">
                  <c:v>0.35899999999999999</c:v>
                </c:pt>
                <c:pt idx="25">
                  <c:v>0.40200000000000002</c:v>
                </c:pt>
                <c:pt idx="26">
                  <c:v>0.35799999999999998</c:v>
                </c:pt>
                <c:pt idx="27">
                  <c:v>0.35600000000000004</c:v>
                </c:pt>
              </c:numCache>
            </c:numRef>
          </c:val>
          <c:extLst>
            <c:ext xmlns:c16="http://schemas.microsoft.com/office/drawing/2014/chart" uri="{C3380CC4-5D6E-409C-BE32-E72D297353CC}">
              <c16:uniqueId val="{00000001-E500-4A38-93FB-5A69D44102B1}"/>
            </c:ext>
          </c:extLst>
        </c:ser>
        <c:ser>
          <c:idx val="2"/>
          <c:order val="2"/>
          <c:tx>
            <c:strRef>
              <c:f>'[Profesjon_sos_bakgrunn_2.xlsx]Foreldres utdanning_utvida'!$Y$1</c:f>
              <c:strCache>
                <c:ptCount val="1"/>
                <c:pt idx="0">
                  <c:v>Videregående</c:v>
                </c:pt>
              </c:strCache>
            </c:strRef>
          </c:tx>
          <c:spPr>
            <a:solidFill>
              <a:schemeClr val="accent3"/>
            </a:solidFill>
            <a:ln>
              <a:noFill/>
            </a:ln>
            <a:effectLst/>
          </c:spPr>
          <c:invertIfNegative val="0"/>
          <c:cat>
            <c:strRef>
              <c:f>'[Profesjon_sos_bakgrunn_2.xlsx]Foreldres utdanning_utvida'!$V$2:$V$29</c:f>
              <c:strCache>
                <c:ptCount val="28"/>
                <c:pt idx="0">
                  <c:v>Bachelor, barnehagelærerutdanning</c:v>
                </c:pt>
                <c:pt idx="1">
                  <c:v>Bachelor, vernepleie</c:v>
                </c:pt>
                <c:pt idx="2">
                  <c:v>Bachelor, barnevern</c:v>
                </c:pt>
                <c:pt idx="3">
                  <c:v>PPU for yrkesfag</c:v>
                </c:pt>
                <c:pt idx="4">
                  <c:v>Bachelor, sosialfag</c:v>
                </c:pt>
                <c:pt idx="5">
                  <c:v>Bachelor, ergoterapi</c:v>
                </c:pt>
                <c:pt idx="6">
                  <c:v>Bachelor, sykepleie</c:v>
                </c:pt>
                <c:pt idx="7">
                  <c:v>Master, GLU 1.-7. trinn</c:v>
                </c:pt>
                <c:pt idx="8">
                  <c:v>Master, GLU 5.-10. trinn</c:v>
                </c:pt>
                <c:pt idx="9">
                  <c:v>Master, øk-adm (ikke siviløkonom)</c:v>
                </c:pt>
                <c:pt idx="10">
                  <c:v>Bachelor, bioingeniørfag</c:v>
                </c:pt>
                <c:pt idx="11">
                  <c:v>Master, farmasi-utdanning</c:v>
                </c:pt>
                <c:pt idx="12">
                  <c:v>Bachelor, øk-adm</c:v>
                </c:pt>
                <c:pt idx="13">
                  <c:v>PPU</c:v>
                </c:pt>
                <c:pt idx="14">
                  <c:v>Bachelor, ingeniørfag</c:v>
                </c:pt>
                <c:pt idx="15">
                  <c:v>Bachelor, humanistiske og estetiske fag</c:v>
                </c:pt>
                <c:pt idx="16">
                  <c:v>Master, humanistiske fag</c:v>
                </c:pt>
                <c:pt idx="17">
                  <c:v>Bachelor, samfunnsfag og juridiske fag</c:v>
                </c:pt>
                <c:pt idx="18">
                  <c:v>Master, lektorutdanning</c:v>
                </c:pt>
                <c:pt idx="19">
                  <c:v>Bachelor, naturvitenskapelige fag, håndverksfag og tekniske fag (ikke ingeniør)</c:v>
                </c:pt>
                <c:pt idx="20">
                  <c:v>Bachelor, fysioterapi</c:v>
                </c:pt>
                <c:pt idx="21">
                  <c:v>Master, samfunnsfag og juridiske fag (ikke rettsvitenskap)</c:v>
                </c:pt>
                <c:pt idx="22">
                  <c:v>Master, siviløkonom</c:v>
                </c:pt>
                <c:pt idx="23">
                  <c:v>Master, naturvitenskapelige fag, håndverksfag og tekniske fag (ikke sivilingeniør/master i teknologi)</c:v>
                </c:pt>
                <c:pt idx="24">
                  <c:v>Master, odontologi-utdanning</c:v>
                </c:pt>
                <c:pt idx="25">
                  <c:v>Master, rettsvitenskap</c:v>
                </c:pt>
                <c:pt idx="26">
                  <c:v>Master, teknologifag</c:v>
                </c:pt>
                <c:pt idx="27">
                  <c:v>Cand.med.-utdanning</c:v>
                </c:pt>
              </c:strCache>
            </c:strRef>
          </c:cat>
          <c:val>
            <c:numRef>
              <c:f>'[Profesjon_sos_bakgrunn_2.xlsx]Foreldres utdanning_utvida'!$Y$2:$Y$29</c:f>
              <c:numCache>
                <c:formatCode>General</c:formatCode>
                <c:ptCount val="28"/>
                <c:pt idx="0">
                  <c:v>0.42100000000000004</c:v>
                </c:pt>
                <c:pt idx="1">
                  <c:v>0.44299999999999995</c:v>
                </c:pt>
                <c:pt idx="2">
                  <c:v>0.42899999999999999</c:v>
                </c:pt>
                <c:pt idx="3">
                  <c:v>0.46100000000000002</c:v>
                </c:pt>
                <c:pt idx="4">
                  <c:v>0.376</c:v>
                </c:pt>
                <c:pt idx="5">
                  <c:v>0.35100000000000003</c:v>
                </c:pt>
                <c:pt idx="6">
                  <c:v>0.35499999999999998</c:v>
                </c:pt>
                <c:pt idx="7">
                  <c:v>0.33799999999999997</c:v>
                </c:pt>
                <c:pt idx="8">
                  <c:v>0.316</c:v>
                </c:pt>
                <c:pt idx="9">
                  <c:v>0.34700000000000003</c:v>
                </c:pt>
                <c:pt idx="10">
                  <c:v>0.23699999999999999</c:v>
                </c:pt>
                <c:pt idx="11">
                  <c:v>0.152</c:v>
                </c:pt>
                <c:pt idx="12">
                  <c:v>0.32</c:v>
                </c:pt>
                <c:pt idx="13">
                  <c:v>0.26800000000000002</c:v>
                </c:pt>
                <c:pt idx="14">
                  <c:v>0.27</c:v>
                </c:pt>
                <c:pt idx="15">
                  <c:v>0.27</c:v>
                </c:pt>
                <c:pt idx="16">
                  <c:v>0.25600000000000001</c:v>
                </c:pt>
                <c:pt idx="17">
                  <c:v>0.27399999999999997</c:v>
                </c:pt>
                <c:pt idx="18">
                  <c:v>0.24600000000000002</c:v>
                </c:pt>
                <c:pt idx="19">
                  <c:v>0.247</c:v>
                </c:pt>
                <c:pt idx="20">
                  <c:v>0.217</c:v>
                </c:pt>
                <c:pt idx="21">
                  <c:v>0.23100000000000001</c:v>
                </c:pt>
                <c:pt idx="22">
                  <c:v>0.20899999999999999</c:v>
                </c:pt>
                <c:pt idx="23">
                  <c:v>0.2</c:v>
                </c:pt>
                <c:pt idx="24">
                  <c:v>0.17600000000000002</c:v>
                </c:pt>
                <c:pt idx="25">
                  <c:v>0.17100000000000001</c:v>
                </c:pt>
                <c:pt idx="26">
                  <c:v>0.14199999999999999</c:v>
                </c:pt>
                <c:pt idx="27">
                  <c:v>0.11699999999999999</c:v>
                </c:pt>
              </c:numCache>
            </c:numRef>
          </c:val>
          <c:extLst>
            <c:ext xmlns:c16="http://schemas.microsoft.com/office/drawing/2014/chart" uri="{C3380CC4-5D6E-409C-BE32-E72D297353CC}">
              <c16:uniqueId val="{00000002-E500-4A38-93FB-5A69D44102B1}"/>
            </c:ext>
          </c:extLst>
        </c:ser>
        <c:ser>
          <c:idx val="3"/>
          <c:order val="3"/>
          <c:tx>
            <c:strRef>
              <c:f>'[Profesjon_sos_bakgrunn_2.xlsx]Foreldres utdanning_utvida'!$Z$1</c:f>
              <c:strCache>
                <c:ptCount val="1"/>
                <c:pt idx="0">
                  <c:v>Grunnskole</c:v>
                </c:pt>
              </c:strCache>
            </c:strRef>
          </c:tx>
          <c:spPr>
            <a:solidFill>
              <a:schemeClr val="accent4"/>
            </a:solidFill>
            <a:ln>
              <a:noFill/>
            </a:ln>
            <a:effectLst/>
          </c:spPr>
          <c:invertIfNegative val="0"/>
          <c:cat>
            <c:strRef>
              <c:f>'[Profesjon_sos_bakgrunn_2.xlsx]Foreldres utdanning_utvida'!$V$2:$V$29</c:f>
              <c:strCache>
                <c:ptCount val="28"/>
                <c:pt idx="0">
                  <c:v>Bachelor, barnehagelærerutdanning</c:v>
                </c:pt>
                <c:pt idx="1">
                  <c:v>Bachelor, vernepleie</c:v>
                </c:pt>
                <c:pt idx="2">
                  <c:v>Bachelor, barnevern</c:v>
                </c:pt>
                <c:pt idx="3">
                  <c:v>PPU for yrkesfag</c:v>
                </c:pt>
                <c:pt idx="4">
                  <c:v>Bachelor, sosialfag</c:v>
                </c:pt>
                <c:pt idx="5">
                  <c:v>Bachelor, ergoterapi</c:v>
                </c:pt>
                <c:pt idx="6">
                  <c:v>Bachelor, sykepleie</c:v>
                </c:pt>
                <c:pt idx="7">
                  <c:v>Master, GLU 1.-7. trinn</c:v>
                </c:pt>
                <c:pt idx="8">
                  <c:v>Master, GLU 5.-10. trinn</c:v>
                </c:pt>
                <c:pt idx="9">
                  <c:v>Master, øk-adm (ikke siviløkonom)</c:v>
                </c:pt>
                <c:pt idx="10">
                  <c:v>Bachelor, bioingeniørfag</c:v>
                </c:pt>
                <c:pt idx="11">
                  <c:v>Master, farmasi-utdanning</c:v>
                </c:pt>
                <c:pt idx="12">
                  <c:v>Bachelor, øk-adm</c:v>
                </c:pt>
                <c:pt idx="13">
                  <c:v>PPU</c:v>
                </c:pt>
                <c:pt idx="14">
                  <c:v>Bachelor, ingeniørfag</c:v>
                </c:pt>
                <c:pt idx="15">
                  <c:v>Bachelor, humanistiske og estetiske fag</c:v>
                </c:pt>
                <c:pt idx="16">
                  <c:v>Master, humanistiske fag</c:v>
                </c:pt>
                <c:pt idx="17">
                  <c:v>Bachelor, samfunnsfag og juridiske fag</c:v>
                </c:pt>
                <c:pt idx="18">
                  <c:v>Master, lektorutdanning</c:v>
                </c:pt>
                <c:pt idx="19">
                  <c:v>Bachelor, naturvitenskapelige fag, håndverksfag og tekniske fag (ikke ingeniør)</c:v>
                </c:pt>
                <c:pt idx="20">
                  <c:v>Bachelor, fysioterapi</c:v>
                </c:pt>
                <c:pt idx="21">
                  <c:v>Master, samfunnsfag og juridiske fag (ikke rettsvitenskap)</c:v>
                </c:pt>
                <c:pt idx="22">
                  <c:v>Master, siviløkonom</c:v>
                </c:pt>
                <c:pt idx="23">
                  <c:v>Master, naturvitenskapelige fag, håndverksfag og tekniske fag (ikke sivilingeniør/master i teknologi)</c:v>
                </c:pt>
                <c:pt idx="24">
                  <c:v>Master, odontologi-utdanning</c:v>
                </c:pt>
                <c:pt idx="25">
                  <c:v>Master, rettsvitenskap</c:v>
                </c:pt>
                <c:pt idx="26">
                  <c:v>Master, teknologifag</c:v>
                </c:pt>
                <c:pt idx="27">
                  <c:v>Cand.med.-utdanning</c:v>
                </c:pt>
              </c:strCache>
            </c:strRef>
          </c:cat>
          <c:val>
            <c:numRef>
              <c:f>'[Profesjon_sos_bakgrunn_2.xlsx]Foreldres utdanning_utvida'!$Z$2:$Z$29</c:f>
              <c:numCache>
                <c:formatCode>General</c:formatCode>
                <c:ptCount val="28"/>
                <c:pt idx="0">
                  <c:v>9.6999999999999989E-2</c:v>
                </c:pt>
                <c:pt idx="1">
                  <c:v>8.6999999999999994E-2</c:v>
                </c:pt>
                <c:pt idx="2">
                  <c:v>0.10400000000000001</c:v>
                </c:pt>
                <c:pt idx="3">
                  <c:v>8.900000000000001E-2</c:v>
                </c:pt>
                <c:pt idx="4">
                  <c:v>8.900000000000001E-2</c:v>
                </c:pt>
                <c:pt idx="5">
                  <c:v>4.5999999999999999E-2</c:v>
                </c:pt>
                <c:pt idx="6">
                  <c:v>6.6000000000000003E-2</c:v>
                </c:pt>
                <c:pt idx="7">
                  <c:v>3.7999999999999999E-2</c:v>
                </c:pt>
                <c:pt idx="8">
                  <c:v>3.5000000000000003E-2</c:v>
                </c:pt>
                <c:pt idx="9">
                  <c:v>4.7E-2</c:v>
                </c:pt>
                <c:pt idx="10">
                  <c:v>8.6999999999999994E-2</c:v>
                </c:pt>
                <c:pt idx="11">
                  <c:v>9.1999999999999998E-2</c:v>
                </c:pt>
                <c:pt idx="12">
                  <c:v>6.6000000000000003E-2</c:v>
                </c:pt>
                <c:pt idx="13">
                  <c:v>3.6000000000000004E-2</c:v>
                </c:pt>
                <c:pt idx="14">
                  <c:v>5.7999999999999996E-2</c:v>
                </c:pt>
                <c:pt idx="15">
                  <c:v>5.2999999999999999E-2</c:v>
                </c:pt>
                <c:pt idx="16">
                  <c:v>3.7999999999999999E-2</c:v>
                </c:pt>
                <c:pt idx="17">
                  <c:v>6.0999999999999999E-2</c:v>
                </c:pt>
                <c:pt idx="18">
                  <c:v>3.4000000000000002E-2</c:v>
                </c:pt>
                <c:pt idx="19">
                  <c:v>6.0999999999999999E-2</c:v>
                </c:pt>
                <c:pt idx="20">
                  <c:v>1.4999999999999999E-2</c:v>
                </c:pt>
                <c:pt idx="21">
                  <c:v>0.04</c:v>
                </c:pt>
                <c:pt idx="22">
                  <c:v>4.4999999999999998E-2</c:v>
                </c:pt>
                <c:pt idx="23">
                  <c:v>2.6000000000000002E-2</c:v>
                </c:pt>
                <c:pt idx="24">
                  <c:v>7.0000000000000007E-2</c:v>
                </c:pt>
                <c:pt idx="25">
                  <c:v>2.7999999999999997E-2</c:v>
                </c:pt>
                <c:pt idx="26">
                  <c:v>2.2000000000000002E-2</c:v>
                </c:pt>
                <c:pt idx="27">
                  <c:v>1.8000000000000002E-2</c:v>
                </c:pt>
              </c:numCache>
            </c:numRef>
          </c:val>
          <c:extLst>
            <c:ext xmlns:c16="http://schemas.microsoft.com/office/drawing/2014/chart" uri="{C3380CC4-5D6E-409C-BE32-E72D297353CC}">
              <c16:uniqueId val="{00000003-E500-4A38-93FB-5A69D44102B1}"/>
            </c:ext>
          </c:extLst>
        </c:ser>
        <c:ser>
          <c:idx val="4"/>
          <c:order val="4"/>
          <c:tx>
            <c:strRef>
              <c:f>'[Profesjon_sos_bakgrunn_2.xlsx]Foreldres utdanning_utvida'!$AA$1</c:f>
              <c:strCache>
                <c:ptCount val="1"/>
                <c:pt idx="0">
                  <c:v>Uoppgitt/manglende verdi</c:v>
                </c:pt>
              </c:strCache>
            </c:strRef>
          </c:tx>
          <c:spPr>
            <a:solidFill>
              <a:schemeClr val="accent5"/>
            </a:solidFill>
            <a:ln>
              <a:noFill/>
            </a:ln>
            <a:effectLst/>
          </c:spPr>
          <c:invertIfNegative val="0"/>
          <c:cat>
            <c:strRef>
              <c:f>'[Profesjon_sos_bakgrunn_2.xlsx]Foreldres utdanning_utvida'!$V$2:$V$29</c:f>
              <c:strCache>
                <c:ptCount val="28"/>
                <c:pt idx="0">
                  <c:v>Bachelor, barnehagelærerutdanning</c:v>
                </c:pt>
                <c:pt idx="1">
                  <c:v>Bachelor, vernepleie</c:v>
                </c:pt>
                <c:pt idx="2">
                  <c:v>Bachelor, barnevern</c:v>
                </c:pt>
                <c:pt idx="3">
                  <c:v>PPU for yrkesfag</c:v>
                </c:pt>
                <c:pt idx="4">
                  <c:v>Bachelor, sosialfag</c:v>
                </c:pt>
                <c:pt idx="5">
                  <c:v>Bachelor, ergoterapi</c:v>
                </c:pt>
                <c:pt idx="6">
                  <c:v>Bachelor, sykepleie</c:v>
                </c:pt>
                <c:pt idx="7">
                  <c:v>Master, GLU 1.-7. trinn</c:v>
                </c:pt>
                <c:pt idx="8">
                  <c:v>Master, GLU 5.-10. trinn</c:v>
                </c:pt>
                <c:pt idx="9">
                  <c:v>Master, øk-adm (ikke siviløkonom)</c:v>
                </c:pt>
                <c:pt idx="10">
                  <c:v>Bachelor, bioingeniørfag</c:v>
                </c:pt>
                <c:pt idx="11">
                  <c:v>Master, farmasi-utdanning</c:v>
                </c:pt>
                <c:pt idx="12">
                  <c:v>Bachelor, øk-adm</c:v>
                </c:pt>
                <c:pt idx="13">
                  <c:v>PPU</c:v>
                </c:pt>
                <c:pt idx="14">
                  <c:v>Bachelor, ingeniørfag</c:v>
                </c:pt>
                <c:pt idx="15">
                  <c:v>Bachelor, humanistiske og estetiske fag</c:v>
                </c:pt>
                <c:pt idx="16">
                  <c:v>Master, humanistiske fag</c:v>
                </c:pt>
                <c:pt idx="17">
                  <c:v>Bachelor, samfunnsfag og juridiske fag</c:v>
                </c:pt>
                <c:pt idx="18">
                  <c:v>Master, lektorutdanning</c:v>
                </c:pt>
                <c:pt idx="19">
                  <c:v>Bachelor, naturvitenskapelige fag, håndverksfag og tekniske fag (ikke ingeniør)</c:v>
                </c:pt>
                <c:pt idx="20">
                  <c:v>Bachelor, fysioterapi</c:v>
                </c:pt>
                <c:pt idx="21">
                  <c:v>Master, samfunnsfag og juridiske fag (ikke rettsvitenskap)</c:v>
                </c:pt>
                <c:pt idx="22">
                  <c:v>Master, siviløkonom</c:v>
                </c:pt>
                <c:pt idx="23">
                  <c:v>Master, naturvitenskapelige fag, håndverksfag og tekniske fag (ikke sivilingeniør/master i teknologi)</c:v>
                </c:pt>
                <c:pt idx="24">
                  <c:v>Master, odontologi-utdanning</c:v>
                </c:pt>
                <c:pt idx="25">
                  <c:v>Master, rettsvitenskap</c:v>
                </c:pt>
                <c:pt idx="26">
                  <c:v>Master, teknologifag</c:v>
                </c:pt>
                <c:pt idx="27">
                  <c:v>Cand.med.-utdanning</c:v>
                </c:pt>
              </c:strCache>
            </c:strRef>
          </c:cat>
          <c:val>
            <c:numRef>
              <c:f>'[Profesjon_sos_bakgrunn_2.xlsx]Foreldres utdanning_utvida'!$AA$2:$AA$29</c:f>
              <c:numCache>
                <c:formatCode>General</c:formatCode>
                <c:ptCount val="28"/>
                <c:pt idx="0">
                  <c:v>8.5000000000000006E-2</c:v>
                </c:pt>
                <c:pt idx="1">
                  <c:v>6.3E-2</c:v>
                </c:pt>
                <c:pt idx="2">
                  <c:v>3.7000000000000005E-2</c:v>
                </c:pt>
                <c:pt idx="3">
                  <c:v>4.4999999999999998E-2</c:v>
                </c:pt>
                <c:pt idx="4">
                  <c:v>8.5999999999999993E-2</c:v>
                </c:pt>
                <c:pt idx="5">
                  <c:v>4.2000000000000003E-2</c:v>
                </c:pt>
                <c:pt idx="6">
                  <c:v>9.8000000000000004E-2</c:v>
                </c:pt>
                <c:pt idx="7">
                  <c:v>1.8000000000000002E-2</c:v>
                </c:pt>
                <c:pt idx="8">
                  <c:v>0.01</c:v>
                </c:pt>
                <c:pt idx="9">
                  <c:v>8.6999999999999994E-2</c:v>
                </c:pt>
                <c:pt idx="10">
                  <c:v>0.18200000000000002</c:v>
                </c:pt>
                <c:pt idx="11">
                  <c:v>0.25</c:v>
                </c:pt>
                <c:pt idx="12">
                  <c:v>4.9000000000000002E-2</c:v>
                </c:pt>
                <c:pt idx="13">
                  <c:v>0.122</c:v>
                </c:pt>
                <c:pt idx="14">
                  <c:v>7.6999999999999999E-2</c:v>
                </c:pt>
                <c:pt idx="15">
                  <c:v>8.8000000000000009E-2</c:v>
                </c:pt>
                <c:pt idx="16">
                  <c:v>0.154</c:v>
                </c:pt>
                <c:pt idx="17">
                  <c:v>4.4000000000000004E-2</c:v>
                </c:pt>
                <c:pt idx="18">
                  <c:v>1.4999999999999999E-2</c:v>
                </c:pt>
                <c:pt idx="19">
                  <c:v>5.2999999999999999E-2</c:v>
                </c:pt>
                <c:pt idx="20">
                  <c:v>3.6000000000000004E-2</c:v>
                </c:pt>
                <c:pt idx="21">
                  <c:v>8.900000000000001E-2</c:v>
                </c:pt>
                <c:pt idx="22">
                  <c:v>3.8000000000000006E-2</c:v>
                </c:pt>
                <c:pt idx="23">
                  <c:v>0.13800000000000001</c:v>
                </c:pt>
                <c:pt idx="24">
                  <c:v>8.5999999999999993E-2</c:v>
                </c:pt>
                <c:pt idx="25">
                  <c:v>1.4000000000000002E-2</c:v>
                </c:pt>
                <c:pt idx="26">
                  <c:v>6.3E-2</c:v>
                </c:pt>
                <c:pt idx="27">
                  <c:v>4.4000000000000004E-2</c:v>
                </c:pt>
              </c:numCache>
            </c:numRef>
          </c:val>
          <c:extLst>
            <c:ext xmlns:c16="http://schemas.microsoft.com/office/drawing/2014/chart" uri="{C3380CC4-5D6E-409C-BE32-E72D297353CC}">
              <c16:uniqueId val="{00000004-E500-4A38-93FB-5A69D44102B1}"/>
            </c:ext>
          </c:extLst>
        </c:ser>
        <c:dLbls>
          <c:showLegendKey val="0"/>
          <c:showVal val="0"/>
          <c:showCatName val="0"/>
          <c:showSerName val="0"/>
          <c:showPercent val="0"/>
          <c:showBubbleSize val="0"/>
        </c:dLbls>
        <c:gapWidth val="150"/>
        <c:overlap val="100"/>
        <c:axId val="1713365088"/>
        <c:axId val="483510432"/>
      </c:barChart>
      <c:catAx>
        <c:axId val="17133650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83510432"/>
        <c:crosses val="autoZero"/>
        <c:auto val="1"/>
        <c:lblAlgn val="ctr"/>
        <c:lblOffset val="100"/>
        <c:noMultiLvlLbl val="0"/>
      </c:catAx>
      <c:valAx>
        <c:axId val="483510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1336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2"/>
          <c:order val="0"/>
          <c:tx>
            <c:strRef>
              <c:f>'[figurer_8mars2024_arbeidsfil.xlsx]Figur 2.12'!$D$3</c:f>
              <c:strCache>
                <c:ptCount val="1"/>
                <c:pt idx="0">
                  <c:v>Deltidsprogram</c:v>
                </c:pt>
              </c:strCache>
            </c:strRef>
          </c:tx>
          <c:spPr>
            <a:solidFill>
              <a:schemeClr val="accent3"/>
            </a:solidFill>
            <a:ln>
              <a:noFill/>
            </a:ln>
            <a:effectLst/>
          </c:spPr>
          <c:cat>
            <c:numRef>
              <c:f>'[figurer_8mars2024_arbeidsfil.xlsx]Figur 2.12'!$A$4:$A$13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2.12'!$D$4:$D$13</c:f>
              <c:numCache>
                <c:formatCode>General</c:formatCode>
                <c:ptCount val="10"/>
                <c:pt idx="0">
                  <c:v>39901</c:v>
                </c:pt>
                <c:pt idx="1">
                  <c:v>42765</c:v>
                </c:pt>
                <c:pt idx="2">
                  <c:v>43158</c:v>
                </c:pt>
                <c:pt idx="3">
                  <c:v>43607</c:v>
                </c:pt>
                <c:pt idx="4">
                  <c:v>44118</c:v>
                </c:pt>
                <c:pt idx="5">
                  <c:v>47086</c:v>
                </c:pt>
                <c:pt idx="6">
                  <c:v>48129</c:v>
                </c:pt>
                <c:pt idx="7">
                  <c:v>50081</c:v>
                </c:pt>
                <c:pt idx="8">
                  <c:v>46858</c:v>
                </c:pt>
                <c:pt idx="9">
                  <c:v>47878</c:v>
                </c:pt>
              </c:numCache>
            </c:numRef>
          </c:val>
          <c:extLst>
            <c:ext xmlns:c16="http://schemas.microsoft.com/office/drawing/2014/chart" uri="{C3380CC4-5D6E-409C-BE32-E72D297353CC}">
              <c16:uniqueId val="{00000000-6E9E-4BEC-87C0-6EA73D031D85}"/>
            </c:ext>
          </c:extLst>
        </c:ser>
        <c:ser>
          <c:idx val="0"/>
          <c:order val="1"/>
          <c:tx>
            <c:strRef>
              <c:f>'[figurer_8mars2024_arbeidsfil.xlsx]Figur 2.12'!$B$3</c:f>
              <c:strCache>
                <c:ptCount val="1"/>
                <c:pt idx="0">
                  <c:v>Desentralisert undervisning</c:v>
                </c:pt>
              </c:strCache>
            </c:strRef>
          </c:tx>
          <c:spPr>
            <a:solidFill>
              <a:schemeClr val="accent1"/>
            </a:solidFill>
            <a:ln>
              <a:noFill/>
            </a:ln>
            <a:effectLst/>
          </c:spPr>
          <c:cat>
            <c:numRef>
              <c:f>'[figurer_8mars2024_arbeidsfil.xlsx]Figur 2.12'!$A$4:$A$13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2.12'!$B$4:$B$13</c:f>
              <c:numCache>
                <c:formatCode>General</c:formatCode>
                <c:ptCount val="10"/>
                <c:pt idx="0">
                  <c:v>7908</c:v>
                </c:pt>
                <c:pt idx="1">
                  <c:v>8068</c:v>
                </c:pt>
                <c:pt idx="2">
                  <c:v>7136</c:v>
                </c:pt>
                <c:pt idx="3">
                  <c:v>7117</c:v>
                </c:pt>
                <c:pt idx="4">
                  <c:v>6699</c:v>
                </c:pt>
                <c:pt idx="5">
                  <c:v>6594</c:v>
                </c:pt>
                <c:pt idx="6">
                  <c:v>6662</c:v>
                </c:pt>
                <c:pt idx="7">
                  <c:v>5894</c:v>
                </c:pt>
                <c:pt idx="8">
                  <c:v>4792</c:v>
                </c:pt>
                <c:pt idx="9">
                  <c:v>4778</c:v>
                </c:pt>
              </c:numCache>
            </c:numRef>
          </c:val>
          <c:extLst>
            <c:ext xmlns:c16="http://schemas.microsoft.com/office/drawing/2014/chart" uri="{C3380CC4-5D6E-409C-BE32-E72D297353CC}">
              <c16:uniqueId val="{00000001-6E9E-4BEC-87C0-6EA73D031D85}"/>
            </c:ext>
          </c:extLst>
        </c:ser>
        <c:ser>
          <c:idx val="1"/>
          <c:order val="2"/>
          <c:tx>
            <c:strRef>
              <c:f>'[figurer_8mars2024_arbeidsfil.xlsx]Figur 2.12'!$C$3</c:f>
              <c:strCache>
                <c:ptCount val="1"/>
                <c:pt idx="0">
                  <c:v>Nettbasert undervisning</c:v>
                </c:pt>
              </c:strCache>
            </c:strRef>
          </c:tx>
          <c:spPr>
            <a:solidFill>
              <a:schemeClr val="accent2"/>
            </a:solidFill>
            <a:ln>
              <a:noFill/>
            </a:ln>
            <a:effectLst/>
          </c:spPr>
          <c:cat>
            <c:numRef>
              <c:f>'[figurer_8mars2024_arbeidsfil.xlsx]Figur 2.12'!$A$4:$A$13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2.12'!$C$4:$C$13</c:f>
              <c:numCache>
                <c:formatCode>General</c:formatCode>
                <c:ptCount val="10"/>
                <c:pt idx="0">
                  <c:v>9101</c:v>
                </c:pt>
                <c:pt idx="1">
                  <c:v>10407</c:v>
                </c:pt>
                <c:pt idx="2">
                  <c:v>13130</c:v>
                </c:pt>
                <c:pt idx="3">
                  <c:v>13658</c:v>
                </c:pt>
                <c:pt idx="4">
                  <c:v>15416</c:v>
                </c:pt>
                <c:pt idx="5">
                  <c:v>16230</c:v>
                </c:pt>
                <c:pt idx="6">
                  <c:v>19601</c:v>
                </c:pt>
                <c:pt idx="7">
                  <c:v>23518</c:v>
                </c:pt>
                <c:pt idx="8">
                  <c:v>23331</c:v>
                </c:pt>
                <c:pt idx="9">
                  <c:v>26145</c:v>
                </c:pt>
              </c:numCache>
            </c:numRef>
          </c:val>
          <c:extLst>
            <c:ext xmlns:c16="http://schemas.microsoft.com/office/drawing/2014/chart" uri="{C3380CC4-5D6E-409C-BE32-E72D297353CC}">
              <c16:uniqueId val="{00000002-6E9E-4BEC-87C0-6EA73D031D85}"/>
            </c:ext>
          </c:extLst>
        </c:ser>
        <c:dLbls>
          <c:showLegendKey val="0"/>
          <c:showVal val="0"/>
          <c:showCatName val="0"/>
          <c:showSerName val="0"/>
          <c:showPercent val="0"/>
          <c:showBubbleSize val="0"/>
        </c:dLbls>
        <c:axId val="1630409087"/>
        <c:axId val="288051407"/>
      </c:areaChart>
      <c:catAx>
        <c:axId val="16304090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288051407"/>
        <c:crosses val="autoZero"/>
        <c:auto val="1"/>
        <c:lblAlgn val="ctr"/>
        <c:lblOffset val="100"/>
        <c:noMultiLvlLbl val="0"/>
      </c:catAx>
      <c:valAx>
        <c:axId val="28805140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163040908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'[Fleksible stud etter ant studiepoeng.xlsx]Figur samlet'!$B$3</c:f>
              <c:strCache>
                <c:ptCount val="1"/>
                <c:pt idx="0">
                  <c:v>Andel fleksible</c:v>
                </c:pt>
              </c:strCache>
            </c:strRef>
          </c:tx>
          <c:spPr>
            <a:solidFill>
              <a:schemeClr val="accent1"/>
            </a:solidFill>
            <a:ln>
              <a:noFill/>
            </a:ln>
            <a:effectLst/>
          </c:spPr>
          <c:invertIfNegative val="0"/>
          <c:cat>
            <c:strRef>
              <c:f>'[Fleksible stud etter ant studiepoeng.xlsx]Figur samlet'!$A$4:$A$9</c:f>
              <c:strCache>
                <c:ptCount val="6"/>
                <c:pt idx="0">
                  <c:v>&lt;30</c:v>
                </c:pt>
                <c:pt idx="1">
                  <c:v>30-60</c:v>
                </c:pt>
                <c:pt idx="2">
                  <c:v>75-90</c:v>
                </c:pt>
                <c:pt idx="3">
                  <c:v>120</c:v>
                </c:pt>
                <c:pt idx="4">
                  <c:v>180</c:v>
                </c:pt>
                <c:pt idx="5">
                  <c:v>&gt;180</c:v>
                </c:pt>
              </c:strCache>
            </c:strRef>
          </c:cat>
          <c:val>
            <c:numRef>
              <c:f>'[Fleksible stud etter ant studiepoeng.xlsx]Figur samlet'!$B$4:$B$9</c:f>
              <c:numCache>
                <c:formatCode>0%</c:formatCode>
                <c:ptCount val="6"/>
                <c:pt idx="0">
                  <c:v>0.93744207599629281</c:v>
                </c:pt>
                <c:pt idx="1">
                  <c:v>0.64</c:v>
                </c:pt>
                <c:pt idx="2">
                  <c:v>0.86699999999999999</c:v>
                </c:pt>
                <c:pt idx="3">
                  <c:v>0.24790000000000001</c:v>
                </c:pt>
                <c:pt idx="4">
                  <c:v>8.7499999999999994E-2</c:v>
                </c:pt>
                <c:pt idx="5">
                  <c:v>2.7000000000000001E-3</c:v>
                </c:pt>
              </c:numCache>
            </c:numRef>
          </c:val>
          <c:extLst>
            <c:ext xmlns:c16="http://schemas.microsoft.com/office/drawing/2014/chart" uri="{C3380CC4-5D6E-409C-BE32-E72D297353CC}">
              <c16:uniqueId val="{00000000-2B35-40D8-BAE2-EB9BB1E4581C}"/>
            </c:ext>
          </c:extLst>
        </c:ser>
        <c:dLbls>
          <c:showLegendKey val="0"/>
          <c:showVal val="0"/>
          <c:showCatName val="0"/>
          <c:showSerName val="0"/>
          <c:showPercent val="0"/>
          <c:showBubbleSize val="0"/>
        </c:dLbls>
        <c:gapWidth val="219"/>
        <c:overlap val="-27"/>
        <c:axId val="541292191"/>
        <c:axId val="1845122544"/>
      </c:barChart>
      <c:catAx>
        <c:axId val="541292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45122544"/>
        <c:crosses val="autoZero"/>
        <c:auto val="1"/>
        <c:lblAlgn val="ctr"/>
        <c:lblOffset val="100"/>
        <c:noMultiLvlLbl val="0"/>
      </c:catAx>
      <c:valAx>
        <c:axId val="184512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4129219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'[Fleksible stud etter ant studiepoeng.xlsx]Ins_alle_prog'!$B$3</c:f>
              <c:strCache>
                <c:ptCount val="1"/>
                <c:pt idx="0">
                  <c:v>Andel</c:v>
                </c:pt>
              </c:strCache>
            </c:strRef>
          </c:tx>
          <c:spPr>
            <a:solidFill>
              <a:schemeClr val="accent1"/>
            </a:solidFill>
            <a:ln>
              <a:noFill/>
            </a:ln>
            <a:effectLst/>
          </c:spPr>
          <c:invertIfNegative val="0"/>
          <c:cat>
            <c:strRef>
              <c:f>'[Fleksible stud etter ant studiepoeng.xlsx]Ins_alle_prog'!$A$4:$A$22</c:f>
              <c:strCache>
                <c:ptCount val="19"/>
                <c:pt idx="0">
                  <c:v>HVO</c:v>
                </c:pt>
                <c:pt idx="1">
                  <c:v>HINN</c:v>
                </c:pt>
                <c:pt idx="2">
                  <c:v>VID</c:v>
                </c:pt>
                <c:pt idx="3">
                  <c:v>NU</c:v>
                </c:pt>
                <c:pt idx="4">
                  <c:v>HK</c:v>
                </c:pt>
                <c:pt idx="5">
                  <c:v>HiØ</c:v>
                </c:pt>
                <c:pt idx="6">
                  <c:v>HiM</c:v>
                </c:pt>
                <c:pt idx="7">
                  <c:v>USN</c:v>
                </c:pt>
                <c:pt idx="8">
                  <c:v>HVL</c:v>
                </c:pt>
                <c:pt idx="9">
                  <c:v>OsloMet</c:v>
                </c:pt>
                <c:pt idx="10">
                  <c:v>BI</c:v>
                </c:pt>
                <c:pt idx="11">
                  <c:v>UiT</c:v>
                </c:pt>
                <c:pt idx="12">
                  <c:v>NMBU</c:v>
                </c:pt>
                <c:pt idx="13">
                  <c:v>UiS</c:v>
                </c:pt>
                <c:pt idx="14">
                  <c:v>UiA</c:v>
                </c:pt>
                <c:pt idx="15">
                  <c:v>UiO</c:v>
                </c:pt>
                <c:pt idx="16">
                  <c:v>NHH</c:v>
                </c:pt>
                <c:pt idx="17">
                  <c:v>NTNU</c:v>
                </c:pt>
                <c:pt idx="18">
                  <c:v>UiB</c:v>
                </c:pt>
              </c:strCache>
            </c:strRef>
          </c:cat>
          <c:val>
            <c:numRef>
              <c:f>'[Fleksible stud etter ant studiepoeng.xlsx]Ins_alle_prog'!$B$4:$B$22</c:f>
              <c:numCache>
                <c:formatCode>0%</c:formatCode>
                <c:ptCount val="19"/>
                <c:pt idx="0">
                  <c:v>0.60708421299554305</c:v>
                </c:pt>
                <c:pt idx="1">
                  <c:v>0.52299120628314422</c:v>
                </c:pt>
                <c:pt idx="2">
                  <c:v>0.49842381786339757</c:v>
                </c:pt>
                <c:pt idx="3">
                  <c:v>0.41244053496095501</c:v>
                </c:pt>
                <c:pt idx="4">
                  <c:v>0.39510512269738984</c:v>
                </c:pt>
                <c:pt idx="5">
                  <c:v>0.38056222630315018</c:v>
                </c:pt>
                <c:pt idx="6">
                  <c:v>0.33758639021796916</c:v>
                </c:pt>
                <c:pt idx="7">
                  <c:v>0.33066759388038941</c:v>
                </c:pt>
                <c:pt idx="8">
                  <c:v>0.31341382029970272</c:v>
                </c:pt>
                <c:pt idx="9">
                  <c:v>0.3091036475894382</c:v>
                </c:pt>
                <c:pt idx="10">
                  <c:v>0.25716228027580851</c:v>
                </c:pt>
                <c:pt idx="11">
                  <c:v>0.2525947381124789</c:v>
                </c:pt>
                <c:pt idx="12">
                  <c:v>0.24951216339274099</c:v>
                </c:pt>
                <c:pt idx="13">
                  <c:v>0.20237422272470323</c:v>
                </c:pt>
                <c:pt idx="14">
                  <c:v>0.20099559916311954</c:v>
                </c:pt>
                <c:pt idx="15">
                  <c:v>0.1511022657685242</c:v>
                </c:pt>
                <c:pt idx="16">
                  <c:v>0.1483345315121016</c:v>
                </c:pt>
                <c:pt idx="17">
                  <c:v>0.12570074290141744</c:v>
                </c:pt>
                <c:pt idx="18">
                  <c:v>0.12173178248334825</c:v>
                </c:pt>
              </c:numCache>
            </c:numRef>
          </c:val>
          <c:extLst>
            <c:ext xmlns:c16="http://schemas.microsoft.com/office/drawing/2014/chart" uri="{C3380CC4-5D6E-409C-BE32-E72D297353CC}">
              <c16:uniqueId val="{00000000-F2B3-42D8-A199-67B0A7AF08E2}"/>
            </c:ext>
          </c:extLst>
        </c:ser>
        <c:dLbls>
          <c:showLegendKey val="0"/>
          <c:showVal val="0"/>
          <c:showCatName val="0"/>
          <c:showSerName val="0"/>
          <c:showPercent val="0"/>
          <c:showBubbleSize val="0"/>
        </c:dLbls>
        <c:gapWidth val="219"/>
        <c:overlap val="-27"/>
        <c:axId val="2062514623"/>
        <c:axId val="2143028287"/>
      </c:barChart>
      <c:catAx>
        <c:axId val="2062514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43028287"/>
        <c:crosses val="autoZero"/>
        <c:auto val="1"/>
        <c:lblAlgn val="ctr"/>
        <c:lblOffset val="100"/>
        <c:noMultiLvlLbl val="0"/>
      </c:catAx>
      <c:valAx>
        <c:axId val="21430282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62514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'[Fleksible stud etter ant studiepoeng.xlsx]Inst_min_120'!$A$5:$A$24</c:f>
              <c:strCache>
                <c:ptCount val="20"/>
                <c:pt idx="0">
                  <c:v>VID</c:v>
                </c:pt>
                <c:pt idx="1">
                  <c:v>HVO</c:v>
                </c:pt>
                <c:pt idx="2">
                  <c:v>HINN</c:v>
                </c:pt>
                <c:pt idx="3">
                  <c:v>HK</c:v>
                </c:pt>
                <c:pt idx="4">
                  <c:v>HiM</c:v>
                </c:pt>
                <c:pt idx="5">
                  <c:v>HiØ</c:v>
                </c:pt>
                <c:pt idx="6">
                  <c:v>HVL</c:v>
                </c:pt>
                <c:pt idx="7">
                  <c:v>USN</c:v>
                </c:pt>
                <c:pt idx="8">
                  <c:v>OsloMet</c:v>
                </c:pt>
                <c:pt idx="9">
                  <c:v>UiT</c:v>
                </c:pt>
                <c:pt idx="10">
                  <c:v>NU</c:v>
                </c:pt>
                <c:pt idx="11">
                  <c:v>UiS</c:v>
                </c:pt>
                <c:pt idx="12">
                  <c:v>UiA</c:v>
                </c:pt>
                <c:pt idx="13">
                  <c:v>NLA</c:v>
                </c:pt>
                <c:pt idx="14">
                  <c:v>NTNU</c:v>
                </c:pt>
                <c:pt idx="15">
                  <c:v>NMBU</c:v>
                </c:pt>
                <c:pt idx="16">
                  <c:v>UiB</c:v>
                </c:pt>
                <c:pt idx="17">
                  <c:v>UiO</c:v>
                </c:pt>
                <c:pt idx="18">
                  <c:v>BI</c:v>
                </c:pt>
                <c:pt idx="19">
                  <c:v>NHH</c:v>
                </c:pt>
              </c:strCache>
            </c:strRef>
          </c:cat>
          <c:val>
            <c:numRef>
              <c:f>'[Fleksible stud etter ant studiepoeng.xlsx]Inst_min_120'!$B$5:$B$24</c:f>
              <c:numCache>
                <c:formatCode>0%</c:formatCode>
                <c:ptCount val="20"/>
                <c:pt idx="0">
                  <c:v>0.35495495495495494</c:v>
                </c:pt>
                <c:pt idx="1">
                  <c:v>0.32182835820895522</c:v>
                </c:pt>
                <c:pt idx="2">
                  <c:v>0.28844080224282942</c:v>
                </c:pt>
                <c:pt idx="3">
                  <c:v>0.25505325840811877</c:v>
                </c:pt>
                <c:pt idx="4">
                  <c:v>0.23756639304683727</c:v>
                </c:pt>
                <c:pt idx="5">
                  <c:v>0.21200461716044633</c:v>
                </c:pt>
                <c:pt idx="6">
                  <c:v>0.17356700084181526</c:v>
                </c:pt>
                <c:pt idx="7">
                  <c:v>0.16320110488759304</c:v>
                </c:pt>
                <c:pt idx="8">
                  <c:v>0.14890842075418204</c:v>
                </c:pt>
                <c:pt idx="9">
                  <c:v>0.14807970432267395</c:v>
                </c:pt>
                <c:pt idx="10">
                  <c:v>0.12025316455696203</c:v>
                </c:pt>
                <c:pt idx="11">
                  <c:v>6.7219245931466692E-2</c:v>
                </c:pt>
                <c:pt idx="12">
                  <c:v>5.9532780708364735E-2</c:v>
                </c:pt>
                <c:pt idx="13">
                  <c:v>4.1312272174969626E-2</c:v>
                </c:pt>
                <c:pt idx="14">
                  <c:v>3.4006406589635052E-2</c:v>
                </c:pt>
                <c:pt idx="15">
                  <c:v>1.3491340018231541E-2</c:v>
                </c:pt>
                <c:pt idx="16">
                  <c:v>9.6275147732554286E-3</c:v>
                </c:pt>
                <c:pt idx="17">
                  <c:v>9.3025594609543929E-3</c:v>
                </c:pt>
                <c:pt idx="18">
                  <c:v>5.9908454496499734E-3</c:v>
                </c:pt>
                <c:pt idx="19">
                  <c:v>0</c:v>
                </c:pt>
              </c:numCache>
            </c:numRef>
          </c:val>
          <c:extLst>
            <c:ext xmlns:c16="http://schemas.microsoft.com/office/drawing/2014/chart" uri="{C3380CC4-5D6E-409C-BE32-E72D297353CC}">
              <c16:uniqueId val="{00000000-E2DD-43A8-A55A-5EB3FAFB0EA6}"/>
            </c:ext>
          </c:extLst>
        </c:ser>
        <c:dLbls>
          <c:showLegendKey val="0"/>
          <c:showVal val="0"/>
          <c:showCatName val="0"/>
          <c:showSerName val="0"/>
          <c:showPercent val="0"/>
          <c:showBubbleSize val="0"/>
        </c:dLbls>
        <c:gapWidth val="219"/>
        <c:overlap val="-27"/>
        <c:axId val="818677248"/>
        <c:axId val="2141549839"/>
      </c:barChart>
      <c:catAx>
        <c:axId val="818677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41549839"/>
        <c:crosses val="autoZero"/>
        <c:auto val="1"/>
        <c:lblAlgn val="ctr"/>
        <c:lblOffset val="100"/>
        <c:noMultiLvlLbl val="0"/>
      </c:catAx>
      <c:valAx>
        <c:axId val="2141549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8677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'Ark1'!$B$3</c:f>
              <c:strCache>
                <c:ptCount val="1"/>
                <c:pt idx="0">
                  <c:v>Antall studenter</c:v>
                </c:pt>
              </c:strCache>
            </c:strRef>
          </c:tx>
          <c:spPr>
            <a:solidFill>
              <a:schemeClr val="accent1"/>
            </a:solidFill>
            <a:ln>
              <a:noFill/>
            </a:ln>
            <a:effectLst/>
          </c:spPr>
          <c:invertIfNegative val="0"/>
          <c:cat>
            <c:strRef>
              <c:f>'Ark1'!$A$4:$A$11</c:f>
              <c:strCache>
                <c:ptCount val="8"/>
                <c:pt idx="0">
                  <c:v>2014-2015</c:v>
                </c:pt>
                <c:pt idx="1">
                  <c:v>2015-2016</c:v>
                </c:pt>
                <c:pt idx="2">
                  <c:v>2016-2017</c:v>
                </c:pt>
                <c:pt idx="3">
                  <c:v>2017-2018</c:v>
                </c:pt>
                <c:pt idx="4">
                  <c:v>2018-2019</c:v>
                </c:pt>
                <c:pt idx="5">
                  <c:v>2019-2020</c:v>
                </c:pt>
                <c:pt idx="6">
                  <c:v>2020-2021</c:v>
                </c:pt>
                <c:pt idx="7">
                  <c:v>2021-2022</c:v>
                </c:pt>
              </c:strCache>
            </c:strRef>
          </c:cat>
          <c:val>
            <c:numRef>
              <c:f>'Ark1'!$B$4:$B$11</c:f>
              <c:numCache>
                <c:formatCode>General</c:formatCode>
                <c:ptCount val="8"/>
                <c:pt idx="0">
                  <c:v>2594</c:v>
                </c:pt>
                <c:pt idx="1">
                  <c:v>3432</c:v>
                </c:pt>
                <c:pt idx="2">
                  <c:v>5107</c:v>
                </c:pt>
                <c:pt idx="3">
                  <c:v>6391</c:v>
                </c:pt>
                <c:pt idx="4">
                  <c:v>7511</c:v>
                </c:pt>
                <c:pt idx="5">
                  <c:v>8449</c:v>
                </c:pt>
                <c:pt idx="6">
                  <c:v>9370</c:v>
                </c:pt>
                <c:pt idx="7">
                  <c:v>10628</c:v>
                </c:pt>
              </c:numCache>
            </c:numRef>
          </c:val>
          <c:extLst>
            <c:ext xmlns:c16="http://schemas.microsoft.com/office/drawing/2014/chart" uri="{C3380CC4-5D6E-409C-BE32-E72D297353CC}">
              <c16:uniqueId val="{00000000-E4AA-4D00-A146-60DE247AA486}"/>
            </c:ext>
          </c:extLst>
        </c:ser>
        <c:dLbls>
          <c:showLegendKey val="0"/>
          <c:showVal val="0"/>
          <c:showCatName val="0"/>
          <c:showSerName val="0"/>
          <c:showPercent val="0"/>
          <c:showBubbleSize val="0"/>
        </c:dLbls>
        <c:gapWidth val="219"/>
        <c:overlap val="-27"/>
        <c:axId val="1049998240"/>
        <c:axId val="1574443503"/>
      </c:barChart>
      <c:catAx>
        <c:axId val="1049998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74443503"/>
        <c:crosses val="autoZero"/>
        <c:auto val="1"/>
        <c:lblAlgn val="ctr"/>
        <c:lblOffset val="100"/>
        <c:noMultiLvlLbl val="0"/>
      </c:catAx>
      <c:valAx>
        <c:axId val="157444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4999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'Ark1'!$A$4</c:f>
              <c:strCache>
                <c:ptCount val="1"/>
                <c:pt idx="0">
                  <c:v>Norsk </c:v>
                </c:pt>
              </c:strCache>
            </c:strRef>
          </c:tx>
          <c:spPr>
            <a:solidFill>
              <a:schemeClr val="accent1"/>
            </a:solidFill>
            <a:ln>
              <a:noFill/>
            </a:ln>
            <a:effectLst/>
          </c:spPr>
          <c:invertIfNegative val="0"/>
          <c:cat>
            <c:numRef>
              <c:f>'Ark1'!$B$3:$I$3</c:f>
              <c:numCache>
                <c:formatCode>General</c:formatCode>
                <c:ptCount val="8"/>
                <c:pt idx="0">
                  <c:v>2015</c:v>
                </c:pt>
                <c:pt idx="1">
                  <c:v>2016</c:v>
                </c:pt>
                <c:pt idx="2">
                  <c:v>2017</c:v>
                </c:pt>
                <c:pt idx="3">
                  <c:v>2018</c:v>
                </c:pt>
                <c:pt idx="4">
                  <c:v>2019</c:v>
                </c:pt>
                <c:pt idx="5">
                  <c:v>2020</c:v>
                </c:pt>
                <c:pt idx="6">
                  <c:v>2021</c:v>
                </c:pt>
                <c:pt idx="7">
                  <c:v>2022</c:v>
                </c:pt>
              </c:numCache>
            </c:numRef>
          </c:cat>
          <c:val>
            <c:numRef>
              <c:f>'Ark1'!$B$4:$I$4</c:f>
              <c:numCache>
                <c:formatCode>0%</c:formatCode>
                <c:ptCount val="8"/>
                <c:pt idx="0">
                  <c:v>0.57999999999999996</c:v>
                </c:pt>
                <c:pt idx="1">
                  <c:v>0.57999999999999996</c:v>
                </c:pt>
                <c:pt idx="2">
                  <c:v>0.55000000000000004</c:v>
                </c:pt>
                <c:pt idx="3">
                  <c:v>0.55000000000000004</c:v>
                </c:pt>
                <c:pt idx="4">
                  <c:v>0.55000000000000004</c:v>
                </c:pt>
                <c:pt idx="5">
                  <c:v>0.59</c:v>
                </c:pt>
                <c:pt idx="6">
                  <c:v>0.55000000000000004</c:v>
                </c:pt>
                <c:pt idx="7">
                  <c:v>0.57999999999999996</c:v>
                </c:pt>
              </c:numCache>
            </c:numRef>
          </c:val>
          <c:extLst>
            <c:ext xmlns:c16="http://schemas.microsoft.com/office/drawing/2014/chart" uri="{C3380CC4-5D6E-409C-BE32-E72D297353CC}">
              <c16:uniqueId val="{00000000-A1FF-42EA-BC0C-1B37F3EC4B68}"/>
            </c:ext>
          </c:extLst>
        </c:ser>
        <c:ser>
          <c:idx val="1"/>
          <c:order val="1"/>
          <c:tx>
            <c:strRef>
              <c:f>'Ark1'!$A$5</c:f>
              <c:strCache>
                <c:ptCount val="1"/>
                <c:pt idx="0">
                  <c:v>Engelsk</c:v>
                </c:pt>
              </c:strCache>
            </c:strRef>
          </c:tx>
          <c:spPr>
            <a:solidFill>
              <a:schemeClr val="accent2"/>
            </a:solidFill>
            <a:ln>
              <a:noFill/>
            </a:ln>
            <a:effectLst/>
          </c:spPr>
          <c:invertIfNegative val="0"/>
          <c:cat>
            <c:numRef>
              <c:f>'Ark1'!$B$3:$I$3</c:f>
              <c:numCache>
                <c:formatCode>General</c:formatCode>
                <c:ptCount val="8"/>
                <c:pt idx="0">
                  <c:v>2015</c:v>
                </c:pt>
                <c:pt idx="1">
                  <c:v>2016</c:v>
                </c:pt>
                <c:pt idx="2">
                  <c:v>2017</c:v>
                </c:pt>
                <c:pt idx="3">
                  <c:v>2018</c:v>
                </c:pt>
                <c:pt idx="4">
                  <c:v>2019</c:v>
                </c:pt>
                <c:pt idx="5">
                  <c:v>2020</c:v>
                </c:pt>
                <c:pt idx="6">
                  <c:v>2021</c:v>
                </c:pt>
                <c:pt idx="7">
                  <c:v>2022</c:v>
                </c:pt>
              </c:numCache>
            </c:numRef>
          </c:cat>
          <c:val>
            <c:numRef>
              <c:f>'Ark1'!$B$5:$I$5</c:f>
              <c:numCache>
                <c:formatCode>0%</c:formatCode>
                <c:ptCount val="8"/>
                <c:pt idx="0">
                  <c:v>0.4</c:v>
                </c:pt>
                <c:pt idx="1">
                  <c:v>0.41</c:v>
                </c:pt>
                <c:pt idx="2">
                  <c:v>0.44</c:v>
                </c:pt>
                <c:pt idx="3">
                  <c:v>0.44</c:v>
                </c:pt>
                <c:pt idx="4">
                  <c:v>0.44</c:v>
                </c:pt>
                <c:pt idx="5">
                  <c:v>0.39</c:v>
                </c:pt>
                <c:pt idx="6">
                  <c:v>0.43</c:v>
                </c:pt>
                <c:pt idx="7">
                  <c:v>0.42</c:v>
                </c:pt>
              </c:numCache>
            </c:numRef>
          </c:val>
          <c:extLst>
            <c:ext xmlns:c16="http://schemas.microsoft.com/office/drawing/2014/chart" uri="{C3380CC4-5D6E-409C-BE32-E72D297353CC}">
              <c16:uniqueId val="{00000001-A1FF-42EA-BC0C-1B37F3EC4B68}"/>
            </c:ext>
          </c:extLst>
        </c:ser>
        <c:dLbls>
          <c:showLegendKey val="0"/>
          <c:showVal val="0"/>
          <c:showCatName val="0"/>
          <c:showSerName val="0"/>
          <c:showPercent val="0"/>
          <c:showBubbleSize val="0"/>
        </c:dLbls>
        <c:gapWidth val="219"/>
        <c:overlap val="-27"/>
        <c:axId val="1406202000"/>
        <c:axId val="1457570016"/>
      </c:barChart>
      <c:catAx>
        <c:axId val="140620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57570016"/>
        <c:crosses val="autoZero"/>
        <c:auto val="1"/>
        <c:lblAlgn val="ctr"/>
        <c:lblOffset val="100"/>
        <c:noMultiLvlLbl val="0"/>
      </c:catAx>
      <c:valAx>
        <c:axId val="1457570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06202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'Ark1'!$B$10</c:f>
              <c:strCache>
                <c:ptCount val="1"/>
                <c:pt idx="0">
                  <c:v>Norsk</c:v>
                </c:pt>
              </c:strCache>
            </c:strRef>
          </c:tx>
          <c:spPr>
            <a:solidFill>
              <a:schemeClr val="accent1"/>
            </a:solidFill>
            <a:ln>
              <a:noFill/>
            </a:ln>
            <a:effectLst/>
          </c:spPr>
          <c:invertIfNegative val="0"/>
          <c:cat>
            <c:strRef>
              <c:f>'Ark1'!$A$11:$A$16</c:f>
              <c:strCache>
                <c:ptCount val="6"/>
                <c:pt idx="0">
                  <c:v>DMMH</c:v>
                </c:pt>
                <c:pt idx="1">
                  <c:v>HINN</c:v>
                </c:pt>
                <c:pt idx="2">
                  <c:v>UiO</c:v>
                </c:pt>
                <c:pt idx="3">
                  <c:v>BI</c:v>
                </c:pt>
                <c:pt idx="4">
                  <c:v>NTNU</c:v>
                </c:pt>
                <c:pt idx="5">
                  <c:v>AHO</c:v>
                </c:pt>
              </c:strCache>
            </c:strRef>
          </c:cat>
          <c:val>
            <c:numRef>
              <c:f>'Ark1'!$B$11:$B$16</c:f>
              <c:numCache>
                <c:formatCode>0%</c:formatCode>
                <c:ptCount val="6"/>
                <c:pt idx="0">
                  <c:v>1</c:v>
                </c:pt>
                <c:pt idx="1">
                  <c:v>0.83</c:v>
                </c:pt>
                <c:pt idx="2">
                  <c:v>0.57999999999999996</c:v>
                </c:pt>
                <c:pt idx="3">
                  <c:v>0.5</c:v>
                </c:pt>
                <c:pt idx="4">
                  <c:v>0.41</c:v>
                </c:pt>
                <c:pt idx="5">
                  <c:v>0.25</c:v>
                </c:pt>
              </c:numCache>
            </c:numRef>
          </c:val>
          <c:extLst>
            <c:ext xmlns:c16="http://schemas.microsoft.com/office/drawing/2014/chart" uri="{C3380CC4-5D6E-409C-BE32-E72D297353CC}">
              <c16:uniqueId val="{00000000-64E5-4F54-B581-C69FE713C6DB}"/>
            </c:ext>
          </c:extLst>
        </c:ser>
        <c:dLbls>
          <c:showLegendKey val="0"/>
          <c:showVal val="0"/>
          <c:showCatName val="0"/>
          <c:showSerName val="0"/>
          <c:showPercent val="0"/>
          <c:showBubbleSize val="0"/>
        </c:dLbls>
        <c:gapWidth val="219"/>
        <c:overlap val="-27"/>
        <c:axId val="1446192240"/>
        <c:axId val="1462681728"/>
      </c:barChart>
      <c:catAx>
        <c:axId val="144619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62681728"/>
        <c:crosses val="autoZero"/>
        <c:auto val="1"/>
        <c:lblAlgn val="ctr"/>
        <c:lblOffset val="100"/>
        <c:noMultiLvlLbl val="0"/>
      </c:catAx>
      <c:valAx>
        <c:axId val="146268172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46192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18370726039037"/>
          <c:y val="5.0906129097943391E-2"/>
          <c:w val="0.84749987350628364"/>
          <c:h val="0.72096675148349276"/>
        </c:manualLayout>
      </c:layout>
      <c:lineChart>
        <c:grouping val="standard"/>
        <c:varyColors val="0"/>
        <c:ser>
          <c:idx val="2"/>
          <c:order val="0"/>
          <c:tx>
            <c:strRef>
              <c:f>'[figurer_8mars2024_arbeidsfil.xlsx]Figur 2.16'!$A$5</c:f>
              <c:strCache>
                <c:ptCount val="1"/>
                <c:pt idx="0">
                  <c:v>Til Norge</c:v>
                </c:pt>
              </c:strCache>
            </c:strRef>
          </c:tx>
          <c:spPr>
            <a:ln w="38100" cap="rnd">
              <a:solidFill>
                <a:schemeClr val="accent3"/>
              </a:solidFill>
              <a:round/>
            </a:ln>
            <a:effectLst/>
          </c:spPr>
          <c:marker>
            <c:symbol val="circle"/>
            <c:size val="6"/>
            <c:spPr>
              <a:solidFill>
                <a:schemeClr val="accent3"/>
              </a:solidFill>
              <a:ln w="9525">
                <a:solidFill>
                  <a:schemeClr val="accent3"/>
                </a:solidFill>
              </a:ln>
              <a:effectLst/>
            </c:spPr>
          </c:marker>
          <c:dLbls>
            <c:dLbl>
              <c:idx val="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7C-4246-BE7C-E9D730F539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dLblPos val="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'[figurer_8mars2024_arbeidsfil.xlsx]Figur 2.16'!$B$3:$K$3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2.16'!$B$5:$K$5</c:f>
              <c:numCache>
                <c:formatCode>General</c:formatCode>
                <c:ptCount val="10"/>
                <c:pt idx="0">
                  <c:v>6935</c:v>
                </c:pt>
                <c:pt idx="1">
                  <c:v>7666</c:v>
                </c:pt>
                <c:pt idx="2">
                  <c:v>8478</c:v>
                </c:pt>
                <c:pt idx="3">
                  <c:v>8683</c:v>
                </c:pt>
                <c:pt idx="4">
                  <c:v>8950</c:v>
                </c:pt>
                <c:pt idx="5">
                  <c:v>8767</c:v>
                </c:pt>
                <c:pt idx="6">
                  <c:v>4602</c:v>
                </c:pt>
                <c:pt idx="7">
                  <c:v>7016</c:v>
                </c:pt>
                <c:pt idx="8">
                  <c:v>10211</c:v>
                </c:pt>
                <c:pt idx="9">
                  <c:v>10494</c:v>
                </c:pt>
              </c:numCache>
            </c:numRef>
          </c:val>
          <c:smooth val="0"/>
          <c:extLst>
            <c:ext xmlns:c16="http://schemas.microsoft.com/office/drawing/2014/chart" uri="{C3380CC4-5D6E-409C-BE32-E72D297353CC}">
              <c16:uniqueId val="{00000001-D37C-4246-BE7C-E9D730F53963}"/>
            </c:ext>
          </c:extLst>
        </c:ser>
        <c:ser>
          <c:idx val="1"/>
          <c:order val="1"/>
          <c:tx>
            <c:strRef>
              <c:f>'[figurer_8mars2024_arbeidsfil.xlsx]Figur 2.16'!$A$4</c:f>
              <c:strCache>
                <c:ptCount val="1"/>
                <c:pt idx="0">
                  <c:v>Fra Norge</c:v>
                </c:pt>
              </c:strCache>
            </c:strRef>
          </c:tx>
          <c:spPr>
            <a:ln w="38100" cap="rnd">
              <a:solidFill>
                <a:schemeClr val="accent2"/>
              </a:solidFill>
              <a:round/>
            </a:ln>
            <a:effectLst/>
          </c:spPr>
          <c:marker>
            <c:symbol val="circle"/>
            <c:size val="6"/>
            <c:spPr>
              <a:solidFill>
                <a:schemeClr val="accent2"/>
              </a:solidFill>
              <a:ln w="9525">
                <a:solidFill>
                  <a:schemeClr val="accent2"/>
                </a:solidFill>
              </a:ln>
              <a:effectLst/>
            </c:spPr>
          </c:marker>
          <c:dLbls>
            <c:dLbl>
              <c:idx val="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37C-4246-BE7C-E9D730F539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'[figurer_8mars2024_arbeidsfil.xlsx]Figur 2.16'!$B$3:$K$3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2.16'!$B$4:$K$4</c:f>
              <c:numCache>
                <c:formatCode>General</c:formatCode>
                <c:ptCount val="10"/>
                <c:pt idx="0">
                  <c:v>5757</c:v>
                </c:pt>
                <c:pt idx="1">
                  <c:v>5754</c:v>
                </c:pt>
                <c:pt idx="2">
                  <c:v>6268</c:v>
                </c:pt>
                <c:pt idx="3">
                  <c:v>6575</c:v>
                </c:pt>
                <c:pt idx="4">
                  <c:v>7036</c:v>
                </c:pt>
                <c:pt idx="5">
                  <c:v>7422</c:v>
                </c:pt>
                <c:pt idx="6">
                  <c:v>3810</c:v>
                </c:pt>
                <c:pt idx="7">
                  <c:v>2764</c:v>
                </c:pt>
                <c:pt idx="8">
                  <c:v>7068</c:v>
                </c:pt>
                <c:pt idx="9">
                  <c:v>7912</c:v>
                </c:pt>
              </c:numCache>
            </c:numRef>
          </c:val>
          <c:smooth val="0"/>
          <c:extLst>
            <c:ext xmlns:c16="http://schemas.microsoft.com/office/drawing/2014/chart" uri="{C3380CC4-5D6E-409C-BE32-E72D297353CC}">
              <c16:uniqueId val="{00000003-D37C-4246-BE7C-E9D730F53963}"/>
            </c:ext>
          </c:extLst>
        </c:ser>
        <c:dLbls>
          <c:showLegendKey val="0"/>
          <c:showVal val="0"/>
          <c:showCatName val="0"/>
          <c:showSerName val="0"/>
          <c:showPercent val="0"/>
          <c:showBubbleSize val="0"/>
        </c:dLbls>
        <c:marker val="1"/>
        <c:smooth val="0"/>
        <c:axId val="953728112"/>
        <c:axId val="953721456"/>
      </c:lineChart>
      <c:catAx>
        <c:axId val="953728112"/>
        <c:scaling>
          <c:orientation val="minMax"/>
        </c:scaling>
        <c:delete val="0"/>
        <c:axPos val="b"/>
        <c:numFmt formatCode="General" sourceLinked="1"/>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953721456"/>
        <c:crosses val="autoZero"/>
        <c:auto val="1"/>
        <c:lblAlgn val="ctr"/>
        <c:lblOffset val="100"/>
        <c:noMultiLvlLbl val="0"/>
      </c:catAx>
      <c:valAx>
        <c:axId val="953721456"/>
        <c:scaling>
          <c:orientation val="minMax"/>
          <c:min val="2000"/>
        </c:scaling>
        <c:delete val="0"/>
        <c:axPos val="l"/>
        <c:majorGridlines>
          <c:spPr>
            <a:ln w="6350" cap="flat" cmpd="sng" algn="ctr">
              <a:solidFill>
                <a:schemeClr val="bg2">
                  <a:lumMod val="90000"/>
                </a:schemeClr>
              </a:solidFill>
              <a:round/>
            </a:ln>
            <a:effectLst/>
          </c:spPr>
        </c:majorGridlines>
        <c:numFmt formatCode="#,##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95372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6350" cap="flat" cmpd="sng" algn="ctr">
      <a:solidFill>
        <a:schemeClr val="tx1">
          <a:lumMod val="50000"/>
          <a:lumOff val="50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049-4665-8887-B52D427383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049-4665-8887-B52D427383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049-4665-8887-B52D427383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049-4665-8887-B52D427383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049-4665-8887-B52D427383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C049-4665-8887-B52D427383D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C049-4665-8887-B52D427383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Fagområder!$A$2:$A$8</c:f>
              <c:strCache>
                <c:ptCount val="7"/>
                <c:pt idx="0">
                  <c:v>Helse-, sosial- og idrettsfag</c:v>
                </c:pt>
                <c:pt idx="1">
                  <c:v>Økonomiske og administrative fag </c:v>
                </c:pt>
                <c:pt idx="2">
                  <c:v>Naturvitenskapelige fag, håndverksfag og tekniske fag </c:v>
                </c:pt>
                <c:pt idx="3">
                  <c:v>Lærerutdanninger og utdanninger i pedagogikk </c:v>
                </c:pt>
                <c:pt idx="4">
                  <c:v>Samfunnsfag og juridiske fag </c:v>
                </c:pt>
                <c:pt idx="5">
                  <c:v>Humanistiske og estetiske fag </c:v>
                </c:pt>
                <c:pt idx="6">
                  <c:v>Andre</c:v>
                </c:pt>
              </c:strCache>
            </c:strRef>
          </c:cat>
          <c:val>
            <c:numRef>
              <c:f>Fagområder!$B$2:$B$8</c:f>
              <c:numCache>
                <c:formatCode>0%</c:formatCode>
                <c:ptCount val="7"/>
                <c:pt idx="0">
                  <c:v>0.20760877023810814</c:v>
                </c:pt>
                <c:pt idx="1">
                  <c:v>0.2050734765665912</c:v>
                </c:pt>
                <c:pt idx="2">
                  <c:v>0.19038177477780066</c:v>
                </c:pt>
                <c:pt idx="3">
                  <c:v>0.1379568133308775</c:v>
                </c:pt>
                <c:pt idx="4">
                  <c:v>0.12970808007483089</c:v>
                </c:pt>
                <c:pt idx="5">
                  <c:v>9.831305459549064E-2</c:v>
                </c:pt>
                <c:pt idx="6">
                  <c:v>3.0961641945747603E-2</c:v>
                </c:pt>
              </c:numCache>
            </c:numRef>
          </c:val>
          <c:extLst>
            <c:ext xmlns:c16="http://schemas.microsoft.com/office/drawing/2014/chart" uri="{C3380CC4-5D6E-409C-BE32-E72D297353CC}">
              <c16:uniqueId val="{0000000E-C049-4665-8887-B52D427383DA}"/>
            </c:ext>
          </c:extLst>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'[figurer_8mars2024_arbeidsfil.xlsx]Figur 2.17'!$A$4</c:f>
              <c:strCache>
                <c:ptCount val="1"/>
                <c:pt idx="0">
                  <c:v>Australia</c:v>
                </c:pt>
              </c:strCache>
            </c:strRef>
          </c:tx>
          <c:spPr>
            <a:ln w="31750"/>
          </c:spPr>
          <c:marker>
            <c:symbol val="circle"/>
            <c:size val="6"/>
          </c:marker>
          <c:cat>
            <c:numRef>
              <c:f>'[figurer_8mars2024_arbeidsfil.xlsx]Figur 2.17'!$B$3:$K$3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2.17'!$B$4:$K$4</c:f>
              <c:numCache>
                <c:formatCode>General</c:formatCode>
                <c:ptCount val="10"/>
                <c:pt idx="0">
                  <c:v>744</c:v>
                </c:pt>
                <c:pt idx="1">
                  <c:v>799</c:v>
                </c:pt>
                <c:pt idx="2">
                  <c:v>919</c:v>
                </c:pt>
                <c:pt idx="3">
                  <c:v>1022</c:v>
                </c:pt>
                <c:pt idx="4">
                  <c:v>1098</c:v>
                </c:pt>
                <c:pt idx="5">
                  <c:v>1263</c:v>
                </c:pt>
                <c:pt idx="6">
                  <c:v>517</c:v>
                </c:pt>
                <c:pt idx="7">
                  <c:v>10</c:v>
                </c:pt>
                <c:pt idx="8">
                  <c:v>635</c:v>
                </c:pt>
                <c:pt idx="9">
                  <c:v>1352</c:v>
                </c:pt>
              </c:numCache>
            </c:numRef>
          </c:val>
          <c:smooth val="0"/>
          <c:extLst>
            <c:ext xmlns:c16="http://schemas.microsoft.com/office/drawing/2014/chart" uri="{C3380CC4-5D6E-409C-BE32-E72D297353CC}">
              <c16:uniqueId val="{00000000-664B-4A5E-9AFC-BA438C4ABAAD}"/>
            </c:ext>
          </c:extLst>
        </c:ser>
        <c:ser>
          <c:idx val="1"/>
          <c:order val="1"/>
          <c:tx>
            <c:strRef>
              <c:f>'[figurer_8mars2024_arbeidsfil.xlsx]Figur 2.17'!$A$5</c:f>
              <c:strCache>
                <c:ptCount val="1"/>
                <c:pt idx="0">
                  <c:v>Italia</c:v>
                </c:pt>
              </c:strCache>
            </c:strRef>
          </c:tx>
          <c:spPr>
            <a:ln w="31750"/>
          </c:spPr>
          <c:marker>
            <c:symbol val="circle"/>
            <c:size val="6"/>
          </c:marker>
          <c:cat>
            <c:numRef>
              <c:f>'[figurer_8mars2024_arbeidsfil.xlsx]Figur 2.17'!$B$3:$K$3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2.17'!$B$5:$K$5</c:f>
              <c:numCache>
                <c:formatCode>General</c:formatCode>
                <c:ptCount val="10"/>
                <c:pt idx="0">
                  <c:v>121</c:v>
                </c:pt>
                <c:pt idx="1">
                  <c:v>114</c:v>
                </c:pt>
                <c:pt idx="2">
                  <c:v>157</c:v>
                </c:pt>
                <c:pt idx="3">
                  <c:v>178</c:v>
                </c:pt>
                <c:pt idx="4">
                  <c:v>230</c:v>
                </c:pt>
                <c:pt idx="5">
                  <c:v>308</c:v>
                </c:pt>
                <c:pt idx="6">
                  <c:v>216</c:v>
                </c:pt>
                <c:pt idx="7">
                  <c:v>325</c:v>
                </c:pt>
                <c:pt idx="8">
                  <c:v>656</c:v>
                </c:pt>
                <c:pt idx="9">
                  <c:v>699</c:v>
                </c:pt>
              </c:numCache>
            </c:numRef>
          </c:val>
          <c:smooth val="0"/>
          <c:extLst>
            <c:ext xmlns:c16="http://schemas.microsoft.com/office/drawing/2014/chart" uri="{C3380CC4-5D6E-409C-BE32-E72D297353CC}">
              <c16:uniqueId val="{00000001-664B-4A5E-9AFC-BA438C4ABAAD}"/>
            </c:ext>
          </c:extLst>
        </c:ser>
        <c:ser>
          <c:idx val="2"/>
          <c:order val="2"/>
          <c:tx>
            <c:strRef>
              <c:f>'[figurer_8mars2024_arbeidsfil.xlsx]Figur 2.17'!$A$6</c:f>
              <c:strCache>
                <c:ptCount val="1"/>
                <c:pt idx="0">
                  <c:v>USA</c:v>
                </c:pt>
              </c:strCache>
            </c:strRef>
          </c:tx>
          <c:spPr>
            <a:ln w="31750"/>
          </c:spPr>
          <c:marker>
            <c:symbol val="circle"/>
            <c:size val="6"/>
          </c:marker>
          <c:cat>
            <c:numRef>
              <c:f>'[figurer_8mars2024_arbeidsfil.xlsx]Figur 2.17'!$B$3:$K$3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2.17'!$B$6:$K$6</c:f>
              <c:numCache>
                <c:formatCode>General</c:formatCode>
                <c:ptCount val="10"/>
                <c:pt idx="0">
                  <c:v>1223</c:v>
                </c:pt>
                <c:pt idx="1">
                  <c:v>1215</c:v>
                </c:pt>
                <c:pt idx="2">
                  <c:v>983</c:v>
                </c:pt>
                <c:pt idx="3">
                  <c:v>896</c:v>
                </c:pt>
                <c:pt idx="4">
                  <c:v>836</c:v>
                </c:pt>
                <c:pt idx="5">
                  <c:v>842</c:v>
                </c:pt>
                <c:pt idx="6">
                  <c:v>366</c:v>
                </c:pt>
                <c:pt idx="7">
                  <c:v>214</c:v>
                </c:pt>
                <c:pt idx="8">
                  <c:v>934</c:v>
                </c:pt>
                <c:pt idx="9">
                  <c:v>661</c:v>
                </c:pt>
              </c:numCache>
            </c:numRef>
          </c:val>
          <c:smooth val="0"/>
          <c:extLst>
            <c:ext xmlns:c16="http://schemas.microsoft.com/office/drawing/2014/chart" uri="{C3380CC4-5D6E-409C-BE32-E72D297353CC}">
              <c16:uniqueId val="{00000002-664B-4A5E-9AFC-BA438C4ABAAD}"/>
            </c:ext>
          </c:extLst>
        </c:ser>
        <c:ser>
          <c:idx val="3"/>
          <c:order val="3"/>
          <c:tx>
            <c:strRef>
              <c:f>'[figurer_8mars2024_arbeidsfil.xlsx]Figur 2.17'!$A$7</c:f>
              <c:strCache>
                <c:ptCount val="1"/>
                <c:pt idx="0">
                  <c:v>Spania</c:v>
                </c:pt>
              </c:strCache>
            </c:strRef>
          </c:tx>
          <c:spPr>
            <a:ln w="31750"/>
          </c:spPr>
          <c:marker>
            <c:symbol val="circle"/>
            <c:size val="6"/>
          </c:marker>
          <c:cat>
            <c:numRef>
              <c:f>'[figurer_8mars2024_arbeidsfil.xlsx]Figur 2.17'!$B$3:$K$3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2.17'!$B$7:$K$7</c:f>
              <c:numCache>
                <c:formatCode>General</c:formatCode>
                <c:ptCount val="10"/>
                <c:pt idx="0">
                  <c:v>161</c:v>
                </c:pt>
                <c:pt idx="1">
                  <c:v>177</c:v>
                </c:pt>
                <c:pt idx="2">
                  <c:v>283</c:v>
                </c:pt>
                <c:pt idx="3">
                  <c:v>233</c:v>
                </c:pt>
                <c:pt idx="4">
                  <c:v>313</c:v>
                </c:pt>
                <c:pt idx="5">
                  <c:v>336</c:v>
                </c:pt>
                <c:pt idx="6">
                  <c:v>214</c:v>
                </c:pt>
                <c:pt idx="7">
                  <c:v>225</c:v>
                </c:pt>
                <c:pt idx="8">
                  <c:v>520</c:v>
                </c:pt>
                <c:pt idx="9">
                  <c:v>529</c:v>
                </c:pt>
              </c:numCache>
            </c:numRef>
          </c:val>
          <c:smooth val="0"/>
          <c:extLst>
            <c:ext xmlns:c16="http://schemas.microsoft.com/office/drawing/2014/chart" uri="{C3380CC4-5D6E-409C-BE32-E72D297353CC}">
              <c16:uniqueId val="{00000003-664B-4A5E-9AFC-BA438C4ABAAD}"/>
            </c:ext>
          </c:extLst>
        </c:ser>
        <c:ser>
          <c:idx val="4"/>
          <c:order val="4"/>
          <c:tx>
            <c:strRef>
              <c:f>'[figurer_8mars2024_arbeidsfil.xlsx]Figur 2.17'!$A$8</c:f>
              <c:strCache>
                <c:ptCount val="1"/>
                <c:pt idx="0">
                  <c:v>Frankrike</c:v>
                </c:pt>
              </c:strCache>
            </c:strRef>
          </c:tx>
          <c:spPr>
            <a:ln w="31750"/>
          </c:spPr>
          <c:marker>
            <c:symbol val="circle"/>
            <c:size val="6"/>
          </c:marker>
          <c:cat>
            <c:numRef>
              <c:f>'[figurer_8mars2024_arbeidsfil.xlsx]Figur 2.17'!$B$3:$K$3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2.17'!$B$8:$K$8</c:f>
              <c:numCache>
                <c:formatCode>General</c:formatCode>
                <c:ptCount val="10"/>
                <c:pt idx="0">
                  <c:v>234</c:v>
                </c:pt>
                <c:pt idx="1">
                  <c:v>279</c:v>
                </c:pt>
                <c:pt idx="2">
                  <c:v>266</c:v>
                </c:pt>
                <c:pt idx="3">
                  <c:v>312</c:v>
                </c:pt>
                <c:pt idx="4">
                  <c:v>320</c:v>
                </c:pt>
                <c:pt idx="5">
                  <c:v>363</c:v>
                </c:pt>
                <c:pt idx="6">
                  <c:v>190</c:v>
                </c:pt>
                <c:pt idx="7">
                  <c:v>293</c:v>
                </c:pt>
                <c:pt idx="8">
                  <c:v>565</c:v>
                </c:pt>
                <c:pt idx="9">
                  <c:v>515</c:v>
                </c:pt>
              </c:numCache>
            </c:numRef>
          </c:val>
          <c:smooth val="0"/>
          <c:extLst>
            <c:ext xmlns:c16="http://schemas.microsoft.com/office/drawing/2014/chart" uri="{C3380CC4-5D6E-409C-BE32-E72D297353CC}">
              <c16:uniqueId val="{00000004-664B-4A5E-9AFC-BA438C4ABAAD}"/>
            </c:ext>
          </c:extLst>
        </c:ser>
        <c:dLbls>
          <c:showLegendKey val="0"/>
          <c:showVal val="0"/>
          <c:showCatName val="0"/>
          <c:showSerName val="0"/>
          <c:showPercent val="0"/>
          <c:showBubbleSize val="0"/>
        </c:dLbls>
        <c:marker val="1"/>
        <c:smooth val="0"/>
        <c:axId val="128071680"/>
        <c:axId val="127594432"/>
      </c:lineChart>
      <c:catAx>
        <c:axId val="128071680"/>
        <c:scaling>
          <c:orientation val="minMax"/>
        </c:scaling>
        <c:delete val="0"/>
        <c:axPos val="b"/>
        <c:numFmt formatCode="General" sourceLinked="1"/>
        <c:majorTickMark val="out"/>
        <c:minorTickMark val="none"/>
        <c:tickLblPos val="nextTo"/>
        <c:crossAx val="127594432"/>
        <c:crosses val="autoZero"/>
        <c:auto val="1"/>
        <c:lblAlgn val="ctr"/>
        <c:lblOffset val="100"/>
        <c:noMultiLvlLbl val="0"/>
      </c:catAx>
      <c:valAx>
        <c:axId val="127594432"/>
        <c:scaling>
          <c:orientation val="minMax"/>
        </c:scaling>
        <c:delete val="0"/>
        <c:axPos val="l"/>
        <c:majorGridlines/>
        <c:numFmt formatCode="General" sourceLinked="0"/>
        <c:majorTickMark val="out"/>
        <c:minorTickMark val="none"/>
        <c:tickLblPos val="nextTo"/>
        <c:crossAx val="128071680"/>
        <c:crosses val="autoZero"/>
        <c:crossBetween val="between"/>
      </c:valAx>
    </c:plotArea>
    <c:legend>
      <c:legendPos val="b"/>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'[figurer_8mars2024_arbeidsfil.xlsx]Figur 2.19'!$A$4</c:f>
              <c:strCache>
                <c:ptCount val="1"/>
                <c:pt idx="0">
                  <c:v>Sektoren</c:v>
                </c:pt>
              </c:strCache>
            </c:strRef>
          </c:tx>
          <c:spPr>
            <a:ln w="38100"/>
          </c:spPr>
          <c:marker>
            <c:symbol val="circle"/>
            <c:size val="6"/>
          </c:marker>
          <c:dLbls>
            <c:dLbl>
              <c:idx val="0"/>
              <c:delete val="1"/>
              <c:extLst>
                <c:ext xmlns:c15="http://schemas.microsoft.com/office/drawing/2012/chart" uri="{CE6537A1-D6FC-4f65-9D91-7224C49458BB}"/>
                <c:ext xmlns:c16="http://schemas.microsoft.com/office/drawing/2014/chart" uri="{C3380CC4-5D6E-409C-BE32-E72D297353CC}">
                  <c16:uniqueId val="{00000000-0E6E-4330-BE9F-BACE55C25DCD}"/>
                </c:ext>
              </c:extLst>
            </c:dLbl>
            <c:dLbl>
              <c:idx val="1"/>
              <c:delete val="1"/>
              <c:extLst>
                <c:ext xmlns:c15="http://schemas.microsoft.com/office/drawing/2012/chart" uri="{CE6537A1-D6FC-4f65-9D91-7224C49458BB}"/>
                <c:ext xmlns:c16="http://schemas.microsoft.com/office/drawing/2014/chart" uri="{C3380CC4-5D6E-409C-BE32-E72D297353CC}">
                  <c16:uniqueId val="{00000001-0E6E-4330-BE9F-BACE55C25DCD}"/>
                </c:ext>
              </c:extLst>
            </c:dLbl>
            <c:dLbl>
              <c:idx val="2"/>
              <c:delete val="1"/>
              <c:extLst>
                <c:ext xmlns:c15="http://schemas.microsoft.com/office/drawing/2012/chart" uri="{CE6537A1-D6FC-4f65-9D91-7224C49458BB}"/>
                <c:ext xmlns:c16="http://schemas.microsoft.com/office/drawing/2014/chart" uri="{C3380CC4-5D6E-409C-BE32-E72D297353CC}">
                  <c16:uniqueId val="{00000002-0E6E-4330-BE9F-BACE55C25DCD}"/>
                </c:ext>
              </c:extLst>
            </c:dLbl>
            <c:dLbl>
              <c:idx val="3"/>
              <c:delete val="1"/>
              <c:extLst>
                <c:ext xmlns:c15="http://schemas.microsoft.com/office/drawing/2012/chart" uri="{CE6537A1-D6FC-4f65-9D91-7224C49458BB}"/>
                <c:ext xmlns:c16="http://schemas.microsoft.com/office/drawing/2014/chart" uri="{C3380CC4-5D6E-409C-BE32-E72D297353CC}">
                  <c16:uniqueId val="{00000003-0E6E-4330-BE9F-BACE55C25DCD}"/>
                </c:ext>
              </c:extLst>
            </c:dLbl>
            <c:dLbl>
              <c:idx val="4"/>
              <c:delete val="1"/>
              <c:extLst>
                <c:ext xmlns:c15="http://schemas.microsoft.com/office/drawing/2012/chart" uri="{CE6537A1-D6FC-4f65-9D91-7224C49458BB}"/>
                <c:ext xmlns:c16="http://schemas.microsoft.com/office/drawing/2014/chart" uri="{C3380CC4-5D6E-409C-BE32-E72D297353CC}">
                  <c16:uniqueId val="{00000004-0E6E-4330-BE9F-BACE55C25DCD}"/>
                </c:ext>
              </c:extLst>
            </c:dLbl>
            <c:dLbl>
              <c:idx val="5"/>
              <c:delete val="1"/>
              <c:extLst>
                <c:ext xmlns:c15="http://schemas.microsoft.com/office/drawing/2012/chart" uri="{CE6537A1-D6FC-4f65-9D91-7224C49458BB}"/>
                <c:ext xmlns:c16="http://schemas.microsoft.com/office/drawing/2014/chart" uri="{C3380CC4-5D6E-409C-BE32-E72D297353CC}">
                  <c16:uniqueId val="{00000005-0E6E-4330-BE9F-BACE55C25DCD}"/>
                </c:ext>
              </c:extLst>
            </c:dLbl>
            <c:dLbl>
              <c:idx val="6"/>
              <c:delete val="1"/>
              <c:extLst>
                <c:ext xmlns:c15="http://schemas.microsoft.com/office/drawing/2012/chart" uri="{CE6537A1-D6FC-4f65-9D91-7224C49458BB}"/>
                <c:ext xmlns:c16="http://schemas.microsoft.com/office/drawing/2014/chart" uri="{C3380CC4-5D6E-409C-BE32-E72D297353CC}">
                  <c16:uniqueId val="{00000006-0E6E-4330-BE9F-BACE55C25DCD}"/>
                </c:ext>
              </c:extLst>
            </c:dLbl>
            <c:dLbl>
              <c:idx val="7"/>
              <c:delete val="1"/>
              <c:extLst>
                <c:ext xmlns:c15="http://schemas.microsoft.com/office/drawing/2012/chart" uri="{CE6537A1-D6FC-4f65-9D91-7224C49458BB}"/>
                <c:ext xmlns:c16="http://schemas.microsoft.com/office/drawing/2014/chart" uri="{C3380CC4-5D6E-409C-BE32-E72D297353CC}">
                  <c16:uniqueId val="{00000007-0E6E-4330-BE9F-BACE55C25DCD}"/>
                </c:ext>
              </c:extLst>
            </c:dLbl>
            <c:numFmt formatCode="0.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'[figurer_8mars2024_arbeidsfil.xlsx]Figur 2.19'!$B$3:$K$3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2.19'!$B$4:$K$4</c:f>
              <c:numCache>
                <c:formatCode>General</c:formatCode>
                <c:ptCount val="10"/>
                <c:pt idx="0">
                  <c:v>7.2700000000000004E-3</c:v>
                </c:pt>
                <c:pt idx="1">
                  <c:v>7.1900000000000002E-3</c:v>
                </c:pt>
                <c:pt idx="2">
                  <c:v>8.8400000000000006E-3</c:v>
                </c:pt>
                <c:pt idx="3">
                  <c:v>9.2099999999999994E-3</c:v>
                </c:pt>
                <c:pt idx="4">
                  <c:v>1.047E-2</c:v>
                </c:pt>
                <c:pt idx="5">
                  <c:v>1.11E-2</c:v>
                </c:pt>
                <c:pt idx="6">
                  <c:v>6.4900000000000001E-3</c:v>
                </c:pt>
                <c:pt idx="7">
                  <c:v>7.5100000000000002E-3</c:v>
                </c:pt>
                <c:pt idx="8">
                  <c:v>1.478E-2</c:v>
                </c:pt>
                <c:pt idx="9">
                  <c:v>1.3639999999999999E-2</c:v>
                </c:pt>
              </c:numCache>
            </c:numRef>
          </c:val>
          <c:smooth val="0"/>
          <c:extLst>
            <c:ext xmlns:c16="http://schemas.microsoft.com/office/drawing/2014/chart" uri="{C3380CC4-5D6E-409C-BE32-E72D297353CC}">
              <c16:uniqueId val="{00000008-0E6E-4330-BE9F-BACE55C25DCD}"/>
            </c:ext>
          </c:extLst>
        </c:ser>
        <c:dLbls>
          <c:showLegendKey val="0"/>
          <c:showVal val="0"/>
          <c:showCatName val="0"/>
          <c:showSerName val="0"/>
          <c:showPercent val="0"/>
          <c:showBubbleSize val="0"/>
        </c:dLbls>
        <c:marker val="1"/>
        <c:smooth val="0"/>
        <c:axId val="125825024"/>
        <c:axId val="125899264"/>
      </c:lineChart>
      <c:catAx>
        <c:axId val="125825024"/>
        <c:scaling>
          <c:orientation val="minMax"/>
        </c:scaling>
        <c:delete val="0"/>
        <c:axPos val="b"/>
        <c:numFmt formatCode="General" sourceLinked="1"/>
        <c:majorTickMark val="out"/>
        <c:minorTickMark val="none"/>
        <c:tickLblPos val="nextTo"/>
        <c:crossAx val="125899264"/>
        <c:crosses val="autoZero"/>
        <c:auto val="1"/>
        <c:lblAlgn val="ctr"/>
        <c:lblOffset val="100"/>
        <c:noMultiLvlLbl val="0"/>
      </c:catAx>
      <c:valAx>
        <c:axId val="125899264"/>
        <c:scaling>
          <c:orientation val="minMax"/>
          <c:min val="6.0000000000000019E-3"/>
        </c:scaling>
        <c:delete val="0"/>
        <c:axPos val="l"/>
        <c:majorGridlines/>
        <c:numFmt formatCode="0.0\ %" sourceLinked="0"/>
        <c:majorTickMark val="out"/>
        <c:minorTickMark val="none"/>
        <c:tickLblPos val="nextTo"/>
        <c:crossAx val="125825024"/>
        <c:crosses val="autoZero"/>
        <c:crossBetween val="between"/>
        <c:majorUnit val="1.0000000000000002E-3"/>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'Ark1'!$A$2</c:f>
              <c:strCache>
                <c:ptCount val="1"/>
                <c:pt idx="0">
                  <c:v>Storbritannia</c:v>
                </c:pt>
              </c:strCache>
            </c:strRef>
          </c:tx>
          <c:spPr>
            <a:ln w="28575" cap="rnd">
              <a:solidFill>
                <a:schemeClr val="accent1"/>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'Ark1'!$B$2:$K$2</c:f>
              <c:numCache>
                <c:formatCode>General</c:formatCode>
                <c:ptCount val="10"/>
                <c:pt idx="0">
                  <c:v>5003</c:v>
                </c:pt>
                <c:pt idx="1">
                  <c:v>5295</c:v>
                </c:pt>
                <c:pt idx="2">
                  <c:v>5078</c:v>
                </c:pt>
                <c:pt idx="3">
                  <c:v>4568</c:v>
                </c:pt>
                <c:pt idx="4">
                  <c:v>4326</c:v>
                </c:pt>
                <c:pt idx="5">
                  <c:v>4058</c:v>
                </c:pt>
                <c:pt idx="6">
                  <c:v>3885</c:v>
                </c:pt>
                <c:pt idx="7">
                  <c:v>3695</c:v>
                </c:pt>
                <c:pt idx="8">
                  <c:v>3353</c:v>
                </c:pt>
                <c:pt idx="9">
                  <c:v>2771</c:v>
                </c:pt>
              </c:numCache>
            </c:numRef>
          </c:val>
          <c:smooth val="0"/>
          <c:extLst>
            <c:ext xmlns:c16="http://schemas.microsoft.com/office/drawing/2014/chart" uri="{C3380CC4-5D6E-409C-BE32-E72D297353CC}">
              <c16:uniqueId val="{00000000-8B74-47CA-88A7-9DCC56896734}"/>
            </c:ext>
          </c:extLst>
        </c:ser>
        <c:ser>
          <c:idx val="1"/>
          <c:order val="1"/>
          <c:tx>
            <c:strRef>
              <c:f>'Ark1'!$A$3</c:f>
              <c:strCache>
                <c:ptCount val="1"/>
                <c:pt idx="0">
                  <c:v>Danmark</c:v>
                </c:pt>
              </c:strCache>
            </c:strRef>
          </c:tx>
          <c:spPr>
            <a:ln w="28575" cap="rnd">
              <a:solidFill>
                <a:schemeClr val="accent2"/>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'Ark1'!$B$3:$K$3</c:f>
              <c:numCache>
                <c:formatCode>General</c:formatCode>
                <c:ptCount val="10"/>
                <c:pt idx="0">
                  <c:v>2802</c:v>
                </c:pt>
                <c:pt idx="1">
                  <c:v>2745</c:v>
                </c:pt>
                <c:pt idx="2">
                  <c:v>2770</c:v>
                </c:pt>
                <c:pt idx="3">
                  <c:v>2514</c:v>
                </c:pt>
                <c:pt idx="4">
                  <c:v>2454</c:v>
                </c:pt>
                <c:pt idx="5">
                  <c:v>2371</c:v>
                </c:pt>
                <c:pt idx="6">
                  <c:v>2408</c:v>
                </c:pt>
                <c:pt idx="7">
                  <c:v>2277</c:v>
                </c:pt>
                <c:pt idx="8">
                  <c:v>2083</c:v>
                </c:pt>
                <c:pt idx="9">
                  <c:v>2082</c:v>
                </c:pt>
              </c:numCache>
            </c:numRef>
          </c:val>
          <c:smooth val="0"/>
          <c:extLst>
            <c:ext xmlns:c16="http://schemas.microsoft.com/office/drawing/2014/chart" uri="{C3380CC4-5D6E-409C-BE32-E72D297353CC}">
              <c16:uniqueId val="{00000001-8B74-47CA-88A7-9DCC56896734}"/>
            </c:ext>
          </c:extLst>
        </c:ser>
        <c:ser>
          <c:idx val="2"/>
          <c:order val="2"/>
          <c:tx>
            <c:strRef>
              <c:f>'Ark1'!$A$4</c:f>
              <c:strCache>
                <c:ptCount val="1"/>
                <c:pt idx="0">
                  <c:v>USA</c:v>
                </c:pt>
              </c:strCache>
            </c:strRef>
          </c:tx>
          <c:spPr>
            <a:ln w="28575" cap="rnd">
              <a:solidFill>
                <a:schemeClr val="accent3"/>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'Ark1'!$B$4:$K$4</c:f>
              <c:numCache>
                <c:formatCode>General</c:formatCode>
                <c:ptCount val="10"/>
                <c:pt idx="0">
                  <c:v>1840</c:v>
                </c:pt>
                <c:pt idx="1">
                  <c:v>2088</c:v>
                </c:pt>
                <c:pt idx="2">
                  <c:v>2096</c:v>
                </c:pt>
                <c:pt idx="3">
                  <c:v>1968</c:v>
                </c:pt>
                <c:pt idx="4">
                  <c:v>1905</c:v>
                </c:pt>
                <c:pt idx="5">
                  <c:v>1858</c:v>
                </c:pt>
                <c:pt idx="6">
                  <c:v>1750</c:v>
                </c:pt>
                <c:pt idx="7">
                  <c:v>1472</c:v>
                </c:pt>
                <c:pt idx="8">
                  <c:v>1666</c:v>
                </c:pt>
                <c:pt idx="9">
                  <c:v>1617</c:v>
                </c:pt>
              </c:numCache>
            </c:numRef>
          </c:val>
          <c:smooth val="0"/>
          <c:extLst>
            <c:ext xmlns:c16="http://schemas.microsoft.com/office/drawing/2014/chart" uri="{C3380CC4-5D6E-409C-BE32-E72D297353CC}">
              <c16:uniqueId val="{00000002-8B74-47CA-88A7-9DCC56896734}"/>
            </c:ext>
          </c:extLst>
        </c:ser>
        <c:ser>
          <c:idx val="3"/>
          <c:order val="3"/>
          <c:tx>
            <c:strRef>
              <c:f>'Ark1'!$A$5</c:f>
              <c:strCache>
                <c:ptCount val="1"/>
                <c:pt idx="0">
                  <c:v>Polen</c:v>
                </c:pt>
              </c:strCache>
            </c:strRef>
          </c:tx>
          <c:spPr>
            <a:ln w="28575" cap="rnd">
              <a:solidFill>
                <a:schemeClr val="accent4"/>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'Ark1'!$B$5:$K$5</c:f>
              <c:numCache>
                <c:formatCode>General</c:formatCode>
                <c:ptCount val="10"/>
                <c:pt idx="0">
                  <c:v>1504</c:v>
                </c:pt>
                <c:pt idx="1">
                  <c:v>1566</c:v>
                </c:pt>
                <c:pt idx="2">
                  <c:v>1604</c:v>
                </c:pt>
                <c:pt idx="3">
                  <c:v>1553</c:v>
                </c:pt>
                <c:pt idx="4">
                  <c:v>1524</c:v>
                </c:pt>
                <c:pt idx="5">
                  <c:v>1538</c:v>
                </c:pt>
                <c:pt idx="6">
                  <c:v>1579</c:v>
                </c:pt>
                <c:pt idx="7">
                  <c:v>1547</c:v>
                </c:pt>
                <c:pt idx="8">
                  <c:v>1530</c:v>
                </c:pt>
                <c:pt idx="9">
                  <c:v>1557</c:v>
                </c:pt>
              </c:numCache>
            </c:numRef>
          </c:val>
          <c:smooth val="0"/>
          <c:extLst>
            <c:ext xmlns:c16="http://schemas.microsoft.com/office/drawing/2014/chart" uri="{C3380CC4-5D6E-409C-BE32-E72D297353CC}">
              <c16:uniqueId val="{00000003-8B74-47CA-88A7-9DCC56896734}"/>
            </c:ext>
          </c:extLst>
        </c:ser>
        <c:ser>
          <c:idx val="4"/>
          <c:order val="4"/>
          <c:tx>
            <c:strRef>
              <c:f>'Ark1'!$A$6</c:f>
              <c:strCache>
                <c:ptCount val="1"/>
                <c:pt idx="0">
                  <c:v>Nederland</c:v>
                </c:pt>
              </c:strCache>
            </c:strRef>
          </c:tx>
          <c:spPr>
            <a:ln w="28575" cap="rnd">
              <a:solidFill>
                <a:schemeClr val="accent5"/>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'Ark1'!$B$6:$K$6</c:f>
              <c:numCache>
                <c:formatCode>General</c:formatCode>
                <c:ptCount val="10"/>
                <c:pt idx="0">
                  <c:v>381</c:v>
                </c:pt>
                <c:pt idx="1">
                  <c:v>377</c:v>
                </c:pt>
                <c:pt idx="2">
                  <c:v>405</c:v>
                </c:pt>
                <c:pt idx="3">
                  <c:v>450</c:v>
                </c:pt>
                <c:pt idx="4">
                  <c:v>519</c:v>
                </c:pt>
                <c:pt idx="5">
                  <c:v>599</c:v>
                </c:pt>
                <c:pt idx="6">
                  <c:v>614</c:v>
                </c:pt>
                <c:pt idx="7">
                  <c:v>664</c:v>
                </c:pt>
                <c:pt idx="8">
                  <c:v>727</c:v>
                </c:pt>
                <c:pt idx="9">
                  <c:v>689</c:v>
                </c:pt>
              </c:numCache>
            </c:numRef>
          </c:val>
          <c:smooth val="0"/>
          <c:extLst>
            <c:ext xmlns:c16="http://schemas.microsoft.com/office/drawing/2014/chart" uri="{C3380CC4-5D6E-409C-BE32-E72D297353CC}">
              <c16:uniqueId val="{00000004-8B74-47CA-88A7-9DCC56896734}"/>
            </c:ext>
          </c:extLst>
        </c:ser>
        <c:ser>
          <c:idx val="5"/>
          <c:order val="5"/>
          <c:tx>
            <c:strRef>
              <c:f>'Ark1'!$A$7</c:f>
              <c:strCache>
                <c:ptCount val="1"/>
                <c:pt idx="0">
                  <c:v>Ungarn</c:v>
                </c:pt>
              </c:strCache>
            </c:strRef>
          </c:tx>
          <c:spPr>
            <a:ln w="28575" cap="rnd">
              <a:solidFill>
                <a:schemeClr val="accent6"/>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'Ark1'!$B$7:$K$7</c:f>
              <c:numCache>
                <c:formatCode>General</c:formatCode>
                <c:ptCount val="10"/>
                <c:pt idx="0">
                  <c:v>814</c:v>
                </c:pt>
                <c:pt idx="1">
                  <c:v>924</c:v>
                </c:pt>
                <c:pt idx="2">
                  <c:v>997</c:v>
                </c:pt>
                <c:pt idx="3">
                  <c:v>1043</c:v>
                </c:pt>
                <c:pt idx="4">
                  <c:v>949</c:v>
                </c:pt>
                <c:pt idx="5">
                  <c:v>874</c:v>
                </c:pt>
                <c:pt idx="6">
                  <c:v>766</c:v>
                </c:pt>
                <c:pt idx="7">
                  <c:v>721</c:v>
                </c:pt>
                <c:pt idx="8">
                  <c:v>712</c:v>
                </c:pt>
                <c:pt idx="9">
                  <c:v>675</c:v>
                </c:pt>
              </c:numCache>
            </c:numRef>
          </c:val>
          <c:smooth val="0"/>
          <c:extLst>
            <c:ext xmlns:c16="http://schemas.microsoft.com/office/drawing/2014/chart" uri="{C3380CC4-5D6E-409C-BE32-E72D297353CC}">
              <c16:uniqueId val="{00000005-8B74-47CA-88A7-9DCC56896734}"/>
            </c:ext>
          </c:extLst>
        </c:ser>
        <c:ser>
          <c:idx val="6"/>
          <c:order val="6"/>
          <c:tx>
            <c:strRef>
              <c:f>'Ark1'!$A$8</c:f>
              <c:strCache>
                <c:ptCount val="1"/>
                <c:pt idx="0">
                  <c:v>Australia</c:v>
                </c:pt>
              </c:strCache>
            </c:strRef>
          </c:tx>
          <c:spPr>
            <a:ln w="28575" cap="rnd">
              <a:solidFill>
                <a:schemeClr val="accent1">
                  <a:lumMod val="60000"/>
                </a:schemeClr>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'Ark1'!$B$8:$K$8</c:f>
              <c:numCache>
                <c:formatCode>General</c:formatCode>
                <c:ptCount val="10"/>
                <c:pt idx="0">
                  <c:v>1080</c:v>
                </c:pt>
                <c:pt idx="1">
                  <c:v>980</c:v>
                </c:pt>
                <c:pt idx="2">
                  <c:v>926</c:v>
                </c:pt>
                <c:pt idx="3">
                  <c:v>909</c:v>
                </c:pt>
                <c:pt idx="4">
                  <c:v>906</c:v>
                </c:pt>
                <c:pt idx="5">
                  <c:v>848</c:v>
                </c:pt>
                <c:pt idx="6">
                  <c:v>714</c:v>
                </c:pt>
                <c:pt idx="7">
                  <c:v>454</c:v>
                </c:pt>
                <c:pt idx="8">
                  <c:v>375</c:v>
                </c:pt>
                <c:pt idx="9">
                  <c:v>582</c:v>
                </c:pt>
              </c:numCache>
            </c:numRef>
          </c:val>
          <c:smooth val="0"/>
          <c:extLst>
            <c:ext xmlns:c16="http://schemas.microsoft.com/office/drawing/2014/chart" uri="{C3380CC4-5D6E-409C-BE32-E72D297353CC}">
              <c16:uniqueId val="{00000006-8B74-47CA-88A7-9DCC56896734}"/>
            </c:ext>
          </c:extLst>
        </c:ser>
        <c:ser>
          <c:idx val="7"/>
          <c:order val="7"/>
          <c:tx>
            <c:strRef>
              <c:f>'Ark1'!$A$9</c:f>
              <c:strCache>
                <c:ptCount val="1"/>
                <c:pt idx="0">
                  <c:v>Slovakia</c:v>
                </c:pt>
              </c:strCache>
            </c:strRef>
          </c:tx>
          <c:spPr>
            <a:ln w="28575" cap="rnd">
              <a:solidFill>
                <a:schemeClr val="accent2">
                  <a:lumMod val="60000"/>
                </a:schemeClr>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'Ark1'!$B$9:$K$9</c:f>
              <c:numCache>
                <c:formatCode>General</c:formatCode>
                <c:ptCount val="10"/>
                <c:pt idx="0">
                  <c:v>514</c:v>
                </c:pt>
                <c:pt idx="1">
                  <c:v>529</c:v>
                </c:pt>
                <c:pt idx="2">
                  <c:v>547</c:v>
                </c:pt>
                <c:pt idx="3">
                  <c:v>579</c:v>
                </c:pt>
                <c:pt idx="4">
                  <c:v>603</c:v>
                </c:pt>
                <c:pt idx="5">
                  <c:v>575</c:v>
                </c:pt>
                <c:pt idx="6">
                  <c:v>541</c:v>
                </c:pt>
                <c:pt idx="7">
                  <c:v>554</c:v>
                </c:pt>
                <c:pt idx="8">
                  <c:v>545</c:v>
                </c:pt>
                <c:pt idx="9">
                  <c:v>515</c:v>
                </c:pt>
              </c:numCache>
            </c:numRef>
          </c:val>
          <c:smooth val="0"/>
          <c:extLst>
            <c:ext xmlns:c16="http://schemas.microsoft.com/office/drawing/2014/chart" uri="{C3380CC4-5D6E-409C-BE32-E72D297353CC}">
              <c16:uniqueId val="{00000007-8B74-47CA-88A7-9DCC56896734}"/>
            </c:ext>
          </c:extLst>
        </c:ser>
        <c:ser>
          <c:idx val="8"/>
          <c:order val="8"/>
          <c:tx>
            <c:strRef>
              <c:f>'Ark1'!$A$10</c:f>
              <c:strCache>
                <c:ptCount val="1"/>
                <c:pt idx="0">
                  <c:v>Spania</c:v>
                </c:pt>
              </c:strCache>
            </c:strRef>
          </c:tx>
          <c:spPr>
            <a:ln w="28575" cap="rnd">
              <a:solidFill>
                <a:schemeClr val="accent3">
                  <a:lumMod val="60000"/>
                </a:schemeClr>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'Ark1'!$B$10:$K$10</c:f>
              <c:numCache>
                <c:formatCode>General</c:formatCode>
                <c:ptCount val="10"/>
                <c:pt idx="0">
                  <c:v>136</c:v>
                </c:pt>
                <c:pt idx="1">
                  <c:v>194</c:v>
                </c:pt>
                <c:pt idx="2">
                  <c:v>276</c:v>
                </c:pt>
                <c:pt idx="3">
                  <c:v>263</c:v>
                </c:pt>
                <c:pt idx="4">
                  <c:v>304</c:v>
                </c:pt>
                <c:pt idx="5">
                  <c:v>289</c:v>
                </c:pt>
                <c:pt idx="6">
                  <c:v>357</c:v>
                </c:pt>
                <c:pt idx="7">
                  <c:v>392</c:v>
                </c:pt>
                <c:pt idx="8">
                  <c:v>432</c:v>
                </c:pt>
                <c:pt idx="9">
                  <c:v>479</c:v>
                </c:pt>
              </c:numCache>
            </c:numRef>
          </c:val>
          <c:smooth val="0"/>
          <c:extLst>
            <c:ext xmlns:c16="http://schemas.microsoft.com/office/drawing/2014/chart" uri="{C3380CC4-5D6E-409C-BE32-E72D297353CC}">
              <c16:uniqueId val="{00000008-8B74-47CA-88A7-9DCC56896734}"/>
            </c:ext>
          </c:extLst>
        </c:ser>
        <c:ser>
          <c:idx val="9"/>
          <c:order val="9"/>
          <c:tx>
            <c:strRef>
              <c:f>'Ark1'!$A$11</c:f>
              <c:strCache>
                <c:ptCount val="1"/>
                <c:pt idx="0">
                  <c:v>Sverige</c:v>
                </c:pt>
              </c:strCache>
            </c:strRef>
          </c:tx>
          <c:spPr>
            <a:ln w="28575" cap="rnd">
              <a:solidFill>
                <a:schemeClr val="accent4">
                  <a:lumMod val="60000"/>
                </a:schemeClr>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'Ark1'!$B$11:$K$11</c:f>
              <c:numCache>
                <c:formatCode>General</c:formatCode>
                <c:ptCount val="10"/>
                <c:pt idx="0">
                  <c:v>656</c:v>
                </c:pt>
                <c:pt idx="1">
                  <c:v>625</c:v>
                </c:pt>
                <c:pt idx="2">
                  <c:v>566</c:v>
                </c:pt>
                <c:pt idx="3">
                  <c:v>584</c:v>
                </c:pt>
                <c:pt idx="4">
                  <c:v>625</c:v>
                </c:pt>
                <c:pt idx="5">
                  <c:v>600</c:v>
                </c:pt>
                <c:pt idx="6">
                  <c:v>512</c:v>
                </c:pt>
                <c:pt idx="7">
                  <c:v>473</c:v>
                </c:pt>
                <c:pt idx="8">
                  <c:v>451</c:v>
                </c:pt>
                <c:pt idx="9">
                  <c:v>461</c:v>
                </c:pt>
              </c:numCache>
            </c:numRef>
          </c:val>
          <c:smooth val="0"/>
          <c:extLst>
            <c:ext xmlns:c16="http://schemas.microsoft.com/office/drawing/2014/chart" uri="{C3380CC4-5D6E-409C-BE32-E72D297353CC}">
              <c16:uniqueId val="{00000009-8B74-47CA-88A7-9DCC56896734}"/>
            </c:ext>
          </c:extLst>
        </c:ser>
        <c:ser>
          <c:idx val="10"/>
          <c:order val="10"/>
          <c:tx>
            <c:strRef>
              <c:f>'Ark1'!$A$12</c:f>
              <c:strCache>
                <c:ptCount val="1"/>
                <c:pt idx="0">
                  <c:v>Andre land</c:v>
                </c:pt>
              </c:strCache>
            </c:strRef>
          </c:tx>
          <c:spPr>
            <a:ln w="28575" cap="rnd">
              <a:solidFill>
                <a:schemeClr val="accent5">
                  <a:lumMod val="60000"/>
                </a:schemeClr>
              </a:solidFill>
              <a:round/>
            </a:ln>
            <a:effectLst/>
          </c:spPr>
          <c:marker>
            <c:symbol val="none"/>
          </c:marker>
          <c:cat>
            <c:numRef>
              <c:f>'Ark1'!$B$1:$K$1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'Ark1'!$B$12:$K$12</c:f>
              <c:numCache>
                <c:formatCode>General</c:formatCode>
                <c:ptCount val="10"/>
                <c:pt idx="0">
                  <c:v>1879</c:v>
                </c:pt>
                <c:pt idx="1">
                  <c:v>1970</c:v>
                </c:pt>
                <c:pt idx="2">
                  <c:v>2177</c:v>
                </c:pt>
                <c:pt idx="3">
                  <c:v>2482</c:v>
                </c:pt>
                <c:pt idx="4">
                  <c:v>2519</c:v>
                </c:pt>
                <c:pt idx="5">
                  <c:v>2342</c:v>
                </c:pt>
                <c:pt idx="6">
                  <c:v>2240</c:v>
                </c:pt>
                <c:pt idx="7">
                  <c:v>2069</c:v>
                </c:pt>
                <c:pt idx="8">
                  <c:v>2179</c:v>
                </c:pt>
                <c:pt idx="9">
                  <c:v>2213</c:v>
                </c:pt>
              </c:numCache>
            </c:numRef>
          </c:val>
          <c:smooth val="0"/>
          <c:extLst>
            <c:ext xmlns:c16="http://schemas.microsoft.com/office/drawing/2014/chart" uri="{C3380CC4-5D6E-409C-BE32-E72D297353CC}">
              <c16:uniqueId val="{0000000A-8B74-47CA-88A7-9DCC56896734}"/>
            </c:ext>
          </c:extLst>
        </c:ser>
        <c:dLbls>
          <c:showLegendKey val="0"/>
          <c:showVal val="0"/>
          <c:showCatName val="0"/>
          <c:showSerName val="0"/>
          <c:showPercent val="0"/>
          <c:showBubbleSize val="0"/>
        </c:dLbls>
        <c:smooth val="0"/>
        <c:axId val="1073517343"/>
        <c:axId val="1076280207"/>
      </c:lineChart>
      <c:catAx>
        <c:axId val="1073517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76280207"/>
        <c:crosses val="autoZero"/>
        <c:auto val="1"/>
        <c:lblAlgn val="ctr"/>
        <c:lblOffset val="100"/>
        <c:noMultiLvlLbl val="0"/>
      </c:catAx>
      <c:valAx>
        <c:axId val="10762802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73517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data!$A$55</c:f>
              <c:strCache>
                <c:ptCount val="1"/>
                <c:pt idx="0">
                  <c:v>Karakterpoeng</c:v>
                </c:pt>
              </c:strCache>
            </c:strRef>
          </c:tx>
          <c:spPr>
            <a:ln w="28575" cap="rnd">
              <a:solidFill>
                <a:schemeClr val="accent1"/>
              </a:solidFill>
              <a:round/>
            </a:ln>
            <a:effectLst/>
          </c:spPr>
          <c:marker>
            <c:symbol val="none"/>
          </c:marker>
          <c:cat>
            <c:strRef>
              <c:f>data!$B$54:$R$54</c:f>
              <c:strCache>
                <c:ptCount val="17"/>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strCache>
            </c:strRef>
          </c:cat>
          <c:val>
            <c:numRef>
              <c:f>data!$B$55:$R$55</c:f>
              <c:numCache>
                <c:formatCode>0.0</c:formatCode>
                <c:ptCount val="17"/>
                <c:pt idx="0">
                  <c:v>41.64</c:v>
                </c:pt>
                <c:pt idx="1">
                  <c:v>41.85</c:v>
                </c:pt>
                <c:pt idx="2">
                  <c:v>41.29</c:v>
                </c:pt>
                <c:pt idx="3">
                  <c:v>41.22</c:v>
                </c:pt>
                <c:pt idx="4">
                  <c:v>41.25</c:v>
                </c:pt>
                <c:pt idx="5">
                  <c:v>41.25</c:v>
                </c:pt>
                <c:pt idx="6">
                  <c:v>41.37</c:v>
                </c:pt>
                <c:pt idx="7">
                  <c:v>41.42</c:v>
                </c:pt>
                <c:pt idx="8">
                  <c:v>41.35</c:v>
                </c:pt>
                <c:pt idx="9">
                  <c:v>41.34</c:v>
                </c:pt>
                <c:pt idx="10">
                  <c:v>41.51</c:v>
                </c:pt>
                <c:pt idx="11">
                  <c:v>41.75</c:v>
                </c:pt>
                <c:pt idx="12">
                  <c:v>42.31</c:v>
                </c:pt>
                <c:pt idx="13">
                  <c:v>43.09</c:v>
                </c:pt>
                <c:pt idx="14">
                  <c:v>43.66</c:v>
                </c:pt>
                <c:pt idx="15">
                  <c:v>44.11</c:v>
                </c:pt>
                <c:pt idx="16">
                  <c:v>44.36</c:v>
                </c:pt>
              </c:numCache>
            </c:numRef>
          </c:val>
          <c:smooth val="0"/>
          <c:extLst>
            <c:ext xmlns:c16="http://schemas.microsoft.com/office/drawing/2014/chart" uri="{C3380CC4-5D6E-409C-BE32-E72D297353CC}">
              <c16:uniqueId val="{00000000-F9B5-4CA6-9683-D94F07AD5CA1}"/>
            </c:ext>
          </c:extLst>
        </c:ser>
        <c:dLbls>
          <c:showLegendKey val="0"/>
          <c:showVal val="0"/>
          <c:showCatName val="0"/>
          <c:showSerName val="0"/>
          <c:showPercent val="0"/>
          <c:showBubbleSize val="0"/>
        </c:dLbls>
        <c:smooth val="0"/>
        <c:axId val="1040634319"/>
        <c:axId val="825796591"/>
      </c:lineChart>
      <c:catAx>
        <c:axId val="1040634319"/>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25796591"/>
        <c:crosses val="autoZero"/>
        <c:auto val="1"/>
        <c:lblAlgn val="ctr"/>
        <c:lblOffset val="100"/>
        <c:tickLblSkip val="1"/>
        <c:noMultiLvlLbl val="0"/>
      </c:catAx>
      <c:valAx>
        <c:axId val="82579659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4063431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35"/>
            <c:invertIfNegative val="0"/>
            <c:bubble3D val="0"/>
            <c:spPr>
              <a:solidFill>
                <a:schemeClr val="accent2"/>
              </a:solidFill>
              <a:ln>
                <a:noFill/>
              </a:ln>
              <a:effectLst/>
            </c:spPr>
            <c:extLst>
              <c:ext xmlns:c16="http://schemas.microsoft.com/office/drawing/2014/chart" uri="{C3380CC4-5D6E-409C-BE32-E72D297353CC}">
                <c16:uniqueId val="{00000001-FE06-42DE-92C2-C2FBE3599539}"/>
              </c:ext>
            </c:extLst>
          </c:dPt>
          <c:dPt>
            <c:idx val="36"/>
            <c:invertIfNegative val="0"/>
            <c:bubble3D val="0"/>
            <c:spPr>
              <a:solidFill>
                <a:schemeClr val="accent2"/>
              </a:solidFill>
              <a:ln>
                <a:noFill/>
              </a:ln>
              <a:effectLst/>
            </c:spPr>
            <c:extLst>
              <c:ext xmlns:c16="http://schemas.microsoft.com/office/drawing/2014/chart" uri="{C3380CC4-5D6E-409C-BE32-E72D297353CC}">
                <c16:uniqueId val="{00000003-FE06-42DE-92C2-C2FBE3599539}"/>
              </c:ext>
            </c:extLst>
          </c:dPt>
          <c:dLbls>
            <c:dLbl>
              <c:idx val="3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06-42DE-92C2-C2FBE3599539}"/>
                </c:ext>
              </c:extLst>
            </c:dLbl>
            <c:dLbl>
              <c:idx val="3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E06-42DE-92C2-C2FBE359953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'[figurer_8mars2024_arbeidsfil.xlsx]Figur 2.10'!$A$4:$B$40</c:f>
              <c:multiLvlStrCache>
                <c:ptCount val="37"/>
                <c:lvl>
                  <c:pt idx="0">
                    <c:v>NLA</c:v>
                  </c:pt>
                  <c:pt idx="1">
                    <c:v>HVO</c:v>
                  </c:pt>
                  <c:pt idx="2">
                    <c:v>ATH</c:v>
                  </c:pt>
                  <c:pt idx="3">
                    <c:v>HK</c:v>
                  </c:pt>
                  <c:pt idx="4">
                    <c:v>FIH</c:v>
                  </c:pt>
                  <c:pt idx="5">
                    <c:v>SH</c:v>
                  </c:pt>
                  <c:pt idx="6">
                    <c:v>HINN</c:v>
                  </c:pt>
                  <c:pt idx="7">
                    <c:v>RS</c:v>
                  </c:pt>
                  <c:pt idx="8">
                    <c:v>HiØ</c:v>
                  </c:pt>
                  <c:pt idx="9">
                    <c:v>HVL</c:v>
                  </c:pt>
                  <c:pt idx="10">
                    <c:v>HLT</c:v>
                  </c:pt>
                  <c:pt idx="11">
                    <c:v>DMMH</c:v>
                  </c:pt>
                  <c:pt idx="12">
                    <c:v>BDM</c:v>
                  </c:pt>
                  <c:pt idx="13">
                    <c:v>HFDK</c:v>
                  </c:pt>
                  <c:pt idx="14">
                    <c:v>LDH</c:v>
                  </c:pt>
                  <c:pt idx="15">
                    <c:v>BAS</c:v>
                  </c:pt>
                  <c:pt idx="16">
                    <c:v>MF</c:v>
                  </c:pt>
                  <c:pt idx="17">
                    <c:v>NIH</c:v>
                  </c:pt>
                  <c:pt idx="18">
                    <c:v>BI</c:v>
                  </c:pt>
                  <c:pt idx="19">
                    <c:v>NMH</c:v>
                  </c:pt>
                  <c:pt idx="20">
                    <c:v>HiM</c:v>
                  </c:pt>
                  <c:pt idx="21">
                    <c:v>VID</c:v>
                  </c:pt>
                  <c:pt idx="22">
                    <c:v>NHH</c:v>
                  </c:pt>
                  <c:pt idx="23">
                    <c:v>AHO</c:v>
                  </c:pt>
                  <c:pt idx="24">
                    <c:v>KHiO</c:v>
                  </c:pt>
                  <c:pt idx="25">
                    <c:v>NU</c:v>
                  </c:pt>
                  <c:pt idx="26">
                    <c:v>OsloMet</c:v>
                  </c:pt>
                  <c:pt idx="27">
                    <c:v>UiA</c:v>
                  </c:pt>
                  <c:pt idx="28">
                    <c:v>UiS</c:v>
                  </c:pt>
                  <c:pt idx="29">
                    <c:v>UiO</c:v>
                  </c:pt>
                  <c:pt idx="30">
                    <c:v>UiB</c:v>
                  </c:pt>
                  <c:pt idx="31">
                    <c:v>UiT</c:v>
                  </c:pt>
                  <c:pt idx="32">
                    <c:v>USN</c:v>
                  </c:pt>
                  <c:pt idx="33">
                    <c:v>NMBU</c:v>
                  </c:pt>
                  <c:pt idx="34">
                    <c:v>NTNU</c:v>
                  </c:pt>
                  <c:pt idx="36">
                    <c:v>Gjennomsnitt</c:v>
                  </c:pt>
                </c:lvl>
                <c:lvl>
                  <c:pt idx="0">
                    <c:v>Høyskoler</c:v>
                  </c:pt>
                  <c:pt idx="16">
                    <c:v>Vitenskapelige høyskoler</c:v>
                  </c:pt>
                  <c:pt idx="25">
                    <c:v>Universiteter</c:v>
                  </c:pt>
                  <c:pt idx="35">
                    <c:v>    </c:v>
                  </c:pt>
                </c:lvl>
              </c:multiLvlStrCache>
            </c:multiLvlStrRef>
          </c:cat>
          <c:val>
            <c:numRef>
              <c:f>'[figurer_8mars2024_arbeidsfil.xlsx]Figur 2.10'!$C$4:$C$40</c:f>
              <c:numCache>
                <c:formatCode>General</c:formatCode>
                <c:ptCount val="37"/>
                <c:pt idx="0">
                  <c:v>24.165700000000001</c:v>
                </c:pt>
                <c:pt idx="1">
                  <c:v>27.667770000000001</c:v>
                </c:pt>
                <c:pt idx="2">
                  <c:v>29.29149</c:v>
                </c:pt>
                <c:pt idx="3">
                  <c:v>29.73273</c:v>
                </c:pt>
                <c:pt idx="4">
                  <c:v>30.03125</c:v>
                </c:pt>
                <c:pt idx="5">
                  <c:v>30.22222</c:v>
                </c:pt>
                <c:pt idx="6">
                  <c:v>31.212140000000002</c:v>
                </c:pt>
                <c:pt idx="7">
                  <c:v>31.63636</c:v>
                </c:pt>
                <c:pt idx="8">
                  <c:v>32.279299999999999</c:v>
                </c:pt>
                <c:pt idx="9">
                  <c:v>32.70411</c:v>
                </c:pt>
                <c:pt idx="10">
                  <c:v>32.961539999999999</c:v>
                </c:pt>
                <c:pt idx="11">
                  <c:v>33.436520000000002</c:v>
                </c:pt>
                <c:pt idx="12">
                  <c:v>36.583329999999997</c:v>
                </c:pt>
                <c:pt idx="13">
                  <c:v>37.22222</c:v>
                </c:pt>
                <c:pt idx="14">
                  <c:v>39.4</c:v>
                </c:pt>
                <c:pt idx="15">
                  <c:v>55.3</c:v>
                </c:pt>
                <c:pt idx="16">
                  <c:v>23.66377</c:v>
                </c:pt>
                <c:pt idx="17">
                  <c:v>27.161290000000001</c:v>
                </c:pt>
                <c:pt idx="18">
                  <c:v>30.72419</c:v>
                </c:pt>
                <c:pt idx="19">
                  <c:v>33.334090000000003</c:v>
                </c:pt>
                <c:pt idx="20">
                  <c:v>33.423270000000002</c:v>
                </c:pt>
                <c:pt idx="21">
                  <c:v>36.392400000000002</c:v>
                </c:pt>
                <c:pt idx="22">
                  <c:v>37.439819999999997</c:v>
                </c:pt>
                <c:pt idx="23">
                  <c:v>43.567570000000003</c:v>
                </c:pt>
                <c:pt idx="24">
                  <c:v>43.778570000000002</c:v>
                </c:pt>
                <c:pt idx="25">
                  <c:v>30.688030000000001</c:v>
                </c:pt>
                <c:pt idx="26">
                  <c:v>30.71733</c:v>
                </c:pt>
                <c:pt idx="27">
                  <c:v>31.90476</c:v>
                </c:pt>
                <c:pt idx="28">
                  <c:v>32.43121</c:v>
                </c:pt>
                <c:pt idx="29">
                  <c:v>32.558309999999999</c:v>
                </c:pt>
                <c:pt idx="30">
                  <c:v>32.696199999999997</c:v>
                </c:pt>
                <c:pt idx="31">
                  <c:v>33.091720000000002</c:v>
                </c:pt>
                <c:pt idx="32">
                  <c:v>34.359050000000003</c:v>
                </c:pt>
                <c:pt idx="33">
                  <c:v>34.911900000000003</c:v>
                </c:pt>
                <c:pt idx="34">
                  <c:v>35.605849999999997</c:v>
                </c:pt>
                <c:pt idx="36">
                  <c:v>33</c:v>
                </c:pt>
              </c:numCache>
            </c:numRef>
          </c:val>
          <c:extLst>
            <c:ext xmlns:c16="http://schemas.microsoft.com/office/drawing/2014/chart" uri="{C3380CC4-5D6E-409C-BE32-E72D297353CC}">
              <c16:uniqueId val="{00000004-FE06-42DE-92C2-C2FBE3599539}"/>
            </c:ext>
          </c:extLst>
        </c:ser>
        <c:dLbls>
          <c:showLegendKey val="0"/>
          <c:showVal val="0"/>
          <c:showCatName val="0"/>
          <c:showSerName val="0"/>
          <c:showPercent val="0"/>
          <c:showBubbleSize val="0"/>
        </c:dLbls>
        <c:gapWidth val="182"/>
        <c:axId val="1371579088"/>
        <c:axId val="1371579920"/>
      </c:barChart>
      <c:catAx>
        <c:axId val="1371579088"/>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920"/>
        <c:crosses val="autoZero"/>
        <c:auto val="1"/>
        <c:lblAlgn val="ctr"/>
        <c:lblOffset val="100"/>
        <c:noMultiLvlLbl val="0"/>
      </c:catAx>
      <c:valAx>
        <c:axId val="1371579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37157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[gjennomforing_utan_BI_eksport.xlsx]Sheet1!$I$4</c:f>
              <c:strCache>
                <c:ptCount val="1"/>
                <c:pt idx="0">
                  <c:v>Treårig bachelorgrad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[gjennomforing_utan_BI_eksport.xlsx]Sheet1!$H$5:$H$14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[gjennomforing_utan_BI_eksport.xlsx]Sheet1!$I$5:$I$14</c:f>
              <c:numCache>
                <c:formatCode>General</c:formatCode>
                <c:ptCount val="10"/>
                <c:pt idx="0">
                  <c:v>0.46728445483480269</c:v>
                </c:pt>
                <c:pt idx="1">
                  <c:v>0.47605866226610949</c:v>
                </c:pt>
                <c:pt idx="2">
                  <c:v>0.48769041390983231</c:v>
                </c:pt>
                <c:pt idx="3">
                  <c:v>0.49696021795615652</c:v>
                </c:pt>
                <c:pt idx="4">
                  <c:v>0.50027752974394868</c:v>
                </c:pt>
                <c:pt idx="5">
                  <c:v>0.51107730341352098</c:v>
                </c:pt>
                <c:pt idx="6">
                  <c:v>0.52873891227319203</c:v>
                </c:pt>
                <c:pt idx="7">
                  <c:v>0.5546077107177555</c:v>
                </c:pt>
                <c:pt idx="8">
                  <c:v>0.57031877213695392</c:v>
                </c:pt>
                <c:pt idx="9">
                  <c:v>0.53968528819722517</c:v>
                </c:pt>
              </c:numCache>
            </c:numRef>
          </c:val>
          <c:smooth val="0"/>
          <c:extLst>
            <c:ext xmlns:c16="http://schemas.microsoft.com/office/drawing/2014/chart" uri="{C3380CC4-5D6E-409C-BE32-E72D297353CC}">
              <c16:uniqueId val="{00000000-DF5C-4A84-9CD3-B94D89C498CE}"/>
            </c:ext>
          </c:extLst>
        </c:ser>
        <c:ser>
          <c:idx val="1"/>
          <c:order val="1"/>
          <c:tx>
            <c:strRef>
              <c:f>[gjennomforing_utan_BI_eksport.xlsx]Sheet1!$J$4</c:f>
              <c:strCache>
                <c:ptCount val="1"/>
                <c:pt idx="0">
                  <c:v>Toårig master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[gjennomforing_utan_BI_eksport.xlsx]Sheet1!$H$5:$H$14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[gjennomforing_utan_BI_eksport.xlsx]Sheet1!$J$5:$J$14</c:f>
              <c:numCache>
                <c:formatCode>General</c:formatCode>
                <c:ptCount val="10"/>
                <c:pt idx="0">
                  <c:v>0.50867499171179131</c:v>
                </c:pt>
                <c:pt idx="1">
                  <c:v>0.50827882256745704</c:v>
                </c:pt>
                <c:pt idx="2">
                  <c:v>0.50260208166533227</c:v>
                </c:pt>
                <c:pt idx="3">
                  <c:v>0.52112537018756167</c:v>
                </c:pt>
                <c:pt idx="4">
                  <c:v>0.52617387261738724</c:v>
                </c:pt>
                <c:pt idx="5">
                  <c:v>0.53896500567239725</c:v>
                </c:pt>
                <c:pt idx="6">
                  <c:v>0.51813121942992069</c:v>
                </c:pt>
                <c:pt idx="7">
                  <c:v>0.55748153905946363</c:v>
                </c:pt>
                <c:pt idx="8">
                  <c:v>0.54315715785789287</c:v>
                </c:pt>
                <c:pt idx="9">
                  <c:v>0.54420182319270727</c:v>
                </c:pt>
              </c:numCache>
            </c:numRef>
          </c:val>
          <c:smooth val="0"/>
          <c:extLst>
            <c:ext xmlns:c16="http://schemas.microsoft.com/office/drawing/2014/chart" uri="{C3380CC4-5D6E-409C-BE32-E72D297353CC}">
              <c16:uniqueId val="{00000001-DF5C-4A84-9CD3-B94D89C498CE}"/>
            </c:ext>
          </c:extLst>
        </c:ser>
        <c:ser>
          <c:idx val="2"/>
          <c:order val="2"/>
          <c:tx>
            <c:strRef>
              <c:f>[gjennomforing_utan_BI_eksport.xlsx]Sheet1!$K$4</c:f>
              <c:strCache>
                <c:ptCount val="1"/>
                <c:pt idx="0">
                  <c:v>Femårig integrert master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[gjennomforing_utan_BI_eksport.xlsx]Sheet1!$H$5:$H$14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[gjennomforing_utan_BI_eksport.xlsx]Sheet1!$K$5:$K$14</c:f>
              <c:numCache>
                <c:formatCode>General</c:formatCode>
                <c:ptCount val="10"/>
                <c:pt idx="0">
                  <c:v>0.39749373433583962</c:v>
                </c:pt>
                <c:pt idx="1">
                  <c:v>0.40100791936645069</c:v>
                </c:pt>
                <c:pt idx="2">
                  <c:v>0.37255338078291822</c:v>
                </c:pt>
                <c:pt idx="3">
                  <c:v>0.36191677175283732</c:v>
                </c:pt>
                <c:pt idx="4">
                  <c:v>0.36901291128696379</c:v>
                </c:pt>
                <c:pt idx="5">
                  <c:v>0.40252961252760489</c:v>
                </c:pt>
                <c:pt idx="6">
                  <c:v>0.38890984534138062</c:v>
                </c:pt>
                <c:pt idx="7">
                  <c:v>0.43320572234535559</c:v>
                </c:pt>
                <c:pt idx="8">
                  <c:v>0.48150203477617459</c:v>
                </c:pt>
                <c:pt idx="9">
                  <c:v>0.50396968603392278</c:v>
                </c:pt>
              </c:numCache>
            </c:numRef>
          </c:val>
          <c:smooth val="0"/>
          <c:extLst>
            <c:ext xmlns:c16="http://schemas.microsoft.com/office/drawing/2014/chart" uri="{C3380CC4-5D6E-409C-BE32-E72D297353CC}">
              <c16:uniqueId val="{00000002-DF5C-4A84-9CD3-B94D89C498CE}"/>
            </c:ext>
          </c:extLst>
        </c:ser>
        <c:dLbls>
          <c:showLegendKey val="0"/>
          <c:showVal val="0"/>
          <c:showCatName val="0"/>
          <c:showSerName val="0"/>
          <c:showPercent val="0"/>
          <c:showBubbleSize val="0"/>
        </c:dLbls>
        <c:marker val="1"/>
        <c:smooth val="0"/>
        <c:axId val="77760016"/>
        <c:axId val="110841440"/>
      </c:lineChart>
      <c:catAx>
        <c:axId val="77760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0841440"/>
        <c:crosses val="autoZero"/>
        <c:auto val="1"/>
        <c:lblAlgn val="ctr"/>
        <c:lblOffset val="100"/>
        <c:noMultiLvlLbl val="0"/>
      </c:catAx>
      <c:valAx>
        <c:axId val="110841440"/>
        <c:scaling>
          <c:orientation val="minMax"/>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776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Sheet1!$AH$51</c:f>
              <c:strCache>
                <c:ptCount val="1"/>
                <c:pt idx="0">
                  <c:v>Alle bachelor-utdanninger samlet</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cat>
            <c:numRef>
              <c:f>Sheet1!$AG$52:$AG$61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Sheet1!$AH$52:$AH$61</c:f>
              <c:numCache>
                <c:formatCode>General</c:formatCode>
                <c:ptCount val="10"/>
                <c:pt idx="0">
                  <c:v>0.46728445483480269</c:v>
                </c:pt>
                <c:pt idx="1">
                  <c:v>0.47605866226610949</c:v>
                </c:pt>
                <c:pt idx="2">
                  <c:v>0.48769041390983231</c:v>
                </c:pt>
                <c:pt idx="3">
                  <c:v>0.49696021795615652</c:v>
                </c:pt>
                <c:pt idx="4">
                  <c:v>0.50027752974394868</c:v>
                </c:pt>
                <c:pt idx="5">
                  <c:v>0.51107730341352098</c:v>
                </c:pt>
                <c:pt idx="6">
                  <c:v>0.52873891227319203</c:v>
                </c:pt>
                <c:pt idx="7">
                  <c:v>0.5546077107177555</c:v>
                </c:pt>
                <c:pt idx="8">
                  <c:v>0.57031877213695392</c:v>
                </c:pt>
                <c:pt idx="9">
                  <c:v>0.53968528819722517</c:v>
                </c:pt>
              </c:numCache>
            </c:numRef>
          </c:val>
          <c:smooth val="0"/>
          <c:extLst>
            <c:ext xmlns:c16="http://schemas.microsoft.com/office/drawing/2014/chart" uri="{C3380CC4-5D6E-409C-BE32-E72D297353CC}">
              <c16:uniqueId val="{00000000-8C15-4695-8D3F-3B8CAF8D4559}"/>
            </c:ext>
          </c:extLst>
        </c:ser>
        <c:ser>
          <c:idx val="1"/>
          <c:order val="1"/>
          <c:tx>
            <c:strRef>
              <c:f>Sheet1!$AI$51</c:f>
              <c:strCache>
                <c:ptCount val="1"/>
                <c:pt idx="0">
                  <c:v>Sykepleierutdanning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Sheet1!$AG$52:$AG$61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Sheet1!$AI$52:$AI$61</c:f>
              <c:numCache>
                <c:formatCode>General</c:formatCode>
                <c:ptCount val="10"/>
                <c:pt idx="0">
                  <c:v>0.58295097802463169</c:v>
                </c:pt>
                <c:pt idx="1">
                  <c:v>0.55956761729530824</c:v>
                </c:pt>
                <c:pt idx="2">
                  <c:v>0.58188153310104529</c:v>
                </c:pt>
                <c:pt idx="3">
                  <c:v>0.59156400083524741</c:v>
                </c:pt>
                <c:pt idx="4">
                  <c:v>0.60997732426303852</c:v>
                </c:pt>
                <c:pt idx="5">
                  <c:v>0.62972807196892255</c:v>
                </c:pt>
                <c:pt idx="6">
                  <c:v>0.64530363521748269</c:v>
                </c:pt>
                <c:pt idx="7">
                  <c:v>0.65478657273104024</c:v>
                </c:pt>
                <c:pt idx="8">
                  <c:v>0.69920032807053512</c:v>
                </c:pt>
                <c:pt idx="9">
                  <c:v>0.67887269938650308</c:v>
                </c:pt>
              </c:numCache>
            </c:numRef>
          </c:val>
          <c:smooth val="0"/>
          <c:extLst>
            <c:ext xmlns:c16="http://schemas.microsoft.com/office/drawing/2014/chart" uri="{C3380CC4-5D6E-409C-BE32-E72D297353CC}">
              <c16:uniqueId val="{00000001-8C15-4695-8D3F-3B8CAF8D4559}"/>
            </c:ext>
          </c:extLst>
        </c:ser>
        <c:ser>
          <c:idx val="2"/>
          <c:order val="2"/>
          <c:tx>
            <c:strRef>
              <c:f>Sheet1!$AJ$51</c:f>
              <c:strCache>
                <c:ptCount val="1"/>
                <c:pt idx="0">
                  <c:v>Matematisk-naturvitenskapelige fag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Sheet1!$AG$52:$AG$61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Sheet1!$AJ$52:$AJ$61</c:f>
              <c:numCache>
                <c:formatCode>General</c:formatCode>
                <c:ptCount val="10"/>
                <c:pt idx="0">
                  <c:v>0.32925531914893619</c:v>
                </c:pt>
                <c:pt idx="1">
                  <c:v>0.31683918202474121</c:v>
                </c:pt>
                <c:pt idx="2">
                  <c:v>0.30699666825321281</c:v>
                </c:pt>
                <c:pt idx="3">
                  <c:v>0.32611255003531903</c:v>
                </c:pt>
                <c:pt idx="4">
                  <c:v>0.34333013435700582</c:v>
                </c:pt>
                <c:pt idx="5">
                  <c:v>0.35605141886975511</c:v>
                </c:pt>
                <c:pt idx="6">
                  <c:v>0.3981762917933131</c:v>
                </c:pt>
                <c:pt idx="7">
                  <c:v>0.4658662900188324</c:v>
                </c:pt>
                <c:pt idx="8">
                  <c:v>0.45743639921722112</c:v>
                </c:pt>
                <c:pt idx="9">
                  <c:v>0.43449092344119972</c:v>
                </c:pt>
              </c:numCache>
            </c:numRef>
          </c:val>
          <c:smooth val="0"/>
          <c:extLst>
            <c:ext xmlns:c16="http://schemas.microsoft.com/office/drawing/2014/chart" uri="{C3380CC4-5D6E-409C-BE32-E72D297353CC}">
              <c16:uniqueId val="{00000002-8C15-4695-8D3F-3B8CAF8D4559}"/>
            </c:ext>
          </c:extLst>
        </c:ser>
        <c:ser>
          <c:idx val="3"/>
          <c:order val="3"/>
          <c:tx>
            <c:strRef>
              <c:f>Sheet1!$AK$51</c:f>
              <c:strCache>
                <c:ptCount val="1"/>
                <c:pt idx="0">
                  <c:v>Samfunnsvitenskap</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Sheet1!$AG$52:$AG$61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Sheet1!$AK$52:$AK$61</c:f>
              <c:numCache>
                <c:formatCode>General</c:formatCode>
                <c:ptCount val="10"/>
                <c:pt idx="0">
                  <c:v>0.36212045793927328</c:v>
                </c:pt>
                <c:pt idx="1">
                  <c:v>0.37434770667399059</c:v>
                </c:pt>
                <c:pt idx="2">
                  <c:v>0.35044642857142849</c:v>
                </c:pt>
                <c:pt idx="3">
                  <c:v>0.3408781019907281</c:v>
                </c:pt>
                <c:pt idx="4">
                  <c:v>0.34929435483870969</c:v>
                </c:pt>
                <c:pt idx="5">
                  <c:v>0.37833969465648848</c:v>
                </c:pt>
                <c:pt idx="6">
                  <c:v>0.44806467417932389</c:v>
                </c:pt>
                <c:pt idx="7">
                  <c:v>0.47683725442638858</c:v>
                </c:pt>
                <c:pt idx="8">
                  <c:v>0.50484730974309255</c:v>
                </c:pt>
                <c:pt idx="9">
                  <c:v>0.48078204843368139</c:v>
                </c:pt>
              </c:numCache>
            </c:numRef>
          </c:val>
          <c:smooth val="0"/>
          <c:extLst>
            <c:ext xmlns:c16="http://schemas.microsoft.com/office/drawing/2014/chart" uri="{C3380CC4-5D6E-409C-BE32-E72D297353CC}">
              <c16:uniqueId val="{00000003-8C15-4695-8D3F-3B8CAF8D4559}"/>
            </c:ext>
          </c:extLst>
        </c:ser>
        <c:ser>
          <c:idx val="4"/>
          <c:order val="4"/>
          <c:tx>
            <c:strRef>
              <c:f>Sheet1!$AL$51</c:f>
              <c:strCache>
                <c:ptCount val="1"/>
                <c:pt idx="0">
                  <c:v>Ingeniørutdanning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Sheet1!$AG$52:$AG$61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Sheet1!$AL$52:$AL$61</c:f>
              <c:numCache>
                <c:formatCode>General</c:formatCode>
                <c:ptCount val="10"/>
                <c:pt idx="0">
                  <c:v>0.48186073727325918</c:v>
                </c:pt>
                <c:pt idx="1">
                  <c:v>0.47718582717308178</c:v>
                </c:pt>
                <c:pt idx="2">
                  <c:v>0.48933649289099518</c:v>
                </c:pt>
                <c:pt idx="3">
                  <c:v>0.50676450355423064</c:v>
                </c:pt>
                <c:pt idx="4">
                  <c:v>0.50393700787401574</c:v>
                </c:pt>
                <c:pt idx="5">
                  <c:v>0.50048923679060664</c:v>
                </c:pt>
                <c:pt idx="6">
                  <c:v>0.48748122183274911</c:v>
                </c:pt>
                <c:pt idx="7">
                  <c:v>0.52494908350305503</c:v>
                </c:pt>
                <c:pt idx="8">
                  <c:v>0.49755972257898801</c:v>
                </c:pt>
                <c:pt idx="9">
                  <c:v>0.45633236542327449</c:v>
                </c:pt>
              </c:numCache>
            </c:numRef>
          </c:val>
          <c:smooth val="0"/>
          <c:extLst>
            <c:ext xmlns:c16="http://schemas.microsoft.com/office/drawing/2014/chart" uri="{C3380CC4-5D6E-409C-BE32-E72D297353CC}">
              <c16:uniqueId val="{00000004-8C15-4695-8D3F-3B8CAF8D4559}"/>
            </c:ext>
          </c:extLst>
        </c:ser>
        <c:ser>
          <c:idx val="5"/>
          <c:order val="5"/>
          <c:tx>
            <c:strRef>
              <c:f>Sheet1!$AM$51</c:f>
              <c:strCache>
                <c:ptCount val="1"/>
                <c:pt idx="0">
                  <c:v>Historisk-filosofiske fag</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Sheet1!$AG$52:$AG$61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Sheet1!$AM$52:$AM$61</c:f>
              <c:numCache>
                <c:formatCode>General</c:formatCode>
                <c:ptCount val="10"/>
                <c:pt idx="0">
                  <c:v>0.28633455210237663</c:v>
                </c:pt>
                <c:pt idx="1">
                  <c:v>0.28616708172968081</c:v>
                </c:pt>
                <c:pt idx="2">
                  <c:v>0.26049640454650891</c:v>
                </c:pt>
                <c:pt idx="3">
                  <c:v>0.27239173228346458</c:v>
                </c:pt>
                <c:pt idx="4">
                  <c:v>0.27981651376146788</c:v>
                </c:pt>
                <c:pt idx="5">
                  <c:v>0.30873533246414597</c:v>
                </c:pt>
                <c:pt idx="6">
                  <c:v>0.32953701411240399</c:v>
                </c:pt>
                <c:pt idx="7">
                  <c:v>0.34207271827850599</c:v>
                </c:pt>
                <c:pt idx="8">
                  <c:v>0.34889434889434889</c:v>
                </c:pt>
                <c:pt idx="9">
                  <c:v>0.32951562872822721</c:v>
                </c:pt>
              </c:numCache>
            </c:numRef>
          </c:val>
          <c:smooth val="0"/>
          <c:extLst>
            <c:ext xmlns:c16="http://schemas.microsoft.com/office/drawing/2014/chart" uri="{C3380CC4-5D6E-409C-BE32-E72D297353CC}">
              <c16:uniqueId val="{00000005-8C15-4695-8D3F-3B8CAF8D4559}"/>
            </c:ext>
          </c:extLst>
        </c:ser>
        <c:dLbls>
          <c:showLegendKey val="0"/>
          <c:showVal val="0"/>
          <c:showCatName val="0"/>
          <c:showSerName val="0"/>
          <c:showPercent val="0"/>
          <c:showBubbleSize val="0"/>
        </c:dLbls>
        <c:marker val="1"/>
        <c:smooth val="0"/>
        <c:axId val="1523899951"/>
        <c:axId val="401700640"/>
      </c:lineChart>
      <c:catAx>
        <c:axId val="1523899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401700640"/>
        <c:crosses val="autoZero"/>
        <c:auto val="1"/>
        <c:lblAlgn val="ctr"/>
        <c:lblOffset val="100"/>
        <c:noMultiLvlLbl val="0"/>
      </c:catAx>
      <c:valAx>
        <c:axId val="401700640"/>
        <c:scaling>
          <c:orientation val="minMax"/>
          <c:max val="0.70000000000000007"/>
          <c:min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23899951"/>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Sheet1!$B$91:$B$114</c:f>
              <c:strCache>
                <c:ptCount val="24"/>
                <c:pt idx="0">
                  <c:v>Teologi</c:v>
                </c:pt>
                <c:pt idx="1">
                  <c:v>Historisk-filosofiske fag</c:v>
                </c:pt>
                <c:pt idx="2">
                  <c:v>Mat.-nat. fag</c:v>
                </c:pt>
                <c:pt idx="3">
                  <c:v>Ingeniørutdanning</c:v>
                </c:pt>
                <c:pt idx="4">
                  <c:v>Øk.-adm. Utdanning</c:v>
                </c:pt>
                <c:pt idx="5">
                  <c:v>Samfunnsvitenskap</c:v>
                </c:pt>
                <c:pt idx="6">
                  <c:v>Idrettsutdanning</c:v>
                </c:pt>
                <c:pt idx="7">
                  <c:v>Radiografutdanning</c:v>
                </c:pt>
                <c:pt idx="8">
                  <c:v>Juridiske fag</c:v>
                </c:pt>
                <c:pt idx="9">
                  <c:v>Pedagogiske fag</c:v>
                </c:pt>
                <c:pt idx="10">
                  <c:v>Journalist-/fotoutdanning</c:v>
                </c:pt>
                <c:pt idx="11">
                  <c:v>Utvikling og miljø</c:v>
                </c:pt>
                <c:pt idx="12">
                  <c:v>Psykologi</c:v>
                </c:pt>
                <c:pt idx="13">
                  <c:v>Helsefag</c:v>
                </c:pt>
                <c:pt idx="14">
                  <c:v>Maritim utdanning</c:v>
                </c:pt>
                <c:pt idx="15">
                  <c:v>Barnehagelærerutdanning</c:v>
                </c:pt>
                <c:pt idx="16">
                  <c:v>Bioingeniørutdanning</c:v>
                </c:pt>
                <c:pt idx="17">
                  <c:v>Sykepleierutdanning</c:v>
                </c:pt>
                <c:pt idx="18">
                  <c:v>Fysioterapeututdanning</c:v>
                </c:pt>
                <c:pt idx="19">
                  <c:v>Vernepleierutdanning</c:v>
                </c:pt>
                <c:pt idx="20">
                  <c:v>Ergoterapeututdanning</c:v>
                </c:pt>
                <c:pt idx="21">
                  <c:v>Barnevernpedagogutdanning</c:v>
                </c:pt>
                <c:pt idx="22">
                  <c:v>Faglærerutdanning</c:v>
                </c:pt>
                <c:pt idx="23">
                  <c:v>Sosionomutdanning</c:v>
                </c:pt>
              </c:strCache>
            </c:strRef>
          </c:cat>
          <c:val>
            <c:numRef>
              <c:f>Sheet1!$C$91:$C$114</c:f>
              <c:numCache>
                <c:formatCode>General</c:formatCode>
                <c:ptCount val="24"/>
                <c:pt idx="0">
                  <c:v>0.29411764705882348</c:v>
                </c:pt>
                <c:pt idx="1">
                  <c:v>0.32951562872822721</c:v>
                </c:pt>
                <c:pt idx="2">
                  <c:v>0.43449092344119972</c:v>
                </c:pt>
                <c:pt idx="3">
                  <c:v>0.45633236542327449</c:v>
                </c:pt>
                <c:pt idx="4">
                  <c:v>0.47606575144508673</c:v>
                </c:pt>
                <c:pt idx="5">
                  <c:v>0.48078204843368139</c:v>
                </c:pt>
                <c:pt idx="6">
                  <c:v>0.52650602409638558</c:v>
                </c:pt>
                <c:pt idx="7">
                  <c:v>0.53787878787878785</c:v>
                </c:pt>
                <c:pt idx="8">
                  <c:v>0.5475206611570248</c:v>
                </c:pt>
                <c:pt idx="9">
                  <c:v>0.54827968923418424</c:v>
                </c:pt>
                <c:pt idx="10">
                  <c:v>0.54885057471264365</c:v>
                </c:pt>
                <c:pt idx="11">
                  <c:v>0.55000000000000004</c:v>
                </c:pt>
                <c:pt idx="12">
                  <c:v>0.55448408871745425</c:v>
                </c:pt>
                <c:pt idx="13">
                  <c:v>0.57978196233894941</c:v>
                </c:pt>
                <c:pt idx="14">
                  <c:v>0.5859649122807018</c:v>
                </c:pt>
                <c:pt idx="15">
                  <c:v>0.61095782420181322</c:v>
                </c:pt>
                <c:pt idx="16">
                  <c:v>0.6155988857938719</c:v>
                </c:pt>
                <c:pt idx="17">
                  <c:v>0.67887269938650308</c:v>
                </c:pt>
                <c:pt idx="18">
                  <c:v>0.69066666666666665</c:v>
                </c:pt>
                <c:pt idx="19">
                  <c:v>0.69776876267748478</c:v>
                </c:pt>
                <c:pt idx="20">
                  <c:v>0.69794721407624638</c:v>
                </c:pt>
                <c:pt idx="21">
                  <c:v>0.69965870307167233</c:v>
                </c:pt>
                <c:pt idx="22">
                  <c:v>0.70238095238095233</c:v>
                </c:pt>
                <c:pt idx="23">
                  <c:v>0.73713751169317121</c:v>
                </c:pt>
              </c:numCache>
            </c:numRef>
          </c:val>
          <c:extLst>
            <c:ext xmlns:c16="http://schemas.microsoft.com/office/drawing/2014/chart" uri="{C3380CC4-5D6E-409C-BE32-E72D297353CC}">
              <c16:uniqueId val="{00000000-A0A1-4530-8C26-F64711F61E54}"/>
            </c:ext>
          </c:extLst>
        </c:ser>
        <c:dLbls>
          <c:showLegendKey val="0"/>
          <c:showVal val="0"/>
          <c:showCatName val="0"/>
          <c:showSerName val="0"/>
          <c:showPercent val="0"/>
          <c:showBubbleSize val="0"/>
        </c:dLbls>
        <c:gapWidth val="182"/>
        <c:axId val="622225360"/>
        <c:axId val="62749584"/>
      </c:barChart>
      <c:catAx>
        <c:axId val="62222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749584"/>
        <c:crosses val="autoZero"/>
        <c:auto val="1"/>
        <c:lblAlgn val="ctr"/>
        <c:lblOffset val="100"/>
        <c:noMultiLvlLbl val="0"/>
      </c:catAx>
      <c:valAx>
        <c:axId val="627495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2225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Sheet1!$A$10</c:f>
              <c:strCache>
                <c:ptCount val="1"/>
                <c:pt idx="0">
                  <c:v>Fullfort</c:v>
                </c:pt>
              </c:strCache>
            </c:strRef>
          </c:tx>
          <c:spPr>
            <a:solidFill>
              <a:schemeClr val="accent1"/>
            </a:solidFill>
            <a:ln>
              <a:noFill/>
            </a:ln>
            <a:effectLst/>
          </c:spPr>
          <c:invertIfNegative val="0"/>
          <c:cat>
            <c:strRef>
              <c:f>Sheet1!$B$9:$I$9</c:f>
              <c:strCache>
                <c:ptCount val="8"/>
                <c:pt idx="0">
                  <c:v>2014</c:v>
                </c:pt>
                <c:pt idx="1">
                  <c:v>2015</c:v>
                </c:pt>
                <c:pt idx="2">
                  <c:v>2016</c:v>
                </c:pt>
                <c:pt idx="3">
                  <c:v>2017</c:v>
                </c:pt>
                <c:pt idx="4">
                  <c:v>2018</c:v>
                </c:pt>
                <c:pt idx="5">
                  <c:v>2019</c:v>
                </c:pt>
                <c:pt idx="6">
                  <c:v>2020</c:v>
                </c:pt>
                <c:pt idx="7">
                  <c:v>2021</c:v>
                </c:pt>
              </c:strCache>
            </c:strRef>
          </c:cat>
          <c:val>
            <c:numRef>
              <c:f>Sheet1!$B$10:$I$10</c:f>
              <c:numCache>
                <c:formatCode>General</c:formatCode>
                <c:ptCount val="8"/>
                <c:pt idx="0">
                  <c:v>0.6506774075430245</c:v>
                </c:pt>
                <c:pt idx="1">
                  <c:v>0.65513294828458124</c:v>
                </c:pt>
                <c:pt idx="2">
                  <c:v>0.66623070215930658</c:v>
                </c:pt>
                <c:pt idx="3">
                  <c:v>0.67099719986882267</c:v>
                </c:pt>
                <c:pt idx="4">
                  <c:v>0.67763110263773918</c:v>
                </c:pt>
                <c:pt idx="5">
                  <c:v>0.69059617761719116</c:v>
                </c:pt>
                <c:pt idx="6">
                  <c:v>0.70219495374664098</c:v>
                </c:pt>
                <c:pt idx="7">
                  <c:v>0.7102438330845241</c:v>
                </c:pt>
              </c:numCache>
            </c:numRef>
          </c:val>
          <c:extLst>
            <c:ext xmlns:c16="http://schemas.microsoft.com/office/drawing/2014/chart" uri="{C3380CC4-5D6E-409C-BE32-E72D297353CC}">
              <c16:uniqueId val="{00000000-1CFA-49D6-9CD2-274B6D6BB5F6}"/>
            </c:ext>
          </c:extLst>
        </c:ser>
        <c:ser>
          <c:idx val="1"/>
          <c:order val="1"/>
          <c:tx>
            <c:strRef>
              <c:f>Sheet1!$A$11</c:f>
              <c:strCache>
                <c:ptCount val="1"/>
                <c:pt idx="0">
                  <c:v>Studerer</c:v>
                </c:pt>
              </c:strCache>
            </c:strRef>
          </c:tx>
          <c:spPr>
            <a:solidFill>
              <a:schemeClr val="accent2"/>
            </a:solidFill>
            <a:ln>
              <a:noFill/>
            </a:ln>
            <a:effectLst/>
          </c:spPr>
          <c:invertIfNegative val="0"/>
          <c:cat>
            <c:strRef>
              <c:f>Sheet1!$B$9:$I$9</c:f>
              <c:strCache>
                <c:ptCount val="8"/>
                <c:pt idx="0">
                  <c:v>2014</c:v>
                </c:pt>
                <c:pt idx="1">
                  <c:v>2015</c:v>
                </c:pt>
                <c:pt idx="2">
                  <c:v>2016</c:v>
                </c:pt>
                <c:pt idx="3">
                  <c:v>2017</c:v>
                </c:pt>
                <c:pt idx="4">
                  <c:v>2018</c:v>
                </c:pt>
                <c:pt idx="5">
                  <c:v>2019</c:v>
                </c:pt>
                <c:pt idx="6">
                  <c:v>2020</c:v>
                </c:pt>
                <c:pt idx="7">
                  <c:v>2021</c:v>
                </c:pt>
              </c:strCache>
            </c:strRef>
          </c:cat>
          <c:val>
            <c:numRef>
              <c:f>Sheet1!$B$11:$I$11</c:f>
              <c:numCache>
                <c:formatCode>General</c:formatCode>
                <c:ptCount val="8"/>
                <c:pt idx="0">
                  <c:v>0.12782018420978511</c:v>
                </c:pt>
                <c:pt idx="1">
                  <c:v>0.1222485427590429</c:v>
                </c:pt>
                <c:pt idx="2">
                  <c:v>0.1220700620608299</c:v>
                </c:pt>
                <c:pt idx="3">
                  <c:v>0.1129638505587649</c:v>
                </c:pt>
                <c:pt idx="4">
                  <c:v>0.1080435359702681</c:v>
                </c:pt>
                <c:pt idx="5">
                  <c:v>0.107849196538937</c:v>
                </c:pt>
                <c:pt idx="6">
                  <c:v>0.1050866804594421</c:v>
                </c:pt>
                <c:pt idx="7">
                  <c:v>9.8244117437975398E-2</c:v>
                </c:pt>
              </c:numCache>
            </c:numRef>
          </c:val>
          <c:extLst>
            <c:ext xmlns:c16="http://schemas.microsoft.com/office/drawing/2014/chart" uri="{C3380CC4-5D6E-409C-BE32-E72D297353CC}">
              <c16:uniqueId val="{00000001-1CFA-49D6-9CD2-274B6D6BB5F6}"/>
            </c:ext>
          </c:extLst>
        </c:ser>
        <c:ser>
          <c:idx val="2"/>
          <c:order val="2"/>
          <c:tx>
            <c:strRef>
              <c:f>Sheet1!$A$12</c:f>
              <c:strCache>
                <c:ptCount val="1"/>
                <c:pt idx="0">
                  <c:v>Frafalt</c:v>
                </c:pt>
              </c:strCache>
            </c:strRef>
          </c:tx>
          <c:spPr>
            <a:solidFill>
              <a:schemeClr val="accent3"/>
            </a:solidFill>
            <a:ln>
              <a:noFill/>
            </a:ln>
            <a:effectLst/>
          </c:spPr>
          <c:invertIfNegative val="0"/>
          <c:cat>
            <c:strRef>
              <c:f>Sheet1!$B$9:$I$9</c:f>
              <c:strCache>
                <c:ptCount val="8"/>
                <c:pt idx="0">
                  <c:v>2014</c:v>
                </c:pt>
                <c:pt idx="1">
                  <c:v>2015</c:v>
                </c:pt>
                <c:pt idx="2">
                  <c:v>2016</c:v>
                </c:pt>
                <c:pt idx="3">
                  <c:v>2017</c:v>
                </c:pt>
                <c:pt idx="4">
                  <c:v>2018</c:v>
                </c:pt>
                <c:pt idx="5">
                  <c:v>2019</c:v>
                </c:pt>
                <c:pt idx="6">
                  <c:v>2020</c:v>
                </c:pt>
                <c:pt idx="7">
                  <c:v>2021</c:v>
                </c:pt>
              </c:strCache>
            </c:strRef>
          </c:cat>
          <c:val>
            <c:numRef>
              <c:f>Sheet1!$B$12:$I$12</c:f>
              <c:numCache>
                <c:formatCode>General</c:formatCode>
                <c:ptCount val="8"/>
                <c:pt idx="0">
                  <c:v>0.20778525758386621</c:v>
                </c:pt>
                <c:pt idx="1">
                  <c:v>0.21058795347475451</c:v>
                </c:pt>
                <c:pt idx="2">
                  <c:v>0.1978253064574037</c:v>
                </c:pt>
                <c:pt idx="3">
                  <c:v>0.20385459499003561</c:v>
                </c:pt>
                <c:pt idx="4">
                  <c:v>0.20228298380674281</c:v>
                </c:pt>
                <c:pt idx="5">
                  <c:v>0.1902633830940382</c:v>
                </c:pt>
                <c:pt idx="6">
                  <c:v>0.1831823262229198</c:v>
                </c:pt>
                <c:pt idx="7">
                  <c:v>0.18110945238264489</c:v>
                </c:pt>
              </c:numCache>
            </c:numRef>
          </c:val>
          <c:extLst>
            <c:ext xmlns:c16="http://schemas.microsoft.com/office/drawing/2014/chart" uri="{C3380CC4-5D6E-409C-BE32-E72D297353CC}">
              <c16:uniqueId val="{00000002-1CFA-49D6-9CD2-274B6D6BB5F6}"/>
            </c:ext>
          </c:extLst>
        </c:ser>
        <c:dLbls>
          <c:showLegendKey val="0"/>
          <c:showVal val="0"/>
          <c:showCatName val="0"/>
          <c:showSerName val="0"/>
          <c:showPercent val="0"/>
          <c:showBubbleSize val="0"/>
        </c:dLbls>
        <c:gapWidth val="150"/>
        <c:overlap val="100"/>
        <c:axId val="2068902927"/>
        <c:axId val="31688480"/>
      </c:barChart>
      <c:catAx>
        <c:axId val="2068902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1688480"/>
        <c:crosses val="autoZero"/>
        <c:auto val="1"/>
        <c:lblAlgn val="ctr"/>
        <c:lblOffset val="100"/>
        <c:noMultiLvlLbl val="0"/>
      </c:catAx>
      <c:valAx>
        <c:axId val="3168848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68902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Sheet1!$S$13</c:f>
              <c:strCache>
                <c:ptCount val="1"/>
                <c:pt idx="0">
                  <c:v>Normert</c:v>
                </c:pt>
              </c:strCache>
            </c:strRef>
          </c:tx>
          <c:spPr>
            <a:solidFill>
              <a:schemeClr val="accent1"/>
            </a:solidFill>
            <a:ln>
              <a:noFill/>
            </a:ln>
            <a:effectLst/>
          </c:spPr>
          <c:invertIfNegative val="0"/>
          <c:cat>
            <c:strRef>
              <c:f>Sheet1!$R$14:$R$25</c:f>
              <c:strCache>
                <c:ptCount val="12"/>
                <c:pt idx="0">
                  <c:v>Historisk-filosofiske fag</c:v>
                </c:pt>
                <c:pt idx="1">
                  <c:v>Helsefag</c:v>
                </c:pt>
                <c:pt idx="2">
                  <c:v>Samfunnsvitenskap</c:v>
                </c:pt>
                <c:pt idx="3">
                  <c:v>Mat.-nat. fag</c:v>
                </c:pt>
                <c:pt idx="4">
                  <c:v>Teknologi</c:v>
                </c:pt>
                <c:pt idx="5">
                  <c:v>Pedagogiske fag</c:v>
                </c:pt>
                <c:pt idx="6">
                  <c:v>Utvikling og miljø</c:v>
                </c:pt>
                <c:pt idx="7">
                  <c:v>Idrettsutdanning</c:v>
                </c:pt>
                <c:pt idx="8">
                  <c:v>Utøvende musikkutdanning</c:v>
                </c:pt>
                <c:pt idx="9">
                  <c:v>Psykologi</c:v>
                </c:pt>
                <c:pt idx="10">
                  <c:v>Øk.-adm. fag</c:v>
                </c:pt>
                <c:pt idx="11">
                  <c:v>Juridiske fag</c:v>
                </c:pt>
              </c:strCache>
            </c:strRef>
          </c:cat>
          <c:val>
            <c:numRef>
              <c:f>Sheet1!$S$14:$S$25</c:f>
              <c:numCache>
                <c:formatCode>General</c:formatCode>
                <c:ptCount val="12"/>
                <c:pt idx="0">
                  <c:v>0.39755351681957191</c:v>
                </c:pt>
                <c:pt idx="1">
                  <c:v>0.4543761638733706</c:v>
                </c:pt>
                <c:pt idx="2">
                  <c:v>0.47641759406465289</c:v>
                </c:pt>
                <c:pt idx="3">
                  <c:v>0.52315689981096414</c:v>
                </c:pt>
                <c:pt idx="4">
                  <c:v>0.54609929078014185</c:v>
                </c:pt>
                <c:pt idx="5">
                  <c:v>0.59559402045633358</c:v>
                </c:pt>
                <c:pt idx="6">
                  <c:v>0.58571428571428574</c:v>
                </c:pt>
                <c:pt idx="7">
                  <c:v>0.69444444444444442</c:v>
                </c:pt>
                <c:pt idx="8">
                  <c:v>0.6376811594202898</c:v>
                </c:pt>
                <c:pt idx="9">
                  <c:v>0.70810810810810809</c:v>
                </c:pt>
                <c:pt idx="10">
                  <c:v>0.76564368274212835</c:v>
                </c:pt>
                <c:pt idx="11">
                  <c:v>0.62637362637362637</c:v>
                </c:pt>
              </c:numCache>
            </c:numRef>
          </c:val>
          <c:extLst>
            <c:ext xmlns:c16="http://schemas.microsoft.com/office/drawing/2014/chart" uri="{C3380CC4-5D6E-409C-BE32-E72D297353CC}">
              <c16:uniqueId val="{00000000-C64D-4DED-A83C-D88DE7D95C6E}"/>
            </c:ext>
          </c:extLst>
        </c:ser>
        <c:ser>
          <c:idx val="1"/>
          <c:order val="1"/>
          <c:tx>
            <c:strRef>
              <c:f>Sheet1!$T$13</c:f>
              <c:strCache>
                <c:ptCount val="1"/>
                <c:pt idx="0">
                  <c:v>Normert + 1 år</c:v>
                </c:pt>
              </c:strCache>
            </c:strRef>
          </c:tx>
          <c:spPr>
            <a:solidFill>
              <a:schemeClr val="accent2"/>
            </a:solidFill>
            <a:ln>
              <a:noFill/>
            </a:ln>
            <a:effectLst/>
          </c:spPr>
          <c:invertIfNegative val="0"/>
          <c:cat>
            <c:strRef>
              <c:f>Sheet1!$R$14:$R$25</c:f>
              <c:strCache>
                <c:ptCount val="12"/>
                <c:pt idx="0">
                  <c:v>Historisk-filosofiske fag</c:v>
                </c:pt>
                <c:pt idx="1">
                  <c:v>Helsefag</c:v>
                </c:pt>
                <c:pt idx="2">
                  <c:v>Samfunnsvitenskap</c:v>
                </c:pt>
                <c:pt idx="3">
                  <c:v>Mat.-nat. fag</c:v>
                </c:pt>
                <c:pt idx="4">
                  <c:v>Teknologi</c:v>
                </c:pt>
                <c:pt idx="5">
                  <c:v>Pedagogiske fag</c:v>
                </c:pt>
                <c:pt idx="6">
                  <c:v>Utvikling og miljø</c:v>
                </c:pt>
                <c:pt idx="7">
                  <c:v>Idrettsutdanning</c:v>
                </c:pt>
                <c:pt idx="8">
                  <c:v>Utøvende musikkutdanning</c:v>
                </c:pt>
                <c:pt idx="9">
                  <c:v>Psykologi</c:v>
                </c:pt>
                <c:pt idx="10">
                  <c:v>Øk.-adm. fag</c:v>
                </c:pt>
                <c:pt idx="11">
                  <c:v>Juridiske fag</c:v>
                </c:pt>
              </c:strCache>
            </c:strRef>
          </c:cat>
          <c:val>
            <c:numRef>
              <c:f>Sheet1!$T$14:$T$25</c:f>
              <c:numCache>
                <c:formatCode>General</c:formatCode>
                <c:ptCount val="12"/>
                <c:pt idx="0">
                  <c:v>0.20030581039755352</c:v>
                </c:pt>
                <c:pt idx="1">
                  <c:v>0.1517690875232775</c:v>
                </c:pt>
                <c:pt idx="2">
                  <c:v>0.18971913089560144</c:v>
                </c:pt>
                <c:pt idx="3">
                  <c:v>0.18950850661625707</c:v>
                </c:pt>
                <c:pt idx="4">
                  <c:v>0.18439716312056742</c:v>
                </c:pt>
                <c:pt idx="5">
                  <c:v>0.13690007867820619</c:v>
                </c:pt>
                <c:pt idx="6">
                  <c:v>0.17499999999999993</c:v>
                </c:pt>
                <c:pt idx="7">
                  <c:v>0.11111111111111116</c:v>
                </c:pt>
                <c:pt idx="8">
                  <c:v>0.17391304347826098</c:v>
                </c:pt>
                <c:pt idx="9">
                  <c:v>0.12972972972972974</c:v>
                </c:pt>
                <c:pt idx="10">
                  <c:v>9.8445595854922296E-2</c:v>
                </c:pt>
                <c:pt idx="11">
                  <c:v>0.23076923076923073</c:v>
                </c:pt>
              </c:numCache>
            </c:numRef>
          </c:val>
          <c:extLst>
            <c:ext xmlns:c16="http://schemas.microsoft.com/office/drawing/2014/chart" uri="{C3380CC4-5D6E-409C-BE32-E72D297353CC}">
              <c16:uniqueId val="{00000001-C64D-4DED-A83C-D88DE7D95C6E}"/>
            </c:ext>
          </c:extLst>
        </c:ser>
        <c:ser>
          <c:idx val="2"/>
          <c:order val="2"/>
          <c:tx>
            <c:strRef>
              <c:f>Sheet1!$U$13</c:f>
              <c:strCache>
                <c:ptCount val="1"/>
                <c:pt idx="0">
                  <c:v>Normert + 2 år</c:v>
                </c:pt>
              </c:strCache>
            </c:strRef>
          </c:tx>
          <c:spPr>
            <a:solidFill>
              <a:schemeClr val="accent3"/>
            </a:solidFill>
            <a:ln>
              <a:noFill/>
            </a:ln>
            <a:effectLst/>
          </c:spPr>
          <c:invertIfNegative val="0"/>
          <c:cat>
            <c:strRef>
              <c:f>Sheet1!$R$14:$R$25</c:f>
              <c:strCache>
                <c:ptCount val="12"/>
                <c:pt idx="0">
                  <c:v>Historisk-filosofiske fag</c:v>
                </c:pt>
                <c:pt idx="1">
                  <c:v>Helsefag</c:v>
                </c:pt>
                <c:pt idx="2">
                  <c:v>Samfunnsvitenskap</c:v>
                </c:pt>
                <c:pt idx="3">
                  <c:v>Mat.-nat. fag</c:v>
                </c:pt>
                <c:pt idx="4">
                  <c:v>Teknologi</c:v>
                </c:pt>
                <c:pt idx="5">
                  <c:v>Pedagogiske fag</c:v>
                </c:pt>
                <c:pt idx="6">
                  <c:v>Utvikling og miljø</c:v>
                </c:pt>
                <c:pt idx="7">
                  <c:v>Idrettsutdanning</c:v>
                </c:pt>
                <c:pt idx="8">
                  <c:v>Utøvende musikkutdanning</c:v>
                </c:pt>
                <c:pt idx="9">
                  <c:v>Psykologi</c:v>
                </c:pt>
                <c:pt idx="10">
                  <c:v>Øk.-adm. fag</c:v>
                </c:pt>
                <c:pt idx="11">
                  <c:v>Juridiske fag</c:v>
                </c:pt>
              </c:strCache>
            </c:strRef>
          </c:cat>
          <c:val>
            <c:numRef>
              <c:f>Sheet1!$U$14:$U$25</c:f>
              <c:numCache>
                <c:formatCode>General</c:formatCode>
                <c:ptCount val="12"/>
                <c:pt idx="0">
                  <c:v>6.5749235474006129E-2</c:v>
                </c:pt>
                <c:pt idx="1">
                  <c:v>7.0763500931098622E-2</c:v>
                </c:pt>
                <c:pt idx="2">
                  <c:v>4.6104928457869621E-2</c:v>
                </c:pt>
                <c:pt idx="3">
                  <c:v>3.5444234404536812E-2</c:v>
                </c:pt>
                <c:pt idx="4">
                  <c:v>3.7588652482269502E-2</c:v>
                </c:pt>
                <c:pt idx="5">
                  <c:v>3.8552321007080947E-2</c:v>
                </c:pt>
                <c:pt idx="6">
                  <c:v>2.5000000000000022E-2</c:v>
                </c:pt>
                <c:pt idx="7">
                  <c:v>2.777777777777779E-2</c:v>
                </c:pt>
                <c:pt idx="8">
                  <c:v>2.8985507246376718E-2</c:v>
                </c:pt>
                <c:pt idx="9">
                  <c:v>2.1621621621621623E-2</c:v>
                </c:pt>
                <c:pt idx="10">
                  <c:v>1.9131127939418069E-2</c:v>
                </c:pt>
                <c:pt idx="11">
                  <c:v>5.4945054945054972E-2</c:v>
                </c:pt>
              </c:numCache>
            </c:numRef>
          </c:val>
          <c:extLst>
            <c:ext xmlns:c16="http://schemas.microsoft.com/office/drawing/2014/chart" uri="{C3380CC4-5D6E-409C-BE32-E72D297353CC}">
              <c16:uniqueId val="{00000002-C64D-4DED-A83C-D88DE7D95C6E}"/>
            </c:ext>
          </c:extLst>
        </c:ser>
        <c:dLbls>
          <c:showLegendKey val="0"/>
          <c:showVal val="0"/>
          <c:showCatName val="0"/>
          <c:showSerName val="0"/>
          <c:showPercent val="0"/>
          <c:showBubbleSize val="0"/>
        </c:dLbls>
        <c:gapWidth val="150"/>
        <c:overlap val="100"/>
        <c:axId val="612389104"/>
        <c:axId val="62747104"/>
      </c:barChart>
      <c:catAx>
        <c:axId val="61238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747104"/>
        <c:crosses val="autoZero"/>
        <c:auto val="1"/>
        <c:lblAlgn val="ctr"/>
        <c:lblOffset val="100"/>
        <c:noMultiLvlLbl val="0"/>
      </c:catAx>
      <c:valAx>
        <c:axId val="62747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12389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Sheet1!$B$6</c:f>
              <c:strCache>
                <c:ptCount val="1"/>
                <c:pt idx="0">
                  <c:v>Høyere grad</c:v>
                </c:pt>
              </c:strCache>
            </c:strRef>
          </c:tx>
          <c:spPr>
            <a:solidFill>
              <a:schemeClr val="accent1"/>
            </a:solidFill>
            <a:ln>
              <a:noFill/>
            </a:ln>
            <a:effectLst/>
          </c:spPr>
          <c:invertIfNegative val="0"/>
          <c:cat>
            <c:strRef>
              <c:f>Sheet1!$A$7:$A$13</c:f>
              <c:strCache>
                <c:ptCount val="7"/>
                <c:pt idx="0">
                  <c:v>Annet</c:v>
                </c:pt>
                <c:pt idx="1">
                  <c:v>Humanistiske fag</c:v>
                </c:pt>
                <c:pt idx="2">
                  <c:v>Økonomi og administrasjon</c:v>
                </c:pt>
                <c:pt idx="3">
                  <c:v>Samfunnsfag og juridiske fag</c:v>
                </c:pt>
                <c:pt idx="4">
                  <c:v>Lærerutdanning og pedagogikk</c:v>
                </c:pt>
                <c:pt idx="5">
                  <c:v>Helsefag</c:v>
                </c:pt>
                <c:pt idx="6">
                  <c:v>Naturvitenskap og teknologi</c:v>
                </c:pt>
              </c:strCache>
            </c:strRef>
          </c:cat>
          <c:val>
            <c:numRef>
              <c:f>Sheet1!$B$7:$B$13</c:f>
              <c:numCache>
                <c:formatCode>General</c:formatCode>
                <c:ptCount val="7"/>
                <c:pt idx="0">
                  <c:v>8.7798986907200047E-2</c:v>
                </c:pt>
                <c:pt idx="1">
                  <c:v>0.21680488455326161</c:v>
                </c:pt>
                <c:pt idx="2">
                  <c:v>0.189451627623099</c:v>
                </c:pt>
                <c:pt idx="3">
                  <c:v>0.40082637117326531</c:v>
                </c:pt>
                <c:pt idx="4">
                  <c:v>0.54664221859509321</c:v>
                </c:pt>
                <c:pt idx="5">
                  <c:v>0.2892852097122347</c:v>
                </c:pt>
                <c:pt idx="6">
                  <c:v>0.40785084218121881</c:v>
                </c:pt>
              </c:numCache>
            </c:numRef>
          </c:val>
          <c:extLst>
            <c:ext xmlns:c16="http://schemas.microsoft.com/office/drawing/2014/chart" uri="{C3380CC4-5D6E-409C-BE32-E72D297353CC}">
              <c16:uniqueId val="{00000000-6BD9-4BDA-8B79-FC1820D216B5}"/>
            </c:ext>
          </c:extLst>
        </c:ser>
        <c:ser>
          <c:idx val="1"/>
          <c:order val="1"/>
          <c:tx>
            <c:strRef>
              <c:f>Sheet1!$C$6</c:f>
              <c:strCache>
                <c:ptCount val="1"/>
                <c:pt idx="0">
                  <c:v>Lavere grad</c:v>
                </c:pt>
              </c:strCache>
            </c:strRef>
          </c:tx>
          <c:spPr>
            <a:solidFill>
              <a:schemeClr val="accent2"/>
            </a:solidFill>
            <a:ln>
              <a:noFill/>
            </a:ln>
            <a:effectLst/>
          </c:spPr>
          <c:invertIfNegative val="0"/>
          <c:cat>
            <c:strRef>
              <c:f>Sheet1!$A$7:$A$13</c:f>
              <c:strCache>
                <c:ptCount val="7"/>
                <c:pt idx="0">
                  <c:v>Annet</c:v>
                </c:pt>
                <c:pt idx="1">
                  <c:v>Humanistiske fag</c:v>
                </c:pt>
                <c:pt idx="2">
                  <c:v>Økonomi og administrasjon</c:v>
                </c:pt>
                <c:pt idx="3">
                  <c:v>Samfunnsfag og juridiske fag</c:v>
                </c:pt>
                <c:pt idx="4">
                  <c:v>Lærerutdanning og pedagogikk</c:v>
                </c:pt>
                <c:pt idx="5">
                  <c:v>Helsefag</c:v>
                </c:pt>
                <c:pt idx="6">
                  <c:v>Naturvitenskap og teknologi</c:v>
                </c:pt>
              </c:strCache>
            </c:strRef>
          </c:cat>
          <c:val>
            <c:numRef>
              <c:f>Sheet1!$C$7:$C$13</c:f>
              <c:numCache>
                <c:formatCode>General</c:formatCode>
                <c:ptCount val="7"/>
                <c:pt idx="0">
                  <c:v>0.33130678937023039</c:v>
                </c:pt>
                <c:pt idx="1">
                  <c:v>0.43010837710372851</c:v>
                </c:pt>
                <c:pt idx="2">
                  <c:v>0.59171665645606775</c:v>
                </c:pt>
                <c:pt idx="3">
                  <c:v>0.40071833875842078</c:v>
                </c:pt>
                <c:pt idx="4">
                  <c:v>0.27416457855115789</c:v>
                </c:pt>
                <c:pt idx="5">
                  <c:v>0.5817898281563243</c:v>
                </c:pt>
                <c:pt idx="6">
                  <c:v>0.47817201533276738</c:v>
                </c:pt>
              </c:numCache>
            </c:numRef>
          </c:val>
          <c:extLst>
            <c:ext xmlns:c16="http://schemas.microsoft.com/office/drawing/2014/chart" uri="{C3380CC4-5D6E-409C-BE32-E72D297353CC}">
              <c16:uniqueId val="{00000001-6BD9-4BDA-8B79-FC1820D216B5}"/>
            </c:ext>
          </c:extLst>
        </c:ser>
        <c:ser>
          <c:idx val="2"/>
          <c:order val="2"/>
          <c:tx>
            <c:strRef>
              <c:f>Sheet1!$D$6</c:f>
              <c:strCache>
                <c:ptCount val="1"/>
                <c:pt idx="0">
                  <c:v>Korte, ikke-gradsgivende studier</c:v>
                </c:pt>
              </c:strCache>
            </c:strRef>
          </c:tx>
          <c:spPr>
            <a:solidFill>
              <a:schemeClr val="accent3"/>
            </a:solidFill>
            <a:ln>
              <a:noFill/>
            </a:ln>
            <a:effectLst/>
          </c:spPr>
          <c:invertIfNegative val="0"/>
          <c:cat>
            <c:strRef>
              <c:f>Sheet1!$A$7:$A$13</c:f>
              <c:strCache>
                <c:ptCount val="7"/>
                <c:pt idx="0">
                  <c:v>Annet</c:v>
                </c:pt>
                <c:pt idx="1">
                  <c:v>Humanistiske fag</c:v>
                </c:pt>
                <c:pt idx="2">
                  <c:v>Økonomi og administrasjon</c:v>
                </c:pt>
                <c:pt idx="3">
                  <c:v>Samfunnsfag og juridiske fag</c:v>
                </c:pt>
                <c:pt idx="4">
                  <c:v>Lærerutdanning og pedagogikk</c:v>
                </c:pt>
                <c:pt idx="5">
                  <c:v>Helsefag</c:v>
                </c:pt>
                <c:pt idx="6">
                  <c:v>Naturvitenskap og teknologi</c:v>
                </c:pt>
              </c:strCache>
            </c:strRef>
          </c:cat>
          <c:val>
            <c:numRef>
              <c:f>Sheet1!$D$7:$D$13</c:f>
              <c:numCache>
                <c:formatCode>General</c:formatCode>
                <c:ptCount val="7"/>
                <c:pt idx="0">
                  <c:v>0.58089422372256949</c:v>
                </c:pt>
                <c:pt idx="1">
                  <c:v>0.35226009067246711</c:v>
                </c:pt>
                <c:pt idx="2">
                  <c:v>0.2188317159208332</c:v>
                </c:pt>
                <c:pt idx="3">
                  <c:v>0.19845529006831389</c:v>
                </c:pt>
                <c:pt idx="4">
                  <c:v>0.1786000648138113</c:v>
                </c:pt>
                <c:pt idx="5">
                  <c:v>0.1286574232211613</c:v>
                </c:pt>
                <c:pt idx="6">
                  <c:v>0.1139771424860138</c:v>
                </c:pt>
              </c:numCache>
            </c:numRef>
          </c:val>
          <c:extLst>
            <c:ext xmlns:c16="http://schemas.microsoft.com/office/drawing/2014/chart" uri="{C3380CC4-5D6E-409C-BE32-E72D297353CC}">
              <c16:uniqueId val="{00000002-6BD9-4BDA-8B79-FC1820D216B5}"/>
            </c:ext>
          </c:extLst>
        </c:ser>
        <c:dLbls>
          <c:showLegendKey val="0"/>
          <c:showVal val="0"/>
          <c:showCatName val="0"/>
          <c:showSerName val="0"/>
          <c:showPercent val="0"/>
          <c:showBubbleSize val="0"/>
        </c:dLbls>
        <c:gapWidth val="150"/>
        <c:overlap val="100"/>
        <c:axId val="256271888"/>
        <c:axId val="602339760"/>
      </c:barChart>
      <c:catAx>
        <c:axId val="25627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02339760"/>
        <c:crosses val="autoZero"/>
        <c:auto val="1"/>
        <c:lblAlgn val="ctr"/>
        <c:lblOffset val="100"/>
        <c:noMultiLvlLbl val="0"/>
      </c:catAx>
      <c:valAx>
        <c:axId val="602339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56271888"/>
        <c:crosses val="autoZero"/>
        <c:crossBetween val="between"/>
        <c:maj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'Ark1'!$B$19</c:f>
              <c:strCache>
                <c:ptCount val="1"/>
                <c:pt idx="0">
                  <c:v>Normert tid</c:v>
                </c:pt>
              </c:strCache>
            </c:strRef>
          </c:tx>
          <c:spPr>
            <a:solidFill>
              <a:schemeClr val="accent1"/>
            </a:solidFill>
            <a:ln>
              <a:noFill/>
            </a:ln>
            <a:effectLst/>
          </c:spPr>
          <c:invertIfNegative val="0"/>
          <c:cat>
            <c:numRef>
              <c:f>'Ark1'!$A$20:$A$29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'Ark1'!$B$20:$B$29</c:f>
              <c:numCache>
                <c:formatCode>General</c:formatCode>
                <c:ptCount val="10"/>
                <c:pt idx="0">
                  <c:v>0.3853578154425612</c:v>
                </c:pt>
                <c:pt idx="1">
                  <c:v>0.40532757379409651</c:v>
                </c:pt>
                <c:pt idx="2">
                  <c:v>0.37780742717367127</c:v>
                </c:pt>
                <c:pt idx="3">
                  <c:v>0.36386554621848738</c:v>
                </c:pt>
                <c:pt idx="4">
                  <c:v>0.37315296566077011</c:v>
                </c:pt>
                <c:pt idx="5">
                  <c:v>0.40473800441678381</c:v>
                </c:pt>
                <c:pt idx="6">
                  <c:v>0.39060731799321008</c:v>
                </c:pt>
                <c:pt idx="7">
                  <c:v>0.43461615958089872</c:v>
                </c:pt>
                <c:pt idx="8">
                  <c:v>0.4839067702552719</c:v>
                </c:pt>
                <c:pt idx="9">
                  <c:v>0.50568284322569002</c:v>
                </c:pt>
              </c:numCache>
            </c:numRef>
          </c:val>
          <c:extLst>
            <c:ext xmlns:c16="http://schemas.microsoft.com/office/drawing/2014/chart" uri="{C3380CC4-5D6E-409C-BE32-E72D297353CC}">
              <c16:uniqueId val="{00000000-28FE-4987-8BD5-23F9DB1B5B94}"/>
            </c:ext>
          </c:extLst>
        </c:ser>
        <c:ser>
          <c:idx val="1"/>
          <c:order val="1"/>
          <c:tx>
            <c:strRef>
              <c:f>'Ark1'!$C$19</c:f>
              <c:strCache>
                <c:ptCount val="1"/>
                <c:pt idx="0">
                  <c:v>Normert tid + 1 år</c:v>
                </c:pt>
              </c:strCache>
            </c:strRef>
          </c:tx>
          <c:spPr>
            <a:solidFill>
              <a:schemeClr val="accent2"/>
            </a:solidFill>
            <a:ln>
              <a:noFill/>
            </a:ln>
            <a:effectLst/>
          </c:spPr>
          <c:invertIfNegative val="0"/>
          <c:cat>
            <c:numRef>
              <c:f>'Ark1'!$A$20:$A$29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'Ark1'!$C$20:$C$29</c:f>
              <c:numCache>
                <c:formatCode>General</c:formatCode>
                <c:ptCount val="10"/>
                <c:pt idx="0">
                  <c:v>0.17796610169491522</c:v>
                </c:pt>
                <c:pt idx="1">
                  <c:v>0.16510679145668344</c:v>
                </c:pt>
                <c:pt idx="2">
                  <c:v>0.20502557260395821</c:v>
                </c:pt>
                <c:pt idx="3">
                  <c:v>0.20252100840336135</c:v>
                </c:pt>
                <c:pt idx="4">
                  <c:v>0.20374609781477621</c:v>
                </c:pt>
                <c:pt idx="5">
                  <c:v>0.18430034129692824</c:v>
                </c:pt>
                <c:pt idx="6">
                  <c:v>0.22180309317238783</c:v>
                </c:pt>
                <c:pt idx="7">
                  <c:v>0.20390892605279054</c:v>
                </c:pt>
                <c:pt idx="8">
                  <c:v>0.16241213466518684</c:v>
                </c:pt>
              </c:numCache>
            </c:numRef>
          </c:val>
          <c:extLst>
            <c:ext xmlns:c16="http://schemas.microsoft.com/office/drawing/2014/chart" uri="{C3380CC4-5D6E-409C-BE32-E72D297353CC}">
              <c16:uniqueId val="{00000001-28FE-4987-8BD5-23F9DB1B5B94}"/>
            </c:ext>
          </c:extLst>
        </c:ser>
        <c:ser>
          <c:idx val="2"/>
          <c:order val="2"/>
          <c:tx>
            <c:strRef>
              <c:f>'Ark1'!$D$19</c:f>
              <c:strCache>
                <c:ptCount val="1"/>
                <c:pt idx="0">
                  <c:v>Normert tid + 2 år</c:v>
                </c:pt>
              </c:strCache>
            </c:strRef>
          </c:tx>
          <c:spPr>
            <a:solidFill>
              <a:schemeClr val="accent3"/>
            </a:solidFill>
            <a:ln>
              <a:noFill/>
            </a:ln>
            <a:effectLst/>
          </c:spPr>
          <c:invertIfNegative val="0"/>
          <c:cat>
            <c:numRef>
              <c:f>'Ark1'!$A$20:$A$29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'Ark1'!$D$20:$D$29</c:f>
              <c:numCache>
                <c:formatCode>General</c:formatCode>
                <c:ptCount val="10"/>
                <c:pt idx="0">
                  <c:v>4.7080979284369162E-2</c:v>
                </c:pt>
                <c:pt idx="1">
                  <c:v>5.5195584353251781E-2</c:v>
                </c:pt>
                <c:pt idx="2">
                  <c:v>6.4265065599288462E-2</c:v>
                </c:pt>
                <c:pt idx="3">
                  <c:v>5.5042016806722716E-2</c:v>
                </c:pt>
                <c:pt idx="4">
                  <c:v>5.1612903225806472E-2</c:v>
                </c:pt>
                <c:pt idx="5">
                  <c:v>6.1031921300943592E-2</c:v>
                </c:pt>
                <c:pt idx="6">
                  <c:v>5.1678611844586886E-2</c:v>
                </c:pt>
                <c:pt idx="7">
                  <c:v>5.5007052186177741E-2</c:v>
                </c:pt>
              </c:numCache>
            </c:numRef>
          </c:val>
          <c:extLst>
            <c:ext xmlns:c16="http://schemas.microsoft.com/office/drawing/2014/chart" uri="{C3380CC4-5D6E-409C-BE32-E72D297353CC}">
              <c16:uniqueId val="{00000002-28FE-4987-8BD5-23F9DB1B5B94}"/>
            </c:ext>
          </c:extLst>
        </c:ser>
        <c:dLbls>
          <c:showLegendKey val="0"/>
          <c:showVal val="0"/>
          <c:showCatName val="0"/>
          <c:showSerName val="0"/>
          <c:showPercent val="0"/>
          <c:showBubbleSize val="0"/>
        </c:dLbls>
        <c:gapWidth val="150"/>
        <c:overlap val="100"/>
        <c:axId val="1523898511"/>
        <c:axId val="1056938496"/>
      </c:barChart>
      <c:catAx>
        <c:axId val="1523898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56938496"/>
        <c:crosses val="autoZero"/>
        <c:auto val="1"/>
        <c:lblAlgn val="ctr"/>
        <c:lblOffset val="100"/>
        <c:noMultiLvlLbl val="0"/>
      </c:catAx>
      <c:valAx>
        <c:axId val="10569384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23898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Sheet1!$A$40</c:f>
              <c:strCache>
                <c:ptCount val="1"/>
                <c:pt idx="0">
                  <c:v>Bachelograd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Sheet1!$B$39:$K$39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Sheet1!$B$40:$K$40</c:f>
              <c:numCache>
                <c:formatCode>General</c:formatCode>
                <c:ptCount val="10"/>
                <c:pt idx="0">
                  <c:v>24838.799999999999</c:v>
                </c:pt>
                <c:pt idx="1">
                  <c:v>25994</c:v>
                </c:pt>
                <c:pt idx="2">
                  <c:v>26880.959999999999</c:v>
                </c:pt>
                <c:pt idx="3">
                  <c:v>28550</c:v>
                </c:pt>
                <c:pt idx="4">
                  <c:v>29477</c:v>
                </c:pt>
                <c:pt idx="5">
                  <c:v>29669</c:v>
                </c:pt>
                <c:pt idx="6">
                  <c:v>31292</c:v>
                </c:pt>
                <c:pt idx="7">
                  <c:v>32368</c:v>
                </c:pt>
                <c:pt idx="8">
                  <c:v>32440</c:v>
                </c:pt>
                <c:pt idx="9">
                  <c:v>32949</c:v>
                </c:pt>
              </c:numCache>
            </c:numRef>
          </c:val>
          <c:smooth val="0"/>
          <c:extLst>
            <c:ext xmlns:c16="http://schemas.microsoft.com/office/drawing/2014/chart" uri="{C3380CC4-5D6E-409C-BE32-E72D297353CC}">
              <c16:uniqueId val="{00000000-2B53-4849-9BB2-4D8695B54075}"/>
            </c:ext>
          </c:extLst>
        </c:ser>
        <c:ser>
          <c:idx val="1"/>
          <c:order val="1"/>
          <c:tx>
            <c:strRef>
              <c:f>Sheet1!$A$41</c:f>
              <c:strCache>
                <c:ptCount val="1"/>
                <c:pt idx="0">
                  <c:v>Mastergrad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Sheet1!$B$39:$K$39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Sheet1!$B$41:$K$41</c:f>
              <c:numCache>
                <c:formatCode>General</c:formatCode>
                <c:ptCount val="10"/>
                <c:pt idx="0">
                  <c:v>12605.07</c:v>
                </c:pt>
                <c:pt idx="1">
                  <c:v>13263.759999999998</c:v>
                </c:pt>
                <c:pt idx="2">
                  <c:v>14094.349999999999</c:v>
                </c:pt>
                <c:pt idx="3">
                  <c:v>14524.08</c:v>
                </c:pt>
                <c:pt idx="4">
                  <c:v>14941.16</c:v>
                </c:pt>
                <c:pt idx="5">
                  <c:v>15602.119999999999</c:v>
                </c:pt>
                <c:pt idx="6">
                  <c:v>16400.38</c:v>
                </c:pt>
                <c:pt idx="7">
                  <c:v>17592.5</c:v>
                </c:pt>
                <c:pt idx="8">
                  <c:v>20365.84</c:v>
                </c:pt>
                <c:pt idx="9">
                  <c:v>21206.23</c:v>
                </c:pt>
              </c:numCache>
            </c:numRef>
          </c:val>
          <c:smooth val="0"/>
          <c:extLst>
            <c:ext xmlns:c16="http://schemas.microsoft.com/office/drawing/2014/chart" uri="{C3380CC4-5D6E-409C-BE32-E72D297353CC}">
              <c16:uniqueId val="{00000001-2B53-4849-9BB2-4D8695B54075}"/>
            </c:ext>
          </c:extLst>
        </c:ser>
        <c:ser>
          <c:idx val="2"/>
          <c:order val="2"/>
          <c:tx>
            <c:strRef>
              <c:f>Sheet1!$A$42</c:f>
              <c:strCache>
                <c:ptCount val="1"/>
                <c:pt idx="0">
                  <c:v>Årsstudium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Sheet1!$B$39:$K$39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Sheet1!$B$42:$K$42</c:f>
              <c:numCache>
                <c:formatCode>General</c:formatCode>
                <c:ptCount val="10"/>
                <c:pt idx="0">
                  <c:v>8638.2800000000007</c:v>
                </c:pt>
                <c:pt idx="1">
                  <c:v>7767.65</c:v>
                </c:pt>
                <c:pt idx="2">
                  <c:v>8709.61</c:v>
                </c:pt>
                <c:pt idx="3">
                  <c:v>8763.89</c:v>
                </c:pt>
                <c:pt idx="4">
                  <c:v>8967.4500000000007</c:v>
                </c:pt>
                <c:pt idx="5">
                  <c:v>8736.2999999999993</c:v>
                </c:pt>
                <c:pt idx="6">
                  <c:v>8477.0300000000007</c:v>
                </c:pt>
                <c:pt idx="7">
                  <c:v>8844.65</c:v>
                </c:pt>
                <c:pt idx="8">
                  <c:v>7932.09</c:v>
                </c:pt>
                <c:pt idx="9">
                  <c:v>7016.32</c:v>
                </c:pt>
              </c:numCache>
            </c:numRef>
          </c:val>
          <c:smooth val="0"/>
          <c:extLst>
            <c:ext xmlns:c16="http://schemas.microsoft.com/office/drawing/2014/chart" uri="{C3380CC4-5D6E-409C-BE32-E72D297353CC}">
              <c16:uniqueId val="{00000002-2B53-4849-9BB2-4D8695B54075}"/>
            </c:ext>
          </c:extLst>
        </c:ser>
        <c:ser>
          <c:idx val="3"/>
          <c:order val="3"/>
          <c:tx>
            <c:strRef>
              <c:f>Sheet1!$A$43</c:f>
              <c:strCache>
                <c:ptCount val="1"/>
                <c:pt idx="0">
                  <c:v>Profesjonsstudium (5-7 år)</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Sheet1!$B$39:$K$39</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Sheet1!$B$43:$K$43</c:f>
              <c:numCache>
                <c:formatCode>General</c:formatCode>
                <c:ptCount val="10"/>
                <c:pt idx="0">
                  <c:v>926</c:v>
                </c:pt>
                <c:pt idx="1">
                  <c:v>937</c:v>
                </c:pt>
                <c:pt idx="2">
                  <c:v>978</c:v>
                </c:pt>
                <c:pt idx="3">
                  <c:v>932</c:v>
                </c:pt>
                <c:pt idx="4">
                  <c:v>990</c:v>
                </c:pt>
                <c:pt idx="5">
                  <c:v>1048</c:v>
                </c:pt>
                <c:pt idx="6">
                  <c:v>992</c:v>
                </c:pt>
                <c:pt idx="7">
                  <c:v>1041</c:v>
                </c:pt>
                <c:pt idx="8">
                  <c:v>1069</c:v>
                </c:pt>
                <c:pt idx="9">
                  <c:v>1057</c:v>
                </c:pt>
              </c:numCache>
            </c:numRef>
          </c:val>
          <c:smooth val="0"/>
          <c:extLst>
            <c:ext xmlns:c16="http://schemas.microsoft.com/office/drawing/2014/chart" uri="{C3380CC4-5D6E-409C-BE32-E72D297353CC}">
              <c16:uniqueId val="{00000003-2B53-4849-9BB2-4D8695B54075}"/>
            </c:ext>
          </c:extLst>
        </c:ser>
        <c:dLbls>
          <c:showLegendKey val="0"/>
          <c:showVal val="0"/>
          <c:showCatName val="0"/>
          <c:showSerName val="0"/>
          <c:showPercent val="0"/>
          <c:showBubbleSize val="0"/>
        </c:dLbls>
        <c:marker val="1"/>
        <c:smooth val="0"/>
        <c:axId val="1457121471"/>
        <c:axId val="288230911"/>
      </c:lineChart>
      <c:catAx>
        <c:axId val="1457121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88230911"/>
        <c:crosses val="autoZero"/>
        <c:auto val="1"/>
        <c:lblAlgn val="ctr"/>
        <c:lblOffset val="100"/>
        <c:noMultiLvlLbl val="0"/>
      </c:catAx>
      <c:valAx>
        <c:axId val="288230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57121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Sheet1!$X$2</c:f>
              <c:strCache>
                <c:ptCount val="1"/>
                <c:pt idx="0">
                  <c:v>Helsefag</c:v>
                </c:pt>
              </c:strCache>
            </c:strRef>
          </c:tx>
          <c:spPr>
            <a:solidFill>
              <a:schemeClr val="accent1"/>
            </a:solidFill>
            <a:ln>
              <a:noFill/>
            </a:ln>
            <a:effectLst/>
          </c:spPr>
          <c:invertIfNegative val="0"/>
          <c:cat>
            <c:strRef>
              <c:f>Sheet1!$Y$1:$AB$1</c:f>
              <c:strCache>
                <c:ptCount val="4"/>
                <c:pt idx="0">
                  <c:v>Bachelorgrad</c:v>
                </c:pt>
                <c:pt idx="1">
                  <c:v>Mastergrad</c:v>
                </c:pt>
                <c:pt idx="2">
                  <c:v>Årsstudium</c:v>
                </c:pt>
                <c:pt idx="3">
                  <c:v>Profesjonsutdanning (5-7 år)</c:v>
                </c:pt>
              </c:strCache>
            </c:strRef>
          </c:cat>
          <c:val>
            <c:numRef>
              <c:f>Sheet1!$Y$2:$AB$2</c:f>
              <c:numCache>
                <c:formatCode>General</c:formatCode>
                <c:ptCount val="4"/>
                <c:pt idx="0">
                  <c:v>0.28189019393608311</c:v>
                </c:pt>
                <c:pt idx="1">
                  <c:v>0.13037536610703551</c:v>
                </c:pt>
                <c:pt idx="2">
                  <c:v>0.10850702362492021</c:v>
                </c:pt>
                <c:pt idx="3">
                  <c:v>0.65846736045411547</c:v>
                </c:pt>
              </c:numCache>
            </c:numRef>
          </c:val>
          <c:extLst>
            <c:ext xmlns:c16="http://schemas.microsoft.com/office/drawing/2014/chart" uri="{C3380CC4-5D6E-409C-BE32-E72D297353CC}">
              <c16:uniqueId val="{00000000-D8DC-47DA-AA84-150623DCEC4A}"/>
            </c:ext>
          </c:extLst>
        </c:ser>
        <c:ser>
          <c:idx val="1"/>
          <c:order val="1"/>
          <c:tx>
            <c:strRef>
              <c:f>Sheet1!$X$3</c:f>
              <c:strCache>
                <c:ptCount val="1"/>
                <c:pt idx="0">
                  <c:v>Øk.-adm.</c:v>
                </c:pt>
              </c:strCache>
            </c:strRef>
          </c:tx>
          <c:spPr>
            <a:solidFill>
              <a:schemeClr val="accent2"/>
            </a:solidFill>
            <a:ln>
              <a:noFill/>
            </a:ln>
            <a:effectLst/>
          </c:spPr>
          <c:invertIfNegative val="0"/>
          <c:cat>
            <c:strRef>
              <c:f>Sheet1!$Y$1:$AB$1</c:f>
              <c:strCache>
                <c:ptCount val="4"/>
                <c:pt idx="0">
                  <c:v>Bachelorgrad</c:v>
                </c:pt>
                <c:pt idx="1">
                  <c:v>Mastergrad</c:v>
                </c:pt>
                <c:pt idx="2">
                  <c:v>Årsstudium</c:v>
                </c:pt>
                <c:pt idx="3">
                  <c:v>Profesjonsutdanning (5-7 år)</c:v>
                </c:pt>
              </c:strCache>
            </c:strRef>
          </c:cat>
          <c:val>
            <c:numRef>
              <c:f>Sheet1!$Y$3:$AB$3</c:f>
              <c:numCache>
                <c:formatCode>General</c:formatCode>
                <c:ptCount val="4"/>
                <c:pt idx="0">
                  <c:v>0.19918662174876331</c:v>
                </c:pt>
                <c:pt idx="1">
                  <c:v>0.18079592648009571</c:v>
                </c:pt>
                <c:pt idx="2">
                  <c:v>0.121431177597373</c:v>
                </c:pt>
              </c:numCache>
            </c:numRef>
          </c:val>
          <c:extLst>
            <c:ext xmlns:c16="http://schemas.microsoft.com/office/drawing/2014/chart" uri="{C3380CC4-5D6E-409C-BE32-E72D297353CC}">
              <c16:uniqueId val="{00000001-D8DC-47DA-AA84-150623DCEC4A}"/>
            </c:ext>
          </c:extLst>
        </c:ser>
        <c:ser>
          <c:idx val="2"/>
          <c:order val="2"/>
          <c:tx>
            <c:strRef>
              <c:f>Sheet1!$X$4</c:f>
              <c:strCache>
                <c:ptCount val="1"/>
                <c:pt idx="0">
                  <c:v>Nat. og teknologi</c:v>
                </c:pt>
              </c:strCache>
            </c:strRef>
          </c:tx>
          <c:spPr>
            <a:solidFill>
              <a:schemeClr val="accent3"/>
            </a:solidFill>
            <a:ln>
              <a:noFill/>
            </a:ln>
            <a:effectLst/>
          </c:spPr>
          <c:invertIfNegative val="0"/>
          <c:cat>
            <c:strRef>
              <c:f>Sheet1!$Y$1:$AB$1</c:f>
              <c:strCache>
                <c:ptCount val="4"/>
                <c:pt idx="0">
                  <c:v>Bachelorgrad</c:v>
                </c:pt>
                <c:pt idx="1">
                  <c:v>Mastergrad</c:v>
                </c:pt>
                <c:pt idx="2">
                  <c:v>Årsstudium</c:v>
                </c:pt>
                <c:pt idx="3">
                  <c:v>Profesjonsutdanning (5-7 år)</c:v>
                </c:pt>
              </c:strCache>
            </c:strRef>
          </c:cat>
          <c:val>
            <c:numRef>
              <c:f>Sheet1!$Y$4:$AB$4</c:f>
              <c:numCache>
                <c:formatCode>General</c:formatCode>
                <c:ptCount val="4"/>
                <c:pt idx="0">
                  <c:v>0.1781237670339009</c:v>
                </c:pt>
                <c:pt idx="1">
                  <c:v>0.25704050177707211</c:v>
                </c:pt>
                <c:pt idx="2">
                  <c:v>3.6771412934415763E-2</c:v>
                </c:pt>
                <c:pt idx="3">
                  <c:v>5.8656575212866602E-2</c:v>
                </c:pt>
              </c:numCache>
            </c:numRef>
          </c:val>
          <c:extLst>
            <c:ext xmlns:c16="http://schemas.microsoft.com/office/drawing/2014/chart" uri="{C3380CC4-5D6E-409C-BE32-E72D297353CC}">
              <c16:uniqueId val="{00000002-D8DC-47DA-AA84-150623DCEC4A}"/>
            </c:ext>
          </c:extLst>
        </c:ser>
        <c:ser>
          <c:idx val="3"/>
          <c:order val="3"/>
          <c:tx>
            <c:strRef>
              <c:f>Sheet1!$X$5</c:f>
              <c:strCache>
                <c:ptCount val="1"/>
                <c:pt idx="0">
                  <c:v>Samf. og juridiske fag</c:v>
                </c:pt>
              </c:strCache>
            </c:strRef>
          </c:tx>
          <c:spPr>
            <a:solidFill>
              <a:schemeClr val="accent4"/>
            </a:solidFill>
            <a:ln>
              <a:noFill/>
            </a:ln>
            <a:effectLst/>
          </c:spPr>
          <c:invertIfNegative val="0"/>
          <c:cat>
            <c:strRef>
              <c:f>Sheet1!$Y$1:$AB$1</c:f>
              <c:strCache>
                <c:ptCount val="4"/>
                <c:pt idx="0">
                  <c:v>Bachelorgrad</c:v>
                </c:pt>
                <c:pt idx="1">
                  <c:v>Mastergrad</c:v>
                </c:pt>
                <c:pt idx="2">
                  <c:v>Årsstudium</c:v>
                </c:pt>
                <c:pt idx="3">
                  <c:v>Profesjonsutdanning (5-7 år)</c:v>
                </c:pt>
              </c:strCache>
            </c:strRef>
          </c:cat>
          <c:val>
            <c:numRef>
              <c:f>Sheet1!$Y$5:$AB$5</c:f>
              <c:numCache>
                <c:formatCode>General</c:formatCode>
                <c:ptCount val="4"/>
                <c:pt idx="0">
                  <c:v>0.1198518923184315</c:v>
                </c:pt>
                <c:pt idx="1">
                  <c:v>0.1550803702496861</c:v>
                </c:pt>
                <c:pt idx="2">
                  <c:v>0.1881328103621272</c:v>
                </c:pt>
                <c:pt idx="3">
                  <c:v>0.25260170293282869</c:v>
                </c:pt>
              </c:numCache>
            </c:numRef>
          </c:val>
          <c:extLst>
            <c:ext xmlns:c16="http://schemas.microsoft.com/office/drawing/2014/chart" uri="{C3380CC4-5D6E-409C-BE32-E72D297353CC}">
              <c16:uniqueId val="{00000003-D8DC-47DA-AA84-150623DCEC4A}"/>
            </c:ext>
          </c:extLst>
        </c:ser>
        <c:ser>
          <c:idx val="4"/>
          <c:order val="4"/>
          <c:tx>
            <c:strRef>
              <c:f>Sheet1!$X$6</c:f>
              <c:strCache>
                <c:ptCount val="1"/>
                <c:pt idx="0">
                  <c:v>Lærerutd. og ped.</c:v>
                </c:pt>
              </c:strCache>
            </c:strRef>
          </c:tx>
          <c:spPr>
            <a:solidFill>
              <a:schemeClr val="accent5"/>
            </a:solidFill>
            <a:ln>
              <a:noFill/>
            </a:ln>
            <a:effectLst/>
          </c:spPr>
          <c:invertIfNegative val="0"/>
          <c:cat>
            <c:strRef>
              <c:f>Sheet1!$Y$1:$AB$1</c:f>
              <c:strCache>
                <c:ptCount val="4"/>
                <c:pt idx="0">
                  <c:v>Bachelorgrad</c:v>
                </c:pt>
                <c:pt idx="1">
                  <c:v>Mastergrad</c:v>
                </c:pt>
                <c:pt idx="2">
                  <c:v>Årsstudium</c:v>
                </c:pt>
                <c:pt idx="3">
                  <c:v>Profesjonsutdanning (5-7 år)</c:v>
                </c:pt>
              </c:strCache>
            </c:strRef>
          </c:cat>
          <c:val>
            <c:numRef>
              <c:f>Sheet1!$Y$6:$AB$6</c:f>
              <c:numCache>
                <c:formatCode>General</c:formatCode>
                <c:ptCount val="4"/>
                <c:pt idx="0">
                  <c:v>0.1011563325138851</c:v>
                </c:pt>
                <c:pt idx="1">
                  <c:v>0.1868370757084121</c:v>
                </c:pt>
                <c:pt idx="2">
                  <c:v>0.26865935419137099</c:v>
                </c:pt>
              </c:numCache>
            </c:numRef>
          </c:val>
          <c:extLst>
            <c:ext xmlns:c16="http://schemas.microsoft.com/office/drawing/2014/chart" uri="{C3380CC4-5D6E-409C-BE32-E72D297353CC}">
              <c16:uniqueId val="{00000004-D8DC-47DA-AA84-150623DCEC4A}"/>
            </c:ext>
          </c:extLst>
        </c:ser>
        <c:ser>
          <c:idx val="5"/>
          <c:order val="5"/>
          <c:tx>
            <c:strRef>
              <c:f>Sheet1!$X$7</c:f>
              <c:strCache>
                <c:ptCount val="1"/>
                <c:pt idx="0">
                  <c:v>Humanistiske fag</c:v>
                </c:pt>
              </c:strCache>
            </c:strRef>
          </c:tx>
          <c:spPr>
            <a:solidFill>
              <a:schemeClr val="accent6"/>
            </a:solidFill>
            <a:ln>
              <a:noFill/>
            </a:ln>
            <a:effectLst/>
          </c:spPr>
          <c:invertIfNegative val="0"/>
          <c:cat>
            <c:strRef>
              <c:f>Sheet1!$Y$1:$AB$1</c:f>
              <c:strCache>
                <c:ptCount val="4"/>
                <c:pt idx="0">
                  <c:v>Bachelorgrad</c:v>
                </c:pt>
                <c:pt idx="1">
                  <c:v>Mastergrad</c:v>
                </c:pt>
                <c:pt idx="2">
                  <c:v>Årsstudium</c:v>
                </c:pt>
                <c:pt idx="3">
                  <c:v>Profesjonsutdanning (5-7 år)</c:v>
                </c:pt>
              </c:strCache>
            </c:strRef>
          </c:cat>
          <c:val>
            <c:numRef>
              <c:f>Sheet1!$Y$7:$AB$7</c:f>
              <c:numCache>
                <c:formatCode>General</c:formatCode>
                <c:ptCount val="4"/>
                <c:pt idx="0">
                  <c:v>8.2673222252572162E-2</c:v>
                </c:pt>
                <c:pt idx="1">
                  <c:v>7.5393881892255252E-2</c:v>
                </c:pt>
                <c:pt idx="2">
                  <c:v>0.25754241539724532</c:v>
                </c:pt>
                <c:pt idx="3">
                  <c:v>3.0274361400189211E-2</c:v>
                </c:pt>
              </c:numCache>
            </c:numRef>
          </c:val>
          <c:extLst>
            <c:ext xmlns:c16="http://schemas.microsoft.com/office/drawing/2014/chart" uri="{C3380CC4-5D6E-409C-BE32-E72D297353CC}">
              <c16:uniqueId val="{00000005-D8DC-47DA-AA84-150623DCEC4A}"/>
            </c:ext>
          </c:extLst>
        </c:ser>
        <c:ser>
          <c:idx val="6"/>
          <c:order val="6"/>
          <c:tx>
            <c:strRef>
              <c:f>Sheet1!$X$8</c:f>
              <c:strCache>
                <c:ptCount val="1"/>
                <c:pt idx="0">
                  <c:v>Annet</c:v>
                </c:pt>
              </c:strCache>
            </c:strRef>
          </c:tx>
          <c:spPr>
            <a:solidFill>
              <a:schemeClr val="accent1">
                <a:lumMod val="60000"/>
              </a:schemeClr>
            </a:solidFill>
            <a:ln>
              <a:noFill/>
            </a:ln>
            <a:effectLst/>
          </c:spPr>
          <c:invertIfNegative val="0"/>
          <c:cat>
            <c:strRef>
              <c:f>Sheet1!$Y$1:$AB$1</c:f>
              <c:strCache>
                <c:ptCount val="4"/>
                <c:pt idx="0">
                  <c:v>Bachelorgrad</c:v>
                </c:pt>
                <c:pt idx="1">
                  <c:v>Mastergrad</c:v>
                </c:pt>
                <c:pt idx="2">
                  <c:v>Årsstudium</c:v>
                </c:pt>
                <c:pt idx="3">
                  <c:v>Profesjonsutdanning (5-7 år)</c:v>
                </c:pt>
              </c:strCache>
            </c:strRef>
          </c:cat>
          <c:val>
            <c:numRef>
              <c:f>Sheet1!$Y$8:$AB$8</c:f>
              <c:numCache>
                <c:formatCode>General</c:formatCode>
                <c:ptCount val="4"/>
                <c:pt idx="0">
                  <c:v>3.7117970196364078E-2</c:v>
                </c:pt>
                <c:pt idx="1">
                  <c:v>1.4476877785443241E-2</c:v>
                </c:pt>
                <c:pt idx="2">
                  <c:v>1.895580589254766E-2</c:v>
                </c:pt>
              </c:numCache>
            </c:numRef>
          </c:val>
          <c:extLst>
            <c:ext xmlns:c16="http://schemas.microsoft.com/office/drawing/2014/chart" uri="{C3380CC4-5D6E-409C-BE32-E72D297353CC}">
              <c16:uniqueId val="{00000006-D8DC-47DA-AA84-150623DCEC4A}"/>
            </c:ext>
          </c:extLst>
        </c:ser>
        <c:dLbls>
          <c:showLegendKey val="0"/>
          <c:showVal val="0"/>
          <c:showCatName val="0"/>
          <c:showSerName val="0"/>
          <c:showPercent val="0"/>
          <c:showBubbleSize val="0"/>
        </c:dLbls>
        <c:gapWidth val="150"/>
        <c:overlap val="100"/>
        <c:axId val="171043600"/>
        <c:axId val="218833840"/>
      </c:barChart>
      <c:catAx>
        <c:axId val="17104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8833840"/>
        <c:crosses val="autoZero"/>
        <c:auto val="1"/>
        <c:lblAlgn val="ctr"/>
        <c:lblOffset val="100"/>
        <c:noMultiLvlLbl val="0"/>
      </c:catAx>
      <c:valAx>
        <c:axId val="218833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104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Sheet1!$W$2</c:f>
              <c:strCache>
                <c:ptCount val="1"/>
                <c:pt idx="0">
                  <c:v>Samfunnsvitenskap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Sheet1!$X$1:$AG$1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Sheet1!$X$2:$AG$2</c:f>
              <c:numCache>
                <c:formatCode>General</c:formatCode>
                <c:ptCount val="10"/>
                <c:pt idx="0">
                  <c:v>2067</c:v>
                </c:pt>
                <c:pt idx="1">
                  <c:v>1885</c:v>
                </c:pt>
                <c:pt idx="2">
                  <c:v>1818</c:v>
                </c:pt>
                <c:pt idx="3">
                  <c:v>1821</c:v>
                </c:pt>
                <c:pt idx="4">
                  <c:v>1855</c:v>
                </c:pt>
                <c:pt idx="5">
                  <c:v>2181</c:v>
                </c:pt>
                <c:pt idx="6">
                  <c:v>2291</c:v>
                </c:pt>
                <c:pt idx="7">
                  <c:v>2574</c:v>
                </c:pt>
                <c:pt idx="8">
                  <c:v>2625</c:v>
                </c:pt>
                <c:pt idx="9">
                  <c:v>2521</c:v>
                </c:pt>
              </c:numCache>
            </c:numRef>
          </c:val>
          <c:smooth val="0"/>
          <c:extLst>
            <c:ext xmlns:c16="http://schemas.microsoft.com/office/drawing/2014/chart" uri="{C3380CC4-5D6E-409C-BE32-E72D297353CC}">
              <c16:uniqueId val="{00000000-CA0C-4A8B-B2D3-EC1746F315F9}"/>
            </c:ext>
          </c:extLst>
        </c:ser>
        <c:ser>
          <c:idx val="1"/>
          <c:order val="1"/>
          <c:tx>
            <c:strRef>
              <c:f>Sheet1!$W$3</c:f>
              <c:strCache>
                <c:ptCount val="1"/>
                <c:pt idx="0">
                  <c:v>Ingeniør</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Sheet1!$X$1:$AG$1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Sheet1!$X$3:$AG$3</c:f>
              <c:numCache>
                <c:formatCode>General</c:formatCode>
                <c:ptCount val="10"/>
                <c:pt idx="0">
                  <c:v>2292</c:v>
                </c:pt>
                <c:pt idx="1">
                  <c:v>2528</c:v>
                </c:pt>
                <c:pt idx="2">
                  <c:v>2777</c:v>
                </c:pt>
                <c:pt idx="3">
                  <c:v>3078</c:v>
                </c:pt>
                <c:pt idx="4">
                  <c:v>2932</c:v>
                </c:pt>
                <c:pt idx="5">
                  <c:v>2737</c:v>
                </c:pt>
                <c:pt idx="6">
                  <c:v>2604</c:v>
                </c:pt>
                <c:pt idx="7">
                  <c:v>2715</c:v>
                </c:pt>
                <c:pt idx="8">
                  <c:v>2472</c:v>
                </c:pt>
                <c:pt idx="9">
                  <c:v>2579</c:v>
                </c:pt>
              </c:numCache>
            </c:numRef>
          </c:val>
          <c:smooth val="0"/>
          <c:extLst>
            <c:ext xmlns:c16="http://schemas.microsoft.com/office/drawing/2014/chart" uri="{C3380CC4-5D6E-409C-BE32-E72D297353CC}">
              <c16:uniqueId val="{00000001-CA0C-4A8B-B2D3-EC1746F315F9}"/>
            </c:ext>
          </c:extLst>
        </c:ser>
        <c:ser>
          <c:idx val="2"/>
          <c:order val="2"/>
          <c:tx>
            <c:strRef>
              <c:f>Sheet1!$W$4</c:f>
              <c:strCache>
                <c:ptCount val="1"/>
                <c:pt idx="0">
                  <c:v>Mat.-nat. fag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Sheet1!$X$1:$AG$1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Sheet1!$X$4:$AG$4</c:f>
              <c:numCache>
                <c:formatCode>General</c:formatCode>
                <c:ptCount val="10"/>
                <c:pt idx="0">
                  <c:v>1853.8</c:v>
                </c:pt>
                <c:pt idx="1">
                  <c:v>1895</c:v>
                </c:pt>
                <c:pt idx="2">
                  <c:v>1905</c:v>
                </c:pt>
                <c:pt idx="3">
                  <c:v>2050</c:v>
                </c:pt>
                <c:pt idx="4">
                  <c:v>2138</c:v>
                </c:pt>
                <c:pt idx="5">
                  <c:v>2150</c:v>
                </c:pt>
                <c:pt idx="6">
                  <c:v>2477</c:v>
                </c:pt>
                <c:pt idx="7">
                  <c:v>2685</c:v>
                </c:pt>
                <c:pt idx="8">
                  <c:v>2407</c:v>
                </c:pt>
                <c:pt idx="9">
                  <c:v>2693</c:v>
                </c:pt>
              </c:numCache>
            </c:numRef>
          </c:val>
          <c:smooth val="0"/>
          <c:extLst>
            <c:ext xmlns:c16="http://schemas.microsoft.com/office/drawing/2014/chart" uri="{C3380CC4-5D6E-409C-BE32-E72D297353CC}">
              <c16:uniqueId val="{00000002-CA0C-4A8B-B2D3-EC1746F315F9}"/>
            </c:ext>
          </c:extLst>
        </c:ser>
        <c:ser>
          <c:idx val="3"/>
          <c:order val="3"/>
          <c:tx>
            <c:strRef>
              <c:f>Sheet1!$W$5</c:f>
              <c:strCache>
                <c:ptCount val="1"/>
                <c:pt idx="0">
                  <c:v>Sykepleie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Sheet1!$X$1:$AG$1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Sheet1!$X$5:$AG$5</c:f>
              <c:numCache>
                <c:formatCode>General</c:formatCode>
                <c:ptCount val="10"/>
                <c:pt idx="0">
                  <c:v>3630</c:v>
                </c:pt>
                <c:pt idx="1">
                  <c:v>3639</c:v>
                </c:pt>
                <c:pt idx="2">
                  <c:v>3777.96</c:v>
                </c:pt>
                <c:pt idx="3">
                  <c:v>4009</c:v>
                </c:pt>
                <c:pt idx="4">
                  <c:v>4042</c:v>
                </c:pt>
                <c:pt idx="5">
                  <c:v>4118</c:v>
                </c:pt>
                <c:pt idx="6">
                  <c:v>4174</c:v>
                </c:pt>
                <c:pt idx="7">
                  <c:v>4240</c:v>
                </c:pt>
                <c:pt idx="8">
                  <c:v>4437</c:v>
                </c:pt>
                <c:pt idx="9">
                  <c:v>4398</c:v>
                </c:pt>
              </c:numCache>
            </c:numRef>
          </c:val>
          <c:smooth val="0"/>
          <c:extLst>
            <c:ext xmlns:c16="http://schemas.microsoft.com/office/drawing/2014/chart" uri="{C3380CC4-5D6E-409C-BE32-E72D297353CC}">
              <c16:uniqueId val="{00000003-CA0C-4A8B-B2D3-EC1746F315F9}"/>
            </c:ext>
          </c:extLst>
        </c:ser>
        <c:ser>
          <c:idx val="4"/>
          <c:order val="4"/>
          <c:tx>
            <c:strRef>
              <c:f>Sheet1!$W$6</c:f>
              <c:strCache>
                <c:ptCount val="1"/>
                <c:pt idx="0">
                  <c:v>Øk.-adm. fag</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Sheet1!$X$1:$AG$1</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Sheet1!$X$6:$AG$6</c:f>
              <c:numCache>
                <c:formatCode>General</c:formatCode>
                <c:ptCount val="10"/>
                <c:pt idx="0">
                  <c:v>4405</c:v>
                </c:pt>
                <c:pt idx="1">
                  <c:v>5131</c:v>
                </c:pt>
                <c:pt idx="2">
                  <c:v>5214</c:v>
                </c:pt>
                <c:pt idx="3">
                  <c:v>5721</c:v>
                </c:pt>
                <c:pt idx="4">
                  <c:v>5835</c:v>
                </c:pt>
                <c:pt idx="5">
                  <c:v>5480</c:v>
                </c:pt>
                <c:pt idx="6">
                  <c:v>5984</c:v>
                </c:pt>
                <c:pt idx="7">
                  <c:v>6028</c:v>
                </c:pt>
                <c:pt idx="8">
                  <c:v>6286</c:v>
                </c:pt>
                <c:pt idx="9">
                  <c:v>6563</c:v>
                </c:pt>
              </c:numCache>
            </c:numRef>
          </c:val>
          <c:smooth val="0"/>
          <c:extLst>
            <c:ext xmlns:c16="http://schemas.microsoft.com/office/drawing/2014/chart" uri="{C3380CC4-5D6E-409C-BE32-E72D297353CC}">
              <c16:uniqueId val="{00000004-CA0C-4A8B-B2D3-EC1746F315F9}"/>
            </c:ext>
          </c:extLst>
        </c:ser>
        <c:dLbls>
          <c:showLegendKey val="0"/>
          <c:showVal val="0"/>
          <c:showCatName val="0"/>
          <c:showSerName val="0"/>
          <c:showPercent val="0"/>
          <c:showBubbleSize val="0"/>
        </c:dLbls>
        <c:marker val="1"/>
        <c:smooth val="0"/>
        <c:axId val="502822800"/>
        <c:axId val="218835824"/>
      </c:lineChart>
      <c:catAx>
        <c:axId val="50282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18835824"/>
        <c:crosses val="autoZero"/>
        <c:auto val="1"/>
        <c:lblAlgn val="ctr"/>
        <c:lblOffset val="100"/>
        <c:noMultiLvlLbl val="0"/>
      </c:catAx>
      <c:valAx>
        <c:axId val="218835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0282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nb-NO"/>
              <a:t>Jeg er, alt i alt, tilfreds med studieprogrammet jeg går på</a:t>
            </a:r>
          </a:p>
        </c:rich>
      </c:tx>
      <c:layout>
        <c:manualLayout>
          <c:xMode val="edge"/>
          <c:yMode val="edge"/>
          <c:x val="0.14922612337896735"/>
          <c:y val="0"/>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spPr>
            <a:solidFill>
              <a:schemeClr val="accent1"/>
            </a:solidFill>
            <a:ln>
              <a:noFill/>
            </a:ln>
            <a:effectLst/>
          </c:spPr>
          <c:invertIfNegative val="0"/>
          <c:dPt>
            <c:idx val="35"/>
            <c:invertIfNegative val="0"/>
            <c:bubble3D val="0"/>
            <c:spPr>
              <a:solidFill>
                <a:schemeClr val="accent2"/>
              </a:solidFill>
              <a:ln>
                <a:noFill/>
              </a:ln>
              <a:effectLst/>
            </c:spPr>
            <c:extLst>
              <c:ext xmlns:c16="http://schemas.microsoft.com/office/drawing/2014/chart" uri="{C3380CC4-5D6E-409C-BE32-E72D297353CC}">
                <c16:uniqueId val="{00000001-E42D-452C-AC23-B9940BCD42D4}"/>
              </c:ext>
            </c:extLst>
          </c:dPt>
          <c:dPt>
            <c:idx val="36"/>
            <c:invertIfNegative val="0"/>
            <c:bubble3D val="0"/>
            <c:spPr>
              <a:solidFill>
                <a:schemeClr val="accent2"/>
              </a:solidFill>
              <a:ln>
                <a:noFill/>
              </a:ln>
              <a:effectLst/>
            </c:spPr>
            <c:extLst>
              <c:ext xmlns:c16="http://schemas.microsoft.com/office/drawing/2014/chart" uri="{C3380CC4-5D6E-409C-BE32-E72D297353CC}">
                <c16:uniqueId val="{00000003-E42D-452C-AC23-B9940BCD42D4}"/>
              </c:ext>
            </c:extLst>
          </c:dPt>
          <c:dLbls>
            <c:dLbl>
              <c:idx val="3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2D-452C-AC23-B9940BCD42D4}"/>
                </c:ext>
              </c:extLst>
            </c:dLbl>
            <c:dLbl>
              <c:idx val="36"/>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2D-452C-AC23-B9940BCD42D4}"/>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nb-NO"/>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'[figurer_8mars2024_arbeidsfil.xlsx]Figur 2.11'!$A$4:$B$40</c:f>
              <c:multiLvlStrCache>
                <c:ptCount val="37"/>
                <c:lvl>
                  <c:pt idx="0">
                    <c:v>BAS</c:v>
                  </c:pt>
                  <c:pt idx="1">
                    <c:v>SH</c:v>
                  </c:pt>
                  <c:pt idx="2">
                    <c:v>DMMH</c:v>
                  </c:pt>
                  <c:pt idx="3">
                    <c:v>HVL</c:v>
                  </c:pt>
                  <c:pt idx="4">
                    <c:v>NLA</c:v>
                  </c:pt>
                  <c:pt idx="5">
                    <c:v>ATH</c:v>
                  </c:pt>
                  <c:pt idx="6">
                    <c:v>HVO</c:v>
                  </c:pt>
                  <c:pt idx="7">
                    <c:v>HINN</c:v>
                  </c:pt>
                  <c:pt idx="8">
                    <c:v>HiØ</c:v>
                  </c:pt>
                  <c:pt idx="9">
                    <c:v>HK</c:v>
                  </c:pt>
                  <c:pt idx="10">
                    <c:v>LDH</c:v>
                  </c:pt>
                  <c:pt idx="11">
                    <c:v>RS</c:v>
                  </c:pt>
                  <c:pt idx="12">
                    <c:v>FIH</c:v>
                  </c:pt>
                  <c:pt idx="13">
                    <c:v>BDM</c:v>
                  </c:pt>
                  <c:pt idx="14">
                    <c:v>HLT</c:v>
                  </c:pt>
                  <c:pt idx="15">
                    <c:v>HFDK</c:v>
                  </c:pt>
                  <c:pt idx="16">
                    <c:v>HiM</c:v>
                  </c:pt>
                  <c:pt idx="17">
                    <c:v>BI</c:v>
                  </c:pt>
                  <c:pt idx="18">
                    <c:v>VID</c:v>
                  </c:pt>
                  <c:pt idx="19">
                    <c:v>NMH</c:v>
                  </c:pt>
                  <c:pt idx="20">
                    <c:v>KHiO</c:v>
                  </c:pt>
                  <c:pt idx="21">
                    <c:v>NIH</c:v>
                  </c:pt>
                  <c:pt idx="22">
                    <c:v>AHO</c:v>
                  </c:pt>
                  <c:pt idx="23">
                    <c:v>NHH</c:v>
                  </c:pt>
                  <c:pt idx="24">
                    <c:v>MF</c:v>
                  </c:pt>
                  <c:pt idx="25">
                    <c:v>UiS</c:v>
                  </c:pt>
                  <c:pt idx="26">
                    <c:v>OsloMet</c:v>
                  </c:pt>
                  <c:pt idx="27">
                    <c:v>NU</c:v>
                  </c:pt>
                  <c:pt idx="28">
                    <c:v>USN</c:v>
                  </c:pt>
                  <c:pt idx="29">
                    <c:v>UiT</c:v>
                  </c:pt>
                  <c:pt idx="30">
                    <c:v>UiA</c:v>
                  </c:pt>
                  <c:pt idx="31">
                    <c:v>UiB</c:v>
                  </c:pt>
                  <c:pt idx="32">
                    <c:v>NTNU</c:v>
                  </c:pt>
                  <c:pt idx="33">
                    <c:v>UiO</c:v>
                  </c:pt>
                  <c:pt idx="34">
                    <c:v>NMBU</c:v>
                  </c:pt>
                  <c:pt idx="36">
                    <c:v>Gjennomsnitt</c:v>
                  </c:pt>
                </c:lvl>
                <c:lvl>
                  <c:pt idx="0">
                    <c:v>Høyskoler</c:v>
                  </c:pt>
                  <c:pt idx="16">
                    <c:v>Vitenskapelige høyskoler</c:v>
                  </c:pt>
                  <c:pt idx="25">
                    <c:v>Universiteter</c:v>
                  </c:pt>
                  <c:pt idx="35">
                    <c:v>    </c:v>
                  </c:pt>
                </c:lvl>
              </c:multiLvlStrCache>
            </c:multiLvlStrRef>
          </c:cat>
          <c:val>
            <c:numRef>
              <c:f>'[figurer_8mars2024_arbeidsfil.xlsx]Figur 2.11'!$C$4:$C$40</c:f>
              <c:numCache>
                <c:formatCode>General</c:formatCode>
                <c:ptCount val="37"/>
                <c:pt idx="0">
                  <c:v>3.5151500000000002</c:v>
                </c:pt>
                <c:pt idx="1">
                  <c:v>3.5555599999999998</c:v>
                </c:pt>
                <c:pt idx="2">
                  <c:v>3.6626500000000002</c:v>
                </c:pt>
                <c:pt idx="3">
                  <c:v>3.80518</c:v>
                </c:pt>
                <c:pt idx="4">
                  <c:v>3.8088199999999999</c:v>
                </c:pt>
                <c:pt idx="5">
                  <c:v>3.8196699999999999</c:v>
                </c:pt>
                <c:pt idx="6">
                  <c:v>3.8464</c:v>
                </c:pt>
                <c:pt idx="7">
                  <c:v>3.8919899999999998</c:v>
                </c:pt>
                <c:pt idx="8">
                  <c:v>3.90741</c:v>
                </c:pt>
                <c:pt idx="9">
                  <c:v>3.9898699999999998</c:v>
                </c:pt>
                <c:pt idx="10">
                  <c:v>4.2777799999999999</c:v>
                </c:pt>
                <c:pt idx="11">
                  <c:v>4.4418600000000001</c:v>
                </c:pt>
                <c:pt idx="12">
                  <c:v>4.4571399999999999</c:v>
                </c:pt>
                <c:pt idx="13">
                  <c:v>4.6666699999999999</c:v>
                </c:pt>
                <c:pt idx="14">
                  <c:v>4.7878800000000004</c:v>
                </c:pt>
                <c:pt idx="15">
                  <c:v>4.8</c:v>
                </c:pt>
                <c:pt idx="16">
                  <c:v>3.8092100000000002</c:v>
                </c:pt>
                <c:pt idx="17">
                  <c:v>4.0262500000000001</c:v>
                </c:pt>
                <c:pt idx="18">
                  <c:v>4.0348800000000002</c:v>
                </c:pt>
                <c:pt idx="19">
                  <c:v>4.1304299999999996</c:v>
                </c:pt>
                <c:pt idx="20">
                  <c:v>4.1648399999999999</c:v>
                </c:pt>
                <c:pt idx="21">
                  <c:v>4.1804500000000004</c:v>
                </c:pt>
                <c:pt idx="22">
                  <c:v>4.2136800000000001</c:v>
                </c:pt>
                <c:pt idx="23">
                  <c:v>4.2777799999999999</c:v>
                </c:pt>
                <c:pt idx="24">
                  <c:v>4.34375</c:v>
                </c:pt>
                <c:pt idx="25">
                  <c:v>3.7235299999999998</c:v>
                </c:pt>
                <c:pt idx="26">
                  <c:v>3.7816900000000002</c:v>
                </c:pt>
                <c:pt idx="27">
                  <c:v>3.8781099999999999</c:v>
                </c:pt>
                <c:pt idx="28">
                  <c:v>3.8919800000000002</c:v>
                </c:pt>
                <c:pt idx="29">
                  <c:v>3.9140999999999999</c:v>
                </c:pt>
                <c:pt idx="30">
                  <c:v>3.9783900000000001</c:v>
                </c:pt>
                <c:pt idx="31">
                  <c:v>4.0149100000000004</c:v>
                </c:pt>
                <c:pt idx="32">
                  <c:v>4.04122</c:v>
                </c:pt>
                <c:pt idx="33">
                  <c:v>4.0698400000000001</c:v>
                </c:pt>
                <c:pt idx="34">
                  <c:v>4.2152200000000004</c:v>
                </c:pt>
                <c:pt idx="36">
                  <c:v>3.97</c:v>
                </c:pt>
              </c:numCache>
            </c:numRef>
          </c:val>
          <c:extLst>
            <c:ext xmlns:c16="http://schemas.microsoft.com/office/drawing/2014/chart" uri="{C3380CC4-5D6E-409C-BE32-E72D297353CC}">
              <c16:uniqueId val="{00000004-E42D-452C-AC23-B9940BCD42D4}"/>
            </c:ext>
          </c:extLst>
        </c:ser>
        <c:dLbls>
          <c:showLegendKey val="0"/>
          <c:showVal val="0"/>
          <c:showCatName val="0"/>
          <c:showSerName val="0"/>
          <c:showPercent val="0"/>
          <c:showBubbleSize val="0"/>
        </c:dLbls>
        <c:gapWidth val="182"/>
        <c:axId val="1371579088"/>
        <c:axId val="1371579920"/>
      </c:barChart>
      <c:catAx>
        <c:axId val="1371579088"/>
        <c:scaling>
          <c:orientation val="minMax"/>
        </c:scaling>
        <c:delete val="0"/>
        <c:axPos val="l"/>
        <c:numFmt formatCode="General" sourceLinked="1"/>
        <c:majorTickMark val="none"/>
        <c:minorTickMark val="none"/>
        <c:tickLblPos val="nextTo"/>
        <c:spPr>
          <a:noFill/>
          <a:ln w="9525" cap="flat" cmpd="sng" algn="ctr">
            <a:solidFill>
              <a:schemeClr val="bg1">
                <a:lumMod val="6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1371579920"/>
        <c:crosses val="autoZero"/>
        <c:auto val="1"/>
        <c:lblAlgn val="ctr"/>
        <c:lblOffset val="100"/>
        <c:noMultiLvlLbl val="0"/>
      </c:catAx>
      <c:valAx>
        <c:axId val="137157992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crossAx val="1371579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nb-NO"/>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'[figurer_8mars2024_arbeidsfil.xlsx]Figur 2.3'!$B$3</c:f>
              <c:strCache>
                <c:ptCount val="1"/>
                <c:pt idx="0">
                  <c:v>Studiepoeng per faglige årsverk</c:v>
                </c:pt>
              </c:strCache>
            </c:strRef>
          </c:tx>
          <c:invertIfNegative val="0"/>
          <c:cat>
            <c:numRef>
              <c:f>'[figurer_8mars2024_arbeidsfil.xlsx]Figur 2.3'!$A$4:$A$13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2.3'!$B$4:$B$13</c:f>
              <c:numCache>
                <c:formatCode>0.0</c:formatCode>
                <c:ptCount val="10"/>
                <c:pt idx="0">
                  <c:v>509.07486</c:v>
                </c:pt>
                <c:pt idx="1">
                  <c:v>503.98104999999998</c:v>
                </c:pt>
                <c:pt idx="2">
                  <c:v>498.03924000000001</c:v>
                </c:pt>
                <c:pt idx="3">
                  <c:v>488.50135</c:v>
                </c:pt>
                <c:pt idx="4">
                  <c:v>473.89566000000002</c:v>
                </c:pt>
                <c:pt idx="5">
                  <c:v>464.80131999999998</c:v>
                </c:pt>
                <c:pt idx="6">
                  <c:v>485.58406000000002</c:v>
                </c:pt>
                <c:pt idx="7">
                  <c:v>477.40496000000002</c:v>
                </c:pt>
                <c:pt idx="8">
                  <c:v>454.50268999999997</c:v>
                </c:pt>
                <c:pt idx="9">
                  <c:v>449.42426</c:v>
                </c:pt>
              </c:numCache>
            </c:numRef>
          </c:val>
          <c:extLst>
            <c:ext xmlns:c16="http://schemas.microsoft.com/office/drawing/2014/chart" uri="{C3380CC4-5D6E-409C-BE32-E72D297353CC}">
              <c16:uniqueId val="{00000000-2AC9-421D-87D0-FCDA13D55597}"/>
            </c:ext>
          </c:extLst>
        </c:ser>
        <c:dLbls>
          <c:showLegendKey val="0"/>
          <c:showVal val="0"/>
          <c:showCatName val="0"/>
          <c:showSerName val="0"/>
          <c:showPercent val="0"/>
          <c:showBubbleSize val="0"/>
        </c:dLbls>
        <c:gapWidth val="150"/>
        <c:axId val="90676224"/>
        <c:axId val="101876288"/>
      </c:barChart>
      <c:catAx>
        <c:axId val="90676224"/>
        <c:scaling>
          <c:orientation val="minMax"/>
        </c:scaling>
        <c:delete val="0"/>
        <c:axPos val="b"/>
        <c:numFmt formatCode="General" sourceLinked="1"/>
        <c:majorTickMark val="out"/>
        <c:minorTickMark val="none"/>
        <c:tickLblPos val="nextTo"/>
        <c:crossAx val="101876288"/>
        <c:crosses val="autoZero"/>
        <c:auto val="1"/>
        <c:lblAlgn val="ctr"/>
        <c:lblOffset val="100"/>
        <c:noMultiLvlLbl val="0"/>
      </c:catAx>
      <c:valAx>
        <c:axId val="101876288"/>
        <c:scaling>
          <c:orientation val="minMax"/>
          <c:max val="520"/>
          <c:min val="400"/>
        </c:scaling>
        <c:delete val="0"/>
        <c:axPos val="l"/>
        <c:majorGridlines/>
        <c:numFmt formatCode="0" sourceLinked="0"/>
        <c:majorTickMark val="out"/>
        <c:minorTickMark val="none"/>
        <c:tickLblPos val="nextTo"/>
        <c:crossAx val="90676224"/>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Sykepleieutdanning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[gjennomstroyming_samla.xlsx]Sheet1!$F$2481</c:f>
              <c:strCache>
                <c:ptCount val="1"/>
                <c:pt idx="0">
                  <c:v>Kvalifiserte førstevalgssøkere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[gjennomstroyming_samla.xlsx]Sheet1!$E$2482:$E$2497</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[gjennomstroyming_samla.xlsx]Sheet1!$F$2482:$F$2497</c:f>
              <c:numCache>
                <c:formatCode>General</c:formatCode>
                <c:ptCount val="16"/>
                <c:pt idx="0">
                  <c:v>5867</c:v>
                </c:pt>
                <c:pt idx="1">
                  <c:v>6733</c:v>
                </c:pt>
                <c:pt idx="2">
                  <c:v>6760</c:v>
                </c:pt>
                <c:pt idx="3">
                  <c:v>7278</c:v>
                </c:pt>
                <c:pt idx="4">
                  <c:v>7293</c:v>
                </c:pt>
                <c:pt idx="5">
                  <c:v>8183</c:v>
                </c:pt>
                <c:pt idx="6">
                  <c:v>8794</c:v>
                </c:pt>
                <c:pt idx="7">
                  <c:v>10886</c:v>
                </c:pt>
                <c:pt idx="8">
                  <c:v>12910</c:v>
                </c:pt>
                <c:pt idx="9">
                  <c:v>14010</c:v>
                </c:pt>
                <c:pt idx="10">
                  <c:v>14272</c:v>
                </c:pt>
                <c:pt idx="11">
                  <c:v>8954</c:v>
                </c:pt>
                <c:pt idx="12">
                  <c:v>9625</c:v>
                </c:pt>
                <c:pt idx="13">
                  <c:v>10284</c:v>
                </c:pt>
                <c:pt idx="14">
                  <c:v>7748</c:v>
                </c:pt>
                <c:pt idx="15">
                  <c:v>6469</c:v>
                </c:pt>
              </c:numCache>
            </c:numRef>
          </c:val>
          <c:smooth val="0"/>
          <c:extLst>
            <c:ext xmlns:c16="http://schemas.microsoft.com/office/drawing/2014/chart" uri="{C3380CC4-5D6E-409C-BE32-E72D297353CC}">
              <c16:uniqueId val="{00000000-801E-430E-A83A-A3A4D50C0112}"/>
            </c:ext>
          </c:extLst>
        </c:ser>
        <c:ser>
          <c:idx val="1"/>
          <c:order val="1"/>
          <c:tx>
            <c:strRef>
              <c:f>[gjennomstroyming_samla.xlsx]Sheet1!$G$2481</c:f>
              <c:strCache>
                <c:ptCount val="1"/>
                <c:pt idx="0">
                  <c:v>Møtt til studiestart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[gjennomstroyming_samla.xlsx]Sheet1!$E$2482:$E$2497</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[gjennomstroyming_samla.xlsx]Sheet1!$G$2482:$G$2497</c:f>
              <c:numCache>
                <c:formatCode>General</c:formatCode>
                <c:ptCount val="16"/>
                <c:pt idx="0">
                  <c:v>4330</c:v>
                </c:pt>
                <c:pt idx="1">
                  <c:v>4669</c:v>
                </c:pt>
                <c:pt idx="2">
                  <c:v>4652</c:v>
                </c:pt>
                <c:pt idx="3">
                  <c:v>4978</c:v>
                </c:pt>
                <c:pt idx="4">
                  <c:v>4964</c:v>
                </c:pt>
                <c:pt idx="5">
                  <c:v>5238</c:v>
                </c:pt>
                <c:pt idx="6">
                  <c:v>5176</c:v>
                </c:pt>
                <c:pt idx="7">
                  <c:v>5360</c:v>
                </c:pt>
                <c:pt idx="8">
                  <c:v>5253</c:v>
                </c:pt>
                <c:pt idx="9">
                  <c:v>5301</c:v>
                </c:pt>
                <c:pt idx="10">
                  <c:v>5193</c:v>
                </c:pt>
                <c:pt idx="11">
                  <c:v>5220</c:v>
                </c:pt>
                <c:pt idx="12">
                  <c:v>5356</c:v>
                </c:pt>
                <c:pt idx="13">
                  <c:v>5486</c:v>
                </c:pt>
                <c:pt idx="14">
                  <c:v>5422</c:v>
                </c:pt>
                <c:pt idx="15">
                  <c:v>4832</c:v>
                </c:pt>
              </c:numCache>
            </c:numRef>
          </c:val>
          <c:smooth val="0"/>
          <c:extLst>
            <c:ext xmlns:c16="http://schemas.microsoft.com/office/drawing/2014/chart" uri="{C3380CC4-5D6E-409C-BE32-E72D297353CC}">
              <c16:uniqueId val="{00000001-801E-430E-A83A-A3A4D50C0112}"/>
            </c:ext>
          </c:extLst>
        </c:ser>
        <c:ser>
          <c:idx val="2"/>
          <c:order val="2"/>
          <c:tx>
            <c:strRef>
              <c:f>[gjennomstroyming_samla.xlsx]Sheet1!$H$2481</c:f>
              <c:strCache>
                <c:ptCount val="1"/>
                <c:pt idx="0">
                  <c:v>Gjennomført studium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[gjennomstroyming_samla.xlsx]Sheet1!$E$2482:$E$2497</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[gjennomstroyming_samla.xlsx]Sheet1!$H$2482:$H$2497</c:f>
              <c:numCache>
                <c:formatCode>General</c:formatCode>
                <c:ptCount val="16"/>
                <c:pt idx="0">
                  <c:v>3339</c:v>
                </c:pt>
                <c:pt idx="1">
                  <c:v>3373</c:v>
                </c:pt>
                <c:pt idx="2">
                  <c:v>3179</c:v>
                </c:pt>
                <c:pt idx="3">
                  <c:v>3294</c:v>
                </c:pt>
                <c:pt idx="4">
                  <c:v>3506</c:v>
                </c:pt>
                <c:pt idx="5">
                  <c:v>3543</c:v>
                </c:pt>
                <c:pt idx="6">
                  <c:v>3630</c:v>
                </c:pt>
                <c:pt idx="7">
                  <c:v>3639</c:v>
                </c:pt>
                <c:pt idx="8">
                  <c:v>3783</c:v>
                </c:pt>
                <c:pt idx="9">
                  <c:v>4009</c:v>
                </c:pt>
                <c:pt idx="10">
                  <c:v>4042</c:v>
                </c:pt>
                <c:pt idx="11">
                  <c:v>4119</c:v>
                </c:pt>
                <c:pt idx="12">
                  <c:v>4174</c:v>
                </c:pt>
                <c:pt idx="13">
                  <c:v>4240</c:v>
                </c:pt>
                <c:pt idx="14">
                  <c:v>4437</c:v>
                </c:pt>
                <c:pt idx="15">
                  <c:v>4398</c:v>
                </c:pt>
              </c:numCache>
            </c:numRef>
          </c:val>
          <c:smooth val="0"/>
          <c:extLst>
            <c:ext xmlns:c16="http://schemas.microsoft.com/office/drawing/2014/chart" uri="{C3380CC4-5D6E-409C-BE32-E72D297353CC}">
              <c16:uniqueId val="{00000002-801E-430E-A83A-A3A4D50C0112}"/>
            </c:ext>
          </c:extLst>
        </c:ser>
        <c:dLbls>
          <c:showLegendKey val="0"/>
          <c:showVal val="0"/>
          <c:showCatName val="0"/>
          <c:showSerName val="0"/>
          <c:showPercent val="0"/>
          <c:showBubbleSize val="0"/>
        </c:dLbls>
        <c:marker val="1"/>
        <c:smooth val="0"/>
        <c:axId val="504724048"/>
        <c:axId val="58098128"/>
      </c:lineChart>
      <c:catAx>
        <c:axId val="504724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8098128"/>
        <c:crosses val="autoZero"/>
        <c:auto val="1"/>
        <c:lblAlgn val="ctr"/>
        <c:lblOffset val="100"/>
        <c:noMultiLvlLbl val="0"/>
      </c:catAx>
      <c:valAx>
        <c:axId val="5809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04724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Vernepleierutdanning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[gjennomstroyming_samla.xlsx]Sheet1!$F$2937</c:f>
              <c:strCache>
                <c:ptCount val="1"/>
                <c:pt idx="0">
                  <c:v>Kvalifiserte førstevalgssøkere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[gjennomstroyming_samla.xlsx]Sheet1!$E$2938:$E$2953</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[gjennomstroyming_samla.xlsx]Sheet1!$F$2938:$F$2953</c:f>
              <c:numCache>
                <c:formatCode>General</c:formatCode>
                <c:ptCount val="16"/>
                <c:pt idx="0">
                  <c:v>1011</c:v>
                </c:pt>
                <c:pt idx="1">
                  <c:v>1064</c:v>
                </c:pt>
                <c:pt idx="2">
                  <c:v>1383</c:v>
                </c:pt>
                <c:pt idx="3">
                  <c:v>1518</c:v>
                </c:pt>
                <c:pt idx="4">
                  <c:v>1869</c:v>
                </c:pt>
                <c:pt idx="5">
                  <c:v>1860</c:v>
                </c:pt>
                <c:pt idx="6">
                  <c:v>1910</c:v>
                </c:pt>
                <c:pt idx="7">
                  <c:v>2224</c:v>
                </c:pt>
                <c:pt idx="8">
                  <c:v>2773</c:v>
                </c:pt>
                <c:pt idx="9">
                  <c:v>3057</c:v>
                </c:pt>
                <c:pt idx="10">
                  <c:v>3623</c:v>
                </c:pt>
                <c:pt idx="11">
                  <c:v>3995</c:v>
                </c:pt>
                <c:pt idx="12">
                  <c:v>3394</c:v>
                </c:pt>
                <c:pt idx="13">
                  <c:v>4279</c:v>
                </c:pt>
                <c:pt idx="14">
                  <c:v>3727</c:v>
                </c:pt>
                <c:pt idx="15">
                  <c:v>3325</c:v>
                </c:pt>
              </c:numCache>
            </c:numRef>
          </c:val>
          <c:smooth val="0"/>
          <c:extLst>
            <c:ext xmlns:c16="http://schemas.microsoft.com/office/drawing/2014/chart" uri="{C3380CC4-5D6E-409C-BE32-E72D297353CC}">
              <c16:uniqueId val="{00000000-E64B-4BE2-944A-FBF8BFD6A086}"/>
            </c:ext>
          </c:extLst>
        </c:ser>
        <c:ser>
          <c:idx val="1"/>
          <c:order val="1"/>
          <c:tx>
            <c:strRef>
              <c:f>[gjennomstroyming_samla.xlsx]Sheet1!$G$2937</c:f>
              <c:strCache>
                <c:ptCount val="1"/>
                <c:pt idx="0">
                  <c:v>Møtt til studiestart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[gjennomstroyming_samla.xlsx]Sheet1!$E$2938:$E$2953</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[gjennomstroyming_samla.xlsx]Sheet1!$G$2938:$G$2953</c:f>
              <c:numCache>
                <c:formatCode>General</c:formatCode>
                <c:ptCount val="16"/>
                <c:pt idx="0">
                  <c:v>846</c:v>
                </c:pt>
                <c:pt idx="1">
                  <c:v>967</c:v>
                </c:pt>
                <c:pt idx="2">
                  <c:v>957</c:v>
                </c:pt>
                <c:pt idx="3">
                  <c:v>969</c:v>
                </c:pt>
                <c:pt idx="4">
                  <c:v>1180</c:v>
                </c:pt>
                <c:pt idx="5">
                  <c:v>1029</c:v>
                </c:pt>
                <c:pt idx="6">
                  <c:v>985</c:v>
                </c:pt>
                <c:pt idx="7">
                  <c:v>1094</c:v>
                </c:pt>
                <c:pt idx="8">
                  <c:v>1204</c:v>
                </c:pt>
                <c:pt idx="9">
                  <c:v>1130</c:v>
                </c:pt>
                <c:pt idx="10">
                  <c:v>1182</c:v>
                </c:pt>
                <c:pt idx="11">
                  <c:v>1122</c:v>
                </c:pt>
                <c:pt idx="12">
                  <c:v>1121</c:v>
                </c:pt>
                <c:pt idx="13">
                  <c:v>1331</c:v>
                </c:pt>
                <c:pt idx="14">
                  <c:v>1422</c:v>
                </c:pt>
                <c:pt idx="15">
                  <c:v>1389</c:v>
                </c:pt>
              </c:numCache>
            </c:numRef>
          </c:val>
          <c:smooth val="0"/>
          <c:extLst>
            <c:ext xmlns:c16="http://schemas.microsoft.com/office/drawing/2014/chart" uri="{C3380CC4-5D6E-409C-BE32-E72D297353CC}">
              <c16:uniqueId val="{00000001-E64B-4BE2-944A-FBF8BFD6A086}"/>
            </c:ext>
          </c:extLst>
        </c:ser>
        <c:ser>
          <c:idx val="2"/>
          <c:order val="2"/>
          <c:tx>
            <c:strRef>
              <c:f>[gjennomstroyming_samla.xlsx]Sheet1!$H$2937</c:f>
              <c:strCache>
                <c:ptCount val="1"/>
                <c:pt idx="0">
                  <c:v>Gjennomført studium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[gjennomstroyming_samla.xlsx]Sheet1!$E$2938:$E$2953</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[gjennomstroyming_samla.xlsx]Sheet1!$H$2938:$H$2953</c:f>
              <c:numCache>
                <c:formatCode>General</c:formatCode>
                <c:ptCount val="16"/>
                <c:pt idx="0">
                  <c:v>786</c:v>
                </c:pt>
                <c:pt idx="1">
                  <c:v>767</c:v>
                </c:pt>
                <c:pt idx="2">
                  <c:v>740</c:v>
                </c:pt>
                <c:pt idx="3">
                  <c:v>678</c:v>
                </c:pt>
                <c:pt idx="4">
                  <c:v>752</c:v>
                </c:pt>
                <c:pt idx="5">
                  <c:v>847</c:v>
                </c:pt>
                <c:pt idx="6">
                  <c:v>783</c:v>
                </c:pt>
                <c:pt idx="7">
                  <c:v>798</c:v>
                </c:pt>
                <c:pt idx="8">
                  <c:v>874</c:v>
                </c:pt>
                <c:pt idx="9">
                  <c:v>852</c:v>
                </c:pt>
                <c:pt idx="10">
                  <c:v>818</c:v>
                </c:pt>
                <c:pt idx="11">
                  <c:v>873</c:v>
                </c:pt>
                <c:pt idx="12">
                  <c:v>952</c:v>
                </c:pt>
                <c:pt idx="13">
                  <c:v>991</c:v>
                </c:pt>
                <c:pt idx="14">
                  <c:v>1026</c:v>
                </c:pt>
                <c:pt idx="15">
                  <c:v>957</c:v>
                </c:pt>
              </c:numCache>
            </c:numRef>
          </c:val>
          <c:smooth val="0"/>
          <c:extLst>
            <c:ext xmlns:c16="http://schemas.microsoft.com/office/drawing/2014/chart" uri="{C3380CC4-5D6E-409C-BE32-E72D297353CC}">
              <c16:uniqueId val="{00000002-E64B-4BE2-944A-FBF8BFD6A086}"/>
            </c:ext>
          </c:extLst>
        </c:ser>
        <c:dLbls>
          <c:showLegendKey val="0"/>
          <c:showVal val="0"/>
          <c:showCatName val="0"/>
          <c:showSerName val="0"/>
          <c:showPercent val="0"/>
          <c:showBubbleSize val="0"/>
        </c:dLbls>
        <c:marker val="1"/>
        <c:smooth val="0"/>
        <c:axId val="627512256"/>
        <c:axId val="54512656"/>
      </c:lineChart>
      <c:catAx>
        <c:axId val="62751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4512656"/>
        <c:crosses val="autoZero"/>
        <c:auto val="1"/>
        <c:lblAlgn val="ctr"/>
        <c:lblOffset val="100"/>
        <c:noMultiLvlLbl val="0"/>
      </c:catAx>
      <c:valAx>
        <c:axId val="54512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751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5"/>
            <c:invertIfNegative val="0"/>
            <c:bubble3D val="0"/>
            <c:spPr>
              <a:solidFill>
                <a:schemeClr val="accent1">
                  <a:lumMod val="50000"/>
                </a:schemeClr>
              </a:solidFill>
              <a:ln>
                <a:noFill/>
              </a:ln>
              <a:effectLst/>
            </c:spPr>
            <c:extLst>
              <c:ext xmlns:c16="http://schemas.microsoft.com/office/drawing/2014/chart" uri="{C3380CC4-5D6E-409C-BE32-E72D297353CC}">
                <c16:uniqueId val="{00000001-FA16-4A18-BB8A-CF7283CA7185}"/>
              </c:ext>
            </c:extLst>
          </c:dPt>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'Ark1'!$Q$16:$Q$26</c:f>
              <c:strCache>
                <c:ptCount val="11"/>
                <c:pt idx="0">
                  <c:v>UiT</c:v>
                </c:pt>
                <c:pt idx="1">
                  <c:v>HVO</c:v>
                </c:pt>
                <c:pt idx="2">
                  <c:v>NU</c:v>
                </c:pt>
                <c:pt idx="3">
                  <c:v>HINN</c:v>
                </c:pt>
                <c:pt idx="4">
                  <c:v>HVL</c:v>
                </c:pt>
                <c:pt idx="5">
                  <c:v>Totalt</c:v>
                </c:pt>
                <c:pt idx="6">
                  <c:v>NTNU</c:v>
                </c:pt>
                <c:pt idx="7">
                  <c:v>OsloMet</c:v>
                </c:pt>
                <c:pt idx="8">
                  <c:v>USN</c:v>
                </c:pt>
                <c:pt idx="9">
                  <c:v>UiS</c:v>
                </c:pt>
                <c:pt idx="10">
                  <c:v>HiØ</c:v>
                </c:pt>
              </c:strCache>
            </c:strRef>
          </c:cat>
          <c:val>
            <c:numRef>
              <c:f>'Ark1'!$R$16:$R$26</c:f>
              <c:numCache>
                <c:formatCode>General</c:formatCode>
                <c:ptCount val="11"/>
                <c:pt idx="0">
                  <c:v>0.5357142857142857</c:v>
                </c:pt>
                <c:pt idx="1">
                  <c:v>0.7857142857142857</c:v>
                </c:pt>
                <c:pt idx="2">
                  <c:v>0.83333333333333337</c:v>
                </c:pt>
                <c:pt idx="3">
                  <c:v>0.84210526315789469</c:v>
                </c:pt>
                <c:pt idx="4">
                  <c:v>0.875</c:v>
                </c:pt>
                <c:pt idx="5">
                  <c:v>0.93366093366093361</c:v>
                </c:pt>
                <c:pt idx="6">
                  <c:v>1</c:v>
                </c:pt>
                <c:pt idx="7">
                  <c:v>1</c:v>
                </c:pt>
                <c:pt idx="8">
                  <c:v>1</c:v>
                </c:pt>
                <c:pt idx="9">
                  <c:v>1.0476190476190477</c:v>
                </c:pt>
                <c:pt idx="10">
                  <c:v>1.4</c:v>
                </c:pt>
              </c:numCache>
            </c:numRef>
          </c:val>
          <c:extLst>
            <c:ext xmlns:c16="http://schemas.microsoft.com/office/drawing/2014/chart" uri="{C3380CC4-5D6E-409C-BE32-E72D297353CC}">
              <c16:uniqueId val="{00000002-FA16-4A18-BB8A-CF7283CA7185}"/>
            </c:ext>
          </c:extLst>
        </c:ser>
        <c:dLbls>
          <c:showLegendKey val="0"/>
          <c:showVal val="0"/>
          <c:showCatName val="0"/>
          <c:showSerName val="0"/>
          <c:showPercent val="0"/>
          <c:showBubbleSize val="0"/>
        </c:dLbls>
        <c:gapWidth val="219"/>
        <c:overlap val="-27"/>
        <c:axId val="635342448"/>
        <c:axId val="717714624"/>
      </c:barChart>
      <c:catAx>
        <c:axId val="63534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lumMod val="65000"/>
                    <a:lumOff val="35000"/>
                  </a:schemeClr>
                </a:solidFill>
                <a:latin typeface="+mn-lt"/>
                <a:ea typeface="+mn-ea"/>
                <a:cs typeface="+mn-cs"/>
              </a:defRPr>
            </a:pPr>
            <a:endParaRPr lang="nb-NO"/>
          </a:p>
        </c:txPr>
        <c:crossAx val="717714624"/>
        <c:crosses val="autoZero"/>
        <c:auto val="1"/>
        <c:lblAlgn val="ctr"/>
        <c:lblOffset val="100"/>
        <c:noMultiLvlLbl val="0"/>
      </c:catAx>
      <c:valAx>
        <c:axId val="71771462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35342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'[utkast_sysselsetjing.xlsx]Ark1'!$C$27</c:f>
              <c:strCache>
                <c:ptCount val="1"/>
                <c:pt idx="0">
                  <c:v>Ingen arbeidsforhold</c:v>
                </c:pt>
              </c:strCache>
            </c:strRef>
          </c:tx>
          <c:spPr>
            <a:solidFill>
              <a:schemeClr val="accent1"/>
            </a:solidFill>
            <a:ln>
              <a:noFill/>
            </a:ln>
            <a:effectLst/>
          </c:spPr>
          <c:invertIfNegative val="0"/>
          <c:cat>
            <c:strRef>
              <c:f>'[utkast_sysselsetjing.xlsx]Ark1'!$D$26:$T$26</c:f>
              <c:strCache>
                <c:ptCount val="17"/>
                <c:pt idx="0">
                  <c:v>Sykepleier, alle yrker</c:v>
                </c:pt>
                <c:pt idx="1">
                  <c:v>Sykepleier i helse-/pleieyrke</c:v>
                </c:pt>
                <c:pt idx="2">
                  <c:v>Sykepleier som sykepleier</c:v>
                </c:pt>
                <c:pt idx="4">
                  <c:v>Vernepleier, alle yrker</c:v>
                </c:pt>
                <c:pt idx="5">
                  <c:v>Vernepleier i helse-/pleieyrke</c:v>
                </c:pt>
                <c:pt idx="6">
                  <c:v>Vernepleier som vernepleier</c:v>
                </c:pt>
                <c:pt idx="8">
                  <c:v>Barnehagelærer, alle yrker</c:v>
                </c:pt>
                <c:pt idx="9">
                  <c:v>Barnehagelærer som barnehagelærer eller -assistent</c:v>
                </c:pt>
                <c:pt idx="10">
                  <c:v>Barnehagelærer som barnehagelærer</c:v>
                </c:pt>
                <c:pt idx="12">
                  <c:v>Grunnskolelærer 1-7, alle yrker</c:v>
                </c:pt>
                <c:pt idx="13">
                  <c:v>Grunnskolelærer 1-7 i læreryrke</c:v>
                </c:pt>
                <c:pt idx="15">
                  <c:v>Grunnskolelærer 5-10, alle yrker</c:v>
                </c:pt>
                <c:pt idx="16">
                  <c:v>Grunnskolelærer 5-10 i læreryrke</c:v>
                </c:pt>
              </c:strCache>
            </c:strRef>
          </c:cat>
          <c:val>
            <c:numRef>
              <c:f>'[utkast_sysselsetjing.xlsx]Ark1'!$D$27:$T$27</c:f>
              <c:numCache>
                <c:formatCode>General</c:formatCode>
                <c:ptCount val="17"/>
                <c:pt idx="0">
                  <c:v>3.3390000000000003E-2</c:v>
                </c:pt>
                <c:pt idx="1">
                  <c:v>5.8360000000000002E-2</c:v>
                </c:pt>
                <c:pt idx="2">
                  <c:v>7.6880000000000004E-2</c:v>
                </c:pt>
                <c:pt idx="4">
                  <c:v>3.3489999999999999E-2</c:v>
                </c:pt>
                <c:pt idx="5">
                  <c:v>0.12701999999999999</c:v>
                </c:pt>
                <c:pt idx="6">
                  <c:v>0.17783000000000002</c:v>
                </c:pt>
                <c:pt idx="8">
                  <c:v>5.3559999999999997E-2</c:v>
                </c:pt>
                <c:pt idx="9">
                  <c:v>0.18689</c:v>
                </c:pt>
                <c:pt idx="10">
                  <c:v>0.27521000000000001</c:v>
                </c:pt>
                <c:pt idx="12">
                  <c:v>2.8399999999999998E-2</c:v>
                </c:pt>
                <c:pt idx="13">
                  <c:v>8.1479999999999997E-2</c:v>
                </c:pt>
                <c:pt idx="15">
                  <c:v>3.576E-2</c:v>
                </c:pt>
                <c:pt idx="16">
                  <c:v>0.10851000000000001</c:v>
                </c:pt>
              </c:numCache>
            </c:numRef>
          </c:val>
          <c:extLst>
            <c:ext xmlns:c16="http://schemas.microsoft.com/office/drawing/2014/chart" uri="{C3380CC4-5D6E-409C-BE32-E72D297353CC}">
              <c16:uniqueId val="{00000000-8363-4A79-8AF6-4FA14E90F038}"/>
            </c:ext>
          </c:extLst>
        </c:ser>
        <c:ser>
          <c:idx val="2"/>
          <c:order val="2"/>
          <c:tx>
            <c:strRef>
              <c:f>'[utkast_sysselsetjing.xlsx]Ark1'!$C$29</c:f>
              <c:strCache>
                <c:ptCount val="1"/>
                <c:pt idx="0">
                  <c:v>Under 50 prosent</c:v>
                </c:pt>
              </c:strCache>
            </c:strRef>
          </c:tx>
          <c:spPr>
            <a:solidFill>
              <a:schemeClr val="accent3"/>
            </a:solidFill>
            <a:ln>
              <a:noFill/>
            </a:ln>
            <a:effectLst/>
          </c:spPr>
          <c:invertIfNegative val="0"/>
          <c:cat>
            <c:strRef>
              <c:f>'[utkast_sysselsetjing.xlsx]Ark1'!$D$26:$T$26</c:f>
              <c:strCache>
                <c:ptCount val="17"/>
                <c:pt idx="0">
                  <c:v>Sykepleier, alle yrker</c:v>
                </c:pt>
                <c:pt idx="1">
                  <c:v>Sykepleier i helse-/pleieyrke</c:v>
                </c:pt>
                <c:pt idx="2">
                  <c:v>Sykepleier som sykepleier</c:v>
                </c:pt>
                <c:pt idx="4">
                  <c:v>Vernepleier, alle yrker</c:v>
                </c:pt>
                <c:pt idx="5">
                  <c:v>Vernepleier i helse-/pleieyrke</c:v>
                </c:pt>
                <c:pt idx="6">
                  <c:v>Vernepleier som vernepleier</c:v>
                </c:pt>
                <c:pt idx="8">
                  <c:v>Barnehagelærer, alle yrker</c:v>
                </c:pt>
                <c:pt idx="9">
                  <c:v>Barnehagelærer som barnehagelærer eller -assistent</c:v>
                </c:pt>
                <c:pt idx="10">
                  <c:v>Barnehagelærer som barnehagelærer</c:v>
                </c:pt>
                <c:pt idx="12">
                  <c:v>Grunnskolelærer 1-7, alle yrker</c:v>
                </c:pt>
                <c:pt idx="13">
                  <c:v>Grunnskolelærer 1-7 i læreryrke</c:v>
                </c:pt>
                <c:pt idx="15">
                  <c:v>Grunnskolelærer 5-10, alle yrker</c:v>
                </c:pt>
                <c:pt idx="16">
                  <c:v>Grunnskolelærer 5-10 i læreryrke</c:v>
                </c:pt>
              </c:strCache>
            </c:strRef>
          </c:cat>
          <c:val>
            <c:numRef>
              <c:f>'[utkast_sysselsetjing.xlsx]Ark1'!$D$29:$T$29</c:f>
              <c:numCache>
                <c:formatCode>General</c:formatCode>
                <c:ptCount val="17"/>
                <c:pt idx="0">
                  <c:v>4.3490000000000001E-2</c:v>
                </c:pt>
                <c:pt idx="1">
                  <c:v>4.6300000000000001E-2</c:v>
                </c:pt>
                <c:pt idx="2">
                  <c:v>4.7980000000000002E-2</c:v>
                </c:pt>
                <c:pt idx="4">
                  <c:v>4.6189999999999995E-2</c:v>
                </c:pt>
                <c:pt idx="5">
                  <c:v>5.6580000000000005E-2</c:v>
                </c:pt>
                <c:pt idx="6">
                  <c:v>5.3120000000000001E-2</c:v>
                </c:pt>
                <c:pt idx="8">
                  <c:v>7.7490000000000003E-2</c:v>
                </c:pt>
                <c:pt idx="9">
                  <c:v>5.926E-2</c:v>
                </c:pt>
                <c:pt idx="10">
                  <c:v>3.3050000000000003E-2</c:v>
                </c:pt>
                <c:pt idx="12">
                  <c:v>2.469E-2</c:v>
                </c:pt>
                <c:pt idx="13">
                  <c:v>2.469E-2</c:v>
                </c:pt>
                <c:pt idx="15">
                  <c:v>3.6989999999999995E-2</c:v>
                </c:pt>
                <c:pt idx="16">
                  <c:v>3.4529999999999998E-2</c:v>
                </c:pt>
              </c:numCache>
            </c:numRef>
          </c:val>
          <c:extLst>
            <c:ext xmlns:c16="http://schemas.microsoft.com/office/drawing/2014/chart" uri="{C3380CC4-5D6E-409C-BE32-E72D297353CC}">
              <c16:uniqueId val="{00000001-8363-4A79-8AF6-4FA14E90F038}"/>
            </c:ext>
          </c:extLst>
        </c:ser>
        <c:ser>
          <c:idx val="4"/>
          <c:order val="4"/>
          <c:tx>
            <c:strRef>
              <c:f>'[utkast_sysselsetjing.xlsx]Ark1'!$C$31</c:f>
              <c:strCache>
                <c:ptCount val="1"/>
                <c:pt idx="0">
                  <c:v>50-99 prosent</c:v>
                </c:pt>
              </c:strCache>
            </c:strRef>
          </c:tx>
          <c:spPr>
            <a:solidFill>
              <a:schemeClr val="accent5"/>
            </a:solidFill>
            <a:ln>
              <a:noFill/>
            </a:ln>
            <a:effectLst/>
          </c:spPr>
          <c:invertIfNegative val="0"/>
          <c:cat>
            <c:strRef>
              <c:f>'[utkast_sysselsetjing.xlsx]Ark1'!$D$26:$T$26</c:f>
              <c:strCache>
                <c:ptCount val="17"/>
                <c:pt idx="0">
                  <c:v>Sykepleier, alle yrker</c:v>
                </c:pt>
                <c:pt idx="1">
                  <c:v>Sykepleier i helse-/pleieyrke</c:v>
                </c:pt>
                <c:pt idx="2">
                  <c:v>Sykepleier som sykepleier</c:v>
                </c:pt>
                <c:pt idx="4">
                  <c:v>Vernepleier, alle yrker</c:v>
                </c:pt>
                <c:pt idx="5">
                  <c:v>Vernepleier i helse-/pleieyrke</c:v>
                </c:pt>
                <c:pt idx="6">
                  <c:v>Vernepleier som vernepleier</c:v>
                </c:pt>
                <c:pt idx="8">
                  <c:v>Barnehagelærer, alle yrker</c:v>
                </c:pt>
                <c:pt idx="9">
                  <c:v>Barnehagelærer som barnehagelærer eller -assistent</c:v>
                </c:pt>
                <c:pt idx="10">
                  <c:v>Barnehagelærer som barnehagelærer</c:v>
                </c:pt>
                <c:pt idx="12">
                  <c:v>Grunnskolelærer 1-7, alle yrker</c:v>
                </c:pt>
                <c:pt idx="13">
                  <c:v>Grunnskolelærer 1-7 i læreryrke</c:v>
                </c:pt>
                <c:pt idx="15">
                  <c:v>Grunnskolelærer 5-10, alle yrker</c:v>
                </c:pt>
                <c:pt idx="16">
                  <c:v>Grunnskolelærer 5-10 i læreryrke</c:v>
                </c:pt>
              </c:strCache>
            </c:strRef>
          </c:cat>
          <c:val>
            <c:numRef>
              <c:f>'[utkast_sysselsetjing.xlsx]Ark1'!$D$31:$T$31</c:f>
              <c:numCache>
                <c:formatCode>General</c:formatCode>
                <c:ptCount val="17"/>
                <c:pt idx="0">
                  <c:v>0.28899999999999998</c:v>
                </c:pt>
                <c:pt idx="1">
                  <c:v>0.28732000000000002</c:v>
                </c:pt>
                <c:pt idx="2">
                  <c:v>0.28704000000000002</c:v>
                </c:pt>
                <c:pt idx="4">
                  <c:v>0.14896000000000001</c:v>
                </c:pt>
                <c:pt idx="5">
                  <c:v>0.13857</c:v>
                </c:pt>
                <c:pt idx="6">
                  <c:v>0.13048000000000001</c:v>
                </c:pt>
                <c:pt idx="8">
                  <c:v>9.1170000000000015E-2</c:v>
                </c:pt>
                <c:pt idx="9">
                  <c:v>5.2420000000000001E-2</c:v>
                </c:pt>
                <c:pt idx="10">
                  <c:v>3.7040000000000003E-2</c:v>
                </c:pt>
                <c:pt idx="12">
                  <c:v>4.0739999999999998E-2</c:v>
                </c:pt>
                <c:pt idx="13">
                  <c:v>4.1980000000000003E-2</c:v>
                </c:pt>
                <c:pt idx="15">
                  <c:v>8.1379999999999994E-2</c:v>
                </c:pt>
                <c:pt idx="16">
                  <c:v>8.2609999999999989E-2</c:v>
                </c:pt>
              </c:numCache>
            </c:numRef>
          </c:val>
          <c:extLst>
            <c:ext xmlns:c16="http://schemas.microsoft.com/office/drawing/2014/chart" uri="{C3380CC4-5D6E-409C-BE32-E72D297353CC}">
              <c16:uniqueId val="{00000002-8363-4A79-8AF6-4FA14E90F038}"/>
            </c:ext>
          </c:extLst>
        </c:ser>
        <c:ser>
          <c:idx val="6"/>
          <c:order val="6"/>
          <c:tx>
            <c:strRef>
              <c:f>'[utkast_sysselsetjing.xlsx]Ark1'!$C$33</c:f>
              <c:strCache>
                <c:ptCount val="1"/>
                <c:pt idx="0">
                  <c:v>100 prosent</c:v>
                </c:pt>
              </c:strCache>
            </c:strRef>
          </c:tx>
          <c:spPr>
            <a:solidFill>
              <a:schemeClr val="accent1">
                <a:lumMod val="60000"/>
              </a:schemeClr>
            </a:solidFill>
            <a:ln>
              <a:noFill/>
            </a:ln>
            <a:effectLst/>
          </c:spPr>
          <c:invertIfNegative val="0"/>
          <c:cat>
            <c:strRef>
              <c:f>'[utkast_sysselsetjing.xlsx]Ark1'!$D$26:$T$26</c:f>
              <c:strCache>
                <c:ptCount val="17"/>
                <c:pt idx="0">
                  <c:v>Sykepleier, alle yrker</c:v>
                </c:pt>
                <c:pt idx="1">
                  <c:v>Sykepleier i helse-/pleieyrke</c:v>
                </c:pt>
                <c:pt idx="2">
                  <c:v>Sykepleier som sykepleier</c:v>
                </c:pt>
                <c:pt idx="4">
                  <c:v>Vernepleier, alle yrker</c:v>
                </c:pt>
                <c:pt idx="5">
                  <c:v>Vernepleier i helse-/pleieyrke</c:v>
                </c:pt>
                <c:pt idx="6">
                  <c:v>Vernepleier som vernepleier</c:v>
                </c:pt>
                <c:pt idx="8">
                  <c:v>Barnehagelærer, alle yrker</c:v>
                </c:pt>
                <c:pt idx="9">
                  <c:v>Barnehagelærer som barnehagelærer eller -assistent</c:v>
                </c:pt>
                <c:pt idx="10">
                  <c:v>Barnehagelærer som barnehagelærer</c:v>
                </c:pt>
                <c:pt idx="12">
                  <c:v>Grunnskolelærer 1-7, alle yrker</c:v>
                </c:pt>
                <c:pt idx="13">
                  <c:v>Grunnskolelærer 1-7 i læreryrke</c:v>
                </c:pt>
                <c:pt idx="15">
                  <c:v>Grunnskolelærer 5-10, alle yrker</c:v>
                </c:pt>
                <c:pt idx="16">
                  <c:v>Grunnskolelærer 5-10 i læreryrke</c:v>
                </c:pt>
              </c:strCache>
            </c:strRef>
          </c:cat>
          <c:val>
            <c:numRef>
              <c:f>'[utkast_sysselsetjing.xlsx]Ark1'!$D$33:$T$33</c:f>
              <c:numCache>
                <c:formatCode>General</c:formatCode>
                <c:ptCount val="17"/>
                <c:pt idx="0">
                  <c:v>0.63328000000000007</c:v>
                </c:pt>
                <c:pt idx="1">
                  <c:v>0.60774000000000006</c:v>
                </c:pt>
                <c:pt idx="2">
                  <c:v>0.58642000000000005</c:v>
                </c:pt>
                <c:pt idx="4">
                  <c:v>0.75866</c:v>
                </c:pt>
                <c:pt idx="5">
                  <c:v>0.66858999999999991</c:v>
                </c:pt>
                <c:pt idx="6">
                  <c:v>0.63163999999999998</c:v>
                </c:pt>
                <c:pt idx="8">
                  <c:v>0.78405000000000002</c:v>
                </c:pt>
                <c:pt idx="9">
                  <c:v>0.70655000000000001</c:v>
                </c:pt>
                <c:pt idx="10">
                  <c:v>0.65355999999999992</c:v>
                </c:pt>
                <c:pt idx="12">
                  <c:v>0.88765000000000005</c:v>
                </c:pt>
                <c:pt idx="13">
                  <c:v>0.84814999999999996</c:v>
                </c:pt>
                <c:pt idx="15">
                  <c:v>0.83477000000000001</c:v>
                </c:pt>
                <c:pt idx="16">
                  <c:v>0.78421999999999992</c:v>
                </c:pt>
              </c:numCache>
            </c:numRef>
          </c:val>
          <c:extLst>
            <c:ext xmlns:c16="http://schemas.microsoft.com/office/drawing/2014/chart" uri="{C3380CC4-5D6E-409C-BE32-E72D297353CC}">
              <c16:uniqueId val="{00000003-8363-4A79-8AF6-4FA14E90F038}"/>
            </c:ext>
          </c:extLst>
        </c:ser>
        <c:dLbls>
          <c:showLegendKey val="0"/>
          <c:showVal val="0"/>
          <c:showCatName val="0"/>
          <c:showSerName val="0"/>
          <c:showPercent val="0"/>
          <c:showBubbleSize val="0"/>
        </c:dLbls>
        <c:gapWidth val="150"/>
        <c:overlap val="100"/>
        <c:axId val="794470144"/>
        <c:axId val="261952720"/>
        <c:extLst>
          <c:ext xmlns:c15="http://schemas.microsoft.com/office/drawing/2012/chart" uri="{02D57815-91ED-43cb-92C2-25804820EDAC}">
            <c15:filteredBarSeries>
              <c15:ser>
                <c:idx val="1"/>
                <c:order val="1"/>
                <c:tx>
                  <c:strRef>
                    <c:extLst>
                      <c:ext uri="{02D57815-91ED-43cb-92C2-25804820EDAC}">
                        <c15:formulaRef>
                          <c15:sqref>'[utkast_sysselsetjing.xlsx]Ark1'!$C$28</c15:sqref>
                        </c15:formulaRef>
                      </c:ext>
                    </c:extLst>
                    <c:strCache>
                      <c:ptCount val="1"/>
                    </c:strCache>
                  </c:strRef>
                </c:tx>
                <c:spPr>
                  <a:solidFill>
                    <a:schemeClr val="accent2"/>
                  </a:solidFill>
                  <a:ln>
                    <a:noFill/>
                  </a:ln>
                  <a:effectLst/>
                </c:spPr>
                <c:invertIfNegative val="0"/>
                <c:cat>
                  <c:strRef>
                    <c:extLst>
                      <c:ext uri="{02D57815-91ED-43cb-92C2-25804820EDAC}">
                        <c15:formulaRef>
                          <c15:sqref>'[utkast_sysselsetjing.xlsx]Ark1'!$D$26:$T$26</c15:sqref>
                        </c15:formulaRef>
                      </c:ext>
                    </c:extLst>
                    <c:strCache>
                      <c:ptCount val="17"/>
                      <c:pt idx="0">
                        <c:v>Sykepleier, alle yrker</c:v>
                      </c:pt>
                      <c:pt idx="1">
                        <c:v>Sykepleier i helse-/pleieyrke</c:v>
                      </c:pt>
                      <c:pt idx="2">
                        <c:v>Sykepleier som sykepleier</c:v>
                      </c:pt>
                      <c:pt idx="4">
                        <c:v>Vernepleier, alle yrker</c:v>
                      </c:pt>
                      <c:pt idx="5">
                        <c:v>Vernepleier i helse-/pleieyrke</c:v>
                      </c:pt>
                      <c:pt idx="6">
                        <c:v>Vernepleier som vernepleier</c:v>
                      </c:pt>
                      <c:pt idx="8">
                        <c:v>Barnehagelærer, alle yrker</c:v>
                      </c:pt>
                      <c:pt idx="9">
                        <c:v>Barnehagelærer som barnehagelærer eller -assistent</c:v>
                      </c:pt>
                      <c:pt idx="10">
                        <c:v>Barnehagelærer som barnehagelærer</c:v>
                      </c:pt>
                      <c:pt idx="12">
                        <c:v>Grunnskolelærer 1-7, alle yrker</c:v>
                      </c:pt>
                      <c:pt idx="13">
                        <c:v>Grunnskolelærer 1-7 i læreryrke</c:v>
                      </c:pt>
                      <c:pt idx="15">
                        <c:v>Grunnskolelærer 5-10, alle yrker</c:v>
                      </c:pt>
                      <c:pt idx="16">
                        <c:v>Grunnskolelærer 5-10 i læreryrke</c:v>
                      </c:pt>
                    </c:strCache>
                  </c:strRef>
                </c:cat>
                <c:val>
                  <c:numRef>
                    <c:extLst>
                      <c:ext uri="{02D57815-91ED-43cb-92C2-25804820EDAC}">
                        <c15:formulaRef>
                          <c15:sqref>'[utkast_sysselsetjing.xlsx]Ark1'!$D$28:$T$28</c15:sqref>
                        </c15:formulaRef>
                      </c:ext>
                    </c:extLst>
                    <c:numCache>
                      <c:formatCode>General</c:formatCode>
                      <c:ptCount val="17"/>
                    </c:numCache>
                  </c:numRef>
                </c:val>
                <c:extLst>
                  <c:ext xmlns:c16="http://schemas.microsoft.com/office/drawing/2014/chart" uri="{C3380CC4-5D6E-409C-BE32-E72D297353CC}">
                    <c16:uniqueId val="{00000004-8363-4A79-8AF6-4FA14E90F038}"/>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'[utkast_sysselsetjing.xlsx]Ark1'!$C$30</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'[utkast_sysselsetjing.xlsx]Ark1'!$D$26:$T$26</c15:sqref>
                        </c15:formulaRef>
                      </c:ext>
                    </c:extLst>
                    <c:strCache>
                      <c:ptCount val="17"/>
                      <c:pt idx="0">
                        <c:v>Sykepleier, alle yrker</c:v>
                      </c:pt>
                      <c:pt idx="1">
                        <c:v>Sykepleier i helse-/pleieyrke</c:v>
                      </c:pt>
                      <c:pt idx="2">
                        <c:v>Sykepleier som sykepleier</c:v>
                      </c:pt>
                      <c:pt idx="4">
                        <c:v>Vernepleier, alle yrker</c:v>
                      </c:pt>
                      <c:pt idx="5">
                        <c:v>Vernepleier i helse-/pleieyrke</c:v>
                      </c:pt>
                      <c:pt idx="6">
                        <c:v>Vernepleier som vernepleier</c:v>
                      </c:pt>
                      <c:pt idx="8">
                        <c:v>Barnehagelærer, alle yrker</c:v>
                      </c:pt>
                      <c:pt idx="9">
                        <c:v>Barnehagelærer som barnehagelærer eller -assistent</c:v>
                      </c:pt>
                      <c:pt idx="10">
                        <c:v>Barnehagelærer som barnehagelærer</c:v>
                      </c:pt>
                      <c:pt idx="12">
                        <c:v>Grunnskolelærer 1-7, alle yrker</c:v>
                      </c:pt>
                      <c:pt idx="13">
                        <c:v>Grunnskolelærer 1-7 i læreryrke</c:v>
                      </c:pt>
                      <c:pt idx="15">
                        <c:v>Grunnskolelærer 5-10, alle yrker</c:v>
                      </c:pt>
                      <c:pt idx="16">
                        <c:v>Grunnskolelærer 5-10 i læreryrke</c:v>
                      </c:pt>
                    </c:strCache>
                  </c:strRef>
                </c:cat>
                <c:val>
                  <c:numRef>
                    <c:extLst xmlns:c15="http://schemas.microsoft.com/office/drawing/2012/chart">
                      <c:ext xmlns:c15="http://schemas.microsoft.com/office/drawing/2012/chart" uri="{02D57815-91ED-43cb-92C2-25804820EDAC}">
                        <c15:formulaRef>
                          <c15:sqref>'[utkast_sysselsetjing.xlsx]Ark1'!$D$30:$T$30</c15:sqref>
                        </c15:formulaRef>
                      </c:ext>
                    </c:extLst>
                    <c:numCache>
                      <c:formatCode>General</c:formatCode>
                      <c:ptCount val="17"/>
                    </c:numCache>
                  </c:numRef>
                </c:val>
                <c:extLst xmlns:c15="http://schemas.microsoft.com/office/drawing/2012/chart">
                  <c:ext xmlns:c16="http://schemas.microsoft.com/office/drawing/2014/chart" uri="{C3380CC4-5D6E-409C-BE32-E72D297353CC}">
                    <c16:uniqueId val="{00000005-8363-4A79-8AF6-4FA14E90F038}"/>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'[utkast_sysselsetjing.xlsx]Ark1'!$C$32</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'[utkast_sysselsetjing.xlsx]Ark1'!$D$26:$T$26</c15:sqref>
                        </c15:formulaRef>
                      </c:ext>
                    </c:extLst>
                    <c:strCache>
                      <c:ptCount val="17"/>
                      <c:pt idx="0">
                        <c:v>Sykepleier, alle yrker</c:v>
                      </c:pt>
                      <c:pt idx="1">
                        <c:v>Sykepleier i helse-/pleieyrke</c:v>
                      </c:pt>
                      <c:pt idx="2">
                        <c:v>Sykepleier som sykepleier</c:v>
                      </c:pt>
                      <c:pt idx="4">
                        <c:v>Vernepleier, alle yrker</c:v>
                      </c:pt>
                      <c:pt idx="5">
                        <c:v>Vernepleier i helse-/pleieyrke</c:v>
                      </c:pt>
                      <c:pt idx="6">
                        <c:v>Vernepleier som vernepleier</c:v>
                      </c:pt>
                      <c:pt idx="8">
                        <c:v>Barnehagelærer, alle yrker</c:v>
                      </c:pt>
                      <c:pt idx="9">
                        <c:v>Barnehagelærer som barnehagelærer eller -assistent</c:v>
                      </c:pt>
                      <c:pt idx="10">
                        <c:v>Barnehagelærer som barnehagelærer</c:v>
                      </c:pt>
                      <c:pt idx="12">
                        <c:v>Grunnskolelærer 1-7, alle yrker</c:v>
                      </c:pt>
                      <c:pt idx="13">
                        <c:v>Grunnskolelærer 1-7 i læreryrke</c:v>
                      </c:pt>
                      <c:pt idx="15">
                        <c:v>Grunnskolelærer 5-10, alle yrker</c:v>
                      </c:pt>
                      <c:pt idx="16">
                        <c:v>Grunnskolelærer 5-10 i læreryrke</c:v>
                      </c:pt>
                    </c:strCache>
                  </c:strRef>
                </c:cat>
                <c:val>
                  <c:numRef>
                    <c:extLst xmlns:c15="http://schemas.microsoft.com/office/drawing/2012/chart">
                      <c:ext xmlns:c15="http://schemas.microsoft.com/office/drawing/2012/chart" uri="{02D57815-91ED-43cb-92C2-25804820EDAC}">
                        <c15:formulaRef>
                          <c15:sqref>'[utkast_sysselsetjing.xlsx]Ark1'!$D$32:$T$32</c15:sqref>
                        </c15:formulaRef>
                      </c:ext>
                    </c:extLst>
                    <c:numCache>
                      <c:formatCode>General</c:formatCode>
                      <c:ptCount val="17"/>
                    </c:numCache>
                  </c:numRef>
                </c:val>
                <c:extLst xmlns:c15="http://schemas.microsoft.com/office/drawing/2012/chart">
                  <c:ext xmlns:c16="http://schemas.microsoft.com/office/drawing/2014/chart" uri="{C3380CC4-5D6E-409C-BE32-E72D297353CC}">
                    <c16:uniqueId val="{00000006-8363-4A79-8AF6-4FA14E90F038}"/>
                  </c:ext>
                </c:extLst>
              </c15:ser>
            </c15:filteredBarSeries>
          </c:ext>
        </c:extLst>
      </c:barChart>
      <c:catAx>
        <c:axId val="79447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61952720"/>
        <c:crosses val="autoZero"/>
        <c:auto val="1"/>
        <c:lblAlgn val="ctr"/>
        <c:lblOffset val="100"/>
        <c:noMultiLvlLbl val="0"/>
      </c:catAx>
      <c:valAx>
        <c:axId val="261952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79447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Sheet1!$B$6</c:f>
              <c:strCache>
                <c:ptCount val="1"/>
                <c:pt idx="0">
                  <c:v>Høyere grad</c:v>
                </c:pt>
              </c:strCache>
            </c:strRef>
          </c:tx>
          <c:spPr>
            <a:solidFill>
              <a:schemeClr val="accent1"/>
            </a:solidFill>
            <a:ln>
              <a:noFill/>
            </a:ln>
            <a:effectLst/>
          </c:spPr>
          <c:invertIfNegative val="0"/>
          <c:cat>
            <c:strRef>
              <c:f>Sheet1!$A$7:$A$25</c:f>
              <c:strCache>
                <c:ptCount val="19"/>
                <c:pt idx="0">
                  <c:v>UiS</c:v>
                </c:pt>
                <c:pt idx="1">
                  <c:v>HVL</c:v>
                </c:pt>
                <c:pt idx="2">
                  <c:v>NHH</c:v>
                </c:pt>
                <c:pt idx="3">
                  <c:v>USN</c:v>
                </c:pt>
                <c:pt idx="4">
                  <c:v>NTNU</c:v>
                </c:pt>
                <c:pt idx="5">
                  <c:v>OsloMet</c:v>
                </c:pt>
                <c:pt idx="6">
                  <c:v>UiA</c:v>
                </c:pt>
                <c:pt idx="7">
                  <c:v>UiB</c:v>
                </c:pt>
                <c:pt idx="8">
                  <c:v>UiT</c:v>
                </c:pt>
                <c:pt idx="9">
                  <c:v>HiØ</c:v>
                </c:pt>
                <c:pt idx="10">
                  <c:v>UiO</c:v>
                </c:pt>
                <c:pt idx="11">
                  <c:v>HK</c:v>
                </c:pt>
                <c:pt idx="12">
                  <c:v>NMBU</c:v>
                </c:pt>
                <c:pt idx="13">
                  <c:v>BI</c:v>
                </c:pt>
                <c:pt idx="14">
                  <c:v>HINN</c:v>
                </c:pt>
                <c:pt idx="15">
                  <c:v>NU</c:v>
                </c:pt>
                <c:pt idx="16">
                  <c:v>VID</c:v>
                </c:pt>
                <c:pt idx="17">
                  <c:v>HVO</c:v>
                </c:pt>
                <c:pt idx="18">
                  <c:v>HiM</c:v>
                </c:pt>
              </c:strCache>
            </c:strRef>
          </c:cat>
          <c:val>
            <c:numRef>
              <c:f>Sheet1!$B$7:$B$25</c:f>
              <c:numCache>
                <c:formatCode>General</c:formatCode>
                <c:ptCount val="19"/>
                <c:pt idx="0">
                  <c:v>0.35340266374749141</c:v>
                </c:pt>
                <c:pt idx="1">
                  <c:v>0.30905291041812888</c:v>
                </c:pt>
                <c:pt idx="2">
                  <c:v>0.44794597636465949</c:v>
                </c:pt>
                <c:pt idx="3">
                  <c:v>0.30120150730966272</c:v>
                </c:pt>
                <c:pt idx="4">
                  <c:v>0.4841025484512389</c:v>
                </c:pt>
                <c:pt idx="5">
                  <c:v>0.29206152387023548</c:v>
                </c:pt>
                <c:pt idx="6">
                  <c:v>0.31835494871328451</c:v>
                </c:pt>
                <c:pt idx="7">
                  <c:v>0.45011244158647729</c:v>
                </c:pt>
                <c:pt idx="8">
                  <c:v>0.37070637467864981</c:v>
                </c:pt>
                <c:pt idx="9">
                  <c:v>0.22441799535893411</c:v>
                </c:pt>
                <c:pt idx="10">
                  <c:v>0.46252178965717611</c:v>
                </c:pt>
                <c:pt idx="11">
                  <c:v>4.7278867385374727E-2</c:v>
                </c:pt>
                <c:pt idx="12">
                  <c:v>0.54889196675900276</c:v>
                </c:pt>
                <c:pt idx="13">
                  <c:v>0.1020200058269399</c:v>
                </c:pt>
                <c:pt idx="14">
                  <c:v>0.21678214010777519</c:v>
                </c:pt>
                <c:pt idx="15">
                  <c:v>0.29215370309966943</c:v>
                </c:pt>
                <c:pt idx="16">
                  <c:v>0.20577933450087571</c:v>
                </c:pt>
                <c:pt idx="17">
                  <c:v>0.1954540228502063</c:v>
                </c:pt>
                <c:pt idx="18">
                  <c:v>0.14929726862901091</c:v>
                </c:pt>
              </c:numCache>
            </c:numRef>
          </c:val>
          <c:extLst>
            <c:ext xmlns:c16="http://schemas.microsoft.com/office/drawing/2014/chart" uri="{C3380CC4-5D6E-409C-BE32-E72D297353CC}">
              <c16:uniqueId val="{00000000-6B8F-490D-AE80-2D905CC3B6C0}"/>
            </c:ext>
          </c:extLst>
        </c:ser>
        <c:ser>
          <c:idx val="1"/>
          <c:order val="1"/>
          <c:tx>
            <c:strRef>
              <c:f>Sheet1!$C$6</c:f>
              <c:strCache>
                <c:ptCount val="1"/>
                <c:pt idx="0">
                  <c:v>Lavere grad</c:v>
                </c:pt>
              </c:strCache>
            </c:strRef>
          </c:tx>
          <c:spPr>
            <a:solidFill>
              <a:schemeClr val="accent2"/>
            </a:solidFill>
            <a:ln>
              <a:noFill/>
            </a:ln>
            <a:effectLst/>
          </c:spPr>
          <c:invertIfNegative val="0"/>
          <c:cat>
            <c:strRef>
              <c:f>Sheet1!$A$7:$A$25</c:f>
              <c:strCache>
                <c:ptCount val="19"/>
                <c:pt idx="0">
                  <c:v>UiS</c:v>
                </c:pt>
                <c:pt idx="1">
                  <c:v>HVL</c:v>
                </c:pt>
                <c:pt idx="2">
                  <c:v>NHH</c:v>
                </c:pt>
                <c:pt idx="3">
                  <c:v>USN</c:v>
                </c:pt>
                <c:pt idx="4">
                  <c:v>NTNU</c:v>
                </c:pt>
                <c:pt idx="5">
                  <c:v>OsloMet</c:v>
                </c:pt>
                <c:pt idx="6">
                  <c:v>UiA</c:v>
                </c:pt>
                <c:pt idx="7">
                  <c:v>UiB</c:v>
                </c:pt>
                <c:pt idx="8">
                  <c:v>UiT</c:v>
                </c:pt>
                <c:pt idx="9">
                  <c:v>HiØ</c:v>
                </c:pt>
                <c:pt idx="10">
                  <c:v>UiO</c:v>
                </c:pt>
                <c:pt idx="11">
                  <c:v>HK</c:v>
                </c:pt>
                <c:pt idx="12">
                  <c:v>NMBU</c:v>
                </c:pt>
                <c:pt idx="13">
                  <c:v>BI</c:v>
                </c:pt>
                <c:pt idx="14">
                  <c:v>HINN</c:v>
                </c:pt>
                <c:pt idx="15">
                  <c:v>NU</c:v>
                </c:pt>
                <c:pt idx="16">
                  <c:v>VID</c:v>
                </c:pt>
                <c:pt idx="17">
                  <c:v>HVO</c:v>
                </c:pt>
                <c:pt idx="18">
                  <c:v>HiM</c:v>
                </c:pt>
              </c:strCache>
            </c:strRef>
          </c:cat>
          <c:val>
            <c:numRef>
              <c:f>Sheet1!$C$7:$C$25</c:f>
              <c:numCache>
                <c:formatCode>General</c:formatCode>
                <c:ptCount val="19"/>
                <c:pt idx="0">
                  <c:v>0.53156358328772124</c:v>
                </c:pt>
                <c:pt idx="1">
                  <c:v>0.57421735377516125</c:v>
                </c:pt>
                <c:pt idx="2">
                  <c:v>0.43359594822734948</c:v>
                </c:pt>
                <c:pt idx="3">
                  <c:v>0.55465312806213374</c:v>
                </c:pt>
                <c:pt idx="4">
                  <c:v>0.37135191134448481</c:v>
                </c:pt>
                <c:pt idx="5">
                  <c:v>0.56230710626355607</c:v>
                </c:pt>
                <c:pt idx="6">
                  <c:v>0.53411581352971593</c:v>
                </c:pt>
                <c:pt idx="7">
                  <c:v>0.34440997535187712</c:v>
                </c:pt>
                <c:pt idx="8">
                  <c:v>0.42222312296488451</c:v>
                </c:pt>
                <c:pt idx="9">
                  <c:v>0.55498166030391494</c:v>
                </c:pt>
                <c:pt idx="10">
                  <c:v>0.31679256246368392</c:v>
                </c:pt>
                <c:pt idx="11">
                  <c:v>0.72710741654760358</c:v>
                </c:pt>
                <c:pt idx="12">
                  <c:v>0.20997229916897511</c:v>
                </c:pt>
                <c:pt idx="13">
                  <c:v>0.63722443430125275</c:v>
                </c:pt>
                <c:pt idx="14">
                  <c:v>0.52109314857582756</c:v>
                </c:pt>
                <c:pt idx="15">
                  <c:v>0.44370012998456743</c:v>
                </c:pt>
                <c:pt idx="16">
                  <c:v>0.49789842381786342</c:v>
                </c:pt>
                <c:pt idx="17">
                  <c:v>0.3820845398809094</c:v>
                </c:pt>
                <c:pt idx="18">
                  <c:v>0.42004773269689738</c:v>
                </c:pt>
              </c:numCache>
            </c:numRef>
          </c:val>
          <c:extLst>
            <c:ext xmlns:c16="http://schemas.microsoft.com/office/drawing/2014/chart" uri="{C3380CC4-5D6E-409C-BE32-E72D297353CC}">
              <c16:uniqueId val="{00000001-6B8F-490D-AE80-2D905CC3B6C0}"/>
            </c:ext>
          </c:extLst>
        </c:ser>
        <c:ser>
          <c:idx val="2"/>
          <c:order val="2"/>
          <c:tx>
            <c:strRef>
              <c:f>Sheet1!$D$6</c:f>
              <c:strCache>
                <c:ptCount val="1"/>
                <c:pt idx="0">
                  <c:v>Korte, ikke-gradsgivende studier</c:v>
                </c:pt>
              </c:strCache>
            </c:strRef>
          </c:tx>
          <c:spPr>
            <a:solidFill>
              <a:schemeClr val="accent3"/>
            </a:solidFill>
            <a:ln>
              <a:noFill/>
            </a:ln>
            <a:effectLst/>
          </c:spPr>
          <c:invertIfNegative val="0"/>
          <c:cat>
            <c:strRef>
              <c:f>Sheet1!$A$7:$A$25</c:f>
              <c:strCache>
                <c:ptCount val="19"/>
                <c:pt idx="0">
                  <c:v>UiS</c:v>
                </c:pt>
                <c:pt idx="1">
                  <c:v>HVL</c:v>
                </c:pt>
                <c:pt idx="2">
                  <c:v>NHH</c:v>
                </c:pt>
                <c:pt idx="3">
                  <c:v>USN</c:v>
                </c:pt>
                <c:pt idx="4">
                  <c:v>NTNU</c:v>
                </c:pt>
                <c:pt idx="5">
                  <c:v>OsloMet</c:v>
                </c:pt>
                <c:pt idx="6">
                  <c:v>UiA</c:v>
                </c:pt>
                <c:pt idx="7">
                  <c:v>UiB</c:v>
                </c:pt>
                <c:pt idx="8">
                  <c:v>UiT</c:v>
                </c:pt>
                <c:pt idx="9">
                  <c:v>HiØ</c:v>
                </c:pt>
                <c:pt idx="10">
                  <c:v>UiO</c:v>
                </c:pt>
                <c:pt idx="11">
                  <c:v>HK</c:v>
                </c:pt>
                <c:pt idx="12">
                  <c:v>NMBU</c:v>
                </c:pt>
                <c:pt idx="13">
                  <c:v>BI</c:v>
                </c:pt>
                <c:pt idx="14">
                  <c:v>HINN</c:v>
                </c:pt>
                <c:pt idx="15">
                  <c:v>NU</c:v>
                </c:pt>
                <c:pt idx="16">
                  <c:v>VID</c:v>
                </c:pt>
                <c:pt idx="17">
                  <c:v>HVO</c:v>
                </c:pt>
                <c:pt idx="18">
                  <c:v>HiM</c:v>
                </c:pt>
              </c:strCache>
            </c:strRef>
          </c:cat>
          <c:val>
            <c:numRef>
              <c:f>Sheet1!$D$7:$D$25</c:f>
              <c:numCache>
                <c:formatCode>General</c:formatCode>
                <c:ptCount val="19"/>
                <c:pt idx="0">
                  <c:v>0.11503375296478741</c:v>
                </c:pt>
                <c:pt idx="1">
                  <c:v>0.1167297358067098</c:v>
                </c:pt>
                <c:pt idx="2">
                  <c:v>0.118458075407991</c:v>
                </c:pt>
                <c:pt idx="3">
                  <c:v>0.14414536462820349</c:v>
                </c:pt>
                <c:pt idx="4">
                  <c:v>0.14454554020427629</c:v>
                </c:pt>
                <c:pt idx="5">
                  <c:v>0.14456243732168261</c:v>
                </c:pt>
                <c:pt idx="6">
                  <c:v>0.14681750698822699</c:v>
                </c:pt>
                <c:pt idx="7">
                  <c:v>0.2054775830616456</c:v>
                </c:pt>
                <c:pt idx="8">
                  <c:v>0.2070705023564656</c:v>
                </c:pt>
                <c:pt idx="9">
                  <c:v>0.22060034433715101</c:v>
                </c:pt>
                <c:pt idx="10">
                  <c:v>0.22068564787914</c:v>
                </c:pt>
                <c:pt idx="11">
                  <c:v>0.22412001558643979</c:v>
                </c:pt>
                <c:pt idx="12">
                  <c:v>0.24030470914127419</c:v>
                </c:pt>
                <c:pt idx="13">
                  <c:v>0.26075555987180732</c:v>
                </c:pt>
                <c:pt idx="14">
                  <c:v>0.26212471131639731</c:v>
                </c:pt>
                <c:pt idx="15">
                  <c:v>0.26414616691576309</c:v>
                </c:pt>
                <c:pt idx="16">
                  <c:v>0.29632224168126092</c:v>
                </c:pt>
                <c:pt idx="17">
                  <c:v>0.4224614372688843</c:v>
                </c:pt>
                <c:pt idx="18">
                  <c:v>0.43065499867409168</c:v>
                </c:pt>
              </c:numCache>
            </c:numRef>
          </c:val>
          <c:extLst>
            <c:ext xmlns:c16="http://schemas.microsoft.com/office/drawing/2014/chart" uri="{C3380CC4-5D6E-409C-BE32-E72D297353CC}">
              <c16:uniqueId val="{00000002-6B8F-490D-AE80-2D905CC3B6C0}"/>
            </c:ext>
          </c:extLst>
        </c:ser>
        <c:dLbls>
          <c:showLegendKey val="0"/>
          <c:showVal val="0"/>
          <c:showCatName val="0"/>
          <c:showSerName val="0"/>
          <c:showPercent val="0"/>
          <c:showBubbleSize val="0"/>
        </c:dLbls>
        <c:gapWidth val="150"/>
        <c:overlap val="100"/>
        <c:axId val="1325597808"/>
        <c:axId val="1335309344"/>
      </c:barChart>
      <c:catAx>
        <c:axId val="132559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35309344"/>
        <c:crosses val="autoZero"/>
        <c:auto val="1"/>
        <c:lblAlgn val="ctr"/>
        <c:lblOffset val="100"/>
        <c:noMultiLvlLbl val="0"/>
      </c:catAx>
      <c:valAx>
        <c:axId val="13353093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25597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[utkast_sysselsetjing.xlsx]Mastergrad!$F$2</c:f>
              <c:strCache>
                <c:ptCount val="1"/>
                <c:pt idx="0">
                  <c:v>Ingen arbeidsforhold</c:v>
                </c:pt>
              </c:strCache>
            </c:strRef>
          </c:tx>
          <c:spPr>
            <a:solidFill>
              <a:schemeClr val="accent1"/>
            </a:solidFill>
            <a:ln>
              <a:noFill/>
            </a:ln>
            <a:effectLst/>
          </c:spPr>
          <c:invertIfNegative val="0"/>
          <c:cat>
            <c:strRef>
              <c:f>[utkast_sysselsetjing.xlsx]Mastergrad!$G$1:$N$1</c:f>
              <c:strCache>
                <c:ptCount val="8"/>
                <c:pt idx="0">
                  <c:v>Humanistiske fag</c:v>
                </c:pt>
                <c:pt idx="1">
                  <c:v>Naturvit. fag (ikke master i teknologi)</c:v>
                </c:pt>
                <c:pt idx="2">
                  <c:v>Samf. og juridiske fag (ikke rettsvitenskap)</c:v>
                </c:pt>
                <c:pt idx="3">
                  <c:v>Øk-adm (ikke siviløkonom)</c:v>
                </c:pt>
                <c:pt idx="5">
                  <c:v>Sivilingeniør/master i teknologi</c:v>
                </c:pt>
                <c:pt idx="6">
                  <c:v>Rettsvitenskap</c:v>
                </c:pt>
                <c:pt idx="7">
                  <c:v>Siviløkonom</c:v>
                </c:pt>
              </c:strCache>
            </c:strRef>
          </c:cat>
          <c:val>
            <c:numRef>
              <c:f>[utkast_sysselsetjing.xlsx]Mastergrad!$G$2:$N$2</c:f>
              <c:numCache>
                <c:formatCode>General</c:formatCode>
                <c:ptCount val="8"/>
                <c:pt idx="0">
                  <c:v>0.16939000000000001</c:v>
                </c:pt>
                <c:pt idx="1">
                  <c:v>9.2280000000000001E-2</c:v>
                </c:pt>
                <c:pt idx="2">
                  <c:v>6.8129999999999996E-2</c:v>
                </c:pt>
                <c:pt idx="3">
                  <c:v>2.8119999999999999E-2</c:v>
                </c:pt>
                <c:pt idx="5">
                  <c:v>5.5709999999999996E-2</c:v>
                </c:pt>
                <c:pt idx="6">
                  <c:v>3.1099999999999999E-2</c:v>
                </c:pt>
                <c:pt idx="7">
                  <c:v>5.1369999999999999E-2</c:v>
                </c:pt>
              </c:numCache>
            </c:numRef>
          </c:val>
          <c:extLst>
            <c:ext xmlns:c16="http://schemas.microsoft.com/office/drawing/2014/chart" uri="{C3380CC4-5D6E-409C-BE32-E72D297353CC}">
              <c16:uniqueId val="{00000000-02F3-4222-8B55-AA0B954C42B6}"/>
            </c:ext>
          </c:extLst>
        </c:ser>
        <c:ser>
          <c:idx val="2"/>
          <c:order val="2"/>
          <c:tx>
            <c:strRef>
              <c:f>[utkast_sysselsetjing.xlsx]Mastergrad!$F$4</c:f>
              <c:strCache>
                <c:ptCount val="1"/>
                <c:pt idx="0">
                  <c:v>Under 50 prosent</c:v>
                </c:pt>
              </c:strCache>
            </c:strRef>
          </c:tx>
          <c:spPr>
            <a:solidFill>
              <a:schemeClr val="accent3"/>
            </a:solidFill>
            <a:ln>
              <a:noFill/>
            </a:ln>
            <a:effectLst/>
          </c:spPr>
          <c:invertIfNegative val="0"/>
          <c:cat>
            <c:strRef>
              <c:f>[utkast_sysselsetjing.xlsx]Mastergrad!$G$1:$N$1</c:f>
              <c:strCache>
                <c:ptCount val="8"/>
                <c:pt idx="0">
                  <c:v>Humanistiske fag</c:v>
                </c:pt>
                <c:pt idx="1">
                  <c:v>Naturvit. fag (ikke master i teknologi)</c:v>
                </c:pt>
                <c:pt idx="2">
                  <c:v>Samf. og juridiske fag (ikke rettsvitenskap)</c:v>
                </c:pt>
                <c:pt idx="3">
                  <c:v>Øk-adm (ikke siviløkonom)</c:v>
                </c:pt>
                <c:pt idx="5">
                  <c:v>Sivilingeniør/master i teknologi</c:v>
                </c:pt>
                <c:pt idx="6">
                  <c:v>Rettsvitenskap</c:v>
                </c:pt>
                <c:pt idx="7">
                  <c:v>Siviløkonom</c:v>
                </c:pt>
              </c:strCache>
            </c:strRef>
          </c:cat>
          <c:val>
            <c:numRef>
              <c:f>[utkast_sysselsetjing.xlsx]Mastergrad!$G$4:$N$4</c:f>
              <c:numCache>
                <c:formatCode>General</c:formatCode>
                <c:ptCount val="8"/>
                <c:pt idx="0">
                  <c:v>0.18878</c:v>
                </c:pt>
                <c:pt idx="1">
                  <c:v>4.2130000000000001E-2</c:v>
                </c:pt>
                <c:pt idx="2">
                  <c:v>6.923E-2</c:v>
                </c:pt>
                <c:pt idx="3">
                  <c:v>2.9340000000000001E-2</c:v>
                </c:pt>
                <c:pt idx="5">
                  <c:v>2.368E-2</c:v>
                </c:pt>
                <c:pt idx="6">
                  <c:v>1.9640000000000001E-2</c:v>
                </c:pt>
                <c:pt idx="7">
                  <c:v>6.3320000000000001E-2</c:v>
                </c:pt>
              </c:numCache>
            </c:numRef>
          </c:val>
          <c:extLst>
            <c:ext xmlns:c16="http://schemas.microsoft.com/office/drawing/2014/chart" uri="{C3380CC4-5D6E-409C-BE32-E72D297353CC}">
              <c16:uniqueId val="{00000001-02F3-4222-8B55-AA0B954C42B6}"/>
            </c:ext>
          </c:extLst>
        </c:ser>
        <c:ser>
          <c:idx val="4"/>
          <c:order val="4"/>
          <c:tx>
            <c:strRef>
              <c:f>[utkast_sysselsetjing.xlsx]Mastergrad!$F$6</c:f>
              <c:strCache>
                <c:ptCount val="1"/>
                <c:pt idx="0">
                  <c:v>50-99 prosent</c:v>
                </c:pt>
              </c:strCache>
            </c:strRef>
          </c:tx>
          <c:spPr>
            <a:solidFill>
              <a:schemeClr val="accent5"/>
            </a:solidFill>
            <a:ln>
              <a:noFill/>
            </a:ln>
            <a:effectLst/>
          </c:spPr>
          <c:invertIfNegative val="0"/>
          <c:cat>
            <c:strRef>
              <c:f>[utkast_sysselsetjing.xlsx]Mastergrad!$G$1:$N$1</c:f>
              <c:strCache>
                <c:ptCount val="8"/>
                <c:pt idx="0">
                  <c:v>Humanistiske fag</c:v>
                </c:pt>
                <c:pt idx="1">
                  <c:v>Naturvit. fag (ikke master i teknologi)</c:v>
                </c:pt>
                <c:pt idx="2">
                  <c:v>Samf. og juridiske fag (ikke rettsvitenskap)</c:v>
                </c:pt>
                <c:pt idx="3">
                  <c:v>Øk-adm (ikke siviløkonom)</c:v>
                </c:pt>
                <c:pt idx="5">
                  <c:v>Sivilingeniør/master i teknologi</c:v>
                </c:pt>
                <c:pt idx="6">
                  <c:v>Rettsvitenskap</c:v>
                </c:pt>
                <c:pt idx="7">
                  <c:v>Siviløkonom</c:v>
                </c:pt>
              </c:strCache>
            </c:strRef>
          </c:cat>
          <c:val>
            <c:numRef>
              <c:f>[utkast_sysselsetjing.xlsx]Mastergrad!$G$6:$N$6</c:f>
              <c:numCache>
                <c:formatCode>General</c:formatCode>
                <c:ptCount val="8"/>
                <c:pt idx="0">
                  <c:v>0.14082</c:v>
                </c:pt>
                <c:pt idx="1">
                  <c:v>4.3129999999999995E-2</c:v>
                </c:pt>
                <c:pt idx="2">
                  <c:v>5.2750000000000005E-2</c:v>
                </c:pt>
                <c:pt idx="3">
                  <c:v>2.6890000000000001E-2</c:v>
                </c:pt>
                <c:pt idx="5">
                  <c:v>1.532E-2</c:v>
                </c:pt>
                <c:pt idx="6">
                  <c:v>2.6190000000000001E-2</c:v>
                </c:pt>
                <c:pt idx="7">
                  <c:v>2.0310000000000002E-2</c:v>
                </c:pt>
              </c:numCache>
            </c:numRef>
          </c:val>
          <c:extLst>
            <c:ext xmlns:c16="http://schemas.microsoft.com/office/drawing/2014/chart" uri="{C3380CC4-5D6E-409C-BE32-E72D297353CC}">
              <c16:uniqueId val="{00000002-02F3-4222-8B55-AA0B954C42B6}"/>
            </c:ext>
          </c:extLst>
        </c:ser>
        <c:ser>
          <c:idx val="6"/>
          <c:order val="6"/>
          <c:tx>
            <c:strRef>
              <c:f>[utkast_sysselsetjing.xlsx]Mastergrad!$F$8</c:f>
              <c:strCache>
                <c:ptCount val="1"/>
                <c:pt idx="0">
                  <c:v>100 prosent</c:v>
                </c:pt>
              </c:strCache>
            </c:strRef>
          </c:tx>
          <c:spPr>
            <a:solidFill>
              <a:schemeClr val="accent1">
                <a:lumMod val="60000"/>
              </a:schemeClr>
            </a:solidFill>
            <a:ln>
              <a:noFill/>
            </a:ln>
            <a:effectLst/>
          </c:spPr>
          <c:invertIfNegative val="0"/>
          <c:cat>
            <c:strRef>
              <c:f>[utkast_sysselsetjing.xlsx]Mastergrad!$G$1:$N$1</c:f>
              <c:strCache>
                <c:ptCount val="8"/>
                <c:pt idx="0">
                  <c:v>Humanistiske fag</c:v>
                </c:pt>
                <c:pt idx="1">
                  <c:v>Naturvit. fag (ikke master i teknologi)</c:v>
                </c:pt>
                <c:pt idx="2">
                  <c:v>Samf. og juridiske fag (ikke rettsvitenskap)</c:v>
                </c:pt>
                <c:pt idx="3">
                  <c:v>Øk-adm (ikke siviløkonom)</c:v>
                </c:pt>
                <c:pt idx="5">
                  <c:v>Sivilingeniør/master i teknologi</c:v>
                </c:pt>
                <c:pt idx="6">
                  <c:v>Rettsvitenskap</c:v>
                </c:pt>
                <c:pt idx="7">
                  <c:v>Siviløkonom</c:v>
                </c:pt>
              </c:strCache>
            </c:strRef>
          </c:cat>
          <c:val>
            <c:numRef>
              <c:f>[utkast_sysselsetjing.xlsx]Mastergrad!$G$8:$N$8</c:f>
              <c:numCache>
                <c:formatCode>General</c:formatCode>
                <c:ptCount val="8"/>
                <c:pt idx="0">
                  <c:v>0.5</c:v>
                </c:pt>
                <c:pt idx="1">
                  <c:v>0.83149000000000006</c:v>
                </c:pt>
                <c:pt idx="2">
                  <c:v>0.79450999999999994</c:v>
                </c:pt>
                <c:pt idx="3">
                  <c:v>0.92543000000000009</c:v>
                </c:pt>
                <c:pt idx="5">
                  <c:v>0.91364999999999996</c:v>
                </c:pt>
                <c:pt idx="6">
                  <c:v>0.92635000000000001</c:v>
                </c:pt>
                <c:pt idx="7">
                  <c:v>0.84587999999999997</c:v>
                </c:pt>
              </c:numCache>
            </c:numRef>
          </c:val>
          <c:extLst>
            <c:ext xmlns:c16="http://schemas.microsoft.com/office/drawing/2014/chart" uri="{C3380CC4-5D6E-409C-BE32-E72D297353CC}">
              <c16:uniqueId val="{00000003-02F3-4222-8B55-AA0B954C42B6}"/>
            </c:ext>
          </c:extLst>
        </c:ser>
        <c:dLbls>
          <c:showLegendKey val="0"/>
          <c:showVal val="0"/>
          <c:showCatName val="0"/>
          <c:showSerName val="0"/>
          <c:showPercent val="0"/>
          <c:showBubbleSize val="0"/>
        </c:dLbls>
        <c:gapWidth val="150"/>
        <c:overlap val="100"/>
        <c:axId val="1771241552"/>
        <c:axId val="239300608"/>
        <c:extLst>
          <c:ext xmlns:c15="http://schemas.microsoft.com/office/drawing/2012/chart" uri="{02D57815-91ED-43cb-92C2-25804820EDAC}">
            <c15:filteredBarSeries>
              <c15:ser>
                <c:idx val="1"/>
                <c:order val="1"/>
                <c:tx>
                  <c:strRef>
                    <c:extLst>
                      <c:ext uri="{02D57815-91ED-43cb-92C2-25804820EDAC}">
                        <c15:formulaRef>
                          <c15:sqref>[utkast_sysselsetjing.xlsx]Mastergrad!$F$3</c15:sqref>
                        </c15:formulaRef>
                      </c:ext>
                    </c:extLst>
                    <c:strCache>
                      <c:ptCount val="1"/>
                    </c:strCache>
                  </c:strRef>
                </c:tx>
                <c:spPr>
                  <a:solidFill>
                    <a:schemeClr val="accent2"/>
                  </a:solidFill>
                  <a:ln>
                    <a:noFill/>
                  </a:ln>
                  <a:effectLst/>
                </c:spPr>
                <c:invertIfNegative val="0"/>
                <c:cat>
                  <c:strRef>
                    <c:extLst>
                      <c:ext uri="{02D57815-91ED-43cb-92C2-25804820EDAC}">
                        <c15:formulaRef>
                          <c15:sqref>[utkast_sysselsetjing.xlsx]Mastergrad!$G$1:$N$1</c15:sqref>
                        </c15:formulaRef>
                      </c:ext>
                    </c:extLst>
                    <c:strCache>
                      <c:ptCount val="8"/>
                      <c:pt idx="0">
                        <c:v>Humanistiske fag</c:v>
                      </c:pt>
                      <c:pt idx="1">
                        <c:v>Naturvit. fag (ikke master i teknologi)</c:v>
                      </c:pt>
                      <c:pt idx="2">
                        <c:v>Samf. og juridiske fag (ikke rettsvitenskap)</c:v>
                      </c:pt>
                      <c:pt idx="3">
                        <c:v>Øk-adm (ikke siviløkonom)</c:v>
                      </c:pt>
                      <c:pt idx="5">
                        <c:v>Sivilingeniør/master i teknologi</c:v>
                      </c:pt>
                      <c:pt idx="6">
                        <c:v>Rettsvitenskap</c:v>
                      </c:pt>
                      <c:pt idx="7">
                        <c:v>Siviløkonom</c:v>
                      </c:pt>
                    </c:strCache>
                  </c:strRef>
                </c:cat>
                <c:val>
                  <c:numRef>
                    <c:extLst>
                      <c:ext uri="{02D57815-91ED-43cb-92C2-25804820EDAC}">
                        <c15:formulaRef>
                          <c15:sqref>[utkast_sysselsetjing.xlsx]Mastergrad!$G$3:$N$3</c15:sqref>
                        </c15:formulaRef>
                      </c:ext>
                    </c:extLst>
                    <c:numCache>
                      <c:formatCode>General</c:formatCode>
                      <c:ptCount val="8"/>
                    </c:numCache>
                  </c:numRef>
                </c:val>
                <c:extLst>
                  <c:ext xmlns:c16="http://schemas.microsoft.com/office/drawing/2014/chart" uri="{C3380CC4-5D6E-409C-BE32-E72D297353CC}">
                    <c16:uniqueId val="{00000004-02F3-4222-8B55-AA0B954C42B6}"/>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[utkast_sysselsetjing.xlsx]Mastergrad!$F$5</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[utkast_sysselsetjing.xlsx]Mastergrad!$G$1:$N$1</c15:sqref>
                        </c15:formulaRef>
                      </c:ext>
                    </c:extLst>
                    <c:strCache>
                      <c:ptCount val="8"/>
                      <c:pt idx="0">
                        <c:v>Humanistiske fag</c:v>
                      </c:pt>
                      <c:pt idx="1">
                        <c:v>Naturvit. fag (ikke master i teknologi)</c:v>
                      </c:pt>
                      <c:pt idx="2">
                        <c:v>Samf. og juridiske fag (ikke rettsvitenskap)</c:v>
                      </c:pt>
                      <c:pt idx="3">
                        <c:v>Øk-adm (ikke siviløkonom)</c:v>
                      </c:pt>
                      <c:pt idx="5">
                        <c:v>Sivilingeniør/master i teknologi</c:v>
                      </c:pt>
                      <c:pt idx="6">
                        <c:v>Rettsvitenskap</c:v>
                      </c:pt>
                      <c:pt idx="7">
                        <c:v>Siviløkonom</c:v>
                      </c:pt>
                    </c:strCache>
                  </c:strRef>
                </c:cat>
                <c:val>
                  <c:numRef>
                    <c:extLst xmlns:c15="http://schemas.microsoft.com/office/drawing/2012/chart">
                      <c:ext xmlns:c15="http://schemas.microsoft.com/office/drawing/2012/chart" uri="{02D57815-91ED-43cb-92C2-25804820EDAC}">
                        <c15:formulaRef>
                          <c15:sqref>[utkast_sysselsetjing.xlsx]Mastergrad!$G$5:$N$5</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5-02F3-4222-8B55-AA0B954C42B6}"/>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[utkast_sysselsetjing.xlsx]Mastergrad!$F$7</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[utkast_sysselsetjing.xlsx]Mastergrad!$G$1:$N$1</c15:sqref>
                        </c15:formulaRef>
                      </c:ext>
                    </c:extLst>
                    <c:strCache>
                      <c:ptCount val="8"/>
                      <c:pt idx="0">
                        <c:v>Humanistiske fag</c:v>
                      </c:pt>
                      <c:pt idx="1">
                        <c:v>Naturvit. fag (ikke master i teknologi)</c:v>
                      </c:pt>
                      <c:pt idx="2">
                        <c:v>Samf. og juridiske fag (ikke rettsvitenskap)</c:v>
                      </c:pt>
                      <c:pt idx="3">
                        <c:v>Øk-adm (ikke siviløkonom)</c:v>
                      </c:pt>
                      <c:pt idx="5">
                        <c:v>Sivilingeniør/master i teknologi</c:v>
                      </c:pt>
                      <c:pt idx="6">
                        <c:v>Rettsvitenskap</c:v>
                      </c:pt>
                      <c:pt idx="7">
                        <c:v>Siviløkonom</c:v>
                      </c:pt>
                    </c:strCache>
                  </c:strRef>
                </c:cat>
                <c:val>
                  <c:numRef>
                    <c:extLst xmlns:c15="http://schemas.microsoft.com/office/drawing/2012/chart">
                      <c:ext xmlns:c15="http://schemas.microsoft.com/office/drawing/2012/chart" uri="{02D57815-91ED-43cb-92C2-25804820EDAC}">
                        <c15:formulaRef>
                          <c15:sqref>[utkast_sysselsetjing.xlsx]Mastergrad!$G$7:$N$7</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6-02F3-4222-8B55-AA0B954C42B6}"/>
                  </c:ext>
                </c:extLst>
              </c15:ser>
            </c15:filteredBarSeries>
          </c:ext>
        </c:extLst>
      </c:barChart>
      <c:catAx>
        <c:axId val="1771241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9300608"/>
        <c:crosses val="autoZero"/>
        <c:auto val="1"/>
        <c:lblAlgn val="ctr"/>
        <c:lblOffset val="100"/>
        <c:noMultiLvlLbl val="0"/>
      </c:catAx>
      <c:valAx>
        <c:axId val="239300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1241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'[Stipendiater_14_23_revidert.xlsx]Utvalgte år'!$B$2</c:f>
              <c:strCache>
                <c:ptCount val="1"/>
                <c:pt idx="0">
                  <c:v>2014</c:v>
                </c:pt>
              </c:strCache>
            </c:strRef>
          </c:tx>
          <c:spPr>
            <a:solidFill>
              <a:schemeClr val="accent1"/>
            </a:solidFill>
            <a:ln>
              <a:noFill/>
            </a:ln>
            <a:effectLst/>
          </c:spPr>
          <c:invertIfNegative val="0"/>
          <c:cat>
            <c:strRef>
              <c:f>'[Stipendiater_14_23_revidert.xlsx]Utvalgte år'!$A$3:$A$16</c:f>
              <c:strCache>
                <c:ptCount val="14"/>
                <c:pt idx="0">
                  <c:v>NTNU</c:v>
                </c:pt>
                <c:pt idx="1">
                  <c:v>UiO</c:v>
                </c:pt>
                <c:pt idx="2">
                  <c:v>UiB</c:v>
                </c:pt>
                <c:pt idx="3">
                  <c:v>UiT</c:v>
                </c:pt>
                <c:pt idx="4">
                  <c:v>UiS</c:v>
                </c:pt>
                <c:pt idx="5">
                  <c:v>NMBU</c:v>
                </c:pt>
                <c:pt idx="6">
                  <c:v>OsloMet</c:v>
                </c:pt>
                <c:pt idx="7">
                  <c:v>UiA</c:v>
                </c:pt>
                <c:pt idx="8">
                  <c:v>UiS</c:v>
                </c:pt>
                <c:pt idx="9">
                  <c:v>NU</c:v>
                </c:pt>
                <c:pt idx="10">
                  <c:v>HVL</c:v>
                </c:pt>
                <c:pt idx="11">
                  <c:v>HINN</c:v>
                </c:pt>
                <c:pt idx="12">
                  <c:v>NHH</c:v>
                </c:pt>
                <c:pt idx="13">
                  <c:v>BI</c:v>
                </c:pt>
              </c:strCache>
            </c:strRef>
          </c:cat>
          <c:val>
            <c:numRef>
              <c:f>'[Stipendiater_14_23_revidert.xlsx]Utvalgte år'!$B$3:$B$16</c:f>
              <c:numCache>
                <c:formatCode>General</c:formatCode>
                <c:ptCount val="14"/>
                <c:pt idx="0">
                  <c:v>1199.3399999999999</c:v>
                </c:pt>
                <c:pt idx="1">
                  <c:v>1061.26</c:v>
                </c:pt>
                <c:pt idx="2">
                  <c:v>621.76</c:v>
                </c:pt>
                <c:pt idx="3">
                  <c:v>378.83</c:v>
                </c:pt>
                <c:pt idx="4">
                  <c:v>135.05000000000001</c:v>
                </c:pt>
                <c:pt idx="5">
                  <c:v>196.13</c:v>
                </c:pt>
                <c:pt idx="6">
                  <c:v>120.48</c:v>
                </c:pt>
                <c:pt idx="7">
                  <c:v>78.36</c:v>
                </c:pt>
                <c:pt idx="8">
                  <c:v>92</c:v>
                </c:pt>
                <c:pt idx="9">
                  <c:v>83.5</c:v>
                </c:pt>
                <c:pt idx="10">
                  <c:v>66</c:v>
                </c:pt>
                <c:pt idx="11">
                  <c:v>58.63</c:v>
                </c:pt>
                <c:pt idx="12">
                  <c:v>80.7</c:v>
                </c:pt>
                <c:pt idx="13">
                  <c:v>56.1</c:v>
                </c:pt>
              </c:numCache>
            </c:numRef>
          </c:val>
          <c:extLst>
            <c:ext xmlns:c16="http://schemas.microsoft.com/office/drawing/2014/chart" uri="{C3380CC4-5D6E-409C-BE32-E72D297353CC}">
              <c16:uniqueId val="{00000000-DA8A-4C6F-AC3D-B9DEC20E5CB9}"/>
            </c:ext>
          </c:extLst>
        </c:ser>
        <c:ser>
          <c:idx val="1"/>
          <c:order val="1"/>
          <c:tx>
            <c:strRef>
              <c:f>'[Stipendiater_14_23_revidert.xlsx]Utvalgte år'!$C$2</c:f>
              <c:strCache>
                <c:ptCount val="1"/>
                <c:pt idx="0">
                  <c:v>2017</c:v>
                </c:pt>
              </c:strCache>
            </c:strRef>
          </c:tx>
          <c:spPr>
            <a:solidFill>
              <a:schemeClr val="accent2"/>
            </a:solidFill>
            <a:ln>
              <a:noFill/>
            </a:ln>
            <a:effectLst/>
          </c:spPr>
          <c:invertIfNegative val="0"/>
          <c:cat>
            <c:strRef>
              <c:f>'[Stipendiater_14_23_revidert.xlsx]Utvalgte år'!$A$3:$A$16</c:f>
              <c:strCache>
                <c:ptCount val="14"/>
                <c:pt idx="0">
                  <c:v>NTNU</c:v>
                </c:pt>
                <c:pt idx="1">
                  <c:v>UiO</c:v>
                </c:pt>
                <c:pt idx="2">
                  <c:v>UiB</c:v>
                </c:pt>
                <c:pt idx="3">
                  <c:v>UiT</c:v>
                </c:pt>
                <c:pt idx="4">
                  <c:v>UiS</c:v>
                </c:pt>
                <c:pt idx="5">
                  <c:v>NMBU</c:v>
                </c:pt>
                <c:pt idx="6">
                  <c:v>OsloMet</c:v>
                </c:pt>
                <c:pt idx="7">
                  <c:v>UiA</c:v>
                </c:pt>
                <c:pt idx="8">
                  <c:v>UiS</c:v>
                </c:pt>
                <c:pt idx="9">
                  <c:v>NU</c:v>
                </c:pt>
                <c:pt idx="10">
                  <c:v>HVL</c:v>
                </c:pt>
                <c:pt idx="11">
                  <c:v>HINN</c:v>
                </c:pt>
                <c:pt idx="12">
                  <c:v>NHH</c:v>
                </c:pt>
                <c:pt idx="13">
                  <c:v>BI</c:v>
                </c:pt>
              </c:strCache>
            </c:strRef>
          </c:cat>
          <c:val>
            <c:numRef>
              <c:f>'[Stipendiater_14_23_revidert.xlsx]Utvalgte år'!$C$3:$C$16</c:f>
              <c:numCache>
                <c:formatCode>General</c:formatCode>
                <c:ptCount val="14"/>
                <c:pt idx="0">
                  <c:v>1462.18</c:v>
                </c:pt>
                <c:pt idx="1">
                  <c:v>1118.82</c:v>
                </c:pt>
                <c:pt idx="2">
                  <c:v>626.79999999999995</c:v>
                </c:pt>
                <c:pt idx="3">
                  <c:v>462.5</c:v>
                </c:pt>
                <c:pt idx="4">
                  <c:v>229.04</c:v>
                </c:pt>
                <c:pt idx="5">
                  <c:v>213.8</c:v>
                </c:pt>
                <c:pt idx="6">
                  <c:v>173.67</c:v>
                </c:pt>
                <c:pt idx="7">
                  <c:v>127.8</c:v>
                </c:pt>
                <c:pt idx="8">
                  <c:v>126.63</c:v>
                </c:pt>
                <c:pt idx="9">
                  <c:v>128.15</c:v>
                </c:pt>
                <c:pt idx="10">
                  <c:v>120.66</c:v>
                </c:pt>
                <c:pt idx="11">
                  <c:v>81.69</c:v>
                </c:pt>
                <c:pt idx="12">
                  <c:v>76.599999999999994</c:v>
                </c:pt>
                <c:pt idx="13">
                  <c:v>59.8</c:v>
                </c:pt>
              </c:numCache>
            </c:numRef>
          </c:val>
          <c:extLst>
            <c:ext xmlns:c16="http://schemas.microsoft.com/office/drawing/2014/chart" uri="{C3380CC4-5D6E-409C-BE32-E72D297353CC}">
              <c16:uniqueId val="{00000001-DA8A-4C6F-AC3D-B9DEC20E5CB9}"/>
            </c:ext>
          </c:extLst>
        </c:ser>
        <c:ser>
          <c:idx val="2"/>
          <c:order val="2"/>
          <c:tx>
            <c:strRef>
              <c:f>'[Stipendiater_14_23_revidert.xlsx]Utvalgte år'!$D$2</c:f>
              <c:strCache>
                <c:ptCount val="1"/>
                <c:pt idx="0">
                  <c:v>2020</c:v>
                </c:pt>
              </c:strCache>
            </c:strRef>
          </c:tx>
          <c:spPr>
            <a:solidFill>
              <a:schemeClr val="accent3"/>
            </a:solidFill>
            <a:ln>
              <a:noFill/>
            </a:ln>
            <a:effectLst/>
          </c:spPr>
          <c:invertIfNegative val="0"/>
          <c:cat>
            <c:strRef>
              <c:f>'[Stipendiater_14_23_revidert.xlsx]Utvalgte år'!$A$3:$A$16</c:f>
              <c:strCache>
                <c:ptCount val="14"/>
                <c:pt idx="0">
                  <c:v>NTNU</c:v>
                </c:pt>
                <c:pt idx="1">
                  <c:v>UiO</c:v>
                </c:pt>
                <c:pt idx="2">
                  <c:v>UiB</c:v>
                </c:pt>
                <c:pt idx="3">
                  <c:v>UiT</c:v>
                </c:pt>
                <c:pt idx="4">
                  <c:v>UiS</c:v>
                </c:pt>
                <c:pt idx="5">
                  <c:v>NMBU</c:v>
                </c:pt>
                <c:pt idx="6">
                  <c:v>OsloMet</c:v>
                </c:pt>
                <c:pt idx="7">
                  <c:v>UiA</c:v>
                </c:pt>
                <c:pt idx="8">
                  <c:v>UiS</c:v>
                </c:pt>
                <c:pt idx="9">
                  <c:v>NU</c:v>
                </c:pt>
                <c:pt idx="10">
                  <c:v>HVL</c:v>
                </c:pt>
                <c:pt idx="11">
                  <c:v>HINN</c:v>
                </c:pt>
                <c:pt idx="12">
                  <c:v>NHH</c:v>
                </c:pt>
                <c:pt idx="13">
                  <c:v>BI</c:v>
                </c:pt>
              </c:strCache>
            </c:strRef>
          </c:cat>
          <c:val>
            <c:numRef>
              <c:f>'[Stipendiater_14_23_revidert.xlsx]Utvalgte år'!$D$3:$D$16</c:f>
              <c:numCache>
                <c:formatCode>General</c:formatCode>
                <c:ptCount val="14"/>
                <c:pt idx="0">
                  <c:v>1729.2</c:v>
                </c:pt>
                <c:pt idx="1">
                  <c:v>1132.5</c:v>
                </c:pt>
                <c:pt idx="2">
                  <c:v>685.46</c:v>
                </c:pt>
                <c:pt idx="3">
                  <c:v>532.54999999999995</c:v>
                </c:pt>
                <c:pt idx="4">
                  <c:v>223.2</c:v>
                </c:pt>
                <c:pt idx="5">
                  <c:v>235.38</c:v>
                </c:pt>
                <c:pt idx="6">
                  <c:v>193.69</c:v>
                </c:pt>
                <c:pt idx="7">
                  <c:v>226.55</c:v>
                </c:pt>
                <c:pt idx="8">
                  <c:v>156.15</c:v>
                </c:pt>
                <c:pt idx="9">
                  <c:v>152.35</c:v>
                </c:pt>
                <c:pt idx="10">
                  <c:v>140.21</c:v>
                </c:pt>
                <c:pt idx="11">
                  <c:v>98.4</c:v>
                </c:pt>
                <c:pt idx="12">
                  <c:v>89.15</c:v>
                </c:pt>
                <c:pt idx="13">
                  <c:v>63.89</c:v>
                </c:pt>
              </c:numCache>
            </c:numRef>
          </c:val>
          <c:extLst>
            <c:ext xmlns:c16="http://schemas.microsoft.com/office/drawing/2014/chart" uri="{C3380CC4-5D6E-409C-BE32-E72D297353CC}">
              <c16:uniqueId val="{00000002-DA8A-4C6F-AC3D-B9DEC20E5CB9}"/>
            </c:ext>
          </c:extLst>
        </c:ser>
        <c:ser>
          <c:idx val="3"/>
          <c:order val="3"/>
          <c:tx>
            <c:strRef>
              <c:f>'[Stipendiater_14_23_revidert.xlsx]Utvalgte år'!$E$2</c:f>
              <c:strCache>
                <c:ptCount val="1"/>
                <c:pt idx="0">
                  <c:v>2023</c:v>
                </c:pt>
              </c:strCache>
            </c:strRef>
          </c:tx>
          <c:spPr>
            <a:solidFill>
              <a:schemeClr val="accent4"/>
            </a:solidFill>
            <a:ln>
              <a:noFill/>
            </a:ln>
            <a:effectLst/>
          </c:spPr>
          <c:invertIfNegative val="0"/>
          <c:cat>
            <c:strRef>
              <c:f>'[Stipendiater_14_23_revidert.xlsx]Utvalgte år'!$A$3:$A$16</c:f>
              <c:strCache>
                <c:ptCount val="14"/>
                <c:pt idx="0">
                  <c:v>NTNU</c:v>
                </c:pt>
                <c:pt idx="1">
                  <c:v>UiO</c:v>
                </c:pt>
                <c:pt idx="2">
                  <c:v>UiB</c:v>
                </c:pt>
                <c:pt idx="3">
                  <c:v>UiT</c:v>
                </c:pt>
                <c:pt idx="4">
                  <c:v>UiS</c:v>
                </c:pt>
                <c:pt idx="5">
                  <c:v>NMBU</c:v>
                </c:pt>
                <c:pt idx="6">
                  <c:v>OsloMet</c:v>
                </c:pt>
                <c:pt idx="7">
                  <c:v>UiA</c:v>
                </c:pt>
                <c:pt idx="8">
                  <c:v>UiS</c:v>
                </c:pt>
                <c:pt idx="9">
                  <c:v>NU</c:v>
                </c:pt>
                <c:pt idx="10">
                  <c:v>HVL</c:v>
                </c:pt>
                <c:pt idx="11">
                  <c:v>HINN</c:v>
                </c:pt>
                <c:pt idx="12">
                  <c:v>NHH</c:v>
                </c:pt>
                <c:pt idx="13">
                  <c:v>BI</c:v>
                </c:pt>
              </c:strCache>
            </c:strRef>
          </c:cat>
          <c:val>
            <c:numRef>
              <c:f>'[Stipendiater_14_23_revidert.xlsx]Utvalgte år'!$E$3:$E$16</c:f>
              <c:numCache>
                <c:formatCode>General</c:formatCode>
                <c:ptCount val="14"/>
                <c:pt idx="0">
                  <c:v>1727.74</c:v>
                </c:pt>
                <c:pt idx="1">
                  <c:v>1263.26</c:v>
                </c:pt>
                <c:pt idx="2">
                  <c:v>675.22</c:v>
                </c:pt>
                <c:pt idx="3">
                  <c:v>537.20000000000005</c:v>
                </c:pt>
                <c:pt idx="4">
                  <c:v>314.8</c:v>
                </c:pt>
                <c:pt idx="5">
                  <c:v>261.7</c:v>
                </c:pt>
                <c:pt idx="6">
                  <c:v>234.53</c:v>
                </c:pt>
                <c:pt idx="7">
                  <c:v>200.7</c:v>
                </c:pt>
                <c:pt idx="8">
                  <c:v>173.25</c:v>
                </c:pt>
                <c:pt idx="9">
                  <c:v>166.12</c:v>
                </c:pt>
                <c:pt idx="10">
                  <c:v>158.5</c:v>
                </c:pt>
                <c:pt idx="11">
                  <c:v>135.44999999999999</c:v>
                </c:pt>
                <c:pt idx="12">
                  <c:v>81.75</c:v>
                </c:pt>
                <c:pt idx="13">
                  <c:v>65.3</c:v>
                </c:pt>
              </c:numCache>
            </c:numRef>
          </c:val>
          <c:extLst>
            <c:ext xmlns:c16="http://schemas.microsoft.com/office/drawing/2014/chart" uri="{C3380CC4-5D6E-409C-BE32-E72D297353CC}">
              <c16:uniqueId val="{00000003-DA8A-4C6F-AC3D-B9DEC20E5CB9}"/>
            </c:ext>
          </c:extLst>
        </c:ser>
        <c:dLbls>
          <c:showLegendKey val="0"/>
          <c:showVal val="0"/>
          <c:showCatName val="0"/>
          <c:showSerName val="0"/>
          <c:showPercent val="0"/>
          <c:showBubbleSize val="0"/>
        </c:dLbls>
        <c:gapWidth val="219"/>
        <c:overlap val="-27"/>
        <c:axId val="1060269679"/>
        <c:axId val="1811970415"/>
      </c:barChart>
      <c:catAx>
        <c:axId val="106026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11970415"/>
        <c:crosses val="autoZero"/>
        <c:auto val="1"/>
        <c:lblAlgn val="ctr"/>
        <c:lblOffset val="100"/>
        <c:noMultiLvlLbl val="0"/>
      </c:catAx>
      <c:valAx>
        <c:axId val="18119704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60269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'[Stipendiater_14_23_revidert.xlsx]Ark1'!$B$36</c:f>
              <c:strCache>
                <c:ptCount val="1"/>
                <c:pt idx="0">
                  <c:v>Stip per 100 stud</c:v>
                </c:pt>
              </c:strCache>
            </c:strRef>
          </c:tx>
          <c:spPr>
            <a:solidFill>
              <a:schemeClr val="accent1"/>
            </a:solidFill>
            <a:ln>
              <a:noFill/>
            </a:ln>
            <a:effectLst/>
          </c:spPr>
          <c:invertIfNegative val="0"/>
          <c:cat>
            <c:strRef>
              <c:f>'[Stipendiater_14_23_revidert.xlsx]Ark1'!$A$37:$A$49</c:f>
              <c:strCache>
                <c:ptCount val="13"/>
                <c:pt idx="0">
                  <c:v>HINN</c:v>
                </c:pt>
                <c:pt idx="1">
                  <c:v>HVL</c:v>
                </c:pt>
                <c:pt idx="2">
                  <c:v>USN</c:v>
                </c:pt>
                <c:pt idx="3">
                  <c:v>OsloMet</c:v>
                </c:pt>
                <c:pt idx="4">
                  <c:v>UiA</c:v>
                </c:pt>
                <c:pt idx="5">
                  <c:v>NU</c:v>
                </c:pt>
                <c:pt idx="6">
                  <c:v>NHH</c:v>
                </c:pt>
                <c:pt idx="7">
                  <c:v>UiS</c:v>
                </c:pt>
                <c:pt idx="8">
                  <c:v>UiT</c:v>
                </c:pt>
                <c:pt idx="9">
                  <c:v>UiB</c:v>
                </c:pt>
                <c:pt idx="10">
                  <c:v>NMBU</c:v>
                </c:pt>
                <c:pt idx="11">
                  <c:v>NTNU</c:v>
                </c:pt>
                <c:pt idx="12">
                  <c:v>UiO</c:v>
                </c:pt>
              </c:strCache>
            </c:strRef>
          </c:cat>
          <c:val>
            <c:numRef>
              <c:f>'[Stipendiater_14_23_revidert.xlsx]Ark1'!$B$37:$B$49</c:f>
              <c:numCache>
                <c:formatCode>0.0</c:formatCode>
                <c:ptCount val="13"/>
                <c:pt idx="0">
                  <c:v>1.0430463576158939</c:v>
                </c:pt>
                <c:pt idx="1">
                  <c:v>1.0838347921225382</c:v>
                </c:pt>
                <c:pt idx="2">
                  <c:v>1.1398776235278636</c:v>
                </c:pt>
                <c:pt idx="3">
                  <c:v>1.1423770092547492</c:v>
                </c:pt>
                <c:pt idx="4">
                  <c:v>1.5942489474938437</c:v>
                </c:pt>
                <c:pt idx="5">
                  <c:v>1.617526777020448</c:v>
                </c:pt>
                <c:pt idx="6">
                  <c:v>2.3002250984805852</c:v>
                </c:pt>
                <c:pt idx="7">
                  <c:v>2.8756737005572304</c:v>
                </c:pt>
                <c:pt idx="8">
                  <c:v>3.2997542997542997</c:v>
                </c:pt>
                <c:pt idx="9">
                  <c:v>3.5676846665962172</c:v>
                </c:pt>
                <c:pt idx="10">
                  <c:v>3.6311918967670316</c:v>
                </c:pt>
                <c:pt idx="11">
                  <c:v>4.1951728826728827</c:v>
                </c:pt>
                <c:pt idx="12">
                  <c:v>4.9850439998421532</c:v>
                </c:pt>
              </c:numCache>
            </c:numRef>
          </c:val>
          <c:extLst>
            <c:ext xmlns:c16="http://schemas.microsoft.com/office/drawing/2014/chart" uri="{C3380CC4-5D6E-409C-BE32-E72D297353CC}">
              <c16:uniqueId val="{00000000-50E0-4797-B37B-13E5BBE8A7F7}"/>
            </c:ext>
          </c:extLst>
        </c:ser>
        <c:dLbls>
          <c:showLegendKey val="0"/>
          <c:showVal val="0"/>
          <c:showCatName val="0"/>
          <c:showSerName val="0"/>
          <c:showPercent val="0"/>
          <c:showBubbleSize val="0"/>
        </c:dLbls>
        <c:gapWidth val="182"/>
        <c:axId val="1854774751"/>
        <c:axId val="1854775231"/>
      </c:barChart>
      <c:catAx>
        <c:axId val="18547747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54775231"/>
        <c:crosses val="autoZero"/>
        <c:auto val="1"/>
        <c:lblAlgn val="ctr"/>
        <c:lblOffset val="100"/>
        <c:noMultiLvlLbl val="0"/>
      </c:catAx>
      <c:valAx>
        <c:axId val="185477523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854774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'[figurer_8mars2024_arbeidsfil.xlsx]Figur 3.1'!$B$3</c:f>
              <c:strCache>
                <c:ptCount val="1"/>
                <c:pt idx="0">
                  <c:v>Kvinner</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'[figurer_8mars2024_arbeidsfil.xlsx]Figur 3.1'!$A$4:$A$13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3.1'!$B$4:$B$13</c:f>
              <c:numCache>
                <c:formatCode>General</c:formatCode>
                <c:ptCount val="10"/>
                <c:pt idx="0">
                  <c:v>730</c:v>
                </c:pt>
                <c:pt idx="1">
                  <c:v>756</c:v>
                </c:pt>
                <c:pt idx="2">
                  <c:v>673</c:v>
                </c:pt>
                <c:pt idx="3">
                  <c:v>750</c:v>
                </c:pt>
                <c:pt idx="4">
                  <c:v>782</c:v>
                </c:pt>
                <c:pt idx="5">
                  <c:v>790</c:v>
                </c:pt>
                <c:pt idx="6">
                  <c:v>826</c:v>
                </c:pt>
                <c:pt idx="7">
                  <c:v>820</c:v>
                </c:pt>
                <c:pt idx="8">
                  <c:v>808</c:v>
                </c:pt>
                <c:pt idx="9">
                  <c:v>867</c:v>
                </c:pt>
              </c:numCache>
            </c:numRef>
          </c:val>
          <c:extLst>
            <c:ext xmlns:c16="http://schemas.microsoft.com/office/drawing/2014/chart" uri="{C3380CC4-5D6E-409C-BE32-E72D297353CC}">
              <c16:uniqueId val="{00000000-4186-484A-88A7-F7AC6AA8E2F8}"/>
            </c:ext>
          </c:extLst>
        </c:ser>
        <c:ser>
          <c:idx val="1"/>
          <c:order val="1"/>
          <c:tx>
            <c:strRef>
              <c:f>'[figurer_8mars2024_arbeidsfil.xlsx]Figur 3.1'!$C$3</c:f>
              <c:strCache>
                <c:ptCount val="1"/>
                <c:pt idx="0">
                  <c:v>Menn</c:v>
                </c:pt>
              </c:strCache>
            </c:strRef>
          </c:tx>
          <c:invertIfNegative val="0"/>
          <c:dLbls>
            <c:spPr>
              <a:noFill/>
              <a:ln>
                <a:noFill/>
              </a:ln>
              <a:effectLst/>
            </c:spPr>
            <c:txPr>
              <a:bodyPr wrap="square" lIns="38100" tIns="19050" rIns="38100" bIns="19050" anchor="ctr">
                <a:spAutoFit/>
              </a:bodyPr>
              <a:lstStyle/>
              <a:p>
                <a:pPr>
                  <a:defRPr>
                    <a:solidFill>
                      <a:schemeClr val="bg1"/>
                    </a:solidFill>
                  </a:defRPr>
                </a:pPr>
                <a:endParaRPr lang="nb-N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'[figurer_8mars2024_arbeidsfil.xlsx]Figur 3.1'!$A$4:$A$13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3.1'!$C$4:$C$13</c:f>
              <c:numCache>
                <c:formatCode>General</c:formatCode>
                <c:ptCount val="10"/>
                <c:pt idx="0">
                  <c:v>718</c:v>
                </c:pt>
                <c:pt idx="1">
                  <c:v>680</c:v>
                </c:pt>
                <c:pt idx="2">
                  <c:v>737</c:v>
                </c:pt>
                <c:pt idx="3">
                  <c:v>743</c:v>
                </c:pt>
                <c:pt idx="4">
                  <c:v>782</c:v>
                </c:pt>
                <c:pt idx="5">
                  <c:v>793</c:v>
                </c:pt>
                <c:pt idx="6">
                  <c:v>808</c:v>
                </c:pt>
                <c:pt idx="7">
                  <c:v>781</c:v>
                </c:pt>
                <c:pt idx="8">
                  <c:v>754</c:v>
                </c:pt>
                <c:pt idx="9">
                  <c:v>745</c:v>
                </c:pt>
              </c:numCache>
            </c:numRef>
          </c:val>
          <c:extLst>
            <c:ext xmlns:c16="http://schemas.microsoft.com/office/drawing/2014/chart" uri="{C3380CC4-5D6E-409C-BE32-E72D297353CC}">
              <c16:uniqueId val="{00000001-4186-484A-88A7-F7AC6AA8E2F8}"/>
            </c:ext>
          </c:extLst>
        </c:ser>
        <c:ser>
          <c:idx val="2"/>
          <c:order val="2"/>
          <c:tx>
            <c:strRef>
              <c:f>'[figurer_8mars2024_arbeidsfil.xlsx]Figur 3.1'!$D$3</c:f>
              <c:strCache>
                <c:ptCount val="1"/>
                <c:pt idx="0">
                  <c:v>Totalt</c:v>
                </c:pt>
              </c:strCache>
            </c:strRef>
          </c:tx>
          <c:spPr>
            <a:noFill/>
          </c:spPr>
          <c:invertIfNegative val="0"/>
          <c:dLbls>
            <c:delete val="1"/>
          </c:dLbls>
          <c:cat>
            <c:numRef>
              <c:f>'[figurer_8mars2024_arbeidsfil.xlsx]Figur 3.1'!$A$4:$A$13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3.1'!$D$4:$D$13</c:f>
              <c:numCache>
                <c:formatCode>General</c:formatCode>
                <c:ptCount val="10"/>
                <c:pt idx="0">
                  <c:v>1448</c:v>
                </c:pt>
                <c:pt idx="1">
                  <c:v>1436</c:v>
                </c:pt>
                <c:pt idx="2">
                  <c:v>1410</c:v>
                </c:pt>
                <c:pt idx="3">
                  <c:v>1493</c:v>
                </c:pt>
                <c:pt idx="4">
                  <c:v>1564</c:v>
                </c:pt>
                <c:pt idx="5">
                  <c:v>1583</c:v>
                </c:pt>
                <c:pt idx="6">
                  <c:v>1634</c:v>
                </c:pt>
                <c:pt idx="7">
                  <c:v>1601</c:v>
                </c:pt>
                <c:pt idx="8">
                  <c:v>1562</c:v>
                </c:pt>
                <c:pt idx="9">
                  <c:v>1612</c:v>
                </c:pt>
              </c:numCache>
            </c:numRef>
          </c:val>
          <c:extLst>
            <c:ext xmlns:c16="http://schemas.microsoft.com/office/drawing/2014/chart" uri="{C3380CC4-5D6E-409C-BE32-E72D297353CC}">
              <c16:uniqueId val="{00000002-4186-484A-88A7-F7AC6AA8E2F8}"/>
            </c:ext>
          </c:extLst>
        </c:ser>
        <c:dLbls>
          <c:dLblPos val="ctr"/>
          <c:showLegendKey val="0"/>
          <c:showVal val="1"/>
          <c:showCatName val="0"/>
          <c:showSerName val="0"/>
          <c:showPercent val="0"/>
          <c:showBubbleSize val="0"/>
        </c:dLbls>
        <c:gapWidth val="150"/>
        <c:overlap val="100"/>
        <c:axId val="126664704"/>
        <c:axId val="128600896"/>
      </c:barChart>
      <c:catAx>
        <c:axId val="126664704"/>
        <c:scaling>
          <c:orientation val="minMax"/>
        </c:scaling>
        <c:delete val="0"/>
        <c:axPos val="b"/>
        <c:numFmt formatCode="General" sourceLinked="1"/>
        <c:majorTickMark val="out"/>
        <c:minorTickMark val="none"/>
        <c:tickLblPos val="nextTo"/>
        <c:spPr>
          <a:ln/>
        </c:spPr>
        <c:crossAx val="128600896"/>
        <c:crosses val="autoZero"/>
        <c:auto val="1"/>
        <c:lblAlgn val="ctr"/>
        <c:lblOffset val="100"/>
        <c:noMultiLvlLbl val="0"/>
      </c:catAx>
      <c:valAx>
        <c:axId val="128600896"/>
        <c:scaling>
          <c:orientation val="minMax"/>
          <c:max val="1800"/>
          <c:min val="0"/>
        </c:scaling>
        <c:delete val="0"/>
        <c:axPos val="l"/>
        <c:majorGridlines/>
        <c:numFmt formatCode="#,##0" sourceLinked="0"/>
        <c:majorTickMark val="out"/>
        <c:minorTickMark val="none"/>
        <c:tickLblPos val="nextTo"/>
        <c:spPr>
          <a:ln>
            <a:solidFill>
              <a:schemeClr val="tx1">
                <a:lumMod val="50000"/>
                <a:lumOff val="50000"/>
              </a:schemeClr>
            </a:solidFill>
          </a:ln>
        </c:spPr>
        <c:crossAx val="126664704"/>
        <c:crosses val="autoZero"/>
        <c:crossBetween val="between"/>
      </c:valAx>
    </c:plotArea>
    <c:legend>
      <c:legendPos val="b"/>
      <c:legendEntry>
        <c:idx val="2"/>
        <c:delete val="1"/>
      </c:legendEntry>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68425675999424E-2"/>
          <c:y val="3.219806133504835E-2"/>
          <c:w val="0.9198192010988484"/>
          <c:h val="0.71619428366156213"/>
        </c:manualLayout>
      </c:layout>
      <c:lineChart>
        <c:grouping val="standard"/>
        <c:varyColors val="0"/>
        <c:ser>
          <c:idx val="0"/>
          <c:order val="0"/>
          <c:tx>
            <c:strRef>
              <c:f>AvlagteDoktorgrader!$A$5</c:f>
              <c:strCache>
                <c:ptCount val="1"/>
                <c:pt idx="0">
                  <c:v>Humaniora og kunstfag</c:v>
                </c:pt>
              </c:strCache>
            </c:strRef>
          </c:tx>
          <c:spPr>
            <a:ln w="28575" cap="rnd">
              <a:solidFill>
                <a:schemeClr val="accent1"/>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AvlagteDoktorgrader!$B$5:$K$5</c:f>
              <c:numCache>
                <c:formatCode>0</c:formatCode>
                <c:ptCount val="10"/>
                <c:pt idx="0">
                  <c:v>151</c:v>
                </c:pt>
                <c:pt idx="1">
                  <c:v>133</c:v>
                </c:pt>
                <c:pt idx="2">
                  <c:v>144</c:v>
                </c:pt>
                <c:pt idx="3">
                  <c:v>131</c:v>
                </c:pt>
                <c:pt idx="4">
                  <c:v>126</c:v>
                </c:pt>
                <c:pt idx="5">
                  <c:v>131</c:v>
                </c:pt>
                <c:pt idx="6">
                  <c:v>122</c:v>
                </c:pt>
                <c:pt idx="7">
                  <c:v>122</c:v>
                </c:pt>
                <c:pt idx="8">
                  <c:v>136</c:v>
                </c:pt>
                <c:pt idx="9">
                  <c:v>130</c:v>
                </c:pt>
              </c:numCache>
            </c:numRef>
          </c:val>
          <c:smooth val="0"/>
          <c:extLst>
            <c:ext xmlns:c16="http://schemas.microsoft.com/office/drawing/2014/chart" uri="{C3380CC4-5D6E-409C-BE32-E72D297353CC}">
              <c16:uniqueId val="{00000000-FD08-4467-BCD5-C39E0C463C74}"/>
            </c:ext>
          </c:extLst>
        </c:ser>
        <c:ser>
          <c:idx val="1"/>
          <c:order val="1"/>
          <c:tx>
            <c:strRef>
              <c:f>AvlagteDoktorgrader!$A$6</c:f>
              <c:strCache>
                <c:ptCount val="1"/>
                <c:pt idx="0">
                  <c:v>Samfunnsvitenskap </c:v>
                </c:pt>
              </c:strCache>
            </c:strRef>
          </c:tx>
          <c:spPr>
            <a:ln w="28575" cap="rnd">
              <a:solidFill>
                <a:schemeClr val="accent2"/>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AvlagteDoktorgrader!$B$6:$K$6</c:f>
              <c:numCache>
                <c:formatCode>0</c:formatCode>
                <c:ptCount val="10"/>
                <c:pt idx="0">
                  <c:v>291</c:v>
                </c:pt>
                <c:pt idx="1">
                  <c:v>336</c:v>
                </c:pt>
                <c:pt idx="2">
                  <c:v>318</c:v>
                </c:pt>
                <c:pt idx="3">
                  <c:v>301</c:v>
                </c:pt>
                <c:pt idx="4">
                  <c:v>356</c:v>
                </c:pt>
                <c:pt idx="5">
                  <c:v>350</c:v>
                </c:pt>
                <c:pt idx="6">
                  <c:v>351</c:v>
                </c:pt>
                <c:pt idx="7">
                  <c:v>356</c:v>
                </c:pt>
                <c:pt idx="8">
                  <c:v>369</c:v>
                </c:pt>
                <c:pt idx="9">
                  <c:v>337</c:v>
                </c:pt>
              </c:numCache>
            </c:numRef>
          </c:val>
          <c:smooth val="0"/>
          <c:extLst>
            <c:ext xmlns:c16="http://schemas.microsoft.com/office/drawing/2014/chart" uri="{C3380CC4-5D6E-409C-BE32-E72D297353CC}">
              <c16:uniqueId val="{00000001-FD08-4467-BCD5-C39E0C463C74}"/>
            </c:ext>
          </c:extLst>
        </c:ser>
        <c:ser>
          <c:idx val="2"/>
          <c:order val="2"/>
          <c:tx>
            <c:strRef>
              <c:f>AvlagteDoktorgrader!$A$7</c:f>
              <c:strCache>
                <c:ptCount val="1"/>
                <c:pt idx="0">
                  <c:v>Matematikk og naturvitenskap </c:v>
                </c:pt>
              </c:strCache>
            </c:strRef>
          </c:tx>
          <c:spPr>
            <a:ln w="28575" cap="rnd">
              <a:solidFill>
                <a:schemeClr val="accent3"/>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AvlagteDoktorgrader!$B$7:$K$7</c:f>
              <c:numCache>
                <c:formatCode>0</c:formatCode>
                <c:ptCount val="10"/>
                <c:pt idx="0">
                  <c:v>348</c:v>
                </c:pt>
                <c:pt idx="1">
                  <c:v>318</c:v>
                </c:pt>
                <c:pt idx="2">
                  <c:v>297</c:v>
                </c:pt>
                <c:pt idx="3">
                  <c:v>340</c:v>
                </c:pt>
                <c:pt idx="4">
                  <c:v>297</c:v>
                </c:pt>
                <c:pt idx="5">
                  <c:v>309</c:v>
                </c:pt>
                <c:pt idx="6">
                  <c:v>303</c:v>
                </c:pt>
                <c:pt idx="7">
                  <c:v>319</c:v>
                </c:pt>
                <c:pt idx="8">
                  <c:v>258</c:v>
                </c:pt>
                <c:pt idx="9">
                  <c:v>302</c:v>
                </c:pt>
              </c:numCache>
            </c:numRef>
          </c:val>
          <c:smooth val="0"/>
          <c:extLst>
            <c:ext xmlns:c16="http://schemas.microsoft.com/office/drawing/2014/chart" uri="{C3380CC4-5D6E-409C-BE32-E72D297353CC}">
              <c16:uniqueId val="{00000002-FD08-4467-BCD5-C39E0C463C74}"/>
            </c:ext>
          </c:extLst>
        </c:ser>
        <c:ser>
          <c:idx val="3"/>
          <c:order val="3"/>
          <c:tx>
            <c:strRef>
              <c:f>AvlagteDoktorgrader!$A$8</c:f>
              <c:strCache>
                <c:ptCount val="1"/>
                <c:pt idx="0">
                  <c:v>Teknologi </c:v>
                </c:pt>
              </c:strCache>
            </c:strRef>
          </c:tx>
          <c:spPr>
            <a:ln w="28575" cap="rnd">
              <a:solidFill>
                <a:schemeClr val="accent4"/>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AvlagteDoktorgrader!$B$8:$K$8</c:f>
              <c:numCache>
                <c:formatCode>0</c:formatCode>
                <c:ptCount val="10"/>
                <c:pt idx="0">
                  <c:v>159</c:v>
                </c:pt>
                <c:pt idx="1">
                  <c:v>170</c:v>
                </c:pt>
                <c:pt idx="2">
                  <c:v>179</c:v>
                </c:pt>
                <c:pt idx="3">
                  <c:v>201</c:v>
                </c:pt>
                <c:pt idx="4">
                  <c:v>255</c:v>
                </c:pt>
                <c:pt idx="5">
                  <c:v>261</c:v>
                </c:pt>
                <c:pt idx="6">
                  <c:v>268</c:v>
                </c:pt>
                <c:pt idx="7">
                  <c:v>274</c:v>
                </c:pt>
                <c:pt idx="8">
                  <c:v>281</c:v>
                </c:pt>
                <c:pt idx="9">
                  <c:v>335</c:v>
                </c:pt>
              </c:numCache>
            </c:numRef>
          </c:val>
          <c:smooth val="0"/>
          <c:extLst>
            <c:ext xmlns:c16="http://schemas.microsoft.com/office/drawing/2014/chart" uri="{C3380CC4-5D6E-409C-BE32-E72D297353CC}">
              <c16:uniqueId val="{00000003-FD08-4467-BCD5-C39E0C463C74}"/>
            </c:ext>
          </c:extLst>
        </c:ser>
        <c:ser>
          <c:idx val="4"/>
          <c:order val="4"/>
          <c:tx>
            <c:strRef>
              <c:f>AvlagteDoktorgrader!$A$9</c:f>
              <c:strCache>
                <c:ptCount val="1"/>
                <c:pt idx="0">
                  <c:v>Medisin og helsefag </c:v>
                </c:pt>
              </c:strCache>
            </c:strRef>
          </c:tx>
          <c:spPr>
            <a:ln w="28575" cap="rnd">
              <a:solidFill>
                <a:schemeClr val="accent5"/>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AvlagteDoktorgrader!$B$9:$K$9</c:f>
              <c:numCache>
                <c:formatCode>0</c:formatCode>
                <c:ptCount val="10"/>
                <c:pt idx="0">
                  <c:v>445</c:v>
                </c:pt>
                <c:pt idx="1">
                  <c:v>431</c:v>
                </c:pt>
                <c:pt idx="2">
                  <c:v>432</c:v>
                </c:pt>
                <c:pt idx="3">
                  <c:v>477</c:v>
                </c:pt>
                <c:pt idx="4">
                  <c:v>487</c:v>
                </c:pt>
                <c:pt idx="5">
                  <c:v>474</c:v>
                </c:pt>
                <c:pt idx="6">
                  <c:v>552</c:v>
                </c:pt>
                <c:pt idx="7">
                  <c:v>471</c:v>
                </c:pt>
                <c:pt idx="8">
                  <c:v>475</c:v>
                </c:pt>
                <c:pt idx="9">
                  <c:v>464</c:v>
                </c:pt>
              </c:numCache>
            </c:numRef>
          </c:val>
          <c:smooth val="0"/>
          <c:extLst>
            <c:ext xmlns:c16="http://schemas.microsoft.com/office/drawing/2014/chart" uri="{C3380CC4-5D6E-409C-BE32-E72D297353CC}">
              <c16:uniqueId val="{00000004-FD08-4467-BCD5-C39E0C463C74}"/>
            </c:ext>
          </c:extLst>
        </c:ser>
        <c:ser>
          <c:idx val="5"/>
          <c:order val="5"/>
          <c:tx>
            <c:strRef>
              <c:f>AvlagteDoktorgrader!$A$10</c:f>
              <c:strCache>
                <c:ptCount val="1"/>
                <c:pt idx="0">
                  <c:v>Landbruks- og fiskerifag og veterinærmedisin </c:v>
                </c:pt>
              </c:strCache>
            </c:strRef>
          </c:tx>
          <c:spPr>
            <a:ln w="28575" cap="rnd">
              <a:solidFill>
                <a:schemeClr val="accent6"/>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AvlagteDoktorgrader!$B$10:$K$10</c:f>
              <c:numCache>
                <c:formatCode>0</c:formatCode>
                <c:ptCount val="10"/>
                <c:pt idx="0">
                  <c:v>54</c:v>
                </c:pt>
                <c:pt idx="1">
                  <c:v>48</c:v>
                </c:pt>
                <c:pt idx="2">
                  <c:v>40</c:v>
                </c:pt>
                <c:pt idx="3">
                  <c:v>43</c:v>
                </c:pt>
                <c:pt idx="4">
                  <c:v>43</c:v>
                </c:pt>
                <c:pt idx="5">
                  <c:v>58</c:v>
                </c:pt>
                <c:pt idx="6">
                  <c:v>38</c:v>
                </c:pt>
                <c:pt idx="7">
                  <c:v>59</c:v>
                </c:pt>
                <c:pt idx="8">
                  <c:v>43</c:v>
                </c:pt>
                <c:pt idx="9">
                  <c:v>44</c:v>
                </c:pt>
              </c:numCache>
            </c:numRef>
          </c:val>
          <c:smooth val="0"/>
          <c:extLst>
            <c:ext xmlns:c16="http://schemas.microsoft.com/office/drawing/2014/chart" uri="{C3380CC4-5D6E-409C-BE32-E72D297353CC}">
              <c16:uniqueId val="{00000005-FD08-4467-BCD5-C39E0C463C74}"/>
            </c:ext>
          </c:extLst>
        </c:ser>
        <c:dLbls>
          <c:showLegendKey val="0"/>
          <c:showVal val="0"/>
          <c:showCatName val="0"/>
          <c:showSerName val="0"/>
          <c:showPercent val="0"/>
          <c:showBubbleSize val="0"/>
        </c:dLbls>
        <c:smooth val="0"/>
        <c:axId val="1164431455"/>
        <c:axId val="1592430847"/>
      </c:lineChart>
      <c:catAx>
        <c:axId val="11644314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92430847"/>
        <c:crosses val="autoZero"/>
        <c:auto val="1"/>
        <c:lblAlgn val="ctr"/>
        <c:lblOffset val="100"/>
        <c:noMultiLvlLbl val="0"/>
      </c:catAx>
      <c:valAx>
        <c:axId val="15924308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64431455"/>
        <c:crosses val="autoZero"/>
        <c:crossBetween val="between"/>
      </c:valAx>
      <c:spPr>
        <a:noFill/>
        <a:ln>
          <a:noFill/>
        </a:ln>
        <a:effectLst/>
      </c:spPr>
    </c:plotArea>
    <c:legend>
      <c:legendPos val="b"/>
      <c:layout>
        <c:manualLayout>
          <c:xMode val="edge"/>
          <c:yMode val="edge"/>
          <c:x val="0"/>
          <c:y val="0.83541256018494392"/>
          <c:w val="0.96380482630231823"/>
          <c:h val="0.1645874398150562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AvlagteDoktorgrader!$B$5</c:f>
              <c:strCache>
                <c:ptCount val="1"/>
                <c:pt idx="0">
                  <c:v>Norske statsborgere</c:v>
                </c:pt>
              </c:strCache>
            </c:strRef>
          </c:tx>
          <c:spPr>
            <a:solidFill>
              <a:schemeClr val="accent1"/>
            </a:solidFill>
            <a:ln>
              <a:noFill/>
            </a:ln>
            <a:effectLst/>
          </c:spPr>
          <c:invertIfNegative val="0"/>
          <c:cat>
            <c:strRef>
              <c:f>AvlagteDoktorgrader!$A$6:$A$11</c:f>
              <c:strCache>
                <c:ptCount val="6"/>
                <c:pt idx="0">
                  <c:v>Humaniora og kunstfag</c:v>
                </c:pt>
                <c:pt idx="1">
                  <c:v>Samfunnsvitenskap </c:v>
                </c:pt>
                <c:pt idx="2">
                  <c:v>Matematikk og naturvitenskap </c:v>
                </c:pt>
                <c:pt idx="3">
                  <c:v>Teknologi </c:v>
                </c:pt>
                <c:pt idx="4">
                  <c:v>Medisin og helsefag </c:v>
                </c:pt>
                <c:pt idx="5">
                  <c:v>Landbruks- og fiskerifag og veterinærmedisin </c:v>
                </c:pt>
              </c:strCache>
            </c:strRef>
          </c:cat>
          <c:val>
            <c:numRef>
              <c:f>AvlagteDoktorgrader!$B$6:$B$11</c:f>
              <c:numCache>
                <c:formatCode>0</c:formatCode>
                <c:ptCount val="6"/>
                <c:pt idx="0">
                  <c:v>75</c:v>
                </c:pt>
                <c:pt idx="1">
                  <c:v>223</c:v>
                </c:pt>
                <c:pt idx="2">
                  <c:v>120</c:v>
                </c:pt>
                <c:pt idx="3">
                  <c:v>122</c:v>
                </c:pt>
                <c:pt idx="4">
                  <c:v>344</c:v>
                </c:pt>
                <c:pt idx="5">
                  <c:v>22</c:v>
                </c:pt>
              </c:numCache>
            </c:numRef>
          </c:val>
          <c:extLst>
            <c:ext xmlns:c16="http://schemas.microsoft.com/office/drawing/2014/chart" uri="{C3380CC4-5D6E-409C-BE32-E72D297353CC}">
              <c16:uniqueId val="{00000000-C7AB-42C4-AA26-D7B1E38EB0C6}"/>
            </c:ext>
          </c:extLst>
        </c:ser>
        <c:ser>
          <c:idx val="1"/>
          <c:order val="1"/>
          <c:tx>
            <c:strRef>
              <c:f>AvlagteDoktorgrader!$C$5</c:f>
              <c:strCache>
                <c:ptCount val="1"/>
                <c:pt idx="0">
                  <c:v>Utenlandske statsborgere</c:v>
                </c:pt>
              </c:strCache>
            </c:strRef>
          </c:tx>
          <c:spPr>
            <a:solidFill>
              <a:schemeClr val="accent2"/>
            </a:solidFill>
            <a:ln>
              <a:noFill/>
            </a:ln>
            <a:effectLst/>
          </c:spPr>
          <c:invertIfNegative val="0"/>
          <c:cat>
            <c:strRef>
              <c:f>AvlagteDoktorgrader!$A$6:$A$11</c:f>
              <c:strCache>
                <c:ptCount val="6"/>
                <c:pt idx="0">
                  <c:v>Humaniora og kunstfag</c:v>
                </c:pt>
                <c:pt idx="1">
                  <c:v>Samfunnsvitenskap </c:v>
                </c:pt>
                <c:pt idx="2">
                  <c:v>Matematikk og naturvitenskap </c:v>
                </c:pt>
                <c:pt idx="3">
                  <c:v>Teknologi </c:v>
                </c:pt>
                <c:pt idx="4">
                  <c:v>Medisin og helsefag </c:v>
                </c:pt>
                <c:pt idx="5">
                  <c:v>Landbruks- og fiskerifag og veterinærmedisin </c:v>
                </c:pt>
              </c:strCache>
            </c:strRef>
          </c:cat>
          <c:val>
            <c:numRef>
              <c:f>AvlagteDoktorgrader!$C$6:$C$11</c:f>
              <c:numCache>
                <c:formatCode>0</c:formatCode>
                <c:ptCount val="6"/>
                <c:pt idx="0">
                  <c:v>55</c:v>
                </c:pt>
                <c:pt idx="1">
                  <c:v>114</c:v>
                </c:pt>
                <c:pt idx="2">
                  <c:v>182</c:v>
                </c:pt>
                <c:pt idx="3">
                  <c:v>213</c:v>
                </c:pt>
                <c:pt idx="4">
                  <c:v>120</c:v>
                </c:pt>
                <c:pt idx="5">
                  <c:v>22</c:v>
                </c:pt>
              </c:numCache>
            </c:numRef>
          </c:val>
          <c:extLst>
            <c:ext xmlns:c16="http://schemas.microsoft.com/office/drawing/2014/chart" uri="{C3380CC4-5D6E-409C-BE32-E72D297353CC}">
              <c16:uniqueId val="{00000001-C7AB-42C4-AA26-D7B1E38EB0C6}"/>
            </c:ext>
          </c:extLst>
        </c:ser>
        <c:dLbls>
          <c:showLegendKey val="0"/>
          <c:showVal val="0"/>
          <c:showCatName val="0"/>
          <c:showSerName val="0"/>
          <c:showPercent val="0"/>
          <c:showBubbleSize val="0"/>
        </c:dLbls>
        <c:gapWidth val="150"/>
        <c:overlap val="100"/>
        <c:axId val="226842288"/>
        <c:axId val="1080706384"/>
      </c:barChart>
      <c:catAx>
        <c:axId val="22684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80706384"/>
        <c:crosses val="autoZero"/>
        <c:auto val="1"/>
        <c:lblAlgn val="ctr"/>
        <c:lblOffset val="100"/>
        <c:noMultiLvlLbl val="0"/>
      </c:catAx>
      <c:valAx>
        <c:axId val="108070638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6842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'[V3.8 Utenlandske doktorander per institusjon.xlsx]Sortert og figur'!$B$4</c:f>
              <c:strCache>
                <c:ptCount val="1"/>
                <c:pt idx="0">
                  <c:v>Utenlandske statsborgere</c:v>
                </c:pt>
              </c:strCache>
            </c:strRef>
          </c:tx>
          <c:spPr>
            <a:solidFill>
              <a:schemeClr val="accent1"/>
            </a:solidFill>
            <a:ln>
              <a:noFill/>
            </a:ln>
            <a:effectLst/>
          </c:spPr>
          <c:invertIfNegative val="0"/>
          <c:cat>
            <c:strRef>
              <c:f>'[V3.8 Utenlandske doktorander per institusjon.xlsx]Sortert og figur'!$A$5:$A$21</c:f>
              <c:strCache>
                <c:ptCount val="17"/>
                <c:pt idx="0">
                  <c:v>NMBU</c:v>
                </c:pt>
                <c:pt idx="1">
                  <c:v>NHH</c:v>
                </c:pt>
                <c:pt idx="2">
                  <c:v>BI</c:v>
                </c:pt>
                <c:pt idx="3">
                  <c:v>UiT</c:v>
                </c:pt>
                <c:pt idx="4">
                  <c:v>NTNU</c:v>
                </c:pt>
                <c:pt idx="5">
                  <c:v>HVL</c:v>
                </c:pt>
                <c:pt idx="6">
                  <c:v>USN</c:v>
                </c:pt>
                <c:pt idx="7">
                  <c:v>UiA</c:v>
                </c:pt>
                <c:pt idx="8">
                  <c:v>UiB</c:v>
                </c:pt>
                <c:pt idx="9">
                  <c:v>UiS</c:v>
                </c:pt>
                <c:pt idx="10">
                  <c:v>NU</c:v>
                </c:pt>
                <c:pt idx="11">
                  <c:v>UiO</c:v>
                </c:pt>
                <c:pt idx="12">
                  <c:v>OsloMet</c:v>
                </c:pt>
                <c:pt idx="13">
                  <c:v>HINN</c:v>
                </c:pt>
                <c:pt idx="14">
                  <c:v>VID</c:v>
                </c:pt>
                <c:pt idx="15">
                  <c:v>NMH</c:v>
                </c:pt>
                <c:pt idx="16">
                  <c:v>NIH</c:v>
                </c:pt>
              </c:strCache>
            </c:strRef>
          </c:cat>
          <c:val>
            <c:numRef>
              <c:f>'[V3.8 Utenlandske doktorander per institusjon.xlsx]Sortert og figur'!$B$5:$B$21</c:f>
              <c:numCache>
                <c:formatCode>0%</c:formatCode>
                <c:ptCount val="17"/>
                <c:pt idx="0">
                  <c:v>0.55894308943089432</c:v>
                </c:pt>
                <c:pt idx="1">
                  <c:v>0.50476190476190474</c:v>
                </c:pt>
                <c:pt idx="2">
                  <c:v>0.5</c:v>
                </c:pt>
                <c:pt idx="3">
                  <c:v>0.46068965517241378</c:v>
                </c:pt>
                <c:pt idx="4">
                  <c:v>0.45909090909090911</c:v>
                </c:pt>
                <c:pt idx="5">
                  <c:v>0.45454545454545453</c:v>
                </c:pt>
                <c:pt idx="6">
                  <c:v>0.44198895027624308</c:v>
                </c:pt>
                <c:pt idx="7">
                  <c:v>0.43065693430656932</c:v>
                </c:pt>
                <c:pt idx="8">
                  <c:v>0.42265795206971679</c:v>
                </c:pt>
                <c:pt idx="9">
                  <c:v>0.40668523676880225</c:v>
                </c:pt>
                <c:pt idx="10">
                  <c:v>0.3987730061349693</c:v>
                </c:pt>
                <c:pt idx="11">
                  <c:v>0.36523652365236525</c:v>
                </c:pt>
                <c:pt idx="12">
                  <c:v>0.28688524590163933</c:v>
                </c:pt>
                <c:pt idx="13">
                  <c:v>0.19266055045871561</c:v>
                </c:pt>
                <c:pt idx="14">
                  <c:v>0.1276595744680851</c:v>
                </c:pt>
                <c:pt idx="15">
                  <c:v>0.1111111111111111</c:v>
                </c:pt>
                <c:pt idx="16">
                  <c:v>0</c:v>
                </c:pt>
              </c:numCache>
            </c:numRef>
          </c:val>
          <c:extLst>
            <c:ext xmlns:c16="http://schemas.microsoft.com/office/drawing/2014/chart" uri="{C3380CC4-5D6E-409C-BE32-E72D297353CC}">
              <c16:uniqueId val="{00000000-06B1-4D3F-92BB-FB66C4A61984}"/>
            </c:ext>
          </c:extLst>
        </c:ser>
        <c:dLbls>
          <c:showLegendKey val="0"/>
          <c:showVal val="0"/>
          <c:showCatName val="0"/>
          <c:showSerName val="0"/>
          <c:showPercent val="0"/>
          <c:showBubbleSize val="0"/>
        </c:dLbls>
        <c:gapWidth val="219"/>
        <c:overlap val="-27"/>
        <c:axId val="231281536"/>
        <c:axId val="224673072"/>
      </c:barChart>
      <c:catAx>
        <c:axId val="23128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24673072"/>
        <c:crosses val="autoZero"/>
        <c:auto val="1"/>
        <c:lblAlgn val="ctr"/>
        <c:lblOffset val="100"/>
        <c:noMultiLvlLbl val="0"/>
      </c:catAx>
      <c:valAx>
        <c:axId val="22467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31281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664E-2"/>
          <c:y val="5.0691244239631339E-2"/>
          <c:w val="0.89019685039370078"/>
          <c:h val="0.63963714213142719"/>
        </c:manualLayout>
      </c:layout>
      <c:lineChart>
        <c:grouping val="standard"/>
        <c:varyColors val="0"/>
        <c:ser>
          <c:idx val="0"/>
          <c:order val="0"/>
          <c:tx>
            <c:strRef>
              <c:f>AvlagteDoktorgrader!$A$5</c:f>
              <c:strCache>
                <c:ptCount val="1"/>
                <c:pt idx="0">
                  <c:v>Norden utenom Norge</c:v>
                </c:pt>
              </c:strCache>
            </c:strRef>
          </c:tx>
          <c:spPr>
            <a:ln w="28575" cap="rnd">
              <a:solidFill>
                <a:schemeClr val="accent1"/>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AvlagteDoktorgrader!$B$5:$K$5</c:f>
              <c:numCache>
                <c:formatCode>0</c:formatCode>
                <c:ptCount val="10"/>
                <c:pt idx="0">
                  <c:v>52</c:v>
                </c:pt>
                <c:pt idx="1">
                  <c:v>44</c:v>
                </c:pt>
                <c:pt idx="2">
                  <c:v>48</c:v>
                </c:pt>
                <c:pt idx="3">
                  <c:v>58</c:v>
                </c:pt>
                <c:pt idx="4">
                  <c:v>68</c:v>
                </c:pt>
                <c:pt idx="5">
                  <c:v>55</c:v>
                </c:pt>
                <c:pt idx="6">
                  <c:v>55</c:v>
                </c:pt>
                <c:pt idx="7">
                  <c:v>67</c:v>
                </c:pt>
                <c:pt idx="8">
                  <c:v>61</c:v>
                </c:pt>
                <c:pt idx="9">
                  <c:v>60</c:v>
                </c:pt>
              </c:numCache>
            </c:numRef>
          </c:val>
          <c:smooth val="0"/>
          <c:extLst>
            <c:ext xmlns:c16="http://schemas.microsoft.com/office/drawing/2014/chart" uri="{C3380CC4-5D6E-409C-BE32-E72D297353CC}">
              <c16:uniqueId val="{00000000-CCFD-4439-B662-070BCF847D48}"/>
            </c:ext>
          </c:extLst>
        </c:ser>
        <c:ser>
          <c:idx val="1"/>
          <c:order val="1"/>
          <c:tx>
            <c:strRef>
              <c:f>AvlagteDoktorgrader!$A$6</c:f>
              <c:strCache>
                <c:ptCount val="1"/>
                <c:pt idx="0">
                  <c:v>Europa utenom Norden</c:v>
                </c:pt>
              </c:strCache>
            </c:strRef>
          </c:tx>
          <c:spPr>
            <a:ln w="28575" cap="rnd">
              <a:solidFill>
                <a:schemeClr val="accent2"/>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AvlagteDoktorgrader!$B$6:$K$6</c:f>
              <c:numCache>
                <c:formatCode>0</c:formatCode>
                <c:ptCount val="10"/>
                <c:pt idx="0">
                  <c:v>190</c:v>
                </c:pt>
                <c:pt idx="1">
                  <c:v>210</c:v>
                </c:pt>
                <c:pt idx="2">
                  <c:v>212</c:v>
                </c:pt>
                <c:pt idx="3">
                  <c:v>258</c:v>
                </c:pt>
                <c:pt idx="4">
                  <c:v>279</c:v>
                </c:pt>
                <c:pt idx="5">
                  <c:v>257</c:v>
                </c:pt>
                <c:pt idx="6">
                  <c:v>290</c:v>
                </c:pt>
                <c:pt idx="7">
                  <c:v>298</c:v>
                </c:pt>
                <c:pt idx="8">
                  <c:v>265</c:v>
                </c:pt>
                <c:pt idx="9">
                  <c:v>292</c:v>
                </c:pt>
              </c:numCache>
            </c:numRef>
          </c:val>
          <c:smooth val="0"/>
          <c:extLst>
            <c:ext xmlns:c16="http://schemas.microsoft.com/office/drawing/2014/chart" uri="{C3380CC4-5D6E-409C-BE32-E72D297353CC}">
              <c16:uniqueId val="{00000001-CCFD-4439-B662-070BCF847D48}"/>
            </c:ext>
          </c:extLst>
        </c:ser>
        <c:ser>
          <c:idx val="2"/>
          <c:order val="2"/>
          <c:tx>
            <c:strRef>
              <c:f>AvlagteDoktorgrader!$A$7</c:f>
              <c:strCache>
                <c:ptCount val="1"/>
                <c:pt idx="0">
                  <c:v>Afrika</c:v>
                </c:pt>
              </c:strCache>
            </c:strRef>
          </c:tx>
          <c:spPr>
            <a:ln w="28575" cap="rnd">
              <a:solidFill>
                <a:schemeClr val="accent3"/>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AvlagteDoktorgrader!$B$7:$K$7</c:f>
              <c:numCache>
                <c:formatCode>0</c:formatCode>
                <c:ptCount val="10"/>
                <c:pt idx="0">
                  <c:v>64</c:v>
                </c:pt>
                <c:pt idx="1">
                  <c:v>68</c:v>
                </c:pt>
                <c:pt idx="2">
                  <c:v>68</c:v>
                </c:pt>
                <c:pt idx="3">
                  <c:v>56</c:v>
                </c:pt>
                <c:pt idx="4">
                  <c:v>75</c:v>
                </c:pt>
                <c:pt idx="5">
                  <c:v>78</c:v>
                </c:pt>
                <c:pt idx="6">
                  <c:v>79</c:v>
                </c:pt>
                <c:pt idx="7">
                  <c:v>78</c:v>
                </c:pt>
                <c:pt idx="8">
                  <c:v>56</c:v>
                </c:pt>
                <c:pt idx="9">
                  <c:v>66</c:v>
                </c:pt>
              </c:numCache>
            </c:numRef>
          </c:val>
          <c:smooth val="0"/>
          <c:extLst>
            <c:ext xmlns:c16="http://schemas.microsoft.com/office/drawing/2014/chart" uri="{C3380CC4-5D6E-409C-BE32-E72D297353CC}">
              <c16:uniqueId val="{00000002-CCFD-4439-B662-070BCF847D48}"/>
            </c:ext>
          </c:extLst>
        </c:ser>
        <c:ser>
          <c:idx val="3"/>
          <c:order val="3"/>
          <c:tx>
            <c:strRef>
              <c:f>AvlagteDoktorgrader!$A$8</c:f>
              <c:strCache>
                <c:ptCount val="1"/>
                <c:pt idx="0">
                  <c:v>Asia</c:v>
                </c:pt>
              </c:strCache>
            </c:strRef>
          </c:tx>
          <c:spPr>
            <a:ln w="28575" cap="rnd">
              <a:solidFill>
                <a:schemeClr val="accent4"/>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AvlagteDoktorgrader!$B$8:$K$8</c:f>
              <c:numCache>
                <c:formatCode>0</c:formatCode>
                <c:ptCount val="10"/>
                <c:pt idx="0">
                  <c:v>161</c:v>
                </c:pt>
                <c:pt idx="1">
                  <c:v>170</c:v>
                </c:pt>
                <c:pt idx="2">
                  <c:v>157</c:v>
                </c:pt>
                <c:pt idx="3">
                  <c:v>157</c:v>
                </c:pt>
                <c:pt idx="4">
                  <c:v>186</c:v>
                </c:pt>
                <c:pt idx="5">
                  <c:v>189</c:v>
                </c:pt>
                <c:pt idx="6">
                  <c:v>178</c:v>
                </c:pt>
                <c:pt idx="7">
                  <c:v>201</c:v>
                </c:pt>
                <c:pt idx="8">
                  <c:v>181</c:v>
                </c:pt>
                <c:pt idx="9">
                  <c:v>220</c:v>
                </c:pt>
              </c:numCache>
            </c:numRef>
          </c:val>
          <c:smooth val="0"/>
          <c:extLst>
            <c:ext xmlns:c16="http://schemas.microsoft.com/office/drawing/2014/chart" uri="{C3380CC4-5D6E-409C-BE32-E72D297353CC}">
              <c16:uniqueId val="{00000003-CCFD-4439-B662-070BCF847D48}"/>
            </c:ext>
          </c:extLst>
        </c:ser>
        <c:ser>
          <c:idx val="4"/>
          <c:order val="4"/>
          <c:tx>
            <c:strRef>
              <c:f>AvlagteDoktorgrader!$A$9</c:f>
              <c:strCache>
                <c:ptCount val="1"/>
                <c:pt idx="0">
                  <c:v>Nord-Amerika</c:v>
                </c:pt>
              </c:strCache>
            </c:strRef>
          </c:tx>
          <c:spPr>
            <a:ln w="28575" cap="rnd">
              <a:solidFill>
                <a:schemeClr val="accent5"/>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AvlagteDoktorgrader!$B$9:$K$9</c:f>
              <c:numCache>
                <c:formatCode>0</c:formatCode>
                <c:ptCount val="10"/>
                <c:pt idx="0">
                  <c:v>18</c:v>
                </c:pt>
                <c:pt idx="1">
                  <c:v>15</c:v>
                </c:pt>
                <c:pt idx="2">
                  <c:v>22</c:v>
                </c:pt>
                <c:pt idx="3">
                  <c:v>28</c:v>
                </c:pt>
                <c:pt idx="4">
                  <c:v>15</c:v>
                </c:pt>
                <c:pt idx="5">
                  <c:v>31</c:v>
                </c:pt>
                <c:pt idx="6">
                  <c:v>26</c:v>
                </c:pt>
                <c:pt idx="7">
                  <c:v>26</c:v>
                </c:pt>
                <c:pt idx="8">
                  <c:v>32</c:v>
                </c:pt>
                <c:pt idx="9">
                  <c:v>39</c:v>
                </c:pt>
              </c:numCache>
            </c:numRef>
          </c:val>
          <c:smooth val="0"/>
          <c:extLst>
            <c:ext xmlns:c16="http://schemas.microsoft.com/office/drawing/2014/chart" uri="{C3380CC4-5D6E-409C-BE32-E72D297353CC}">
              <c16:uniqueId val="{00000004-CCFD-4439-B662-070BCF847D48}"/>
            </c:ext>
          </c:extLst>
        </c:ser>
        <c:ser>
          <c:idx val="5"/>
          <c:order val="5"/>
          <c:tx>
            <c:strRef>
              <c:f>AvlagteDoktorgrader!$A$10</c:f>
              <c:strCache>
                <c:ptCount val="1"/>
                <c:pt idx="0">
                  <c:v>Latin-Amerika og Karibia</c:v>
                </c:pt>
              </c:strCache>
            </c:strRef>
          </c:tx>
          <c:spPr>
            <a:ln w="28575" cap="rnd">
              <a:solidFill>
                <a:schemeClr val="accent6"/>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AvlagteDoktorgrader!$B$10:$K$10</c:f>
              <c:numCache>
                <c:formatCode>0</c:formatCode>
                <c:ptCount val="10"/>
                <c:pt idx="0">
                  <c:v>13</c:v>
                </c:pt>
                <c:pt idx="1">
                  <c:v>23</c:v>
                </c:pt>
                <c:pt idx="2">
                  <c:v>22</c:v>
                </c:pt>
                <c:pt idx="3">
                  <c:v>20</c:v>
                </c:pt>
                <c:pt idx="4">
                  <c:v>28</c:v>
                </c:pt>
                <c:pt idx="5">
                  <c:v>18</c:v>
                </c:pt>
                <c:pt idx="6">
                  <c:v>22</c:v>
                </c:pt>
                <c:pt idx="7">
                  <c:v>23</c:v>
                </c:pt>
                <c:pt idx="8">
                  <c:v>31</c:v>
                </c:pt>
                <c:pt idx="9">
                  <c:v>27</c:v>
                </c:pt>
              </c:numCache>
            </c:numRef>
          </c:val>
          <c:smooth val="0"/>
          <c:extLst>
            <c:ext xmlns:c16="http://schemas.microsoft.com/office/drawing/2014/chart" uri="{C3380CC4-5D6E-409C-BE32-E72D297353CC}">
              <c16:uniqueId val="{00000005-CCFD-4439-B662-070BCF847D48}"/>
            </c:ext>
          </c:extLst>
        </c:ser>
        <c:ser>
          <c:idx val="6"/>
          <c:order val="6"/>
          <c:tx>
            <c:strRef>
              <c:f>AvlagteDoktorgrader!$A$11</c:f>
              <c:strCache>
                <c:ptCount val="1"/>
                <c:pt idx="0">
                  <c:v>Oseania</c:v>
                </c:pt>
              </c:strCache>
            </c:strRef>
          </c:tx>
          <c:spPr>
            <a:ln w="28575" cap="rnd">
              <a:solidFill>
                <a:schemeClr val="accent1">
                  <a:lumMod val="60000"/>
                </a:schemeClr>
              </a:solidFill>
              <a:round/>
            </a:ln>
            <a:effectLst/>
          </c:spPr>
          <c:marker>
            <c:symbol val="none"/>
          </c:marker>
          <c:cat>
            <c:strRef>
              <c:f>AvlagteDoktorgrader!$B$4:$K$4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AvlagteDoktorgrader!$B$11:$K$11</c:f>
              <c:numCache>
                <c:formatCode>0</c:formatCode>
                <c:ptCount val="10"/>
                <c:pt idx="0">
                  <c:v>5</c:v>
                </c:pt>
                <c:pt idx="1">
                  <c:v>4</c:v>
                </c:pt>
                <c:pt idx="2">
                  <c:v>3</c:v>
                </c:pt>
                <c:pt idx="3">
                  <c:v>4</c:v>
                </c:pt>
                <c:pt idx="4">
                  <c:v>7</c:v>
                </c:pt>
                <c:pt idx="5">
                  <c:v>6</c:v>
                </c:pt>
                <c:pt idx="6">
                  <c:v>5</c:v>
                </c:pt>
                <c:pt idx="7">
                  <c:v>4</c:v>
                </c:pt>
                <c:pt idx="8">
                  <c:v>3</c:v>
                </c:pt>
                <c:pt idx="9">
                  <c:v>2</c:v>
                </c:pt>
              </c:numCache>
            </c:numRef>
          </c:val>
          <c:smooth val="0"/>
          <c:extLst>
            <c:ext xmlns:c16="http://schemas.microsoft.com/office/drawing/2014/chart" uri="{C3380CC4-5D6E-409C-BE32-E72D297353CC}">
              <c16:uniqueId val="{00000006-CCFD-4439-B662-070BCF847D48}"/>
            </c:ext>
          </c:extLst>
        </c:ser>
        <c:dLbls>
          <c:showLegendKey val="0"/>
          <c:showVal val="0"/>
          <c:showCatName val="0"/>
          <c:showSerName val="0"/>
          <c:showPercent val="0"/>
          <c:showBubbleSize val="0"/>
        </c:dLbls>
        <c:smooth val="0"/>
        <c:axId val="1931419679"/>
        <c:axId val="1461668479"/>
      </c:lineChart>
      <c:catAx>
        <c:axId val="1931419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61668479"/>
        <c:crosses val="autoZero"/>
        <c:auto val="1"/>
        <c:lblAlgn val="ctr"/>
        <c:lblOffset val="100"/>
        <c:noMultiLvlLbl val="0"/>
      </c:catAx>
      <c:valAx>
        <c:axId val="14616684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931419679"/>
        <c:crosses val="autoZero"/>
        <c:crossBetween val="between"/>
      </c:valAx>
      <c:spPr>
        <a:noFill/>
        <a:ln>
          <a:noFill/>
        </a:ln>
        <a:effectLst/>
      </c:spPr>
    </c:plotArea>
    <c:legend>
      <c:legendPos val="b"/>
      <c:layout>
        <c:manualLayout>
          <c:xMode val="edge"/>
          <c:yMode val="edge"/>
          <c:x val="6.9709098862642087E-3"/>
          <c:y val="0.76958307630900979"/>
          <c:w val="0.97772484689413819"/>
          <c:h val="0.202767154105736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AvlagteDoktorgrader!$B$5</c:f>
              <c:strCache>
                <c:ptCount val="1"/>
                <c:pt idx="0">
                  <c:v>Menn - Norge</c:v>
                </c:pt>
              </c:strCache>
            </c:strRef>
          </c:tx>
          <c:spPr>
            <a:ln w="28575" cap="rnd">
              <a:solidFill>
                <a:schemeClr val="accent1"/>
              </a:solidFill>
              <a:round/>
            </a:ln>
            <a:effectLst/>
          </c:spPr>
          <c:marker>
            <c:symbol val="none"/>
          </c:marker>
          <c:cat>
            <c:strRef>
              <c:f>AvlagteDoktorgrader!$C$4:$L$4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AvlagteDoktorgrader!$C$5:$L$5</c:f>
              <c:numCache>
                <c:formatCode>0</c:formatCode>
                <c:ptCount val="10"/>
                <c:pt idx="0">
                  <c:v>408</c:v>
                </c:pt>
                <c:pt idx="1">
                  <c:v>377</c:v>
                </c:pt>
                <c:pt idx="2">
                  <c:v>405</c:v>
                </c:pt>
                <c:pt idx="3">
                  <c:v>410</c:v>
                </c:pt>
                <c:pt idx="4">
                  <c:v>396</c:v>
                </c:pt>
                <c:pt idx="5">
                  <c:v>426</c:v>
                </c:pt>
                <c:pt idx="6">
                  <c:v>448</c:v>
                </c:pt>
                <c:pt idx="7">
                  <c:v>399</c:v>
                </c:pt>
                <c:pt idx="8">
                  <c:v>407</c:v>
                </c:pt>
                <c:pt idx="9">
                  <c:v>356</c:v>
                </c:pt>
              </c:numCache>
            </c:numRef>
          </c:val>
          <c:smooth val="0"/>
          <c:extLst>
            <c:ext xmlns:c16="http://schemas.microsoft.com/office/drawing/2014/chart" uri="{C3380CC4-5D6E-409C-BE32-E72D297353CC}">
              <c16:uniqueId val="{00000000-1ECB-434E-90EA-078652C2913C}"/>
            </c:ext>
          </c:extLst>
        </c:ser>
        <c:ser>
          <c:idx val="1"/>
          <c:order val="1"/>
          <c:tx>
            <c:strRef>
              <c:f>AvlagteDoktorgrader!$B$6</c:f>
              <c:strCache>
                <c:ptCount val="1"/>
                <c:pt idx="0">
                  <c:v>Kvinner - Norge</c:v>
                </c:pt>
              </c:strCache>
            </c:strRef>
          </c:tx>
          <c:spPr>
            <a:ln w="28575" cap="rnd">
              <a:solidFill>
                <a:schemeClr val="accent2"/>
              </a:solidFill>
              <a:round/>
            </a:ln>
            <a:effectLst/>
          </c:spPr>
          <c:marker>
            <c:symbol val="none"/>
          </c:marker>
          <c:cat>
            <c:strRef>
              <c:f>AvlagteDoktorgrader!$C$4:$L$4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AvlagteDoktorgrader!$C$6:$L$6</c:f>
              <c:numCache>
                <c:formatCode>0</c:formatCode>
                <c:ptCount val="10"/>
                <c:pt idx="0">
                  <c:v>537</c:v>
                </c:pt>
                <c:pt idx="1">
                  <c:v>525</c:v>
                </c:pt>
                <c:pt idx="2">
                  <c:v>473</c:v>
                </c:pt>
                <c:pt idx="3">
                  <c:v>502</c:v>
                </c:pt>
                <c:pt idx="4">
                  <c:v>510</c:v>
                </c:pt>
                <c:pt idx="5">
                  <c:v>523</c:v>
                </c:pt>
                <c:pt idx="6">
                  <c:v>531</c:v>
                </c:pt>
                <c:pt idx="7">
                  <c:v>505</c:v>
                </c:pt>
                <c:pt idx="8">
                  <c:v>526</c:v>
                </c:pt>
                <c:pt idx="9">
                  <c:v>550</c:v>
                </c:pt>
              </c:numCache>
            </c:numRef>
          </c:val>
          <c:smooth val="0"/>
          <c:extLst>
            <c:ext xmlns:c16="http://schemas.microsoft.com/office/drawing/2014/chart" uri="{C3380CC4-5D6E-409C-BE32-E72D297353CC}">
              <c16:uniqueId val="{00000001-1ECB-434E-90EA-078652C2913C}"/>
            </c:ext>
          </c:extLst>
        </c:ser>
        <c:ser>
          <c:idx val="2"/>
          <c:order val="2"/>
          <c:tx>
            <c:strRef>
              <c:f>AvlagteDoktorgrader!$B$7</c:f>
              <c:strCache>
                <c:ptCount val="1"/>
                <c:pt idx="0">
                  <c:v>Menn - Utland</c:v>
                </c:pt>
              </c:strCache>
            </c:strRef>
          </c:tx>
          <c:spPr>
            <a:ln w="28575" cap="rnd">
              <a:solidFill>
                <a:schemeClr val="accent3"/>
              </a:solidFill>
              <a:round/>
            </a:ln>
            <a:effectLst/>
          </c:spPr>
          <c:marker>
            <c:symbol val="none"/>
          </c:marker>
          <c:cat>
            <c:strRef>
              <c:f>AvlagteDoktorgrader!$C$4:$L$4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AvlagteDoktorgrader!$C$7:$L$7</c:f>
              <c:numCache>
                <c:formatCode>0</c:formatCode>
                <c:ptCount val="10"/>
                <c:pt idx="0">
                  <c:v>310</c:v>
                </c:pt>
                <c:pt idx="1">
                  <c:v>303</c:v>
                </c:pt>
                <c:pt idx="2">
                  <c:v>332</c:v>
                </c:pt>
                <c:pt idx="3">
                  <c:v>333</c:v>
                </c:pt>
                <c:pt idx="4">
                  <c:v>386</c:v>
                </c:pt>
                <c:pt idx="5">
                  <c:v>367</c:v>
                </c:pt>
                <c:pt idx="6">
                  <c:v>360</c:v>
                </c:pt>
                <c:pt idx="7">
                  <c:v>382</c:v>
                </c:pt>
                <c:pt idx="8">
                  <c:v>347</c:v>
                </c:pt>
                <c:pt idx="9">
                  <c:v>389</c:v>
                </c:pt>
              </c:numCache>
            </c:numRef>
          </c:val>
          <c:smooth val="0"/>
          <c:extLst>
            <c:ext xmlns:c16="http://schemas.microsoft.com/office/drawing/2014/chart" uri="{C3380CC4-5D6E-409C-BE32-E72D297353CC}">
              <c16:uniqueId val="{00000002-1ECB-434E-90EA-078652C2913C}"/>
            </c:ext>
          </c:extLst>
        </c:ser>
        <c:ser>
          <c:idx val="3"/>
          <c:order val="3"/>
          <c:tx>
            <c:strRef>
              <c:f>AvlagteDoktorgrader!$B$8</c:f>
              <c:strCache>
                <c:ptCount val="1"/>
                <c:pt idx="0">
                  <c:v>Kvinner - Utland</c:v>
                </c:pt>
              </c:strCache>
            </c:strRef>
          </c:tx>
          <c:spPr>
            <a:ln w="28575" cap="rnd">
              <a:solidFill>
                <a:schemeClr val="accent4"/>
              </a:solidFill>
              <a:round/>
            </a:ln>
            <a:effectLst/>
          </c:spPr>
          <c:marker>
            <c:symbol val="none"/>
          </c:marker>
          <c:cat>
            <c:strRef>
              <c:f>AvlagteDoktorgrader!$C$4:$L$4</c:f>
              <c:strCache>
                <c:ptCount val="10"/>
                <c:pt idx="0">
                  <c:v>2014</c:v>
                </c:pt>
                <c:pt idx="1">
                  <c:v>2015</c:v>
                </c:pt>
                <c:pt idx="2">
                  <c:v>2016</c:v>
                </c:pt>
                <c:pt idx="3">
                  <c:v>2017</c:v>
                </c:pt>
                <c:pt idx="4">
                  <c:v>2018</c:v>
                </c:pt>
                <c:pt idx="5">
                  <c:v>2019</c:v>
                </c:pt>
                <c:pt idx="6">
                  <c:v>2020</c:v>
                </c:pt>
                <c:pt idx="7">
                  <c:v>2021</c:v>
                </c:pt>
                <c:pt idx="8">
                  <c:v>2022</c:v>
                </c:pt>
                <c:pt idx="9">
                  <c:v>2023</c:v>
                </c:pt>
              </c:strCache>
            </c:strRef>
          </c:cat>
          <c:val>
            <c:numRef>
              <c:f>AvlagteDoktorgrader!$C$8:$L$8</c:f>
              <c:numCache>
                <c:formatCode>0</c:formatCode>
                <c:ptCount val="10"/>
                <c:pt idx="0">
                  <c:v>193</c:v>
                </c:pt>
                <c:pt idx="1">
                  <c:v>231</c:v>
                </c:pt>
                <c:pt idx="2">
                  <c:v>200</c:v>
                </c:pt>
                <c:pt idx="3">
                  <c:v>248</c:v>
                </c:pt>
                <c:pt idx="4">
                  <c:v>272</c:v>
                </c:pt>
                <c:pt idx="5">
                  <c:v>267</c:v>
                </c:pt>
                <c:pt idx="6">
                  <c:v>295</c:v>
                </c:pt>
                <c:pt idx="7">
                  <c:v>315</c:v>
                </c:pt>
                <c:pt idx="8">
                  <c:v>282</c:v>
                </c:pt>
                <c:pt idx="9">
                  <c:v>317</c:v>
                </c:pt>
              </c:numCache>
            </c:numRef>
          </c:val>
          <c:smooth val="0"/>
          <c:extLst>
            <c:ext xmlns:c16="http://schemas.microsoft.com/office/drawing/2014/chart" uri="{C3380CC4-5D6E-409C-BE32-E72D297353CC}">
              <c16:uniqueId val="{00000003-1ECB-434E-90EA-078652C2913C}"/>
            </c:ext>
          </c:extLst>
        </c:ser>
        <c:dLbls>
          <c:showLegendKey val="0"/>
          <c:showVal val="0"/>
          <c:showCatName val="0"/>
          <c:showSerName val="0"/>
          <c:showPercent val="0"/>
          <c:showBubbleSize val="0"/>
        </c:dLbls>
        <c:smooth val="0"/>
        <c:axId val="514751007"/>
        <c:axId val="1086186463"/>
      </c:lineChart>
      <c:catAx>
        <c:axId val="5147510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86186463"/>
        <c:crosses val="autoZero"/>
        <c:auto val="1"/>
        <c:lblAlgn val="ctr"/>
        <c:lblOffset val="100"/>
        <c:noMultiLvlLbl val="0"/>
      </c:catAx>
      <c:valAx>
        <c:axId val="1086186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14751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696385420247015E-2"/>
          <c:y val="4.7048759623609923E-2"/>
          <c:w val="0.88351411757111131"/>
          <c:h val="0.6325064157399487"/>
        </c:manualLayout>
      </c:layout>
      <c:barChart>
        <c:barDir val="bar"/>
        <c:grouping val="stacked"/>
        <c:varyColors val="0"/>
        <c:ser>
          <c:idx val="0"/>
          <c:order val="0"/>
          <c:tx>
            <c:strRef>
              <c:f>Samletabell!$A$13</c:f>
              <c:strCache>
                <c:ptCount val="1"/>
                <c:pt idx="0">
                  <c:v>Matematikk, naturvitenskap</c:v>
                </c:pt>
              </c:strCache>
            </c:strRef>
          </c:tx>
          <c:spPr>
            <a:solidFill>
              <a:schemeClr val="accent1"/>
            </a:solidFill>
            <a:ln>
              <a:noFill/>
            </a:ln>
            <a:effectLst/>
          </c:spPr>
          <c:invertIfNegative val="0"/>
          <c:cat>
            <c:strRef>
              <c:f>Samletabell!$B$12:$E$12</c:f>
              <c:strCache>
                <c:ptCount val="4"/>
                <c:pt idx="0">
                  <c:v>NO</c:v>
                </c:pt>
                <c:pt idx="1">
                  <c:v>DK</c:v>
                </c:pt>
                <c:pt idx="2">
                  <c:v>FIN</c:v>
                </c:pt>
                <c:pt idx="3">
                  <c:v>SE</c:v>
                </c:pt>
              </c:strCache>
            </c:strRef>
          </c:cat>
          <c:val>
            <c:numRef>
              <c:f>Samletabell!$B$13:$E$13</c:f>
              <c:numCache>
                <c:formatCode>0%</c:formatCode>
                <c:ptCount val="4"/>
                <c:pt idx="0">
                  <c:v>0.16517285531370038</c:v>
                </c:pt>
                <c:pt idx="1">
                  <c:v>0.16408668730650156</c:v>
                </c:pt>
                <c:pt idx="2">
                  <c:v>0.1513846153846154</c:v>
                </c:pt>
                <c:pt idx="3">
                  <c:v>0.24029038112522685</c:v>
                </c:pt>
              </c:numCache>
            </c:numRef>
          </c:val>
          <c:extLst>
            <c:ext xmlns:c16="http://schemas.microsoft.com/office/drawing/2014/chart" uri="{C3380CC4-5D6E-409C-BE32-E72D297353CC}">
              <c16:uniqueId val="{00000000-AF5F-4254-AD01-F79CF5C1103E}"/>
            </c:ext>
          </c:extLst>
        </c:ser>
        <c:ser>
          <c:idx val="1"/>
          <c:order val="1"/>
          <c:tx>
            <c:strRef>
              <c:f>Samletabell!$A$14</c:f>
              <c:strCache>
                <c:ptCount val="1"/>
                <c:pt idx="0">
                  <c:v>Teknologi</c:v>
                </c:pt>
              </c:strCache>
            </c:strRef>
          </c:tx>
          <c:spPr>
            <a:solidFill>
              <a:schemeClr val="accent2"/>
            </a:solidFill>
            <a:ln>
              <a:noFill/>
            </a:ln>
            <a:effectLst/>
          </c:spPr>
          <c:invertIfNegative val="0"/>
          <c:cat>
            <c:strRef>
              <c:f>Samletabell!$B$12:$E$12</c:f>
              <c:strCache>
                <c:ptCount val="4"/>
                <c:pt idx="0">
                  <c:v>NO</c:v>
                </c:pt>
                <c:pt idx="1">
                  <c:v>DK</c:v>
                </c:pt>
                <c:pt idx="2">
                  <c:v>FIN</c:v>
                </c:pt>
                <c:pt idx="3">
                  <c:v>SE</c:v>
                </c:pt>
              </c:strCache>
            </c:strRef>
          </c:cat>
          <c:val>
            <c:numRef>
              <c:f>Samletabell!$B$14:$E$14</c:f>
              <c:numCache>
                <c:formatCode>0%</c:formatCode>
                <c:ptCount val="4"/>
                <c:pt idx="0">
                  <c:v>0.17989756722151087</c:v>
                </c:pt>
                <c:pt idx="1">
                  <c:v>0.24148606811145512</c:v>
                </c:pt>
                <c:pt idx="2">
                  <c:v>0.26400000000000001</c:v>
                </c:pt>
                <c:pt idx="3">
                  <c:v>0.18548094373865698</c:v>
                </c:pt>
              </c:numCache>
            </c:numRef>
          </c:val>
          <c:extLst>
            <c:ext xmlns:c16="http://schemas.microsoft.com/office/drawing/2014/chart" uri="{C3380CC4-5D6E-409C-BE32-E72D297353CC}">
              <c16:uniqueId val="{00000001-AF5F-4254-AD01-F79CF5C1103E}"/>
            </c:ext>
          </c:extLst>
        </c:ser>
        <c:ser>
          <c:idx val="2"/>
          <c:order val="2"/>
          <c:tx>
            <c:strRef>
              <c:f>Samletabell!$A$15</c:f>
              <c:strCache>
                <c:ptCount val="1"/>
                <c:pt idx="0">
                  <c:v>Medisin og helsefag</c:v>
                </c:pt>
              </c:strCache>
            </c:strRef>
          </c:tx>
          <c:spPr>
            <a:solidFill>
              <a:schemeClr val="accent3"/>
            </a:solidFill>
            <a:ln>
              <a:noFill/>
            </a:ln>
            <a:effectLst/>
          </c:spPr>
          <c:invertIfNegative val="0"/>
          <c:cat>
            <c:strRef>
              <c:f>Samletabell!$B$12:$E$12</c:f>
              <c:strCache>
                <c:ptCount val="4"/>
                <c:pt idx="0">
                  <c:v>NO</c:v>
                </c:pt>
                <c:pt idx="1">
                  <c:v>DK</c:v>
                </c:pt>
                <c:pt idx="2">
                  <c:v>FIN</c:v>
                </c:pt>
                <c:pt idx="3">
                  <c:v>SE</c:v>
                </c:pt>
              </c:strCache>
            </c:strRef>
          </c:cat>
          <c:val>
            <c:numRef>
              <c:f>Samletabell!$B$15:$E$15</c:f>
              <c:numCache>
                <c:formatCode>0%</c:formatCode>
                <c:ptCount val="4"/>
                <c:pt idx="0">
                  <c:v>0.30409731113956467</c:v>
                </c:pt>
                <c:pt idx="1">
                  <c:v>0.36738906088751289</c:v>
                </c:pt>
                <c:pt idx="2">
                  <c:v>0.23753846153846153</c:v>
                </c:pt>
                <c:pt idx="3">
                  <c:v>0.36442831215970961</c:v>
                </c:pt>
              </c:numCache>
            </c:numRef>
          </c:val>
          <c:extLst>
            <c:ext xmlns:c16="http://schemas.microsoft.com/office/drawing/2014/chart" uri="{C3380CC4-5D6E-409C-BE32-E72D297353CC}">
              <c16:uniqueId val="{00000002-AF5F-4254-AD01-F79CF5C1103E}"/>
            </c:ext>
          </c:extLst>
        </c:ser>
        <c:ser>
          <c:idx val="3"/>
          <c:order val="3"/>
          <c:tx>
            <c:strRef>
              <c:f>Samletabell!$A$16</c:f>
              <c:strCache>
                <c:ptCount val="1"/>
                <c:pt idx="0">
                  <c:v>Samfunnsvitenskap</c:v>
                </c:pt>
              </c:strCache>
            </c:strRef>
          </c:tx>
          <c:spPr>
            <a:solidFill>
              <a:schemeClr val="accent4"/>
            </a:solidFill>
            <a:ln>
              <a:noFill/>
            </a:ln>
            <a:effectLst/>
          </c:spPr>
          <c:invertIfNegative val="0"/>
          <c:cat>
            <c:strRef>
              <c:f>Samletabell!$B$12:$E$12</c:f>
              <c:strCache>
                <c:ptCount val="4"/>
                <c:pt idx="0">
                  <c:v>NO</c:v>
                </c:pt>
                <c:pt idx="1">
                  <c:v>DK</c:v>
                </c:pt>
                <c:pt idx="2">
                  <c:v>FIN</c:v>
                </c:pt>
                <c:pt idx="3">
                  <c:v>SE</c:v>
                </c:pt>
              </c:strCache>
            </c:strRef>
          </c:cat>
          <c:val>
            <c:numRef>
              <c:f>Samletabell!$B$16:$E$16</c:f>
              <c:numCache>
                <c:formatCode>0%</c:formatCode>
                <c:ptCount val="4"/>
                <c:pt idx="0">
                  <c:v>0.23623559539052497</c:v>
                </c:pt>
                <c:pt idx="1">
                  <c:v>9.7007223942208468E-2</c:v>
                </c:pt>
                <c:pt idx="2">
                  <c:v>0.16123076923076923</c:v>
                </c:pt>
                <c:pt idx="3">
                  <c:v>0.13829401088929219</c:v>
                </c:pt>
              </c:numCache>
            </c:numRef>
          </c:val>
          <c:extLst>
            <c:ext xmlns:c16="http://schemas.microsoft.com/office/drawing/2014/chart" uri="{C3380CC4-5D6E-409C-BE32-E72D297353CC}">
              <c16:uniqueId val="{00000003-AF5F-4254-AD01-F79CF5C1103E}"/>
            </c:ext>
          </c:extLst>
        </c:ser>
        <c:ser>
          <c:idx val="4"/>
          <c:order val="4"/>
          <c:tx>
            <c:strRef>
              <c:f>Samletabell!$A$17</c:f>
              <c:strCache>
                <c:ptCount val="1"/>
                <c:pt idx="0">
                  <c:v>Humaniora</c:v>
                </c:pt>
              </c:strCache>
            </c:strRef>
          </c:tx>
          <c:spPr>
            <a:solidFill>
              <a:schemeClr val="accent5"/>
            </a:solidFill>
            <a:ln>
              <a:noFill/>
            </a:ln>
            <a:effectLst/>
          </c:spPr>
          <c:invertIfNegative val="0"/>
          <c:cat>
            <c:strRef>
              <c:f>Samletabell!$B$12:$E$12</c:f>
              <c:strCache>
                <c:ptCount val="4"/>
                <c:pt idx="0">
                  <c:v>NO</c:v>
                </c:pt>
                <c:pt idx="1">
                  <c:v>DK</c:v>
                </c:pt>
                <c:pt idx="2">
                  <c:v>FIN</c:v>
                </c:pt>
                <c:pt idx="3">
                  <c:v>SE</c:v>
                </c:pt>
              </c:strCache>
            </c:strRef>
          </c:cat>
          <c:val>
            <c:numRef>
              <c:f>Samletabell!$B$17:$E$17</c:f>
              <c:numCache>
                <c:formatCode>0%</c:formatCode>
                <c:ptCount val="4"/>
                <c:pt idx="0">
                  <c:v>8.706786171574904E-2</c:v>
                </c:pt>
                <c:pt idx="1">
                  <c:v>6.8111455108359129E-2</c:v>
                </c:pt>
                <c:pt idx="2">
                  <c:v>0.10461538461538461</c:v>
                </c:pt>
                <c:pt idx="3">
                  <c:v>5.5535390199637026E-2</c:v>
                </c:pt>
              </c:numCache>
            </c:numRef>
          </c:val>
          <c:extLst>
            <c:ext xmlns:c16="http://schemas.microsoft.com/office/drawing/2014/chart" uri="{C3380CC4-5D6E-409C-BE32-E72D297353CC}">
              <c16:uniqueId val="{00000004-AF5F-4254-AD01-F79CF5C1103E}"/>
            </c:ext>
          </c:extLst>
        </c:ser>
        <c:ser>
          <c:idx val="5"/>
          <c:order val="5"/>
          <c:tx>
            <c:strRef>
              <c:f>Samletabell!$A$18</c:f>
              <c:strCache>
                <c:ptCount val="1"/>
                <c:pt idx="0">
                  <c:v>Landbruks- og fiskerifag og veterinærmedisin </c:v>
                </c:pt>
              </c:strCache>
            </c:strRef>
          </c:tx>
          <c:spPr>
            <a:solidFill>
              <a:schemeClr val="accent6"/>
            </a:solidFill>
            <a:ln>
              <a:noFill/>
            </a:ln>
            <a:effectLst/>
          </c:spPr>
          <c:invertIfNegative val="0"/>
          <c:cat>
            <c:strRef>
              <c:f>Samletabell!$B$12:$E$12</c:f>
              <c:strCache>
                <c:ptCount val="4"/>
                <c:pt idx="0">
                  <c:v>NO</c:v>
                </c:pt>
                <c:pt idx="1">
                  <c:v>DK</c:v>
                </c:pt>
                <c:pt idx="2">
                  <c:v>FIN</c:v>
                </c:pt>
                <c:pt idx="3">
                  <c:v>SE</c:v>
                </c:pt>
              </c:strCache>
            </c:strRef>
          </c:cat>
          <c:val>
            <c:numRef>
              <c:f>Samletabell!$B$18:$E$18</c:f>
              <c:numCache>
                <c:formatCode>0%</c:formatCode>
                <c:ptCount val="4"/>
                <c:pt idx="0">
                  <c:v>2.7528809218950064E-2</c:v>
                </c:pt>
                <c:pt idx="1">
                  <c:v>6.1919504643962849E-2</c:v>
                </c:pt>
                <c:pt idx="2">
                  <c:v>2.0307692307692308E-2</c:v>
                </c:pt>
                <c:pt idx="3">
                  <c:v>1.5970961887477313E-2</c:v>
                </c:pt>
              </c:numCache>
            </c:numRef>
          </c:val>
          <c:extLst>
            <c:ext xmlns:c16="http://schemas.microsoft.com/office/drawing/2014/chart" uri="{C3380CC4-5D6E-409C-BE32-E72D297353CC}">
              <c16:uniqueId val="{00000005-AF5F-4254-AD01-F79CF5C1103E}"/>
            </c:ext>
          </c:extLst>
        </c:ser>
        <c:ser>
          <c:idx val="6"/>
          <c:order val="6"/>
          <c:tx>
            <c:strRef>
              <c:f>Samletabell!$A$19</c:f>
              <c:strCache>
                <c:ptCount val="1"/>
                <c:pt idx="0">
                  <c:v>Andre</c:v>
                </c:pt>
              </c:strCache>
            </c:strRef>
          </c:tx>
          <c:spPr>
            <a:solidFill>
              <a:schemeClr val="accent1">
                <a:lumMod val="60000"/>
              </a:schemeClr>
            </a:solidFill>
            <a:ln>
              <a:noFill/>
            </a:ln>
            <a:effectLst/>
          </c:spPr>
          <c:invertIfNegative val="0"/>
          <c:cat>
            <c:strRef>
              <c:f>Samletabell!$B$12:$E$12</c:f>
              <c:strCache>
                <c:ptCount val="4"/>
                <c:pt idx="0">
                  <c:v>NO</c:v>
                </c:pt>
                <c:pt idx="1">
                  <c:v>DK</c:v>
                </c:pt>
                <c:pt idx="2">
                  <c:v>FIN</c:v>
                </c:pt>
                <c:pt idx="3">
                  <c:v>SE</c:v>
                </c:pt>
              </c:strCache>
            </c:strRef>
          </c:cat>
          <c:val>
            <c:numRef>
              <c:f>Samletabell!$B$19:$E$19</c:f>
              <c:numCache>
                <c:formatCode>0%</c:formatCode>
                <c:ptCount val="4"/>
                <c:pt idx="0">
                  <c:v>0</c:v>
                </c:pt>
                <c:pt idx="1">
                  <c:v>0</c:v>
                </c:pt>
                <c:pt idx="2">
                  <c:v>6.0923076923076927E-2</c:v>
                </c:pt>
                <c:pt idx="3">
                  <c:v>0</c:v>
                </c:pt>
              </c:numCache>
            </c:numRef>
          </c:val>
          <c:extLst>
            <c:ext xmlns:c16="http://schemas.microsoft.com/office/drawing/2014/chart" uri="{C3380CC4-5D6E-409C-BE32-E72D297353CC}">
              <c16:uniqueId val="{00000006-AF5F-4254-AD01-F79CF5C1103E}"/>
            </c:ext>
          </c:extLst>
        </c:ser>
        <c:dLbls>
          <c:showLegendKey val="0"/>
          <c:showVal val="0"/>
          <c:showCatName val="0"/>
          <c:showSerName val="0"/>
          <c:showPercent val="0"/>
          <c:showBubbleSize val="0"/>
        </c:dLbls>
        <c:gapWidth val="150"/>
        <c:overlap val="100"/>
        <c:axId val="320758336"/>
        <c:axId val="1408135759"/>
      </c:barChart>
      <c:catAx>
        <c:axId val="32075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408135759"/>
        <c:crosses val="autoZero"/>
        <c:auto val="1"/>
        <c:lblAlgn val="ctr"/>
        <c:lblOffset val="100"/>
        <c:noMultiLvlLbl val="0"/>
      </c:catAx>
      <c:valAx>
        <c:axId val="140813575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20758336"/>
        <c:crosses val="autoZero"/>
        <c:crossBetween val="between"/>
      </c:valAx>
      <c:spPr>
        <a:noFill/>
        <a:ln>
          <a:noFill/>
        </a:ln>
        <a:effectLst/>
      </c:spPr>
    </c:plotArea>
    <c:legend>
      <c:legendPos val="b"/>
      <c:layout>
        <c:manualLayout>
          <c:xMode val="edge"/>
          <c:yMode val="edge"/>
          <c:x val="2.1558716638372784E-2"/>
          <c:y val="0.77735361672605297"/>
          <c:w val="0.9613140341724955"/>
          <c:h val="0.1969834234792507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'Ark1'!$A$18</c:f>
              <c:strCache>
                <c:ptCount val="1"/>
                <c:pt idx="0">
                  <c:v>15-19 år</c:v>
                </c:pt>
              </c:strCache>
            </c:strRef>
          </c:tx>
          <c:spPr>
            <a:solidFill>
              <a:schemeClr val="accent1"/>
            </a:solidFill>
            <a:ln>
              <a:noFill/>
            </a:ln>
            <a:effectLst/>
          </c:spPr>
          <c:cat>
            <c:numRef>
              <c:f>'Ark1'!$D$17:$AG$17</c:f>
              <c:numCache>
                <c:formatCode>General</c:formatCode>
                <c:ptCount val="3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numCache>
            </c:numRef>
          </c:cat>
          <c:val>
            <c:numRef>
              <c:f>'Ark1'!$D$18:$AG$18</c:f>
              <c:numCache>
                <c:formatCode>General</c:formatCode>
                <c:ptCount val="30"/>
                <c:pt idx="0">
                  <c:v>2139</c:v>
                </c:pt>
                <c:pt idx="1">
                  <c:v>4053</c:v>
                </c:pt>
                <c:pt idx="2">
                  <c:v>2721</c:v>
                </c:pt>
                <c:pt idx="3">
                  <c:v>3814</c:v>
                </c:pt>
                <c:pt idx="4">
                  <c:v>3622</c:v>
                </c:pt>
                <c:pt idx="5">
                  <c:v>3613</c:v>
                </c:pt>
                <c:pt idx="6">
                  <c:v>4188</c:v>
                </c:pt>
                <c:pt idx="7">
                  <c:v>6230</c:v>
                </c:pt>
                <c:pt idx="8">
                  <c:v>6026</c:v>
                </c:pt>
                <c:pt idx="9">
                  <c:v>6745</c:v>
                </c:pt>
                <c:pt idx="10">
                  <c:v>6497</c:v>
                </c:pt>
                <c:pt idx="11">
                  <c:v>7993</c:v>
                </c:pt>
                <c:pt idx="12">
                  <c:v>8443</c:v>
                </c:pt>
                <c:pt idx="13">
                  <c:v>8546</c:v>
                </c:pt>
                <c:pt idx="14">
                  <c:v>9328</c:v>
                </c:pt>
                <c:pt idx="15">
                  <c:v>15238</c:v>
                </c:pt>
                <c:pt idx="16">
                  <c:v>15349</c:v>
                </c:pt>
                <c:pt idx="17">
                  <c:v>15358</c:v>
                </c:pt>
                <c:pt idx="18">
                  <c:v>15575</c:v>
                </c:pt>
                <c:pt idx="19">
                  <c:v>16546</c:v>
                </c:pt>
                <c:pt idx="20">
                  <c:v>17110</c:v>
                </c:pt>
                <c:pt idx="21">
                  <c:v>17806</c:v>
                </c:pt>
                <c:pt idx="22">
                  <c:v>17891</c:v>
                </c:pt>
                <c:pt idx="23">
                  <c:v>17670</c:v>
                </c:pt>
                <c:pt idx="24">
                  <c:v>17271</c:v>
                </c:pt>
                <c:pt idx="25">
                  <c:v>17324</c:v>
                </c:pt>
                <c:pt idx="26">
                  <c:v>19276</c:v>
                </c:pt>
                <c:pt idx="27">
                  <c:v>18418</c:v>
                </c:pt>
                <c:pt idx="28">
                  <c:v>17450</c:v>
                </c:pt>
                <c:pt idx="29">
                  <c:v>16148</c:v>
                </c:pt>
              </c:numCache>
            </c:numRef>
          </c:val>
          <c:extLst>
            <c:ext xmlns:c16="http://schemas.microsoft.com/office/drawing/2014/chart" uri="{C3380CC4-5D6E-409C-BE32-E72D297353CC}">
              <c16:uniqueId val="{00000000-AD97-4526-8E25-841039F17EFC}"/>
            </c:ext>
          </c:extLst>
        </c:ser>
        <c:ser>
          <c:idx val="1"/>
          <c:order val="1"/>
          <c:tx>
            <c:strRef>
              <c:f>'Ark1'!$A$19</c:f>
              <c:strCache>
                <c:ptCount val="1"/>
                <c:pt idx="0">
                  <c:v>20-24 år</c:v>
                </c:pt>
              </c:strCache>
            </c:strRef>
          </c:tx>
          <c:spPr>
            <a:solidFill>
              <a:schemeClr val="accent2"/>
            </a:solidFill>
            <a:ln>
              <a:noFill/>
            </a:ln>
            <a:effectLst/>
          </c:spPr>
          <c:cat>
            <c:numRef>
              <c:f>'Ark1'!$D$17:$AG$17</c:f>
              <c:numCache>
                <c:formatCode>General</c:formatCode>
                <c:ptCount val="3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numCache>
            </c:numRef>
          </c:cat>
          <c:val>
            <c:numRef>
              <c:f>'Ark1'!$D$19:$AG$19</c:f>
              <c:numCache>
                <c:formatCode>General</c:formatCode>
                <c:ptCount val="30"/>
                <c:pt idx="0">
                  <c:v>19924</c:v>
                </c:pt>
                <c:pt idx="1">
                  <c:v>31690</c:v>
                </c:pt>
                <c:pt idx="2">
                  <c:v>18509</c:v>
                </c:pt>
                <c:pt idx="3">
                  <c:v>36468</c:v>
                </c:pt>
                <c:pt idx="4">
                  <c:v>34583</c:v>
                </c:pt>
                <c:pt idx="5">
                  <c:v>38309</c:v>
                </c:pt>
                <c:pt idx="6">
                  <c:v>45849</c:v>
                </c:pt>
                <c:pt idx="7">
                  <c:v>67606</c:v>
                </c:pt>
                <c:pt idx="8">
                  <c:v>67085</c:v>
                </c:pt>
                <c:pt idx="9">
                  <c:v>77208</c:v>
                </c:pt>
                <c:pt idx="10">
                  <c:v>71660</c:v>
                </c:pt>
                <c:pt idx="11">
                  <c:v>81580</c:v>
                </c:pt>
                <c:pt idx="12">
                  <c:v>81656</c:v>
                </c:pt>
                <c:pt idx="13">
                  <c:v>81299</c:v>
                </c:pt>
                <c:pt idx="14">
                  <c:v>83671</c:v>
                </c:pt>
                <c:pt idx="15">
                  <c:v>96376</c:v>
                </c:pt>
                <c:pt idx="16">
                  <c:v>100753</c:v>
                </c:pt>
                <c:pt idx="17">
                  <c:v>105422</c:v>
                </c:pt>
                <c:pt idx="18">
                  <c:v>110113</c:v>
                </c:pt>
                <c:pt idx="19">
                  <c:v>113095</c:v>
                </c:pt>
                <c:pt idx="20">
                  <c:v>116035</c:v>
                </c:pt>
                <c:pt idx="21">
                  <c:v>118535</c:v>
                </c:pt>
                <c:pt idx="22">
                  <c:v>121817</c:v>
                </c:pt>
                <c:pt idx="23">
                  <c:v>124152</c:v>
                </c:pt>
                <c:pt idx="24">
                  <c:v>125994</c:v>
                </c:pt>
                <c:pt idx="25">
                  <c:v>128234</c:v>
                </c:pt>
                <c:pt idx="26">
                  <c:v>129637</c:v>
                </c:pt>
                <c:pt idx="27">
                  <c:v>135576</c:v>
                </c:pt>
                <c:pt idx="28">
                  <c:v>132996</c:v>
                </c:pt>
                <c:pt idx="29">
                  <c:v>132295</c:v>
                </c:pt>
              </c:numCache>
            </c:numRef>
          </c:val>
          <c:extLst>
            <c:ext xmlns:c16="http://schemas.microsoft.com/office/drawing/2014/chart" uri="{C3380CC4-5D6E-409C-BE32-E72D297353CC}">
              <c16:uniqueId val="{00000001-AD97-4526-8E25-841039F17EFC}"/>
            </c:ext>
          </c:extLst>
        </c:ser>
        <c:ser>
          <c:idx val="2"/>
          <c:order val="2"/>
          <c:tx>
            <c:strRef>
              <c:f>'Ark1'!$A$20</c:f>
              <c:strCache>
                <c:ptCount val="1"/>
                <c:pt idx="0">
                  <c:v>25-29 år</c:v>
                </c:pt>
              </c:strCache>
            </c:strRef>
          </c:tx>
          <c:spPr>
            <a:solidFill>
              <a:schemeClr val="accent3"/>
            </a:solidFill>
            <a:ln>
              <a:noFill/>
            </a:ln>
            <a:effectLst/>
          </c:spPr>
          <c:cat>
            <c:numRef>
              <c:f>'Ark1'!$D$17:$AG$17</c:f>
              <c:numCache>
                <c:formatCode>General</c:formatCode>
                <c:ptCount val="3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numCache>
            </c:numRef>
          </c:cat>
          <c:val>
            <c:numRef>
              <c:f>'Ark1'!$D$20:$AG$20</c:f>
              <c:numCache>
                <c:formatCode>General</c:formatCode>
                <c:ptCount val="30"/>
                <c:pt idx="0">
                  <c:v>9903</c:v>
                </c:pt>
                <c:pt idx="1">
                  <c:v>17541</c:v>
                </c:pt>
                <c:pt idx="2">
                  <c:v>12844</c:v>
                </c:pt>
                <c:pt idx="3">
                  <c:v>21855</c:v>
                </c:pt>
                <c:pt idx="4">
                  <c:v>21356</c:v>
                </c:pt>
                <c:pt idx="5">
                  <c:v>23521</c:v>
                </c:pt>
                <c:pt idx="6">
                  <c:v>28033</c:v>
                </c:pt>
                <c:pt idx="7">
                  <c:v>38946</c:v>
                </c:pt>
                <c:pt idx="8">
                  <c:v>38191</c:v>
                </c:pt>
                <c:pt idx="9">
                  <c:v>42607</c:v>
                </c:pt>
                <c:pt idx="10">
                  <c:v>37882</c:v>
                </c:pt>
                <c:pt idx="11">
                  <c:v>41810</c:v>
                </c:pt>
                <c:pt idx="12">
                  <c:v>40617</c:v>
                </c:pt>
                <c:pt idx="13">
                  <c:v>39391</c:v>
                </c:pt>
                <c:pt idx="14">
                  <c:v>38876</c:v>
                </c:pt>
                <c:pt idx="15">
                  <c:v>40841</c:v>
                </c:pt>
                <c:pt idx="16">
                  <c:v>42086</c:v>
                </c:pt>
                <c:pt idx="17">
                  <c:v>44665</c:v>
                </c:pt>
                <c:pt idx="18">
                  <c:v>45952</c:v>
                </c:pt>
                <c:pt idx="19">
                  <c:v>47542</c:v>
                </c:pt>
                <c:pt idx="20">
                  <c:v>49551</c:v>
                </c:pt>
                <c:pt idx="21">
                  <c:v>52424</c:v>
                </c:pt>
                <c:pt idx="22">
                  <c:v>55110</c:v>
                </c:pt>
                <c:pt idx="23">
                  <c:v>56129</c:v>
                </c:pt>
                <c:pt idx="24">
                  <c:v>55558</c:v>
                </c:pt>
                <c:pt idx="25">
                  <c:v>55742</c:v>
                </c:pt>
                <c:pt idx="26">
                  <c:v>58710</c:v>
                </c:pt>
                <c:pt idx="27">
                  <c:v>60083</c:v>
                </c:pt>
                <c:pt idx="28">
                  <c:v>59189</c:v>
                </c:pt>
                <c:pt idx="29">
                  <c:v>59739</c:v>
                </c:pt>
              </c:numCache>
            </c:numRef>
          </c:val>
          <c:extLst>
            <c:ext xmlns:c16="http://schemas.microsoft.com/office/drawing/2014/chart" uri="{C3380CC4-5D6E-409C-BE32-E72D297353CC}">
              <c16:uniqueId val="{00000002-AD97-4526-8E25-841039F17EFC}"/>
            </c:ext>
          </c:extLst>
        </c:ser>
        <c:ser>
          <c:idx val="3"/>
          <c:order val="3"/>
          <c:tx>
            <c:strRef>
              <c:f>'Ark1'!$A$21</c:f>
              <c:strCache>
                <c:ptCount val="1"/>
                <c:pt idx="0">
                  <c:v>30 år eller eldre</c:v>
                </c:pt>
              </c:strCache>
            </c:strRef>
          </c:tx>
          <c:spPr>
            <a:solidFill>
              <a:schemeClr val="accent4"/>
            </a:solidFill>
            <a:ln>
              <a:noFill/>
            </a:ln>
            <a:effectLst/>
          </c:spPr>
          <c:cat>
            <c:numRef>
              <c:f>'Ark1'!$D$17:$AG$17</c:f>
              <c:numCache>
                <c:formatCode>General</c:formatCode>
                <c:ptCount val="30"/>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pt idx="26">
                  <c:v>2020</c:v>
                </c:pt>
                <c:pt idx="27">
                  <c:v>2021</c:v>
                </c:pt>
                <c:pt idx="28">
                  <c:v>2022</c:v>
                </c:pt>
                <c:pt idx="29">
                  <c:v>2023</c:v>
                </c:pt>
              </c:numCache>
            </c:numRef>
          </c:cat>
          <c:val>
            <c:numRef>
              <c:f>'Ark1'!$D$21:$AG$21</c:f>
              <c:numCache>
                <c:formatCode>General</c:formatCode>
                <c:ptCount val="30"/>
                <c:pt idx="0">
                  <c:v>6573</c:v>
                </c:pt>
                <c:pt idx="1">
                  <c:v>12889</c:v>
                </c:pt>
                <c:pt idx="2">
                  <c:v>11782</c:v>
                </c:pt>
                <c:pt idx="3">
                  <c:v>16230</c:v>
                </c:pt>
                <c:pt idx="4">
                  <c:v>16292</c:v>
                </c:pt>
                <c:pt idx="5">
                  <c:v>18496</c:v>
                </c:pt>
                <c:pt idx="6">
                  <c:v>25866</c:v>
                </c:pt>
                <c:pt idx="7">
                  <c:v>49352</c:v>
                </c:pt>
                <c:pt idx="8">
                  <c:v>55712</c:v>
                </c:pt>
                <c:pt idx="9">
                  <c:v>61172</c:v>
                </c:pt>
                <c:pt idx="10">
                  <c:v>57604</c:v>
                </c:pt>
                <c:pt idx="11">
                  <c:v>60912</c:v>
                </c:pt>
                <c:pt idx="12">
                  <c:v>61022</c:v>
                </c:pt>
                <c:pt idx="13">
                  <c:v>59224</c:v>
                </c:pt>
                <c:pt idx="14">
                  <c:v>60134</c:v>
                </c:pt>
                <c:pt idx="15">
                  <c:v>61965</c:v>
                </c:pt>
                <c:pt idx="16">
                  <c:v>61097</c:v>
                </c:pt>
                <c:pt idx="17">
                  <c:v>65325</c:v>
                </c:pt>
                <c:pt idx="18">
                  <c:v>68861</c:v>
                </c:pt>
                <c:pt idx="19">
                  <c:v>68890</c:v>
                </c:pt>
                <c:pt idx="20">
                  <c:v>69014</c:v>
                </c:pt>
                <c:pt idx="21">
                  <c:v>72795</c:v>
                </c:pt>
                <c:pt idx="22">
                  <c:v>74988</c:v>
                </c:pt>
                <c:pt idx="23">
                  <c:v>76150</c:v>
                </c:pt>
                <c:pt idx="24">
                  <c:v>77436</c:v>
                </c:pt>
                <c:pt idx="25">
                  <c:v>78736</c:v>
                </c:pt>
                <c:pt idx="26">
                  <c:v>85506</c:v>
                </c:pt>
                <c:pt idx="27">
                  <c:v>90856</c:v>
                </c:pt>
                <c:pt idx="28">
                  <c:v>86524</c:v>
                </c:pt>
                <c:pt idx="29">
                  <c:v>88574</c:v>
                </c:pt>
              </c:numCache>
            </c:numRef>
          </c:val>
          <c:extLst>
            <c:ext xmlns:c16="http://schemas.microsoft.com/office/drawing/2014/chart" uri="{C3380CC4-5D6E-409C-BE32-E72D297353CC}">
              <c16:uniqueId val="{00000003-AD97-4526-8E25-841039F17EFC}"/>
            </c:ext>
          </c:extLst>
        </c:ser>
        <c:dLbls>
          <c:showLegendKey val="0"/>
          <c:showVal val="0"/>
          <c:showCatName val="0"/>
          <c:showSerName val="0"/>
          <c:showPercent val="0"/>
          <c:showBubbleSize val="0"/>
        </c:dLbls>
        <c:axId val="1062149567"/>
        <c:axId val="1062151487"/>
      </c:areaChart>
      <c:dateAx>
        <c:axId val="1062149567"/>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62151487"/>
        <c:crosses val="autoZero"/>
        <c:auto val="0"/>
        <c:lblOffset val="100"/>
        <c:baseTimeUnit val="days"/>
        <c:majorUnit val="1"/>
        <c:majorTimeUnit val="days"/>
      </c:dateAx>
      <c:valAx>
        <c:axId val="10621514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06214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599748711138539E-2"/>
          <c:y val="4.3761638733705775E-2"/>
          <c:w val="0.89041444776813461"/>
          <c:h val="0.59243947858472989"/>
        </c:manualLayout>
      </c:layout>
      <c:lineChart>
        <c:grouping val="standard"/>
        <c:varyColors val="0"/>
        <c:ser>
          <c:idx val="0"/>
          <c:order val="0"/>
          <c:tx>
            <c:strRef>
              <c:f>Worksheet!$A$55</c:f>
              <c:strCache>
                <c:ptCount val="1"/>
                <c:pt idx="0">
                  <c:v>Humaniora og kunstfag</c:v>
                </c:pt>
              </c:strCache>
            </c:strRef>
          </c:tx>
          <c:spPr>
            <a:ln w="28575" cap="rnd">
              <a:solidFill>
                <a:schemeClr val="accent1"/>
              </a:solidFill>
              <a:round/>
            </a:ln>
            <a:effectLst/>
          </c:spPr>
          <c:marker>
            <c:symbol val="none"/>
          </c:marker>
          <c:cat>
            <c:numRef>
              <c:f>Worksheet!$B$54:$G$54</c:f>
              <c:numCache>
                <c:formatCode>General</c:formatCode>
                <c:ptCount val="6"/>
                <c:pt idx="0">
                  <c:v>2011</c:v>
                </c:pt>
                <c:pt idx="1">
                  <c:v>2013</c:v>
                </c:pt>
                <c:pt idx="2">
                  <c:v>2015</c:v>
                </c:pt>
                <c:pt idx="3">
                  <c:v>2017</c:v>
                </c:pt>
                <c:pt idx="4">
                  <c:v>2019</c:v>
                </c:pt>
                <c:pt idx="5">
                  <c:v>2021</c:v>
                </c:pt>
              </c:numCache>
            </c:numRef>
          </c:cat>
          <c:val>
            <c:numRef>
              <c:f>Worksheet!$B$55:$G$55</c:f>
              <c:numCache>
                <c:formatCode>0%</c:formatCode>
                <c:ptCount val="6"/>
                <c:pt idx="0">
                  <c:v>9.7923513594263517E-2</c:v>
                </c:pt>
                <c:pt idx="1">
                  <c:v>0.10172528201725282</c:v>
                </c:pt>
                <c:pt idx="2">
                  <c:v>8.7987935734586159E-2</c:v>
                </c:pt>
                <c:pt idx="3">
                  <c:v>8.3317535545023691E-2</c:v>
                </c:pt>
                <c:pt idx="4">
                  <c:v>8.3231127088179313E-2</c:v>
                </c:pt>
                <c:pt idx="5">
                  <c:v>7.9735175590097865E-2</c:v>
                </c:pt>
              </c:numCache>
            </c:numRef>
          </c:val>
          <c:smooth val="0"/>
          <c:extLst>
            <c:ext xmlns:c16="http://schemas.microsoft.com/office/drawing/2014/chart" uri="{C3380CC4-5D6E-409C-BE32-E72D297353CC}">
              <c16:uniqueId val="{00000000-72A8-496C-8CAD-DEBBCDFBE70B}"/>
            </c:ext>
          </c:extLst>
        </c:ser>
        <c:ser>
          <c:idx val="1"/>
          <c:order val="1"/>
          <c:tx>
            <c:strRef>
              <c:f>Worksheet!$A$56</c:f>
              <c:strCache>
                <c:ptCount val="1"/>
                <c:pt idx="0">
                  <c:v>Samfunnsvitenskap</c:v>
                </c:pt>
              </c:strCache>
            </c:strRef>
          </c:tx>
          <c:spPr>
            <a:ln w="28575" cap="rnd">
              <a:solidFill>
                <a:schemeClr val="accent2"/>
              </a:solidFill>
              <a:round/>
            </a:ln>
            <a:effectLst/>
          </c:spPr>
          <c:marker>
            <c:symbol val="none"/>
          </c:marker>
          <c:cat>
            <c:numRef>
              <c:f>Worksheet!$B$54:$G$54</c:f>
              <c:numCache>
                <c:formatCode>General</c:formatCode>
                <c:ptCount val="6"/>
                <c:pt idx="0">
                  <c:v>2011</c:v>
                </c:pt>
                <c:pt idx="1">
                  <c:v>2013</c:v>
                </c:pt>
                <c:pt idx="2">
                  <c:v>2015</c:v>
                </c:pt>
                <c:pt idx="3">
                  <c:v>2017</c:v>
                </c:pt>
                <c:pt idx="4">
                  <c:v>2019</c:v>
                </c:pt>
                <c:pt idx="5">
                  <c:v>2021</c:v>
                </c:pt>
              </c:numCache>
            </c:numRef>
          </c:cat>
          <c:val>
            <c:numRef>
              <c:f>Worksheet!$B$56:$G$56</c:f>
              <c:numCache>
                <c:formatCode>0%</c:formatCode>
                <c:ptCount val="6"/>
                <c:pt idx="0">
                  <c:v>0.2283388108754108</c:v>
                </c:pt>
                <c:pt idx="1">
                  <c:v>0.23238221632382217</c:v>
                </c:pt>
                <c:pt idx="2">
                  <c:v>0.24760744736384199</c:v>
                </c:pt>
                <c:pt idx="3">
                  <c:v>0.25862559241706162</c:v>
                </c:pt>
                <c:pt idx="4">
                  <c:v>0.26145062381053075</c:v>
                </c:pt>
                <c:pt idx="5">
                  <c:v>0.27280203964141786</c:v>
                </c:pt>
              </c:numCache>
            </c:numRef>
          </c:val>
          <c:smooth val="0"/>
          <c:extLst>
            <c:ext xmlns:c16="http://schemas.microsoft.com/office/drawing/2014/chart" uri="{C3380CC4-5D6E-409C-BE32-E72D297353CC}">
              <c16:uniqueId val="{00000001-72A8-496C-8CAD-DEBBCDFBE70B}"/>
            </c:ext>
          </c:extLst>
        </c:ser>
        <c:ser>
          <c:idx val="2"/>
          <c:order val="2"/>
          <c:tx>
            <c:strRef>
              <c:f>Worksheet!$A$57</c:f>
              <c:strCache>
                <c:ptCount val="1"/>
                <c:pt idx="0">
                  <c:v>Matematikk og naturvitenskap</c:v>
                </c:pt>
              </c:strCache>
            </c:strRef>
          </c:tx>
          <c:spPr>
            <a:ln w="28575" cap="rnd">
              <a:solidFill>
                <a:schemeClr val="accent3"/>
              </a:solidFill>
              <a:round/>
            </a:ln>
            <a:effectLst/>
          </c:spPr>
          <c:marker>
            <c:symbol val="none"/>
          </c:marker>
          <c:cat>
            <c:numRef>
              <c:f>Worksheet!$B$54:$G$54</c:f>
              <c:numCache>
                <c:formatCode>General</c:formatCode>
                <c:ptCount val="6"/>
                <c:pt idx="0">
                  <c:v>2011</c:v>
                </c:pt>
                <c:pt idx="1">
                  <c:v>2013</c:v>
                </c:pt>
                <c:pt idx="2">
                  <c:v>2015</c:v>
                </c:pt>
                <c:pt idx="3">
                  <c:v>2017</c:v>
                </c:pt>
                <c:pt idx="4">
                  <c:v>2019</c:v>
                </c:pt>
                <c:pt idx="5">
                  <c:v>2021</c:v>
                </c:pt>
              </c:numCache>
            </c:numRef>
          </c:cat>
          <c:val>
            <c:numRef>
              <c:f>Worksheet!$B$57:$G$57</c:f>
              <c:numCache>
                <c:formatCode>0%</c:formatCode>
                <c:ptCount val="6"/>
                <c:pt idx="0">
                  <c:v>0.17777113833283537</c:v>
                </c:pt>
                <c:pt idx="1">
                  <c:v>0.17896483078964831</c:v>
                </c:pt>
                <c:pt idx="2">
                  <c:v>0.17290180383968448</c:v>
                </c:pt>
                <c:pt idx="3">
                  <c:v>0.17208530805687203</c:v>
                </c:pt>
                <c:pt idx="4">
                  <c:v>0.18270247409600338</c:v>
                </c:pt>
                <c:pt idx="5">
                  <c:v>0.1755900978698906</c:v>
                </c:pt>
              </c:numCache>
            </c:numRef>
          </c:val>
          <c:smooth val="0"/>
          <c:extLst>
            <c:ext xmlns:c16="http://schemas.microsoft.com/office/drawing/2014/chart" uri="{C3380CC4-5D6E-409C-BE32-E72D297353CC}">
              <c16:uniqueId val="{00000002-72A8-496C-8CAD-DEBBCDFBE70B}"/>
            </c:ext>
          </c:extLst>
        </c:ser>
        <c:ser>
          <c:idx val="3"/>
          <c:order val="3"/>
          <c:tx>
            <c:strRef>
              <c:f>Worksheet!$A$58</c:f>
              <c:strCache>
                <c:ptCount val="1"/>
                <c:pt idx="0">
                  <c:v>Teknologi</c:v>
                </c:pt>
              </c:strCache>
            </c:strRef>
          </c:tx>
          <c:spPr>
            <a:ln w="28575" cap="rnd">
              <a:solidFill>
                <a:schemeClr val="accent4"/>
              </a:solidFill>
              <a:round/>
            </a:ln>
            <a:effectLst/>
          </c:spPr>
          <c:marker>
            <c:symbol val="none"/>
          </c:marker>
          <c:cat>
            <c:numRef>
              <c:f>Worksheet!$B$54:$G$54</c:f>
              <c:numCache>
                <c:formatCode>General</c:formatCode>
                <c:ptCount val="6"/>
                <c:pt idx="0">
                  <c:v>2011</c:v>
                </c:pt>
                <c:pt idx="1">
                  <c:v>2013</c:v>
                </c:pt>
                <c:pt idx="2">
                  <c:v>2015</c:v>
                </c:pt>
                <c:pt idx="3">
                  <c:v>2017</c:v>
                </c:pt>
                <c:pt idx="4">
                  <c:v>2019</c:v>
                </c:pt>
                <c:pt idx="5">
                  <c:v>2021</c:v>
                </c:pt>
              </c:numCache>
            </c:numRef>
          </c:cat>
          <c:val>
            <c:numRef>
              <c:f>Worksheet!$B$58:$G$58</c:f>
              <c:numCache>
                <c:formatCode>0%</c:formatCode>
                <c:ptCount val="6"/>
                <c:pt idx="0">
                  <c:v>0.13586794144009562</c:v>
                </c:pt>
                <c:pt idx="1">
                  <c:v>0.1232249502322495</c:v>
                </c:pt>
                <c:pt idx="2">
                  <c:v>0.10939040658894496</c:v>
                </c:pt>
                <c:pt idx="3">
                  <c:v>0.12284360189573459</c:v>
                </c:pt>
                <c:pt idx="4">
                  <c:v>0.11977162190738</c:v>
                </c:pt>
                <c:pt idx="5">
                  <c:v>0.12488691504235545</c:v>
                </c:pt>
              </c:numCache>
            </c:numRef>
          </c:val>
          <c:smooth val="0"/>
          <c:extLst>
            <c:ext xmlns:c16="http://schemas.microsoft.com/office/drawing/2014/chart" uri="{C3380CC4-5D6E-409C-BE32-E72D297353CC}">
              <c16:uniqueId val="{00000003-72A8-496C-8CAD-DEBBCDFBE70B}"/>
            </c:ext>
          </c:extLst>
        </c:ser>
        <c:ser>
          <c:idx val="4"/>
          <c:order val="4"/>
          <c:tx>
            <c:strRef>
              <c:f>Worksheet!$A$59</c:f>
              <c:strCache>
                <c:ptCount val="1"/>
                <c:pt idx="0">
                  <c:v>Medisin og helsefag</c:v>
                </c:pt>
              </c:strCache>
            </c:strRef>
          </c:tx>
          <c:spPr>
            <a:ln w="28575" cap="rnd">
              <a:solidFill>
                <a:schemeClr val="accent5"/>
              </a:solidFill>
              <a:round/>
            </a:ln>
            <a:effectLst/>
          </c:spPr>
          <c:marker>
            <c:symbol val="none"/>
          </c:marker>
          <c:cat>
            <c:numRef>
              <c:f>Worksheet!$B$54:$G$54</c:f>
              <c:numCache>
                <c:formatCode>General</c:formatCode>
                <c:ptCount val="6"/>
                <c:pt idx="0">
                  <c:v>2011</c:v>
                </c:pt>
                <c:pt idx="1">
                  <c:v>2013</c:v>
                </c:pt>
                <c:pt idx="2">
                  <c:v>2015</c:v>
                </c:pt>
                <c:pt idx="3">
                  <c:v>2017</c:v>
                </c:pt>
                <c:pt idx="4">
                  <c:v>2019</c:v>
                </c:pt>
                <c:pt idx="5">
                  <c:v>2021</c:v>
                </c:pt>
              </c:numCache>
            </c:numRef>
          </c:cat>
          <c:val>
            <c:numRef>
              <c:f>Worksheet!$B$59:$G$59</c:f>
              <c:numCache>
                <c:formatCode>0%</c:formatCode>
                <c:ptCount val="6"/>
                <c:pt idx="0">
                  <c:v>0.34291903196892742</c:v>
                </c:pt>
                <c:pt idx="1">
                  <c:v>0.34744525547445254</c:v>
                </c:pt>
                <c:pt idx="2">
                  <c:v>0.36146395220694855</c:v>
                </c:pt>
                <c:pt idx="3">
                  <c:v>0.34426540284360191</c:v>
                </c:pt>
                <c:pt idx="4">
                  <c:v>0.33550433495453585</c:v>
                </c:pt>
                <c:pt idx="5">
                  <c:v>0.32510897277736656</c:v>
                </c:pt>
              </c:numCache>
            </c:numRef>
          </c:val>
          <c:smooth val="0"/>
          <c:extLst>
            <c:ext xmlns:c16="http://schemas.microsoft.com/office/drawing/2014/chart" uri="{C3380CC4-5D6E-409C-BE32-E72D297353CC}">
              <c16:uniqueId val="{00000004-72A8-496C-8CAD-DEBBCDFBE70B}"/>
            </c:ext>
          </c:extLst>
        </c:ser>
        <c:ser>
          <c:idx val="5"/>
          <c:order val="5"/>
          <c:tx>
            <c:strRef>
              <c:f>Worksheet!$A$60</c:f>
              <c:strCache>
                <c:ptCount val="1"/>
                <c:pt idx="0">
                  <c:v>Landbruks- og fiskerifag og veterinærmedisin</c:v>
                </c:pt>
              </c:strCache>
            </c:strRef>
          </c:tx>
          <c:spPr>
            <a:ln w="28575" cap="rnd">
              <a:solidFill>
                <a:schemeClr val="accent6"/>
              </a:solidFill>
              <a:round/>
            </a:ln>
            <a:effectLst/>
          </c:spPr>
          <c:marker>
            <c:symbol val="none"/>
          </c:marker>
          <c:cat>
            <c:numRef>
              <c:f>Worksheet!$B$54:$G$54</c:f>
              <c:numCache>
                <c:formatCode>General</c:formatCode>
                <c:ptCount val="6"/>
                <c:pt idx="0">
                  <c:v>2011</c:v>
                </c:pt>
                <c:pt idx="1">
                  <c:v>2013</c:v>
                </c:pt>
                <c:pt idx="2">
                  <c:v>2015</c:v>
                </c:pt>
                <c:pt idx="3">
                  <c:v>2017</c:v>
                </c:pt>
                <c:pt idx="4">
                  <c:v>2019</c:v>
                </c:pt>
                <c:pt idx="5">
                  <c:v>2021</c:v>
                </c:pt>
              </c:numCache>
            </c:numRef>
          </c:cat>
          <c:val>
            <c:numRef>
              <c:f>Worksheet!$B$60:$G$60</c:f>
              <c:numCache>
                <c:formatCode>0%</c:formatCode>
                <c:ptCount val="6"/>
                <c:pt idx="0">
                  <c:v>1.7104870032865253E-2</c:v>
                </c:pt>
                <c:pt idx="1">
                  <c:v>1.625746516257465E-2</c:v>
                </c:pt>
                <c:pt idx="2">
                  <c:v>2.0648454265993852E-2</c:v>
                </c:pt>
                <c:pt idx="3">
                  <c:v>1.8909952606635073E-2</c:v>
                </c:pt>
                <c:pt idx="4">
                  <c:v>1.733981814337069E-2</c:v>
                </c:pt>
                <c:pt idx="5">
                  <c:v>2.1835677276091783E-2</c:v>
                </c:pt>
              </c:numCache>
            </c:numRef>
          </c:val>
          <c:smooth val="0"/>
          <c:extLst>
            <c:ext xmlns:c16="http://schemas.microsoft.com/office/drawing/2014/chart" uri="{C3380CC4-5D6E-409C-BE32-E72D297353CC}">
              <c16:uniqueId val="{00000005-72A8-496C-8CAD-DEBBCDFBE70B}"/>
            </c:ext>
          </c:extLst>
        </c:ser>
        <c:dLbls>
          <c:showLegendKey val="0"/>
          <c:showVal val="0"/>
          <c:showCatName val="0"/>
          <c:showSerName val="0"/>
          <c:showPercent val="0"/>
          <c:showBubbleSize val="0"/>
        </c:dLbls>
        <c:smooth val="0"/>
        <c:axId val="24405520"/>
        <c:axId val="358418592"/>
      </c:lineChart>
      <c:catAx>
        <c:axId val="24405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58418592"/>
        <c:crosses val="autoZero"/>
        <c:auto val="1"/>
        <c:lblAlgn val="ctr"/>
        <c:lblOffset val="100"/>
        <c:noMultiLvlLbl val="0"/>
      </c:catAx>
      <c:valAx>
        <c:axId val="35841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4405520"/>
        <c:crosses val="autoZero"/>
        <c:crossBetween val="between"/>
      </c:valAx>
      <c:spPr>
        <a:noFill/>
        <a:ln>
          <a:noFill/>
        </a:ln>
        <a:effectLst/>
      </c:spPr>
    </c:plotArea>
    <c:legend>
      <c:legendPos val="b"/>
      <c:layout>
        <c:manualLayout>
          <c:xMode val="edge"/>
          <c:yMode val="edge"/>
          <c:x val="1.5752503251338729E-2"/>
          <c:y val="0.71562872822715362"/>
          <c:w val="0.96849499349732249"/>
          <c:h val="0.2583972457988206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463328163084419E-2"/>
          <c:y val="5.1796341194621995E-2"/>
          <c:w val="0.88216264125858634"/>
          <c:h val="0.6875357797256475"/>
        </c:manualLayout>
      </c:layout>
      <c:lineChart>
        <c:grouping val="standard"/>
        <c:varyColors val="0"/>
        <c:ser>
          <c:idx val="0"/>
          <c:order val="0"/>
          <c:tx>
            <c:strRef>
              <c:f>'[FoU driftsutgifter fag 2011-2021.xlsx]Prisjustert'!$A$14</c:f>
              <c:strCache>
                <c:ptCount val="1"/>
                <c:pt idx="0">
                  <c:v>Humaniora og kunstfag</c:v>
                </c:pt>
              </c:strCache>
            </c:strRef>
          </c:tx>
          <c:spPr>
            <a:ln w="28575" cap="rnd">
              <a:solidFill>
                <a:schemeClr val="accent1"/>
              </a:solidFill>
              <a:round/>
            </a:ln>
            <a:effectLst/>
          </c:spPr>
          <c:marker>
            <c:symbol val="none"/>
          </c:marker>
          <c:cat>
            <c:numRef>
              <c:f>'[FoU driftsutgifter fag 2011-2021.xlsx]Prisjustert'!$B$13:$G$13</c:f>
              <c:numCache>
                <c:formatCode>General</c:formatCode>
                <c:ptCount val="6"/>
                <c:pt idx="0">
                  <c:v>2011</c:v>
                </c:pt>
                <c:pt idx="1">
                  <c:v>2013</c:v>
                </c:pt>
                <c:pt idx="2">
                  <c:v>2015</c:v>
                </c:pt>
                <c:pt idx="3">
                  <c:v>2017</c:v>
                </c:pt>
                <c:pt idx="4">
                  <c:v>2019</c:v>
                </c:pt>
                <c:pt idx="5">
                  <c:v>2021</c:v>
                </c:pt>
              </c:numCache>
            </c:numRef>
          </c:cat>
          <c:val>
            <c:numRef>
              <c:f>'[FoU driftsutgifter fag 2011-2021.xlsx]Prisjustert'!$B$14:$G$14</c:f>
              <c:numCache>
                <c:formatCode>0</c:formatCode>
                <c:ptCount val="6"/>
                <c:pt idx="0">
                  <c:v>1821.0675241157555</c:v>
                </c:pt>
                <c:pt idx="1">
                  <c:v>2071.7080291970801</c:v>
                </c:pt>
                <c:pt idx="2">
                  <c:v>1966.0320000000002</c:v>
                </c:pt>
                <c:pt idx="3">
                  <c:v>2159.59052316</c:v>
                </c:pt>
                <c:pt idx="4">
                  <c:v>2301.9204</c:v>
                </c:pt>
                <c:pt idx="5">
                  <c:v>2164.4649810000001</c:v>
                </c:pt>
              </c:numCache>
            </c:numRef>
          </c:val>
          <c:smooth val="0"/>
          <c:extLst>
            <c:ext xmlns:c16="http://schemas.microsoft.com/office/drawing/2014/chart" uri="{C3380CC4-5D6E-409C-BE32-E72D297353CC}">
              <c16:uniqueId val="{00000000-6F63-404D-9187-6DB270899371}"/>
            </c:ext>
          </c:extLst>
        </c:ser>
        <c:ser>
          <c:idx val="1"/>
          <c:order val="1"/>
          <c:tx>
            <c:strRef>
              <c:f>'[FoU driftsutgifter fag 2011-2021.xlsx]Prisjustert'!$A$15</c:f>
              <c:strCache>
                <c:ptCount val="1"/>
                <c:pt idx="0">
                  <c:v>Samfunnsvitenskap</c:v>
                </c:pt>
              </c:strCache>
            </c:strRef>
          </c:tx>
          <c:spPr>
            <a:ln w="28575" cap="rnd">
              <a:solidFill>
                <a:schemeClr val="accent2"/>
              </a:solidFill>
              <a:round/>
            </a:ln>
            <a:effectLst/>
          </c:spPr>
          <c:marker>
            <c:symbol val="none"/>
          </c:marker>
          <c:cat>
            <c:numRef>
              <c:f>'[FoU driftsutgifter fag 2011-2021.xlsx]Prisjustert'!$B$13:$G$13</c:f>
              <c:numCache>
                <c:formatCode>General</c:formatCode>
                <c:ptCount val="6"/>
                <c:pt idx="0">
                  <c:v>2011</c:v>
                </c:pt>
                <c:pt idx="1">
                  <c:v>2013</c:v>
                </c:pt>
                <c:pt idx="2">
                  <c:v>2015</c:v>
                </c:pt>
                <c:pt idx="3">
                  <c:v>2017</c:v>
                </c:pt>
                <c:pt idx="4">
                  <c:v>2019</c:v>
                </c:pt>
                <c:pt idx="5">
                  <c:v>2021</c:v>
                </c:pt>
              </c:numCache>
            </c:numRef>
          </c:cat>
          <c:val>
            <c:numRef>
              <c:f>'[FoU driftsutgifter fag 2011-2021.xlsx]Prisjustert'!$B$15:$G$15</c:f>
              <c:numCache>
                <c:formatCode>0</c:formatCode>
                <c:ptCount val="6"/>
                <c:pt idx="0">
                  <c:v>4246.3794212218645</c:v>
                </c:pt>
                <c:pt idx="1">
                  <c:v>4732.6298227320121</c:v>
                </c:pt>
                <c:pt idx="2">
                  <c:v>5532.6239999999998</c:v>
                </c:pt>
                <c:pt idx="3">
                  <c:v>6703.5753611399996</c:v>
                </c:pt>
                <c:pt idx="4">
                  <c:v>7230.9308499999997</c:v>
                </c:pt>
                <c:pt idx="5">
                  <c:v>7405.394886</c:v>
                </c:pt>
              </c:numCache>
            </c:numRef>
          </c:val>
          <c:smooth val="0"/>
          <c:extLst>
            <c:ext xmlns:c16="http://schemas.microsoft.com/office/drawing/2014/chart" uri="{C3380CC4-5D6E-409C-BE32-E72D297353CC}">
              <c16:uniqueId val="{00000001-6F63-404D-9187-6DB270899371}"/>
            </c:ext>
          </c:extLst>
        </c:ser>
        <c:ser>
          <c:idx val="2"/>
          <c:order val="2"/>
          <c:tx>
            <c:strRef>
              <c:f>'[FoU driftsutgifter fag 2011-2021.xlsx]Prisjustert'!$A$16</c:f>
              <c:strCache>
                <c:ptCount val="1"/>
                <c:pt idx="0">
                  <c:v>Matematikk og naturvitenskap</c:v>
                </c:pt>
              </c:strCache>
            </c:strRef>
          </c:tx>
          <c:spPr>
            <a:ln w="28575" cap="rnd">
              <a:solidFill>
                <a:schemeClr val="accent3"/>
              </a:solidFill>
              <a:round/>
            </a:ln>
            <a:effectLst/>
          </c:spPr>
          <c:marker>
            <c:symbol val="none"/>
          </c:marker>
          <c:cat>
            <c:numRef>
              <c:f>'[FoU driftsutgifter fag 2011-2021.xlsx]Prisjustert'!$B$13:$G$13</c:f>
              <c:numCache>
                <c:formatCode>General</c:formatCode>
                <c:ptCount val="6"/>
                <c:pt idx="0">
                  <c:v>2011</c:v>
                </c:pt>
                <c:pt idx="1">
                  <c:v>2013</c:v>
                </c:pt>
                <c:pt idx="2">
                  <c:v>2015</c:v>
                </c:pt>
                <c:pt idx="3">
                  <c:v>2017</c:v>
                </c:pt>
                <c:pt idx="4">
                  <c:v>2019</c:v>
                </c:pt>
                <c:pt idx="5">
                  <c:v>2021</c:v>
                </c:pt>
              </c:numCache>
            </c:numRef>
          </c:cat>
          <c:val>
            <c:numRef>
              <c:f>'[FoU driftsutgifter fag 2011-2021.xlsx]Prisjustert'!$B$16:$G$16</c:f>
              <c:numCache>
                <c:formatCode>0</c:formatCode>
                <c:ptCount val="6"/>
                <c:pt idx="0">
                  <c:v>3305.980707395498</c:v>
                </c:pt>
                <c:pt idx="1">
                  <c:v>3644.74661105318</c:v>
                </c:pt>
                <c:pt idx="2">
                  <c:v>3863.3760000000002</c:v>
                </c:pt>
                <c:pt idx="3">
                  <c:v>4460.4511886199998</c:v>
                </c:pt>
                <c:pt idx="4">
                  <c:v>5052.9960000000001</c:v>
                </c:pt>
                <c:pt idx="5">
                  <c:v>4766.5113300000003</c:v>
                </c:pt>
              </c:numCache>
            </c:numRef>
          </c:val>
          <c:smooth val="0"/>
          <c:extLst>
            <c:ext xmlns:c16="http://schemas.microsoft.com/office/drawing/2014/chart" uri="{C3380CC4-5D6E-409C-BE32-E72D297353CC}">
              <c16:uniqueId val="{00000002-6F63-404D-9187-6DB270899371}"/>
            </c:ext>
          </c:extLst>
        </c:ser>
        <c:ser>
          <c:idx val="3"/>
          <c:order val="3"/>
          <c:tx>
            <c:strRef>
              <c:f>'[FoU driftsutgifter fag 2011-2021.xlsx]Prisjustert'!$A$17</c:f>
              <c:strCache>
                <c:ptCount val="1"/>
                <c:pt idx="0">
                  <c:v>Teknologi</c:v>
                </c:pt>
              </c:strCache>
            </c:strRef>
          </c:tx>
          <c:spPr>
            <a:ln w="28575" cap="rnd">
              <a:solidFill>
                <a:schemeClr val="accent4"/>
              </a:solidFill>
              <a:round/>
            </a:ln>
            <a:effectLst/>
          </c:spPr>
          <c:marker>
            <c:symbol val="none"/>
          </c:marker>
          <c:cat>
            <c:numRef>
              <c:f>'[FoU driftsutgifter fag 2011-2021.xlsx]Prisjustert'!$B$13:$G$13</c:f>
              <c:numCache>
                <c:formatCode>General</c:formatCode>
                <c:ptCount val="6"/>
                <c:pt idx="0">
                  <c:v>2011</c:v>
                </c:pt>
                <c:pt idx="1">
                  <c:v>2013</c:v>
                </c:pt>
                <c:pt idx="2">
                  <c:v>2015</c:v>
                </c:pt>
                <c:pt idx="3">
                  <c:v>2017</c:v>
                </c:pt>
                <c:pt idx="4">
                  <c:v>2019</c:v>
                </c:pt>
                <c:pt idx="5">
                  <c:v>2021</c:v>
                </c:pt>
              </c:numCache>
            </c:numRef>
          </c:cat>
          <c:val>
            <c:numRef>
              <c:f>'[FoU driftsutgifter fag 2011-2021.xlsx]Prisjustert'!$B$17:$G$17</c:f>
              <c:numCache>
                <c:formatCode>0</c:formatCode>
                <c:ptCount val="6"/>
                <c:pt idx="0">
                  <c:v>2526.7138263665593</c:v>
                </c:pt>
                <c:pt idx="1">
                  <c:v>2509.5641293013555</c:v>
                </c:pt>
                <c:pt idx="2">
                  <c:v>2444.2559999999999</c:v>
                </c:pt>
                <c:pt idx="3">
                  <c:v>3184.1061638399997</c:v>
                </c:pt>
                <c:pt idx="4">
                  <c:v>3312.5196000000001</c:v>
                </c:pt>
                <c:pt idx="5">
                  <c:v>3390.1393229999999</c:v>
                </c:pt>
              </c:numCache>
            </c:numRef>
          </c:val>
          <c:smooth val="0"/>
          <c:extLst>
            <c:ext xmlns:c16="http://schemas.microsoft.com/office/drawing/2014/chart" uri="{C3380CC4-5D6E-409C-BE32-E72D297353CC}">
              <c16:uniqueId val="{00000003-6F63-404D-9187-6DB270899371}"/>
            </c:ext>
          </c:extLst>
        </c:ser>
        <c:ser>
          <c:idx val="4"/>
          <c:order val="4"/>
          <c:tx>
            <c:strRef>
              <c:f>'[FoU driftsutgifter fag 2011-2021.xlsx]Prisjustert'!$A$18</c:f>
              <c:strCache>
                <c:ptCount val="1"/>
                <c:pt idx="0">
                  <c:v>Medisin og helsefag</c:v>
                </c:pt>
              </c:strCache>
            </c:strRef>
          </c:tx>
          <c:spPr>
            <a:ln w="28575" cap="rnd">
              <a:solidFill>
                <a:schemeClr val="accent5"/>
              </a:solidFill>
              <a:round/>
            </a:ln>
            <a:effectLst/>
          </c:spPr>
          <c:marker>
            <c:symbol val="none"/>
          </c:marker>
          <c:cat>
            <c:numRef>
              <c:f>'[FoU driftsutgifter fag 2011-2021.xlsx]Prisjustert'!$B$13:$G$13</c:f>
              <c:numCache>
                <c:formatCode>General</c:formatCode>
                <c:ptCount val="6"/>
                <c:pt idx="0">
                  <c:v>2011</c:v>
                </c:pt>
                <c:pt idx="1">
                  <c:v>2013</c:v>
                </c:pt>
                <c:pt idx="2">
                  <c:v>2015</c:v>
                </c:pt>
                <c:pt idx="3">
                  <c:v>2017</c:v>
                </c:pt>
                <c:pt idx="4">
                  <c:v>2019</c:v>
                </c:pt>
                <c:pt idx="5">
                  <c:v>2021</c:v>
                </c:pt>
              </c:numCache>
            </c:numRef>
          </c:cat>
          <c:val>
            <c:numRef>
              <c:f>'[FoU driftsutgifter fag 2011-2021.xlsx]Prisjustert'!$B$18:$G$18</c:f>
              <c:numCache>
                <c:formatCode>0</c:formatCode>
                <c:ptCount val="6"/>
                <c:pt idx="0">
                  <c:v>6377.2090032154338</c:v>
                </c:pt>
                <c:pt idx="1">
                  <c:v>7075.9708029197072</c:v>
                </c:pt>
                <c:pt idx="2">
                  <c:v>8076.6720000000005</c:v>
                </c:pt>
                <c:pt idx="3">
                  <c:v>8923.3592492799999</c:v>
                </c:pt>
                <c:pt idx="4">
                  <c:v>9279.0317749999995</c:v>
                </c:pt>
                <c:pt idx="5">
                  <c:v>8825.3017739999996</c:v>
                </c:pt>
              </c:numCache>
            </c:numRef>
          </c:val>
          <c:smooth val="0"/>
          <c:extLst>
            <c:ext xmlns:c16="http://schemas.microsoft.com/office/drawing/2014/chart" uri="{C3380CC4-5D6E-409C-BE32-E72D297353CC}">
              <c16:uniqueId val="{00000004-6F63-404D-9187-6DB270899371}"/>
            </c:ext>
          </c:extLst>
        </c:ser>
        <c:ser>
          <c:idx val="5"/>
          <c:order val="5"/>
          <c:tx>
            <c:strRef>
              <c:f>'[FoU driftsutgifter fag 2011-2021.xlsx]Prisjustert'!$A$19</c:f>
              <c:strCache>
                <c:ptCount val="1"/>
                <c:pt idx="0">
                  <c:v>Landbruks- og fiskerifag og veterinærmedisin</c:v>
                </c:pt>
              </c:strCache>
            </c:strRef>
          </c:tx>
          <c:spPr>
            <a:ln w="28575" cap="rnd">
              <a:solidFill>
                <a:schemeClr val="accent6"/>
              </a:solidFill>
              <a:round/>
            </a:ln>
            <a:effectLst/>
          </c:spPr>
          <c:marker>
            <c:symbol val="none"/>
          </c:marker>
          <c:cat>
            <c:numRef>
              <c:f>'[FoU driftsutgifter fag 2011-2021.xlsx]Prisjustert'!$B$13:$G$13</c:f>
              <c:numCache>
                <c:formatCode>General</c:formatCode>
                <c:ptCount val="6"/>
                <c:pt idx="0">
                  <c:v>2011</c:v>
                </c:pt>
                <c:pt idx="1">
                  <c:v>2013</c:v>
                </c:pt>
                <c:pt idx="2">
                  <c:v>2015</c:v>
                </c:pt>
                <c:pt idx="3">
                  <c:v>2017</c:v>
                </c:pt>
                <c:pt idx="4">
                  <c:v>2019</c:v>
                </c:pt>
                <c:pt idx="5">
                  <c:v>2021</c:v>
                </c:pt>
              </c:numCache>
            </c:numRef>
          </c:cat>
          <c:val>
            <c:numRef>
              <c:f>'[FoU driftsutgifter fag 2011-2021.xlsx]Prisjustert'!$B$19:$G$19</c:f>
              <c:numCache>
                <c:formatCode>0</c:formatCode>
                <c:ptCount val="6"/>
                <c:pt idx="0">
                  <c:v>318.09646302250803</c:v>
                </c:pt>
                <c:pt idx="1">
                  <c:v>331.09489051094886</c:v>
                </c:pt>
                <c:pt idx="2">
                  <c:v>461.37600000000003</c:v>
                </c:pt>
                <c:pt idx="3">
                  <c:v>490.14597198000001</c:v>
                </c:pt>
                <c:pt idx="4">
                  <c:v>479.56675000000001</c:v>
                </c:pt>
                <c:pt idx="5">
                  <c:v>592.74414899999999</c:v>
                </c:pt>
              </c:numCache>
            </c:numRef>
          </c:val>
          <c:smooth val="0"/>
          <c:extLst>
            <c:ext xmlns:c16="http://schemas.microsoft.com/office/drawing/2014/chart" uri="{C3380CC4-5D6E-409C-BE32-E72D297353CC}">
              <c16:uniqueId val="{00000005-6F63-404D-9187-6DB270899371}"/>
            </c:ext>
          </c:extLst>
        </c:ser>
        <c:dLbls>
          <c:showLegendKey val="0"/>
          <c:showVal val="0"/>
          <c:showCatName val="0"/>
          <c:showSerName val="0"/>
          <c:showPercent val="0"/>
          <c:showBubbleSize val="0"/>
        </c:dLbls>
        <c:smooth val="0"/>
        <c:axId val="1141316911"/>
        <c:axId val="919623151"/>
      </c:lineChart>
      <c:catAx>
        <c:axId val="114131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919623151"/>
        <c:crosses val="autoZero"/>
        <c:auto val="1"/>
        <c:lblAlgn val="ctr"/>
        <c:lblOffset val="100"/>
        <c:noMultiLvlLbl val="0"/>
      </c:catAx>
      <c:valAx>
        <c:axId val="9196231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41316911"/>
        <c:crosses val="autoZero"/>
        <c:crossBetween val="between"/>
      </c:valAx>
      <c:spPr>
        <a:noFill/>
        <a:ln>
          <a:noFill/>
        </a:ln>
        <a:effectLst/>
      </c:spPr>
    </c:plotArea>
    <c:legend>
      <c:legendPos val="b"/>
      <c:layout>
        <c:manualLayout>
          <c:xMode val="edge"/>
          <c:yMode val="edge"/>
          <c:x val="1.5528194140796193E-5"/>
          <c:y val="0.8179906403209033"/>
          <c:w val="0.98888983880338688"/>
          <c:h val="0.155560095082454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09295114405656"/>
          <c:y val="5.0925925925925923E-2"/>
          <c:w val="0.71826429692216998"/>
          <c:h val="0.58692220764071146"/>
        </c:manualLayout>
      </c:layout>
      <c:barChart>
        <c:barDir val="bar"/>
        <c:grouping val="stacked"/>
        <c:varyColors val="0"/>
        <c:ser>
          <c:idx val="1"/>
          <c:order val="0"/>
          <c:tx>
            <c:strRef>
              <c:f>'[FOU alle fagområder 2021.xlsx]Bearbeidet'!$A$63</c:f>
              <c:strCache>
                <c:ptCount val="1"/>
                <c:pt idx="0">
                  <c:v>Matematikk, naturvitenskap og teknologi</c:v>
                </c:pt>
              </c:strCache>
            </c:strRef>
          </c:tx>
          <c:spPr>
            <a:solidFill>
              <a:schemeClr val="accent4"/>
            </a:solidFill>
            <a:ln>
              <a:noFill/>
            </a:ln>
            <a:effectLst/>
          </c:spPr>
          <c:invertIfNegative val="0"/>
          <c:cat>
            <c:strRef>
              <c:f>'[FOU alle fagområder 2021.xlsx]Bearbeidet'!$B$60:$G$60</c:f>
              <c:strCache>
                <c:ptCount val="6"/>
                <c:pt idx="0">
                  <c:v>Øvrige institusjoner</c:v>
                </c:pt>
                <c:pt idx="1">
                  <c:v>UiO</c:v>
                </c:pt>
                <c:pt idx="2">
                  <c:v>NMBU</c:v>
                </c:pt>
                <c:pt idx="3">
                  <c:v>UiB</c:v>
                </c:pt>
                <c:pt idx="4">
                  <c:v>UiT</c:v>
                </c:pt>
                <c:pt idx="5">
                  <c:v>NTNU</c:v>
                </c:pt>
              </c:strCache>
            </c:strRef>
          </c:cat>
          <c:val>
            <c:numRef>
              <c:f>'[FOU alle fagområder 2021.xlsx]Bearbeidet'!$B$63:$G$63</c:f>
              <c:numCache>
                <c:formatCode>0%</c:formatCode>
                <c:ptCount val="6"/>
                <c:pt idx="0">
                  <c:v>0.25433452120693523</c:v>
                </c:pt>
                <c:pt idx="1">
                  <c:v>0.36221009377517699</c:v>
                </c:pt>
                <c:pt idx="2">
                  <c:v>0.40715014949318173</c:v>
                </c:pt>
                <c:pt idx="3">
                  <c:v>0.41043706452688516</c:v>
                </c:pt>
                <c:pt idx="4">
                  <c:v>0.49216905657077908</c:v>
                </c:pt>
                <c:pt idx="5">
                  <c:v>0.73118375345150077</c:v>
                </c:pt>
              </c:numCache>
            </c:numRef>
          </c:val>
          <c:extLst>
            <c:ext xmlns:c16="http://schemas.microsoft.com/office/drawing/2014/chart" uri="{C3380CC4-5D6E-409C-BE32-E72D297353CC}">
              <c16:uniqueId val="{00000000-CE0E-4B21-AADA-CC402494E098}"/>
            </c:ext>
          </c:extLst>
        </c:ser>
        <c:ser>
          <c:idx val="0"/>
          <c:order val="1"/>
          <c:tx>
            <c:strRef>
              <c:f>'[FOU alle fagområder 2021.xlsx]Bearbeidet'!$A$64</c:f>
              <c:strCache>
                <c:ptCount val="1"/>
                <c:pt idx="0">
                  <c:v>Medisin og helsefag</c:v>
                </c:pt>
              </c:strCache>
            </c:strRef>
          </c:tx>
          <c:spPr>
            <a:solidFill>
              <a:schemeClr val="accent1"/>
            </a:solidFill>
            <a:ln>
              <a:noFill/>
            </a:ln>
            <a:effectLst/>
          </c:spPr>
          <c:invertIfNegative val="0"/>
          <c:cat>
            <c:strRef>
              <c:f>'[FOU alle fagområder 2021.xlsx]Bearbeidet'!$B$60:$G$60</c:f>
              <c:strCache>
                <c:ptCount val="6"/>
                <c:pt idx="0">
                  <c:v>Øvrige institusjoner</c:v>
                </c:pt>
                <c:pt idx="1">
                  <c:v>UiO</c:v>
                </c:pt>
                <c:pt idx="2">
                  <c:v>NMBU</c:v>
                </c:pt>
                <c:pt idx="3">
                  <c:v>UiB</c:v>
                </c:pt>
                <c:pt idx="4">
                  <c:v>UiT</c:v>
                </c:pt>
                <c:pt idx="5">
                  <c:v>NTNU</c:v>
                </c:pt>
              </c:strCache>
            </c:strRef>
          </c:cat>
          <c:val>
            <c:numRef>
              <c:f>'[FOU alle fagområder 2021.xlsx]Bearbeidet'!$B$64:$G$64</c:f>
              <c:numCache>
                <c:formatCode>0%</c:formatCode>
                <c:ptCount val="6"/>
                <c:pt idx="0">
                  <c:v>0.1264028822022446</c:v>
                </c:pt>
                <c:pt idx="1">
                  <c:v>0.2839925545590698</c:v>
                </c:pt>
                <c:pt idx="2">
                  <c:v>0</c:v>
                </c:pt>
                <c:pt idx="3">
                  <c:v>0.26195724189895508</c:v>
                </c:pt>
                <c:pt idx="4">
                  <c:v>0.21672532132552244</c:v>
                </c:pt>
                <c:pt idx="5">
                  <c:v>0.1099651685551279</c:v>
                </c:pt>
              </c:numCache>
            </c:numRef>
          </c:val>
          <c:extLst>
            <c:ext xmlns:c16="http://schemas.microsoft.com/office/drawing/2014/chart" uri="{C3380CC4-5D6E-409C-BE32-E72D297353CC}">
              <c16:uniqueId val="{00000001-CE0E-4B21-AADA-CC402494E098}"/>
            </c:ext>
          </c:extLst>
        </c:ser>
        <c:ser>
          <c:idx val="3"/>
          <c:order val="2"/>
          <c:tx>
            <c:strRef>
              <c:f>'[FOU alle fagområder 2021.xlsx]Bearbeidet'!$A$62</c:f>
              <c:strCache>
                <c:ptCount val="1"/>
                <c:pt idx="0">
                  <c:v>Samfunnsvitenskap</c:v>
                </c:pt>
              </c:strCache>
            </c:strRef>
          </c:tx>
          <c:spPr>
            <a:solidFill>
              <a:schemeClr val="accent3"/>
            </a:solidFill>
            <a:ln>
              <a:noFill/>
            </a:ln>
            <a:effectLst/>
          </c:spPr>
          <c:invertIfNegative val="0"/>
          <c:cat>
            <c:strRef>
              <c:f>'[FOU alle fagområder 2021.xlsx]Bearbeidet'!$B$60:$G$60</c:f>
              <c:strCache>
                <c:ptCount val="6"/>
                <c:pt idx="0">
                  <c:v>Øvrige institusjoner</c:v>
                </c:pt>
                <c:pt idx="1">
                  <c:v>UiO</c:v>
                </c:pt>
                <c:pt idx="2">
                  <c:v>NMBU</c:v>
                </c:pt>
                <c:pt idx="3">
                  <c:v>UiB</c:v>
                </c:pt>
                <c:pt idx="4">
                  <c:v>UiT</c:v>
                </c:pt>
                <c:pt idx="5">
                  <c:v>NTNU</c:v>
                </c:pt>
              </c:strCache>
            </c:strRef>
          </c:cat>
          <c:val>
            <c:numRef>
              <c:f>'[FOU alle fagområder 2021.xlsx]Bearbeidet'!$B$62:$G$62</c:f>
              <c:numCache>
                <c:formatCode>0%</c:formatCode>
                <c:ptCount val="6"/>
                <c:pt idx="0">
                  <c:v>0.51741895762787038</c:v>
                </c:pt>
                <c:pt idx="1">
                  <c:v>0.2369635329981033</c:v>
                </c:pt>
                <c:pt idx="2">
                  <c:v>0.10843724932545759</c:v>
                </c:pt>
                <c:pt idx="3">
                  <c:v>0.19151506753216385</c:v>
                </c:pt>
                <c:pt idx="4">
                  <c:v>0.20940259683483434</c:v>
                </c:pt>
                <c:pt idx="5">
                  <c:v>0.12266481649032172</c:v>
                </c:pt>
              </c:numCache>
            </c:numRef>
          </c:val>
          <c:extLst>
            <c:ext xmlns:c16="http://schemas.microsoft.com/office/drawing/2014/chart" uri="{C3380CC4-5D6E-409C-BE32-E72D297353CC}">
              <c16:uniqueId val="{00000002-CE0E-4B21-AADA-CC402494E098}"/>
            </c:ext>
          </c:extLst>
        </c:ser>
        <c:ser>
          <c:idx val="2"/>
          <c:order val="3"/>
          <c:tx>
            <c:strRef>
              <c:f>'[FOU alle fagområder 2021.xlsx]Bearbeidet'!$A$61</c:f>
              <c:strCache>
                <c:ptCount val="1"/>
                <c:pt idx="0">
                  <c:v>Humaniora og kunstfag</c:v>
                </c:pt>
              </c:strCache>
            </c:strRef>
          </c:tx>
          <c:spPr>
            <a:solidFill>
              <a:srgbClr val="FF0000"/>
            </a:solidFill>
            <a:ln>
              <a:noFill/>
            </a:ln>
            <a:effectLst/>
          </c:spPr>
          <c:invertIfNegative val="0"/>
          <c:cat>
            <c:strRef>
              <c:f>'[FOU alle fagområder 2021.xlsx]Bearbeidet'!$B$60:$G$60</c:f>
              <c:strCache>
                <c:ptCount val="6"/>
                <c:pt idx="0">
                  <c:v>Øvrige institusjoner</c:v>
                </c:pt>
                <c:pt idx="1">
                  <c:v>UiO</c:v>
                </c:pt>
                <c:pt idx="2">
                  <c:v>NMBU</c:v>
                </c:pt>
                <c:pt idx="3">
                  <c:v>UiB</c:v>
                </c:pt>
                <c:pt idx="4">
                  <c:v>UiT</c:v>
                </c:pt>
                <c:pt idx="5">
                  <c:v>NTNU</c:v>
                </c:pt>
              </c:strCache>
            </c:strRef>
          </c:cat>
          <c:val>
            <c:numRef>
              <c:f>'[FOU alle fagområder 2021.xlsx]Bearbeidet'!$B$61:$G$61</c:f>
              <c:numCache>
                <c:formatCode>0%</c:formatCode>
                <c:ptCount val="6"/>
                <c:pt idx="0">
                  <c:v>0.10184363896294983</c:v>
                </c:pt>
                <c:pt idx="1">
                  <c:v>0.11683381866764997</c:v>
                </c:pt>
                <c:pt idx="2">
                  <c:v>0</c:v>
                </c:pt>
                <c:pt idx="3">
                  <c:v>0.13609062604199595</c:v>
                </c:pt>
                <c:pt idx="4">
                  <c:v>8.1703025268864221E-2</c:v>
                </c:pt>
                <c:pt idx="5">
                  <c:v>3.6186261503049509E-2</c:v>
                </c:pt>
              </c:numCache>
            </c:numRef>
          </c:val>
          <c:extLst>
            <c:ext xmlns:c16="http://schemas.microsoft.com/office/drawing/2014/chart" uri="{C3380CC4-5D6E-409C-BE32-E72D297353CC}">
              <c16:uniqueId val="{00000003-CE0E-4B21-AADA-CC402494E098}"/>
            </c:ext>
          </c:extLst>
        </c:ser>
        <c:ser>
          <c:idx val="4"/>
          <c:order val="4"/>
          <c:tx>
            <c:strRef>
              <c:f>'[FOU alle fagområder 2021.xlsx]Bearbeidet'!$A$65</c:f>
              <c:strCache>
                <c:ptCount val="1"/>
                <c:pt idx="0">
                  <c:v>Landbruks-, fiskerifag og veterinærmedisin</c:v>
                </c:pt>
              </c:strCache>
            </c:strRef>
          </c:tx>
          <c:spPr>
            <a:solidFill>
              <a:schemeClr val="accent5"/>
            </a:solidFill>
            <a:ln>
              <a:noFill/>
            </a:ln>
            <a:effectLst/>
          </c:spPr>
          <c:invertIfNegative val="0"/>
          <c:cat>
            <c:strRef>
              <c:f>'[FOU alle fagområder 2021.xlsx]Bearbeidet'!$B$60:$G$60</c:f>
              <c:strCache>
                <c:ptCount val="6"/>
                <c:pt idx="0">
                  <c:v>Øvrige institusjoner</c:v>
                </c:pt>
                <c:pt idx="1">
                  <c:v>UiO</c:v>
                </c:pt>
                <c:pt idx="2">
                  <c:v>NMBU</c:v>
                </c:pt>
                <c:pt idx="3">
                  <c:v>UiB</c:v>
                </c:pt>
                <c:pt idx="4">
                  <c:v>UiT</c:v>
                </c:pt>
                <c:pt idx="5">
                  <c:v>NTNU</c:v>
                </c:pt>
              </c:strCache>
            </c:strRef>
          </c:cat>
          <c:val>
            <c:numRef>
              <c:f>'[FOU alle fagområder 2021.xlsx]Bearbeidet'!$B$65:$G$65</c:f>
              <c:numCache>
                <c:formatCode>0%</c:formatCode>
                <c:ptCount val="6"/>
                <c:pt idx="0">
                  <c:v>0</c:v>
                </c:pt>
                <c:pt idx="1">
                  <c:v>0</c:v>
                </c:pt>
                <c:pt idx="2">
                  <c:v>0.48441260118136076</c:v>
                </c:pt>
                <c:pt idx="3">
                  <c:v>0</c:v>
                </c:pt>
                <c:pt idx="4">
                  <c:v>0</c:v>
                </c:pt>
                <c:pt idx="5">
                  <c:v>0</c:v>
                </c:pt>
              </c:numCache>
            </c:numRef>
          </c:val>
          <c:extLst>
            <c:ext xmlns:c16="http://schemas.microsoft.com/office/drawing/2014/chart" uri="{C3380CC4-5D6E-409C-BE32-E72D297353CC}">
              <c16:uniqueId val="{00000004-CE0E-4B21-AADA-CC402494E098}"/>
            </c:ext>
          </c:extLst>
        </c:ser>
        <c:dLbls>
          <c:showLegendKey val="0"/>
          <c:showVal val="0"/>
          <c:showCatName val="0"/>
          <c:showSerName val="0"/>
          <c:showPercent val="0"/>
          <c:showBubbleSize val="0"/>
        </c:dLbls>
        <c:gapWidth val="150"/>
        <c:overlap val="100"/>
        <c:axId val="2008320591"/>
        <c:axId val="1130083359"/>
      </c:barChart>
      <c:catAx>
        <c:axId val="200832059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30083359"/>
        <c:crosses val="autoZero"/>
        <c:auto val="1"/>
        <c:lblAlgn val="ctr"/>
        <c:lblOffset val="100"/>
        <c:noMultiLvlLbl val="0"/>
      </c:catAx>
      <c:valAx>
        <c:axId val="1130083359"/>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2008320591"/>
        <c:crosses val="autoZero"/>
        <c:crossBetween val="between"/>
      </c:valAx>
      <c:spPr>
        <a:noFill/>
        <a:ln>
          <a:noFill/>
        </a:ln>
        <a:effectLst/>
      </c:spPr>
    </c:plotArea>
    <c:legend>
      <c:legendPos val="b"/>
      <c:layout>
        <c:manualLayout>
          <c:xMode val="edge"/>
          <c:yMode val="edge"/>
          <c:x val="0"/>
          <c:y val="0.72534813356663752"/>
          <c:w val="0.99517282404843033"/>
          <c:h val="0.246874088655584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'[Fra nett NFR andel FoU.xlsx]FinansieringTot'!$G$5:$G$18</c:f>
              <c:strCache>
                <c:ptCount val="14"/>
                <c:pt idx="0">
                  <c:v>BI</c:v>
                </c:pt>
                <c:pt idx="1">
                  <c:v>USN</c:v>
                </c:pt>
                <c:pt idx="2">
                  <c:v>HINN</c:v>
                </c:pt>
                <c:pt idx="3">
                  <c:v>NU</c:v>
                </c:pt>
                <c:pt idx="4">
                  <c:v>UiA</c:v>
                </c:pt>
                <c:pt idx="5">
                  <c:v>NHH</c:v>
                </c:pt>
                <c:pt idx="6">
                  <c:v>HVK</c:v>
                </c:pt>
                <c:pt idx="7">
                  <c:v>OsloMet</c:v>
                </c:pt>
                <c:pt idx="8">
                  <c:v>UiT</c:v>
                </c:pt>
                <c:pt idx="9">
                  <c:v>UiS</c:v>
                </c:pt>
                <c:pt idx="10">
                  <c:v>UiB</c:v>
                </c:pt>
                <c:pt idx="11">
                  <c:v>NMBU</c:v>
                </c:pt>
                <c:pt idx="12">
                  <c:v>NTNU</c:v>
                </c:pt>
                <c:pt idx="13">
                  <c:v>UiO</c:v>
                </c:pt>
              </c:strCache>
            </c:strRef>
          </c:cat>
          <c:val>
            <c:numRef>
              <c:f>'[Fra nett NFR andel FoU.xlsx]FinansieringTot'!$H$5:$H$18</c:f>
              <c:numCache>
                <c:formatCode>0%</c:formatCode>
                <c:ptCount val="14"/>
                <c:pt idx="0">
                  <c:v>4.9886621315192746E-2</c:v>
                </c:pt>
                <c:pt idx="1">
                  <c:v>5.2307692307692305E-2</c:v>
                </c:pt>
                <c:pt idx="2">
                  <c:v>5.3117782909930716E-2</c:v>
                </c:pt>
                <c:pt idx="3">
                  <c:v>5.3465346534653464E-2</c:v>
                </c:pt>
                <c:pt idx="4">
                  <c:v>0.10307414104882459</c:v>
                </c:pt>
                <c:pt idx="5">
                  <c:v>0.11636363636363636</c:v>
                </c:pt>
                <c:pt idx="6">
                  <c:v>0.13808801213960548</c:v>
                </c:pt>
                <c:pt idx="7">
                  <c:v>0.14115490375802017</c:v>
                </c:pt>
                <c:pt idx="8">
                  <c:v>0.15689757252812314</c:v>
                </c:pt>
                <c:pt idx="9">
                  <c:v>0.17012448132780084</c:v>
                </c:pt>
                <c:pt idx="10">
                  <c:v>0.19402338674750974</c:v>
                </c:pt>
                <c:pt idx="11">
                  <c:v>0.22011385199240988</c:v>
                </c:pt>
                <c:pt idx="12">
                  <c:v>0.22678284797064893</c:v>
                </c:pt>
                <c:pt idx="13">
                  <c:v>0.23497688751926041</c:v>
                </c:pt>
              </c:numCache>
            </c:numRef>
          </c:val>
          <c:extLst>
            <c:ext xmlns:c16="http://schemas.microsoft.com/office/drawing/2014/chart" uri="{C3380CC4-5D6E-409C-BE32-E72D297353CC}">
              <c16:uniqueId val="{00000000-4231-455C-99BF-FA7C6281B041}"/>
            </c:ext>
          </c:extLst>
        </c:ser>
        <c:dLbls>
          <c:showLegendKey val="0"/>
          <c:showVal val="0"/>
          <c:showCatName val="0"/>
          <c:showSerName val="0"/>
          <c:showPercent val="0"/>
          <c:showBubbleSize val="0"/>
        </c:dLbls>
        <c:gapWidth val="182"/>
        <c:axId val="1310448208"/>
        <c:axId val="845570400"/>
      </c:barChart>
      <c:catAx>
        <c:axId val="131044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45570400"/>
        <c:crosses val="autoZero"/>
        <c:auto val="1"/>
        <c:lblAlgn val="ctr"/>
        <c:lblOffset val="100"/>
        <c:noMultiLvlLbl val="0"/>
      </c:catAx>
      <c:valAx>
        <c:axId val="8455704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044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'[figurer_8mars2024_arbeidsfil.xlsx]Figur 3.11'!$A$4:$A$30</c:f>
              <c:strCache>
                <c:ptCount val="27"/>
                <c:pt idx="0">
                  <c:v>NMBU</c:v>
                </c:pt>
                <c:pt idx="1">
                  <c:v>UiO</c:v>
                </c:pt>
                <c:pt idx="2">
                  <c:v>UiB</c:v>
                </c:pt>
                <c:pt idx="3">
                  <c:v>NTNU</c:v>
                </c:pt>
                <c:pt idx="4">
                  <c:v>NHH</c:v>
                </c:pt>
                <c:pt idx="5">
                  <c:v>UiS</c:v>
                </c:pt>
                <c:pt idx="6">
                  <c:v>UiT</c:v>
                </c:pt>
                <c:pt idx="7">
                  <c:v>MF</c:v>
                </c:pt>
                <c:pt idx="8">
                  <c:v>OsloMet</c:v>
                </c:pt>
                <c:pt idx="9">
                  <c:v>NIH</c:v>
                </c:pt>
                <c:pt idx="10">
                  <c:v>UiA</c:v>
                </c:pt>
                <c:pt idx="11">
                  <c:v>USN</c:v>
                </c:pt>
                <c:pt idx="12">
                  <c:v>HVL</c:v>
                </c:pt>
                <c:pt idx="13">
                  <c:v>DMMH</c:v>
                </c:pt>
                <c:pt idx="14">
                  <c:v>AHO</c:v>
                </c:pt>
                <c:pt idx="15">
                  <c:v>NU</c:v>
                </c:pt>
                <c:pt idx="16">
                  <c:v>HFDK</c:v>
                </c:pt>
                <c:pt idx="17">
                  <c:v>HINN</c:v>
                </c:pt>
                <c:pt idx="18">
                  <c:v>BI</c:v>
                </c:pt>
                <c:pt idx="19">
                  <c:v>HiØ</c:v>
                </c:pt>
                <c:pt idx="20">
                  <c:v>HiM</c:v>
                </c:pt>
                <c:pt idx="21">
                  <c:v>HK</c:v>
                </c:pt>
                <c:pt idx="22">
                  <c:v>SH</c:v>
                </c:pt>
                <c:pt idx="23">
                  <c:v>VID</c:v>
                </c:pt>
                <c:pt idx="24">
                  <c:v>HVO</c:v>
                </c:pt>
                <c:pt idx="25">
                  <c:v>NMH</c:v>
                </c:pt>
                <c:pt idx="26">
                  <c:v>KHiO</c:v>
                </c:pt>
              </c:strCache>
            </c:strRef>
          </c:cat>
          <c:val>
            <c:numRef>
              <c:f>'[figurer_8mars2024_arbeidsfil.xlsx]Figur 3.11'!$D$4:$D$30</c:f>
              <c:numCache>
                <c:formatCode>General</c:formatCode>
                <c:ptCount val="27"/>
                <c:pt idx="0">
                  <c:v>333.26083</c:v>
                </c:pt>
                <c:pt idx="1">
                  <c:v>310.00461000000001</c:v>
                </c:pt>
                <c:pt idx="2">
                  <c:v>253.93347</c:v>
                </c:pt>
                <c:pt idx="3">
                  <c:v>232.65781000000001</c:v>
                </c:pt>
                <c:pt idx="4">
                  <c:v>162.90049999999999</c:v>
                </c:pt>
                <c:pt idx="5">
                  <c:v>136.65267</c:v>
                </c:pt>
                <c:pt idx="6">
                  <c:v>131.33090000000001</c:v>
                </c:pt>
                <c:pt idx="7">
                  <c:v>111.17104</c:v>
                </c:pt>
                <c:pt idx="8">
                  <c:v>99.179050000000004</c:v>
                </c:pt>
                <c:pt idx="9">
                  <c:v>95.299530000000004</c:v>
                </c:pt>
                <c:pt idx="10">
                  <c:v>79.445350000000005</c:v>
                </c:pt>
                <c:pt idx="11">
                  <c:v>74.691900000000004</c:v>
                </c:pt>
                <c:pt idx="12">
                  <c:v>68.851209999999995</c:v>
                </c:pt>
                <c:pt idx="13">
                  <c:v>66.393770000000004</c:v>
                </c:pt>
                <c:pt idx="14">
                  <c:v>63.100490000000001</c:v>
                </c:pt>
                <c:pt idx="15">
                  <c:v>57.158499999999997</c:v>
                </c:pt>
                <c:pt idx="16">
                  <c:v>48.441249999999997</c:v>
                </c:pt>
                <c:pt idx="17">
                  <c:v>46.720300000000002</c:v>
                </c:pt>
                <c:pt idx="18">
                  <c:v>41.186320000000002</c:v>
                </c:pt>
                <c:pt idx="19">
                  <c:v>34.804380000000002</c:v>
                </c:pt>
                <c:pt idx="20">
                  <c:v>22.4574</c:v>
                </c:pt>
                <c:pt idx="21">
                  <c:v>22.441790000000001</c:v>
                </c:pt>
                <c:pt idx="22">
                  <c:v>9.6942199999999996</c:v>
                </c:pt>
                <c:pt idx="23">
                  <c:v>9.08094</c:v>
                </c:pt>
                <c:pt idx="24">
                  <c:v>8.9047499999999999</c:v>
                </c:pt>
                <c:pt idx="25">
                  <c:v>4.1806900000000002</c:v>
                </c:pt>
                <c:pt idx="26">
                  <c:v>0</c:v>
                </c:pt>
              </c:numCache>
            </c:numRef>
          </c:val>
          <c:extLst>
            <c:ext xmlns:c16="http://schemas.microsoft.com/office/drawing/2014/chart" uri="{C3380CC4-5D6E-409C-BE32-E72D297353CC}">
              <c16:uniqueId val="{00000000-09C4-477A-B756-CBE59B3EA378}"/>
            </c:ext>
          </c:extLst>
        </c:ser>
        <c:dLbls>
          <c:showLegendKey val="0"/>
          <c:showVal val="0"/>
          <c:showCatName val="0"/>
          <c:showSerName val="0"/>
          <c:showPercent val="0"/>
          <c:showBubbleSize val="0"/>
        </c:dLbls>
        <c:gapWidth val="50"/>
        <c:axId val="147671743"/>
        <c:axId val="147676319"/>
      </c:barChart>
      <c:catAx>
        <c:axId val="147671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6319"/>
        <c:crosses val="autoZero"/>
        <c:auto val="1"/>
        <c:lblAlgn val="ctr"/>
        <c:lblOffset val="100"/>
        <c:noMultiLvlLbl val="0"/>
      </c:catAx>
      <c:valAx>
        <c:axId val="14767631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'[figurer_8mars2024_arbeidsfil.xlsx]Figur 3.13'!$A$4</c:f>
              <c:strCache>
                <c:ptCount val="1"/>
                <c:pt idx="0">
                  <c:v>Forskningsmidler</c:v>
                </c:pt>
              </c:strCache>
            </c:strRef>
          </c:tx>
          <c:spPr>
            <a:solidFill>
              <a:schemeClr val="accent1"/>
            </a:solidFill>
            <a:ln>
              <a:noFill/>
            </a:ln>
            <a:effectLst/>
          </c:spPr>
          <c:invertIfNegative val="0"/>
          <c:cat>
            <c:numRef>
              <c:f>'[figurer_8mars2024_arbeidsfil.xlsx]Figur 3.13'!$B$3:$K$3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3.13'!$B$4:$K$4</c:f>
              <c:numCache>
                <c:formatCode>General</c:formatCode>
                <c:ptCount val="10"/>
                <c:pt idx="0">
                  <c:v>331499.31800000003</c:v>
                </c:pt>
                <c:pt idx="1">
                  <c:v>374868.91899999999</c:v>
                </c:pt>
                <c:pt idx="2">
                  <c:v>444921.89199999999</c:v>
                </c:pt>
                <c:pt idx="3">
                  <c:v>493336.88400000002</c:v>
                </c:pt>
                <c:pt idx="4">
                  <c:v>531097.13199999998</c:v>
                </c:pt>
                <c:pt idx="5">
                  <c:v>584148.32999999996</c:v>
                </c:pt>
                <c:pt idx="6">
                  <c:v>640475.62300000002</c:v>
                </c:pt>
                <c:pt idx="7">
                  <c:v>720302.11300000001</c:v>
                </c:pt>
                <c:pt idx="8">
                  <c:v>850373.09</c:v>
                </c:pt>
                <c:pt idx="9">
                  <c:v>1018212.937</c:v>
                </c:pt>
              </c:numCache>
            </c:numRef>
          </c:val>
          <c:extLst>
            <c:ext xmlns:c16="http://schemas.microsoft.com/office/drawing/2014/chart" uri="{C3380CC4-5D6E-409C-BE32-E72D297353CC}">
              <c16:uniqueId val="{00000000-B558-4256-83D5-574ADDCC347E}"/>
            </c:ext>
          </c:extLst>
        </c:ser>
        <c:ser>
          <c:idx val="1"/>
          <c:order val="1"/>
          <c:tx>
            <c:strRef>
              <c:f>'[figurer_8mars2024_arbeidsfil.xlsx]Figur 3.13'!$A$5</c:f>
              <c:strCache>
                <c:ptCount val="1"/>
                <c:pt idx="0">
                  <c:v>Øvrige midler</c:v>
                </c:pt>
              </c:strCache>
            </c:strRef>
          </c:tx>
          <c:spPr>
            <a:solidFill>
              <a:schemeClr val="accent2"/>
            </a:solidFill>
            <a:ln>
              <a:noFill/>
            </a:ln>
            <a:effectLst/>
          </c:spPr>
          <c:invertIfNegative val="0"/>
          <c:cat>
            <c:numRef>
              <c:f>'[figurer_8mars2024_arbeidsfil.xlsx]Figur 3.13'!$B$3:$K$3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3.13'!$B$5:$K$5</c:f>
              <c:numCache>
                <c:formatCode>General</c:formatCode>
                <c:ptCount val="10"/>
                <c:pt idx="0">
                  <c:v>51797.175999999999</c:v>
                </c:pt>
                <c:pt idx="1">
                  <c:v>51834.716</c:v>
                </c:pt>
                <c:pt idx="2">
                  <c:v>71691.792000000001</c:v>
                </c:pt>
                <c:pt idx="3">
                  <c:v>75232.247000000003</c:v>
                </c:pt>
                <c:pt idx="4">
                  <c:v>80901.076000000001</c:v>
                </c:pt>
                <c:pt idx="5">
                  <c:v>107344.163</c:v>
                </c:pt>
                <c:pt idx="6">
                  <c:v>73164.452000000005</c:v>
                </c:pt>
                <c:pt idx="7">
                  <c:v>123388.00599999999</c:v>
                </c:pt>
                <c:pt idx="8">
                  <c:v>215945.44500000001</c:v>
                </c:pt>
                <c:pt idx="9">
                  <c:v>223482.98499999999</c:v>
                </c:pt>
              </c:numCache>
            </c:numRef>
          </c:val>
          <c:extLst>
            <c:ext xmlns:c16="http://schemas.microsoft.com/office/drawing/2014/chart" uri="{C3380CC4-5D6E-409C-BE32-E72D297353CC}">
              <c16:uniqueId val="{00000001-B558-4256-83D5-574ADDCC347E}"/>
            </c:ext>
          </c:extLst>
        </c:ser>
        <c:dLbls>
          <c:showLegendKey val="0"/>
          <c:showVal val="0"/>
          <c:showCatName val="0"/>
          <c:showSerName val="0"/>
          <c:showPercent val="0"/>
          <c:showBubbleSize val="0"/>
        </c:dLbls>
        <c:gapWidth val="150"/>
        <c:overlap val="100"/>
        <c:axId val="433131839"/>
        <c:axId val="433109791"/>
      </c:barChart>
      <c:catAx>
        <c:axId val="43313183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433109791"/>
        <c:crosses val="autoZero"/>
        <c:auto val="1"/>
        <c:lblAlgn val="ctr"/>
        <c:lblOffset val="100"/>
        <c:noMultiLvlLbl val="0"/>
      </c:catAx>
      <c:valAx>
        <c:axId val="4331097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433131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83269029775205"/>
          <c:y val="6.6393795935512312E-2"/>
          <c:w val="0.61909292314174713"/>
          <c:h val="0.82312258626219414"/>
        </c:manualLayout>
      </c:layout>
      <c:barChart>
        <c:barDir val="bar"/>
        <c:grouping val="clustered"/>
        <c:varyColors val="0"/>
        <c:ser>
          <c:idx val="1"/>
          <c:order val="0"/>
          <c:tx>
            <c:strRef>
              <c:f>GRAF!$C$5</c:f>
              <c:strCache>
                <c:ptCount val="1"/>
                <c:pt idx="0">
                  <c:v>EU støtte i innstilte prosjekter euro</c:v>
                </c:pt>
              </c:strCache>
            </c:strRef>
          </c:tx>
          <c:spPr>
            <a:solidFill>
              <a:schemeClr val="accent1"/>
            </a:solidFill>
          </c:spPr>
          <c:invertIfNegative val="0"/>
          <c:dPt>
            <c:idx val="0"/>
            <c:invertIfNegative val="0"/>
            <c:bubble3D val="0"/>
            <c:extLst>
              <c:ext xmlns:c16="http://schemas.microsoft.com/office/drawing/2014/chart" uri="{C3380CC4-5D6E-409C-BE32-E72D297353CC}">
                <c16:uniqueId val="{00000000-E0A8-41DC-8E9D-3CA50B7061B7}"/>
              </c:ext>
            </c:extLst>
          </c:dPt>
          <c:dPt>
            <c:idx val="1"/>
            <c:invertIfNegative val="0"/>
            <c:bubble3D val="0"/>
            <c:extLst>
              <c:ext xmlns:c16="http://schemas.microsoft.com/office/drawing/2014/chart" uri="{C3380CC4-5D6E-409C-BE32-E72D297353CC}">
                <c16:uniqueId val="{00000001-E0A8-41DC-8E9D-3CA50B7061B7}"/>
              </c:ext>
            </c:extLst>
          </c:dPt>
          <c:dPt>
            <c:idx val="2"/>
            <c:invertIfNegative val="0"/>
            <c:bubble3D val="0"/>
            <c:extLst>
              <c:ext xmlns:c16="http://schemas.microsoft.com/office/drawing/2014/chart" uri="{C3380CC4-5D6E-409C-BE32-E72D297353CC}">
                <c16:uniqueId val="{00000002-E0A8-41DC-8E9D-3CA50B7061B7}"/>
              </c:ext>
            </c:extLst>
          </c:dPt>
          <c:dPt>
            <c:idx val="3"/>
            <c:invertIfNegative val="0"/>
            <c:bubble3D val="0"/>
            <c:extLst>
              <c:ext xmlns:c16="http://schemas.microsoft.com/office/drawing/2014/chart" uri="{C3380CC4-5D6E-409C-BE32-E72D297353CC}">
                <c16:uniqueId val="{00000003-E0A8-41DC-8E9D-3CA50B7061B7}"/>
              </c:ext>
            </c:extLst>
          </c:dPt>
          <c:dPt>
            <c:idx val="4"/>
            <c:invertIfNegative val="0"/>
            <c:bubble3D val="0"/>
            <c:extLst>
              <c:ext xmlns:c16="http://schemas.microsoft.com/office/drawing/2014/chart" uri="{C3380CC4-5D6E-409C-BE32-E72D297353CC}">
                <c16:uniqueId val="{00000004-E0A8-41DC-8E9D-3CA50B7061B7}"/>
              </c:ext>
            </c:extLst>
          </c:dPt>
          <c:dPt>
            <c:idx val="5"/>
            <c:invertIfNegative val="0"/>
            <c:bubble3D val="0"/>
            <c:extLst>
              <c:ext xmlns:c16="http://schemas.microsoft.com/office/drawing/2014/chart" uri="{C3380CC4-5D6E-409C-BE32-E72D297353CC}">
                <c16:uniqueId val="{00000005-E0A8-41DC-8E9D-3CA50B7061B7}"/>
              </c:ext>
            </c:extLst>
          </c:dPt>
          <c:dPt>
            <c:idx val="6"/>
            <c:invertIfNegative val="0"/>
            <c:bubble3D val="0"/>
            <c:extLst>
              <c:ext xmlns:c16="http://schemas.microsoft.com/office/drawing/2014/chart" uri="{C3380CC4-5D6E-409C-BE32-E72D297353CC}">
                <c16:uniqueId val="{00000006-E0A8-41DC-8E9D-3CA50B7061B7}"/>
              </c:ext>
            </c:extLst>
          </c:dPt>
          <c:dPt>
            <c:idx val="7"/>
            <c:invertIfNegative val="0"/>
            <c:bubble3D val="0"/>
            <c:extLst>
              <c:ext xmlns:c16="http://schemas.microsoft.com/office/drawing/2014/chart" uri="{C3380CC4-5D6E-409C-BE32-E72D297353CC}">
                <c16:uniqueId val="{00000007-E0A8-41DC-8E9D-3CA50B7061B7}"/>
              </c:ext>
            </c:extLst>
          </c:dPt>
          <c:dPt>
            <c:idx val="8"/>
            <c:invertIfNegative val="0"/>
            <c:bubble3D val="0"/>
            <c:extLst>
              <c:ext xmlns:c16="http://schemas.microsoft.com/office/drawing/2014/chart" uri="{C3380CC4-5D6E-409C-BE32-E72D297353CC}">
                <c16:uniqueId val="{00000008-E0A8-41DC-8E9D-3CA50B7061B7}"/>
              </c:ext>
            </c:extLst>
          </c:dPt>
          <c:dPt>
            <c:idx val="9"/>
            <c:invertIfNegative val="0"/>
            <c:bubble3D val="0"/>
            <c:extLst>
              <c:ext xmlns:c16="http://schemas.microsoft.com/office/drawing/2014/chart" uri="{C3380CC4-5D6E-409C-BE32-E72D297353CC}">
                <c16:uniqueId val="{00000009-E0A8-41DC-8E9D-3CA50B7061B7}"/>
              </c:ext>
            </c:extLst>
          </c:dPt>
          <c:dPt>
            <c:idx val="10"/>
            <c:invertIfNegative val="0"/>
            <c:bubble3D val="0"/>
            <c:extLst>
              <c:ext xmlns:c16="http://schemas.microsoft.com/office/drawing/2014/chart" uri="{C3380CC4-5D6E-409C-BE32-E72D297353CC}">
                <c16:uniqueId val="{0000000A-E0A8-41DC-8E9D-3CA50B7061B7}"/>
              </c:ext>
            </c:extLst>
          </c:dPt>
          <c:dPt>
            <c:idx val="11"/>
            <c:invertIfNegative val="0"/>
            <c:bubble3D val="0"/>
            <c:extLst>
              <c:ext xmlns:c16="http://schemas.microsoft.com/office/drawing/2014/chart" uri="{C3380CC4-5D6E-409C-BE32-E72D297353CC}">
                <c16:uniqueId val="{0000000B-E0A8-41DC-8E9D-3CA50B7061B7}"/>
              </c:ext>
            </c:extLst>
          </c:dPt>
          <c:dPt>
            <c:idx val="12"/>
            <c:invertIfNegative val="0"/>
            <c:bubble3D val="0"/>
            <c:extLst>
              <c:ext xmlns:c16="http://schemas.microsoft.com/office/drawing/2014/chart" uri="{C3380CC4-5D6E-409C-BE32-E72D297353CC}">
                <c16:uniqueId val="{0000000C-E0A8-41DC-8E9D-3CA50B7061B7}"/>
              </c:ext>
            </c:extLst>
          </c:dPt>
          <c:cat>
            <c:strRef>
              <c:f>GRAF!$B$6:$B$17</c:f>
              <c:strCache>
                <c:ptCount val="12"/>
                <c:pt idx="0">
                  <c:v>EIE (Økosystemer for innovasjon)</c:v>
                </c:pt>
                <c:pt idx="1">
                  <c:v>Samfunnssikkerhet</c:v>
                </c:pt>
                <c:pt idx="2">
                  <c:v>WIDERA (bredere deltakelse og styrking av ERA)</c:v>
                </c:pt>
                <c:pt idx="3">
                  <c:v>EIC (Europeisk innovasjonsråd)</c:v>
                </c:pt>
                <c:pt idx="4">
                  <c:v>Kultur, kreativitet &amp; inkluderende samfunn</c:v>
                </c:pt>
                <c:pt idx="5">
                  <c:v>Infrastruktur</c:v>
                </c:pt>
                <c:pt idx="6">
                  <c:v>Helse</c:v>
                </c:pt>
                <c:pt idx="7">
                  <c:v>Mat, bioøk., naturressurser, landbruk &amp; miljø</c:v>
                </c:pt>
                <c:pt idx="8">
                  <c:v>Digitalisering, næringsliv &amp; romvirksomhet</c:v>
                </c:pt>
                <c:pt idx="9">
                  <c:v>Klima, energi &amp; mobilitet</c:v>
                </c:pt>
                <c:pt idx="10">
                  <c:v>MSCA</c:v>
                </c:pt>
                <c:pt idx="11">
                  <c:v>ERC</c:v>
                </c:pt>
              </c:strCache>
            </c:strRef>
          </c:cat>
          <c:val>
            <c:numRef>
              <c:f>GRAF!$C$6:$C$17</c:f>
              <c:numCache>
                <c:formatCode>#\ ##0.0</c:formatCode>
                <c:ptCount val="12"/>
                <c:pt idx="0">
                  <c:v>0.26949999999995999</c:v>
                </c:pt>
                <c:pt idx="1">
                  <c:v>3.9655862499984602</c:v>
                </c:pt>
                <c:pt idx="2">
                  <c:v>4.8453351099976798</c:v>
                </c:pt>
                <c:pt idx="3">
                  <c:v>7.9271922499981198</c:v>
                </c:pt>
                <c:pt idx="4">
                  <c:v>14.1059542499965</c:v>
                </c:pt>
                <c:pt idx="5">
                  <c:v>14.203800009993801</c:v>
                </c:pt>
                <c:pt idx="6">
                  <c:v>18.8112344999942</c:v>
                </c:pt>
                <c:pt idx="7">
                  <c:v>23.845321029992199</c:v>
                </c:pt>
                <c:pt idx="8">
                  <c:v>25.6338555599927</c:v>
                </c:pt>
                <c:pt idx="9">
                  <c:v>31.162166839989801</c:v>
                </c:pt>
                <c:pt idx="10">
                  <c:v>52.776325019998197</c:v>
                </c:pt>
                <c:pt idx="11">
                  <c:v>129.25225474998999</c:v>
                </c:pt>
              </c:numCache>
            </c:numRef>
          </c:val>
          <c:extLst>
            <c:ext xmlns:c16="http://schemas.microsoft.com/office/drawing/2014/chart" uri="{C3380CC4-5D6E-409C-BE32-E72D297353CC}">
              <c16:uniqueId val="{0000000D-E0A8-41DC-8E9D-3CA50B7061B7}"/>
            </c:ext>
          </c:extLst>
        </c:ser>
        <c:dLbls>
          <c:showLegendKey val="0"/>
          <c:showVal val="0"/>
          <c:showCatName val="0"/>
          <c:showSerName val="0"/>
          <c:showPercent val="0"/>
          <c:showBubbleSize val="0"/>
        </c:dLbls>
        <c:gapWidth val="30"/>
        <c:axId val="241366912"/>
        <c:axId val="241368448"/>
      </c:barChart>
      <c:catAx>
        <c:axId val="241366912"/>
        <c:scaling>
          <c:orientation val="minMax"/>
        </c:scaling>
        <c:delete val="0"/>
        <c:axPos val="l"/>
        <c:numFmt formatCode="General" sourceLinked="0"/>
        <c:majorTickMark val="out"/>
        <c:minorTickMark val="none"/>
        <c:tickLblPos val="nextTo"/>
        <c:txPr>
          <a:bodyPr rot="0"/>
          <a:lstStyle/>
          <a:p>
            <a:pPr>
              <a:defRPr sz="1000"/>
            </a:pPr>
            <a:endParaRPr lang="nb-NO"/>
          </a:p>
        </c:txPr>
        <c:crossAx val="241368448"/>
        <c:crosses val="autoZero"/>
        <c:auto val="1"/>
        <c:lblAlgn val="ctr"/>
        <c:lblOffset val="100"/>
        <c:noMultiLvlLbl val="0"/>
      </c:catAx>
      <c:valAx>
        <c:axId val="241368448"/>
        <c:scaling>
          <c:orientation val="minMax"/>
          <c:max val="140"/>
          <c:min val="0"/>
        </c:scaling>
        <c:delete val="0"/>
        <c:axPos val="b"/>
        <c:numFmt formatCode="#,##0" sourceLinked="0"/>
        <c:majorTickMark val="out"/>
        <c:minorTickMark val="none"/>
        <c:tickLblPos val="nextTo"/>
        <c:txPr>
          <a:bodyPr/>
          <a:lstStyle/>
          <a:p>
            <a:pPr>
              <a:defRPr sz="1000"/>
            </a:pPr>
            <a:endParaRPr lang="nb-NO"/>
          </a:p>
        </c:txPr>
        <c:crossAx val="241366912"/>
        <c:crosses val="autoZero"/>
        <c:crossBetween val="between"/>
        <c:majorUnit val="20"/>
      </c:valAx>
    </c:plotArea>
    <c:plotVisOnly val="1"/>
    <c:dispBlanksAs val="gap"/>
    <c:showDLblsOverMax val="0"/>
  </c:chart>
  <c:txPr>
    <a:bodyPr/>
    <a:lstStyle/>
    <a:p>
      <a:pPr>
        <a:defRPr sz="1800"/>
      </a:pPr>
      <a:endParaRPr lang="nb-NO"/>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areaChart>
        <c:grouping val="stacked"/>
        <c:varyColors val="0"/>
        <c:ser>
          <c:idx val="0"/>
          <c:order val="0"/>
          <c:tx>
            <c:strRef>
              <c:f>'[figurer_8mars2024_arbeidsfil.xlsx]Figur 4.1'!$A$29</c:f>
              <c:strCache>
                <c:ptCount val="1"/>
                <c:pt idx="0">
                  <c:v>Bevilgning/statstilskudd</c:v>
                </c:pt>
              </c:strCache>
            </c:strRef>
          </c:tx>
          <c:spPr>
            <a:solidFill>
              <a:schemeClr val="accent1"/>
            </a:solidFill>
            <a:ln>
              <a:noFill/>
            </a:ln>
            <a:effectLst/>
          </c:spPr>
          <c:cat>
            <c:numRef>
              <c:f>'[figurer_8mars2024_arbeidsfil.xlsx]Figur 4.1'!$B$28:$K$28</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4.1'!$B$29:$K$29</c:f>
              <c:numCache>
                <c:formatCode>General</c:formatCode>
                <c:ptCount val="10"/>
                <c:pt idx="0">
                  <c:v>40349367.451636359</c:v>
                </c:pt>
                <c:pt idx="1">
                  <c:v>41584205.632320002</c:v>
                </c:pt>
                <c:pt idx="2">
                  <c:v>41890856.174600296</c:v>
                </c:pt>
                <c:pt idx="3">
                  <c:v>43334659.673609748</c:v>
                </c:pt>
                <c:pt idx="4">
                  <c:v>43502426.089739658</c:v>
                </c:pt>
                <c:pt idx="5">
                  <c:v>43676471.318421505</c:v>
                </c:pt>
                <c:pt idx="6">
                  <c:v>45685349.217566766</c:v>
                </c:pt>
                <c:pt idx="7">
                  <c:v>46884037.346212603</c:v>
                </c:pt>
                <c:pt idx="8">
                  <c:v>45629051.714061126</c:v>
                </c:pt>
                <c:pt idx="9">
                  <c:v>44723933.329000004</c:v>
                </c:pt>
              </c:numCache>
            </c:numRef>
          </c:val>
          <c:extLst>
            <c:ext xmlns:c16="http://schemas.microsoft.com/office/drawing/2014/chart" uri="{C3380CC4-5D6E-409C-BE32-E72D297353CC}">
              <c16:uniqueId val="{00000000-A81E-4E2B-97B7-4DC7E647834C}"/>
            </c:ext>
          </c:extLst>
        </c:ser>
        <c:ser>
          <c:idx val="1"/>
          <c:order val="1"/>
          <c:tx>
            <c:strRef>
              <c:f>'[figurer_8mars2024_arbeidsfil.xlsx]Figur 4.1'!$A$30</c:f>
              <c:strCache>
                <c:ptCount val="1"/>
                <c:pt idx="0">
                  <c:v>Finansiering fra Forskningsrådet, RFF og EU</c:v>
                </c:pt>
              </c:strCache>
            </c:strRef>
          </c:tx>
          <c:spPr>
            <a:solidFill>
              <a:schemeClr val="accent2"/>
            </a:solidFill>
            <a:ln>
              <a:noFill/>
            </a:ln>
            <a:effectLst/>
          </c:spPr>
          <c:cat>
            <c:numRef>
              <c:f>'[figurer_8mars2024_arbeidsfil.xlsx]Figur 4.1'!$B$28:$K$28</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4.1'!$B$30:$K$30</c:f>
              <c:numCache>
                <c:formatCode>General</c:formatCode>
                <c:ptCount val="10"/>
                <c:pt idx="0">
                  <c:v>3799963.6400408577</c:v>
                </c:pt>
                <c:pt idx="1">
                  <c:v>4161569.300208</c:v>
                </c:pt>
                <c:pt idx="2">
                  <c:v>4537121.7247901997</c:v>
                </c:pt>
                <c:pt idx="3">
                  <c:v>4791391.3984985845</c:v>
                </c:pt>
                <c:pt idx="4">
                  <c:v>4806530.1244550524</c:v>
                </c:pt>
                <c:pt idx="5">
                  <c:v>5085011.3545549503</c:v>
                </c:pt>
                <c:pt idx="6">
                  <c:v>4729015.1833792804</c:v>
                </c:pt>
                <c:pt idx="7">
                  <c:v>5313213.7010404021</c:v>
                </c:pt>
                <c:pt idx="8">
                  <c:v>5733159.2068107491</c:v>
                </c:pt>
                <c:pt idx="9">
                  <c:v>5642911.0889999997</c:v>
                </c:pt>
              </c:numCache>
            </c:numRef>
          </c:val>
          <c:extLst>
            <c:ext xmlns:c16="http://schemas.microsoft.com/office/drawing/2014/chart" uri="{C3380CC4-5D6E-409C-BE32-E72D297353CC}">
              <c16:uniqueId val="{00000001-A81E-4E2B-97B7-4DC7E647834C}"/>
            </c:ext>
          </c:extLst>
        </c:ser>
        <c:ser>
          <c:idx val="2"/>
          <c:order val="2"/>
          <c:tx>
            <c:strRef>
              <c:f>'[figurer_8mars2024_arbeidsfil.xlsx]Figur 4.1'!$A$31</c:f>
              <c:strCache>
                <c:ptCount val="1"/>
                <c:pt idx="0">
                  <c:v>Annen bidrags- og oppdragsfinansiering</c:v>
                </c:pt>
              </c:strCache>
            </c:strRef>
          </c:tx>
          <c:spPr>
            <a:solidFill>
              <a:schemeClr val="accent3"/>
            </a:solidFill>
            <a:ln>
              <a:noFill/>
            </a:ln>
            <a:effectLst/>
          </c:spPr>
          <c:cat>
            <c:numRef>
              <c:f>'[figurer_8mars2024_arbeidsfil.xlsx]Figur 4.1'!$B$28:$K$28</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4.1'!$B$31:$K$31</c:f>
              <c:numCache>
                <c:formatCode>General</c:formatCode>
                <c:ptCount val="10"/>
                <c:pt idx="0">
                  <c:v>3842451.4723758935</c:v>
                </c:pt>
                <c:pt idx="1">
                  <c:v>3986412.8512320002</c:v>
                </c:pt>
                <c:pt idx="2">
                  <c:v>3774336.4532880993</c:v>
                </c:pt>
                <c:pt idx="3">
                  <c:v>3777826.8907959363</c:v>
                </c:pt>
                <c:pt idx="4">
                  <c:v>3882306.0984459361</c:v>
                </c:pt>
                <c:pt idx="5">
                  <c:v>4354557.9586138502</c:v>
                </c:pt>
                <c:pt idx="6">
                  <c:v>4328754.9593625208</c:v>
                </c:pt>
                <c:pt idx="7">
                  <c:v>4593702.9821028486</c:v>
                </c:pt>
                <c:pt idx="8">
                  <c:v>5356572.9180179993</c:v>
                </c:pt>
                <c:pt idx="9">
                  <c:v>5403327.2740000002</c:v>
                </c:pt>
              </c:numCache>
            </c:numRef>
          </c:val>
          <c:extLst>
            <c:ext xmlns:c16="http://schemas.microsoft.com/office/drawing/2014/chart" uri="{C3380CC4-5D6E-409C-BE32-E72D297353CC}">
              <c16:uniqueId val="{00000002-A81E-4E2B-97B7-4DC7E647834C}"/>
            </c:ext>
          </c:extLst>
        </c:ser>
        <c:ser>
          <c:idx val="3"/>
          <c:order val="3"/>
          <c:tx>
            <c:strRef>
              <c:f>'[figurer_8mars2024_arbeidsfil.xlsx]Figur 4.1'!$A$32</c:f>
              <c:strCache>
                <c:ptCount val="1"/>
                <c:pt idx="0">
                  <c:v>Andre inntekter</c:v>
                </c:pt>
              </c:strCache>
            </c:strRef>
          </c:tx>
          <c:spPr>
            <a:solidFill>
              <a:schemeClr val="accent4"/>
            </a:solidFill>
            <a:ln>
              <a:noFill/>
            </a:ln>
            <a:effectLst/>
          </c:spPr>
          <c:cat>
            <c:numRef>
              <c:f>'[figurer_8mars2024_arbeidsfil.xlsx]Figur 4.1'!$B$28:$K$28</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'[figurer_8mars2024_arbeidsfil.xlsx]Figur 4.1'!$B$32:$K$32</c:f>
              <c:numCache>
                <c:formatCode>General</c:formatCode>
                <c:ptCount val="10"/>
                <c:pt idx="0">
                  <c:v>4457003.5590766082</c:v>
                </c:pt>
                <c:pt idx="1">
                  <c:v>4731348.0434400002</c:v>
                </c:pt>
                <c:pt idx="2">
                  <c:v>4590440.8944715997</c:v>
                </c:pt>
                <c:pt idx="3">
                  <c:v>5164809.4045956768</c:v>
                </c:pt>
                <c:pt idx="4">
                  <c:v>4925567.1047752686</c:v>
                </c:pt>
                <c:pt idx="5">
                  <c:v>4943992.043919825</c:v>
                </c:pt>
                <c:pt idx="6">
                  <c:v>4859352.3060235204</c:v>
                </c:pt>
                <c:pt idx="7">
                  <c:v>4821326.0763415201</c:v>
                </c:pt>
                <c:pt idx="8">
                  <c:v>4698761.4292099997</c:v>
                </c:pt>
                <c:pt idx="9">
                  <c:v>4790341.0489999996</c:v>
                </c:pt>
              </c:numCache>
            </c:numRef>
          </c:val>
          <c:extLst>
            <c:ext xmlns:c16="http://schemas.microsoft.com/office/drawing/2014/chart" uri="{C3380CC4-5D6E-409C-BE32-E72D297353CC}">
              <c16:uniqueId val="{00000003-A81E-4E2B-97B7-4DC7E647834C}"/>
            </c:ext>
          </c:extLst>
        </c:ser>
        <c:dLbls>
          <c:showLegendKey val="0"/>
          <c:showVal val="0"/>
          <c:showCatName val="0"/>
          <c:showSerName val="0"/>
          <c:showPercent val="0"/>
          <c:showBubbleSize val="0"/>
        </c:dLbls>
        <c:axId val="629753327"/>
        <c:axId val="582358735"/>
      </c:areaChart>
      <c:catAx>
        <c:axId val="62975332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582358735"/>
        <c:crosses val="autoZero"/>
        <c:auto val="1"/>
        <c:lblAlgn val="ctr"/>
        <c:lblOffset val="100"/>
        <c:noMultiLvlLbl val="0"/>
      </c:catAx>
      <c:valAx>
        <c:axId val="582358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629753327"/>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nb-N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'[figurer_8mars2024_arbeidsfil.xlsx]Figur 3.12'!$A$4:$A$24</c:f>
              <c:strCache>
                <c:ptCount val="21"/>
                <c:pt idx="0">
                  <c:v>SH</c:v>
                </c:pt>
                <c:pt idx="1">
                  <c:v>NIH</c:v>
                </c:pt>
                <c:pt idx="2">
                  <c:v>UiO</c:v>
                </c:pt>
                <c:pt idx="3">
                  <c:v>HINN</c:v>
                </c:pt>
                <c:pt idx="4">
                  <c:v>OsloMet</c:v>
                </c:pt>
                <c:pt idx="5">
                  <c:v>NMBU</c:v>
                </c:pt>
                <c:pt idx="6">
                  <c:v>UiB</c:v>
                </c:pt>
                <c:pt idx="7">
                  <c:v>USN</c:v>
                </c:pt>
                <c:pt idx="8">
                  <c:v>NTNU</c:v>
                </c:pt>
                <c:pt idx="9">
                  <c:v>HVO</c:v>
                </c:pt>
                <c:pt idx="10">
                  <c:v>UiT</c:v>
                </c:pt>
                <c:pt idx="11">
                  <c:v>UiS</c:v>
                </c:pt>
                <c:pt idx="12">
                  <c:v>HVL</c:v>
                </c:pt>
                <c:pt idx="13">
                  <c:v>NHH</c:v>
                </c:pt>
                <c:pt idx="14">
                  <c:v>UiA</c:v>
                </c:pt>
                <c:pt idx="15">
                  <c:v>HiØ</c:v>
                </c:pt>
                <c:pt idx="16">
                  <c:v>NU</c:v>
                </c:pt>
                <c:pt idx="17">
                  <c:v>KHiO</c:v>
                </c:pt>
                <c:pt idx="18">
                  <c:v>NMH</c:v>
                </c:pt>
                <c:pt idx="19">
                  <c:v>AHO</c:v>
                </c:pt>
                <c:pt idx="20">
                  <c:v>HiM</c:v>
                </c:pt>
              </c:strCache>
            </c:strRef>
          </c:cat>
          <c:val>
            <c:numRef>
              <c:f>'[figurer_8mars2024_arbeidsfil.xlsx]Figur 3.12'!$D$4:$D$24</c:f>
              <c:numCache>
                <c:formatCode>General</c:formatCode>
                <c:ptCount val="21"/>
                <c:pt idx="0">
                  <c:v>484.28453999999999</c:v>
                </c:pt>
                <c:pt idx="1">
                  <c:v>273.09109000000001</c:v>
                </c:pt>
                <c:pt idx="2">
                  <c:v>266.14222999999998</c:v>
                </c:pt>
                <c:pt idx="3">
                  <c:v>257.20690999999999</c:v>
                </c:pt>
                <c:pt idx="4">
                  <c:v>247.14028999999999</c:v>
                </c:pt>
                <c:pt idx="5">
                  <c:v>244.30412000000001</c:v>
                </c:pt>
                <c:pt idx="6">
                  <c:v>237.62334000000001</c:v>
                </c:pt>
                <c:pt idx="7">
                  <c:v>213.21181000000001</c:v>
                </c:pt>
                <c:pt idx="8">
                  <c:v>207.91398000000001</c:v>
                </c:pt>
                <c:pt idx="9">
                  <c:v>201.85477</c:v>
                </c:pt>
                <c:pt idx="10">
                  <c:v>196.67968999999999</c:v>
                </c:pt>
                <c:pt idx="11">
                  <c:v>183.80831000000001</c:v>
                </c:pt>
                <c:pt idx="12">
                  <c:v>165.56675000000001</c:v>
                </c:pt>
                <c:pt idx="13">
                  <c:v>162.28861000000001</c:v>
                </c:pt>
                <c:pt idx="14">
                  <c:v>161.05391</c:v>
                </c:pt>
                <c:pt idx="15">
                  <c:v>154.9068</c:v>
                </c:pt>
                <c:pt idx="16">
                  <c:v>130.99001000000001</c:v>
                </c:pt>
                <c:pt idx="17">
                  <c:v>127.57423</c:v>
                </c:pt>
                <c:pt idx="18">
                  <c:v>73.075770000000006</c:v>
                </c:pt>
                <c:pt idx="19">
                  <c:v>58.437570000000001</c:v>
                </c:pt>
                <c:pt idx="20">
                  <c:v>37.331240000000001</c:v>
                </c:pt>
              </c:numCache>
            </c:numRef>
          </c:val>
          <c:extLst>
            <c:ext xmlns:c16="http://schemas.microsoft.com/office/drawing/2014/chart" uri="{C3380CC4-5D6E-409C-BE32-E72D297353CC}">
              <c16:uniqueId val="{00000000-0EFE-455A-B7EA-68FB2A9F5937}"/>
            </c:ext>
          </c:extLst>
        </c:ser>
        <c:dLbls>
          <c:showLegendKey val="0"/>
          <c:showVal val="0"/>
          <c:showCatName val="0"/>
          <c:showSerName val="0"/>
          <c:showPercent val="0"/>
          <c:showBubbleSize val="0"/>
        </c:dLbls>
        <c:gapWidth val="50"/>
        <c:axId val="147671743"/>
        <c:axId val="147676319"/>
      </c:barChart>
      <c:catAx>
        <c:axId val="147671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6319"/>
        <c:crosses val="autoZero"/>
        <c:auto val="1"/>
        <c:lblAlgn val="ctr"/>
        <c:lblOffset val="100"/>
        <c:noMultiLvlLbl val="0"/>
      </c:catAx>
      <c:valAx>
        <c:axId val="1476763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crossAx val="147671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'[figurer_8mars2024_arbeidsfil.xlsx]Figur 4.2'!$A$4:$A$18</c:f>
              <c:strCache>
                <c:ptCount val="15"/>
                <c:pt idx="0">
                  <c:v>DMMH</c:v>
                </c:pt>
                <c:pt idx="1">
                  <c:v>LDH</c:v>
                </c:pt>
                <c:pt idx="2">
                  <c:v>MF</c:v>
                </c:pt>
                <c:pt idx="3">
                  <c:v>ATH</c:v>
                </c:pt>
                <c:pt idx="4">
                  <c:v>FIH</c:v>
                </c:pt>
                <c:pt idx="5">
                  <c:v>NLA</c:v>
                </c:pt>
                <c:pt idx="6">
                  <c:v>HLT</c:v>
                </c:pt>
                <c:pt idx="7">
                  <c:v>VID</c:v>
                </c:pt>
                <c:pt idx="8">
                  <c:v>RS</c:v>
                </c:pt>
                <c:pt idx="9">
                  <c:v>BDM</c:v>
                </c:pt>
                <c:pt idx="10">
                  <c:v>BAS</c:v>
                </c:pt>
                <c:pt idx="11">
                  <c:v>HGUT</c:v>
                </c:pt>
                <c:pt idx="12">
                  <c:v>HK</c:v>
                </c:pt>
                <c:pt idx="13">
                  <c:v>BI</c:v>
                </c:pt>
                <c:pt idx="14">
                  <c:v>HFDK</c:v>
                </c:pt>
              </c:strCache>
            </c:strRef>
          </c:cat>
          <c:val>
            <c:numRef>
              <c:f>'[figurer_8mars2024_arbeidsfil.xlsx]Figur 4.2'!$E$4:$E$18</c:f>
              <c:numCache>
                <c:formatCode>General</c:formatCode>
                <c:ptCount val="15"/>
                <c:pt idx="0">
                  <c:v>5.3236800000000004</c:v>
                </c:pt>
                <c:pt idx="1">
                  <c:v>7.2273199999999997</c:v>
                </c:pt>
                <c:pt idx="2">
                  <c:v>7.7310699999999999</c:v>
                </c:pt>
                <c:pt idx="3">
                  <c:v>10.823880000000001</c:v>
                </c:pt>
                <c:pt idx="4">
                  <c:v>11.29921</c:v>
                </c:pt>
                <c:pt idx="5">
                  <c:v>12.7713</c:v>
                </c:pt>
                <c:pt idx="6">
                  <c:v>14.27333</c:v>
                </c:pt>
                <c:pt idx="7">
                  <c:v>16.91506</c:v>
                </c:pt>
                <c:pt idx="8">
                  <c:v>24.125830000000001</c:v>
                </c:pt>
                <c:pt idx="9">
                  <c:v>27.273820000000001</c:v>
                </c:pt>
                <c:pt idx="10">
                  <c:v>33.343069999999997</c:v>
                </c:pt>
                <c:pt idx="11">
                  <c:v>45.375</c:v>
                </c:pt>
                <c:pt idx="12">
                  <c:v>61.342300000000002</c:v>
                </c:pt>
                <c:pt idx="13">
                  <c:v>63.431539999999998</c:v>
                </c:pt>
                <c:pt idx="14">
                  <c:v>87.7</c:v>
                </c:pt>
              </c:numCache>
            </c:numRef>
          </c:val>
          <c:extLst>
            <c:ext xmlns:c16="http://schemas.microsoft.com/office/drawing/2014/chart" uri="{C3380CC4-5D6E-409C-BE32-E72D297353CC}">
              <c16:uniqueId val="{00000000-A79A-4890-B8DC-9E107C8487B4}"/>
            </c:ext>
          </c:extLst>
        </c:ser>
        <c:dLbls>
          <c:showLegendKey val="0"/>
          <c:showVal val="0"/>
          <c:showCatName val="0"/>
          <c:showSerName val="0"/>
          <c:showPercent val="0"/>
          <c:showBubbleSize val="0"/>
        </c:dLbls>
        <c:gapWidth val="150"/>
        <c:axId val="128927744"/>
        <c:axId val="129878272"/>
      </c:barChart>
      <c:catAx>
        <c:axId val="128927744"/>
        <c:scaling>
          <c:orientation val="minMax"/>
        </c:scaling>
        <c:delete val="0"/>
        <c:axPos val="l"/>
        <c:numFmt formatCode="General" sourceLinked="1"/>
        <c:majorTickMark val="out"/>
        <c:minorTickMark val="none"/>
        <c:tickLblPos val="nextTo"/>
        <c:crossAx val="129878272"/>
        <c:crosses val="autoZero"/>
        <c:auto val="1"/>
        <c:lblAlgn val="ctr"/>
        <c:lblOffset val="100"/>
        <c:noMultiLvlLbl val="0"/>
      </c:catAx>
      <c:valAx>
        <c:axId val="129878272"/>
        <c:scaling>
          <c:orientation val="minMax"/>
        </c:scaling>
        <c:delete val="0"/>
        <c:axPos val="b"/>
        <c:majorGridlines/>
        <c:numFmt formatCode="General" sourceLinked="1"/>
        <c:majorTickMark val="out"/>
        <c:minorTickMark val="none"/>
        <c:tickLblPos val="nextTo"/>
        <c:crossAx val="12892774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Prosent!$C$3</c:f>
              <c:strCache>
                <c:ptCount val="1"/>
                <c:pt idx="0">
                  <c:v>19-24 år</c:v>
                </c:pt>
              </c:strCache>
            </c:strRef>
          </c:tx>
          <c:spPr>
            <a:solidFill>
              <a:schemeClr val="accent1"/>
            </a:solidFill>
            <a:ln>
              <a:noFill/>
            </a:ln>
            <a:effectLst/>
          </c:spPr>
          <c:invertIfNegative val="0"/>
          <c:cat>
            <c:strRef>
              <c:f>Prosent!$B$5:$B$35</c:f>
              <c:strCach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strCache>
            </c:strRef>
          </c:cat>
          <c:val>
            <c:numRef>
              <c:f>Prosent!$C$5:$C$35</c:f>
              <c:numCache>
                <c:formatCode>0.0</c:formatCode>
                <c:ptCount val="31"/>
                <c:pt idx="0">
                  <c:v>22.9</c:v>
                </c:pt>
                <c:pt idx="1">
                  <c:v>24.2</c:v>
                </c:pt>
                <c:pt idx="2">
                  <c:v>26</c:v>
                </c:pt>
                <c:pt idx="3">
                  <c:v>27.8</c:v>
                </c:pt>
                <c:pt idx="4">
                  <c:v>28.2</c:v>
                </c:pt>
                <c:pt idx="5">
                  <c:v>28.7</c:v>
                </c:pt>
                <c:pt idx="6">
                  <c:v>29.7</c:v>
                </c:pt>
                <c:pt idx="7">
                  <c:v>28.3</c:v>
                </c:pt>
                <c:pt idx="8">
                  <c:v>27.7</c:v>
                </c:pt>
                <c:pt idx="9">
                  <c:v>30.1</c:v>
                </c:pt>
                <c:pt idx="10">
                  <c:v>30.3</c:v>
                </c:pt>
                <c:pt idx="11">
                  <c:v>30.7</c:v>
                </c:pt>
                <c:pt idx="12">
                  <c:v>30.9</c:v>
                </c:pt>
                <c:pt idx="13">
                  <c:v>30.6</c:v>
                </c:pt>
                <c:pt idx="14">
                  <c:v>29.8</c:v>
                </c:pt>
                <c:pt idx="15">
                  <c:v>29.7</c:v>
                </c:pt>
                <c:pt idx="16">
                  <c:v>30.7</c:v>
                </c:pt>
                <c:pt idx="17">
                  <c:v>31.2</c:v>
                </c:pt>
                <c:pt idx="18">
                  <c:v>31.6</c:v>
                </c:pt>
                <c:pt idx="19">
                  <c:v>32.4</c:v>
                </c:pt>
                <c:pt idx="20">
                  <c:v>33.700000000000003</c:v>
                </c:pt>
                <c:pt idx="21">
                  <c:v>34</c:v>
                </c:pt>
                <c:pt idx="22">
                  <c:v>34.9</c:v>
                </c:pt>
                <c:pt idx="23">
                  <c:v>35.1</c:v>
                </c:pt>
                <c:pt idx="24">
                  <c:v>35.4</c:v>
                </c:pt>
                <c:pt idx="25">
                  <c:v>35.299999999999997</c:v>
                </c:pt>
                <c:pt idx="26">
                  <c:v>35.799999999999997</c:v>
                </c:pt>
                <c:pt idx="27">
                  <c:v>37.799999999999997</c:v>
                </c:pt>
                <c:pt idx="28">
                  <c:v>38.4</c:v>
                </c:pt>
                <c:pt idx="29">
                  <c:v>37.4</c:v>
                </c:pt>
                <c:pt idx="30">
                  <c:v>36.700000000000003</c:v>
                </c:pt>
              </c:numCache>
            </c:numRef>
          </c:val>
          <c:extLst>
            <c:ext xmlns:c16="http://schemas.microsoft.com/office/drawing/2014/chart" uri="{C3380CC4-5D6E-409C-BE32-E72D297353CC}">
              <c16:uniqueId val="{00000000-A3A1-4EC7-837B-634CA4B4E3C2}"/>
            </c:ext>
          </c:extLst>
        </c:ser>
        <c:ser>
          <c:idx val="1"/>
          <c:order val="1"/>
          <c:tx>
            <c:strRef>
              <c:f>Prosent!$D$3</c:f>
              <c:strCache>
                <c:ptCount val="1"/>
                <c:pt idx="0">
                  <c:v>25-29 år</c:v>
                </c:pt>
              </c:strCache>
            </c:strRef>
          </c:tx>
          <c:spPr>
            <a:solidFill>
              <a:schemeClr val="accent2"/>
            </a:solidFill>
            <a:ln>
              <a:noFill/>
            </a:ln>
            <a:effectLst/>
          </c:spPr>
          <c:invertIfNegative val="0"/>
          <c:cat>
            <c:strRef>
              <c:f>Prosent!$B$5:$B$35</c:f>
              <c:strCache>
                <c:ptCount val="3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pt idx="21">
                  <c:v>2014</c:v>
                </c:pt>
                <c:pt idx="22">
                  <c:v>2015</c:v>
                </c:pt>
                <c:pt idx="23">
                  <c:v>2016</c:v>
                </c:pt>
                <c:pt idx="24">
                  <c:v>2017</c:v>
                </c:pt>
                <c:pt idx="25">
                  <c:v>2018</c:v>
                </c:pt>
                <c:pt idx="26">
                  <c:v>2019</c:v>
                </c:pt>
                <c:pt idx="27">
                  <c:v>2020</c:v>
                </c:pt>
                <c:pt idx="28">
                  <c:v>2021</c:v>
                </c:pt>
                <c:pt idx="29">
                  <c:v>2022</c:v>
                </c:pt>
                <c:pt idx="30">
                  <c:v>2023</c:v>
                </c:pt>
              </c:strCache>
            </c:strRef>
          </c:cat>
          <c:val>
            <c:numRef>
              <c:f>Prosent!$D$5:$D$35</c:f>
              <c:numCache>
                <c:formatCode>0.0</c:formatCode>
                <c:ptCount val="31"/>
                <c:pt idx="0">
                  <c:v>11.4</c:v>
                </c:pt>
                <c:pt idx="1">
                  <c:v>11.6</c:v>
                </c:pt>
                <c:pt idx="2">
                  <c:v>12.1</c:v>
                </c:pt>
                <c:pt idx="3">
                  <c:v>12.5</c:v>
                </c:pt>
                <c:pt idx="4">
                  <c:v>12.8</c:v>
                </c:pt>
                <c:pt idx="5">
                  <c:v>13.4</c:v>
                </c:pt>
                <c:pt idx="6">
                  <c:v>14.4</c:v>
                </c:pt>
                <c:pt idx="7">
                  <c:v>14.4</c:v>
                </c:pt>
                <c:pt idx="8">
                  <c:v>15.4</c:v>
                </c:pt>
                <c:pt idx="9">
                  <c:v>16.3</c:v>
                </c:pt>
                <c:pt idx="10">
                  <c:v>16.5</c:v>
                </c:pt>
                <c:pt idx="11">
                  <c:v>16.600000000000001</c:v>
                </c:pt>
                <c:pt idx="12">
                  <c:v>16.3</c:v>
                </c:pt>
                <c:pt idx="13">
                  <c:v>15.7</c:v>
                </c:pt>
                <c:pt idx="14">
                  <c:v>15</c:v>
                </c:pt>
                <c:pt idx="15">
                  <c:v>14.5</c:v>
                </c:pt>
                <c:pt idx="16">
                  <c:v>14.8</c:v>
                </c:pt>
                <c:pt idx="17">
                  <c:v>14.9</c:v>
                </c:pt>
                <c:pt idx="18">
                  <c:v>15</c:v>
                </c:pt>
                <c:pt idx="19">
                  <c:v>15.1</c:v>
                </c:pt>
                <c:pt idx="20">
                  <c:v>15</c:v>
                </c:pt>
                <c:pt idx="21">
                  <c:v>15.2</c:v>
                </c:pt>
                <c:pt idx="22">
                  <c:v>15.6</c:v>
                </c:pt>
                <c:pt idx="23">
                  <c:v>15.9</c:v>
                </c:pt>
                <c:pt idx="24">
                  <c:v>15.9</c:v>
                </c:pt>
                <c:pt idx="25">
                  <c:v>15.9</c:v>
                </c:pt>
                <c:pt idx="26">
                  <c:v>15.9</c:v>
                </c:pt>
                <c:pt idx="27">
                  <c:v>16.7</c:v>
                </c:pt>
                <c:pt idx="28">
                  <c:v>17</c:v>
                </c:pt>
                <c:pt idx="29">
                  <c:v>16.600000000000001</c:v>
                </c:pt>
                <c:pt idx="30">
                  <c:v>17</c:v>
                </c:pt>
              </c:numCache>
            </c:numRef>
          </c:val>
          <c:extLst>
            <c:ext xmlns:c16="http://schemas.microsoft.com/office/drawing/2014/chart" uri="{C3380CC4-5D6E-409C-BE32-E72D297353CC}">
              <c16:uniqueId val="{00000001-A3A1-4EC7-837B-634CA4B4E3C2}"/>
            </c:ext>
          </c:extLst>
        </c:ser>
        <c:dLbls>
          <c:showLegendKey val="0"/>
          <c:showVal val="0"/>
          <c:showCatName val="0"/>
          <c:showSerName val="0"/>
          <c:showPercent val="0"/>
          <c:showBubbleSize val="0"/>
        </c:dLbls>
        <c:gapWidth val="219"/>
        <c:overlap val="-27"/>
        <c:axId val="821597983"/>
        <c:axId val="817255119"/>
      </c:barChart>
      <c:catAx>
        <c:axId val="82159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17255119"/>
        <c:crosses val="autoZero"/>
        <c:auto val="1"/>
        <c:lblAlgn val="ctr"/>
        <c:lblOffset val="100"/>
        <c:noMultiLvlLbl val="0"/>
      </c:catAx>
      <c:valAx>
        <c:axId val="817255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21597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'[Studieavgifter prisjustert.xlsx]Ark2'!$A$22</c:f>
              <c:strCache>
                <c:ptCount val="1"/>
                <c:pt idx="0">
                  <c:v>BI </c:v>
                </c:pt>
              </c:strCache>
            </c:strRef>
          </c:tx>
          <c:spPr>
            <a:ln w="28575" cap="rnd">
              <a:solidFill>
                <a:schemeClr val="accent1"/>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prisjustert.xlsx]Ark2'!$B$22:$K$22</c:f>
              <c:numCache>
                <c:formatCode>0</c:formatCode>
                <c:ptCount val="10"/>
                <c:pt idx="0">
                  <c:v>70161.389188000001</c:v>
                </c:pt>
                <c:pt idx="1">
                  <c:v>69206.400000000009</c:v>
                </c:pt>
                <c:pt idx="2">
                  <c:v>65675.662500000006</c:v>
                </c:pt>
                <c:pt idx="3">
                  <c:v>64370.046400000007</c:v>
                </c:pt>
                <c:pt idx="4">
                  <c:v>65158.674000000006</c:v>
                </c:pt>
                <c:pt idx="5">
                  <c:v>65735.735000000001</c:v>
                </c:pt>
                <c:pt idx="6">
                  <c:v>63644.90800000001</c:v>
                </c:pt>
                <c:pt idx="7">
                  <c:v>66418.6005</c:v>
                </c:pt>
                <c:pt idx="8">
                  <c:v>66488.625</c:v>
                </c:pt>
                <c:pt idx="9">
                  <c:v>63400</c:v>
                </c:pt>
              </c:numCache>
            </c:numRef>
          </c:val>
          <c:smooth val="0"/>
          <c:extLst>
            <c:ext xmlns:c16="http://schemas.microsoft.com/office/drawing/2014/chart" uri="{C3380CC4-5D6E-409C-BE32-E72D297353CC}">
              <c16:uniqueId val="{00000000-0FF3-4E41-A172-49BB63A67632}"/>
            </c:ext>
          </c:extLst>
        </c:ser>
        <c:ser>
          <c:idx val="1"/>
          <c:order val="1"/>
          <c:tx>
            <c:strRef>
              <c:f>'[Studieavgifter prisjustert.xlsx]Ark2'!$A$23</c:f>
              <c:strCache>
                <c:ptCount val="1"/>
                <c:pt idx="0">
                  <c:v>HK </c:v>
                </c:pt>
              </c:strCache>
            </c:strRef>
          </c:tx>
          <c:spPr>
            <a:ln w="28575" cap="rnd">
              <a:solidFill>
                <a:schemeClr val="accent2"/>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prisjustert.xlsx]Ark2'!$B$23:$K$23</c:f>
              <c:numCache>
                <c:formatCode>0</c:formatCode>
                <c:ptCount val="10"/>
                <c:pt idx="0">
                  <c:v>78633.707882400005</c:v>
                </c:pt>
                <c:pt idx="1">
                  <c:v>78667.200000000012</c:v>
                </c:pt>
                <c:pt idx="2">
                  <c:v>63674.118500000004</c:v>
                </c:pt>
                <c:pt idx="3">
                  <c:v>85621.989200000011</c:v>
                </c:pt>
                <c:pt idx="4">
                  <c:v>78788.194800000012</c:v>
                </c:pt>
                <c:pt idx="5">
                  <c:v>69127.792499999996</c:v>
                </c:pt>
                <c:pt idx="6">
                  <c:v>59948.652000000002</c:v>
                </c:pt>
                <c:pt idx="7">
                  <c:v>56148.833699999996</c:v>
                </c:pt>
                <c:pt idx="8">
                  <c:v>57729.012500000004</c:v>
                </c:pt>
                <c:pt idx="9">
                  <c:v>61300</c:v>
                </c:pt>
              </c:numCache>
            </c:numRef>
          </c:val>
          <c:smooth val="0"/>
          <c:extLst>
            <c:ext xmlns:c16="http://schemas.microsoft.com/office/drawing/2014/chart" uri="{C3380CC4-5D6E-409C-BE32-E72D297353CC}">
              <c16:uniqueId val="{00000001-0FF3-4E41-A172-49BB63A67632}"/>
            </c:ext>
          </c:extLst>
        </c:ser>
        <c:ser>
          <c:idx val="2"/>
          <c:order val="2"/>
          <c:tx>
            <c:strRef>
              <c:f>'[Studieavgifter prisjustert.xlsx]Ark2'!$A$24</c:f>
              <c:strCache>
                <c:ptCount val="1"/>
                <c:pt idx="0">
                  <c:v>VID </c:v>
                </c:pt>
              </c:strCache>
            </c:strRef>
          </c:tx>
          <c:spPr>
            <a:ln w="28575" cap="rnd">
              <a:solidFill>
                <a:schemeClr val="accent3"/>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prisjustert.xlsx]Ark2'!$B$24:$K$24</c:f>
              <c:numCache>
                <c:formatCode>0</c:formatCode>
                <c:ptCount val="10"/>
                <c:pt idx="0">
                  <c:v>16150.3575112</c:v>
                </c:pt>
                <c:pt idx="1">
                  <c:v>16070.4</c:v>
                </c:pt>
                <c:pt idx="2">
                  <c:v>15887.255499999999</c:v>
                </c:pt>
                <c:pt idx="3">
                  <c:v>15109.762800000002</c:v>
                </c:pt>
                <c:pt idx="4">
                  <c:v>14944.650000000001</c:v>
                </c:pt>
                <c:pt idx="5">
                  <c:v>14503.970000000001</c:v>
                </c:pt>
                <c:pt idx="6">
                  <c:v>14900.532000000001</c:v>
                </c:pt>
                <c:pt idx="7">
                  <c:v>15404.6502</c:v>
                </c:pt>
                <c:pt idx="8">
                  <c:v>15091.862499999999</c:v>
                </c:pt>
                <c:pt idx="9">
                  <c:v>16900</c:v>
                </c:pt>
              </c:numCache>
            </c:numRef>
          </c:val>
          <c:smooth val="0"/>
          <c:extLst>
            <c:ext xmlns:c16="http://schemas.microsoft.com/office/drawing/2014/chart" uri="{C3380CC4-5D6E-409C-BE32-E72D297353CC}">
              <c16:uniqueId val="{00000002-0FF3-4E41-A172-49BB63A67632}"/>
            </c:ext>
          </c:extLst>
        </c:ser>
        <c:ser>
          <c:idx val="3"/>
          <c:order val="3"/>
          <c:tx>
            <c:strRef>
              <c:f>'[Studieavgifter prisjustert.xlsx]Ark2'!$A$25</c:f>
              <c:strCache>
                <c:ptCount val="1"/>
                <c:pt idx="0">
                  <c:v>NLA </c:v>
                </c:pt>
              </c:strCache>
            </c:strRef>
          </c:tx>
          <c:spPr>
            <a:ln w="28575" cap="rnd">
              <a:solidFill>
                <a:schemeClr val="accent4"/>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prisjustert.xlsx]Ark2'!$B$25:$K$25</c:f>
              <c:numCache>
                <c:formatCode>0</c:formatCode>
                <c:ptCount val="10"/>
                <c:pt idx="0">
                  <c:v>12443.718082400002</c:v>
                </c:pt>
                <c:pt idx="1">
                  <c:v>11793.6</c:v>
                </c:pt>
                <c:pt idx="2">
                  <c:v>11508.877999999999</c:v>
                </c:pt>
                <c:pt idx="3">
                  <c:v>11178.767600000001</c:v>
                </c:pt>
                <c:pt idx="4">
                  <c:v>11357.934000000001</c:v>
                </c:pt>
                <c:pt idx="5">
                  <c:v>10994.945000000002</c:v>
                </c:pt>
                <c:pt idx="6">
                  <c:v>11781.816000000001</c:v>
                </c:pt>
                <c:pt idx="7">
                  <c:v>11386.0458</c:v>
                </c:pt>
                <c:pt idx="8">
                  <c:v>11609.124999999998</c:v>
                </c:pt>
                <c:pt idx="9">
                  <c:v>12800</c:v>
                </c:pt>
              </c:numCache>
            </c:numRef>
          </c:val>
          <c:smooth val="0"/>
          <c:extLst>
            <c:ext xmlns:c16="http://schemas.microsoft.com/office/drawing/2014/chart" uri="{C3380CC4-5D6E-409C-BE32-E72D297353CC}">
              <c16:uniqueId val="{00000003-0FF3-4E41-A172-49BB63A67632}"/>
            </c:ext>
          </c:extLst>
        </c:ser>
        <c:ser>
          <c:idx val="4"/>
          <c:order val="4"/>
          <c:tx>
            <c:strRef>
              <c:f>'[Studieavgifter prisjustert.xlsx]Ark2'!$A$26</c:f>
              <c:strCache>
                <c:ptCount val="1"/>
                <c:pt idx="0">
                  <c:v>LDH </c:v>
                </c:pt>
              </c:strCache>
            </c:strRef>
          </c:tx>
          <c:spPr>
            <a:ln w="28575" cap="rnd">
              <a:solidFill>
                <a:schemeClr val="accent5"/>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prisjustert.xlsx]Ark2'!$B$26:$K$26</c:f>
              <c:numCache>
                <c:formatCode>0</c:formatCode>
                <c:ptCount val="10"/>
                <c:pt idx="0">
                  <c:v>12708.478041600001</c:v>
                </c:pt>
                <c:pt idx="1">
                  <c:v>10108.800000000001</c:v>
                </c:pt>
                <c:pt idx="2">
                  <c:v>11008.492000000002</c:v>
                </c:pt>
                <c:pt idx="3">
                  <c:v>10933.080400000001</c:v>
                </c:pt>
                <c:pt idx="4">
                  <c:v>10162.361999999999</c:v>
                </c:pt>
                <c:pt idx="5">
                  <c:v>9240.4325000000008</c:v>
                </c:pt>
                <c:pt idx="6">
                  <c:v>8778.6080000000002</c:v>
                </c:pt>
                <c:pt idx="7">
                  <c:v>8706.9761999999992</c:v>
                </c:pt>
                <c:pt idx="8">
                  <c:v>7598.7</c:v>
                </c:pt>
                <c:pt idx="9">
                  <c:v>7200</c:v>
                </c:pt>
              </c:numCache>
            </c:numRef>
          </c:val>
          <c:smooth val="0"/>
          <c:extLst>
            <c:ext xmlns:c16="http://schemas.microsoft.com/office/drawing/2014/chart" uri="{C3380CC4-5D6E-409C-BE32-E72D297353CC}">
              <c16:uniqueId val="{00000004-0FF3-4E41-A172-49BB63A67632}"/>
            </c:ext>
          </c:extLst>
        </c:ser>
        <c:ser>
          <c:idx val="5"/>
          <c:order val="5"/>
          <c:tx>
            <c:strRef>
              <c:f>'[Studieavgifter prisjustert.xlsx]Ark2'!$A$27</c:f>
              <c:strCache>
                <c:ptCount val="1"/>
                <c:pt idx="0">
                  <c:v>DMMH </c:v>
                </c:pt>
              </c:strCache>
            </c:strRef>
          </c:tx>
          <c:spPr>
            <a:ln w="28575" cap="rnd">
              <a:solidFill>
                <a:schemeClr val="accent6"/>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prisjustert.xlsx]Ark2'!$B$27:$K$27</c:f>
              <c:numCache>
                <c:formatCode>0</c:formatCode>
                <c:ptCount val="10"/>
                <c:pt idx="0">
                  <c:v>4765.6792655999998</c:v>
                </c:pt>
                <c:pt idx="1">
                  <c:v>4924.8</c:v>
                </c:pt>
                <c:pt idx="2">
                  <c:v>4503.4740000000011</c:v>
                </c:pt>
                <c:pt idx="3">
                  <c:v>4790.9003999999995</c:v>
                </c:pt>
                <c:pt idx="4">
                  <c:v>4901.8451999999997</c:v>
                </c:pt>
                <c:pt idx="5">
                  <c:v>4795.6674999999996</c:v>
                </c:pt>
                <c:pt idx="6">
                  <c:v>5082.3520000000008</c:v>
                </c:pt>
                <c:pt idx="7">
                  <c:v>5023.2555000000002</c:v>
                </c:pt>
                <c:pt idx="8">
                  <c:v>5171.3374999999996</c:v>
                </c:pt>
                <c:pt idx="9">
                  <c:v>5300</c:v>
                </c:pt>
              </c:numCache>
            </c:numRef>
          </c:val>
          <c:smooth val="0"/>
          <c:extLst>
            <c:ext xmlns:c16="http://schemas.microsoft.com/office/drawing/2014/chart" uri="{C3380CC4-5D6E-409C-BE32-E72D297353CC}">
              <c16:uniqueId val="{00000005-0FF3-4E41-A172-49BB63A67632}"/>
            </c:ext>
          </c:extLst>
        </c:ser>
        <c:ser>
          <c:idx val="6"/>
          <c:order val="6"/>
          <c:tx>
            <c:strRef>
              <c:f>'[Studieavgifter prisjustert.xlsx]Ark2'!$A$28</c:f>
              <c:strCache>
                <c:ptCount val="1"/>
                <c:pt idx="0">
                  <c:v>MF </c:v>
                </c:pt>
              </c:strCache>
            </c:strRef>
          </c:tx>
          <c:spPr>
            <a:ln w="28575" cap="rnd">
              <a:solidFill>
                <a:schemeClr val="accent1">
                  <a:lumMod val="60000"/>
                </a:schemeClr>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prisjustert.xlsx]Ark2'!$B$28:$K$28</c:f>
              <c:numCache>
                <c:formatCode>0</c:formatCode>
                <c:ptCount val="10"/>
                <c:pt idx="0">
                  <c:v>4368.5393267999998</c:v>
                </c:pt>
                <c:pt idx="1">
                  <c:v>5054.4000000000005</c:v>
                </c:pt>
                <c:pt idx="2">
                  <c:v>4378.3774999999996</c:v>
                </c:pt>
                <c:pt idx="3">
                  <c:v>5282.2748000000001</c:v>
                </c:pt>
                <c:pt idx="4">
                  <c:v>5260.5168000000003</c:v>
                </c:pt>
                <c:pt idx="5">
                  <c:v>5380.5049999999992</c:v>
                </c:pt>
                <c:pt idx="6">
                  <c:v>5775.4000000000005</c:v>
                </c:pt>
                <c:pt idx="7">
                  <c:v>6362.7903000000006</c:v>
                </c:pt>
                <c:pt idx="8">
                  <c:v>6754.4000000000005</c:v>
                </c:pt>
                <c:pt idx="9">
                  <c:v>7700</c:v>
                </c:pt>
              </c:numCache>
            </c:numRef>
          </c:val>
          <c:smooth val="0"/>
          <c:extLst>
            <c:ext xmlns:c16="http://schemas.microsoft.com/office/drawing/2014/chart" uri="{C3380CC4-5D6E-409C-BE32-E72D297353CC}">
              <c16:uniqueId val="{00000006-0FF3-4E41-A172-49BB63A67632}"/>
            </c:ext>
          </c:extLst>
        </c:ser>
        <c:ser>
          <c:idx val="7"/>
          <c:order val="7"/>
          <c:tx>
            <c:strRef>
              <c:f>'[Studieavgifter prisjustert.xlsx]Ark2'!$A$29</c:f>
              <c:strCache>
                <c:ptCount val="1"/>
                <c:pt idx="0">
                  <c:v>ATH </c:v>
                </c:pt>
              </c:strCache>
            </c:strRef>
          </c:tx>
          <c:spPr>
            <a:ln w="28575" cap="rnd">
              <a:solidFill>
                <a:schemeClr val="accent2">
                  <a:lumMod val="60000"/>
                </a:schemeClr>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prisjustert.xlsx]Ark2'!$B$29:$K$29</c:f>
              <c:numCache>
                <c:formatCode>0</c:formatCode>
                <c:ptCount val="10"/>
                <c:pt idx="0">
                  <c:v>10458.018388400002</c:v>
                </c:pt>
                <c:pt idx="1">
                  <c:v>10368</c:v>
                </c:pt>
                <c:pt idx="2">
                  <c:v>9006.9480000000021</c:v>
                </c:pt>
                <c:pt idx="3">
                  <c:v>8844.7392000000018</c:v>
                </c:pt>
                <c:pt idx="4">
                  <c:v>9205.9044000000013</c:v>
                </c:pt>
                <c:pt idx="5">
                  <c:v>9474.3675000000003</c:v>
                </c:pt>
                <c:pt idx="6">
                  <c:v>9818.1800000000021</c:v>
                </c:pt>
                <c:pt idx="7">
                  <c:v>11051.162100000001</c:v>
                </c:pt>
                <c:pt idx="8">
                  <c:v>10975.9</c:v>
                </c:pt>
                <c:pt idx="9">
                  <c:v>10800</c:v>
                </c:pt>
              </c:numCache>
            </c:numRef>
          </c:val>
          <c:smooth val="0"/>
          <c:extLst>
            <c:ext xmlns:c16="http://schemas.microsoft.com/office/drawing/2014/chart" uri="{C3380CC4-5D6E-409C-BE32-E72D297353CC}">
              <c16:uniqueId val="{00000007-0FF3-4E41-A172-49BB63A67632}"/>
            </c:ext>
          </c:extLst>
        </c:ser>
        <c:ser>
          <c:idx val="8"/>
          <c:order val="8"/>
          <c:tx>
            <c:strRef>
              <c:f>'[Studieavgifter prisjustert.xlsx]Ark2'!$A$30</c:f>
              <c:strCache>
                <c:ptCount val="1"/>
                <c:pt idx="0">
                  <c:v>RS </c:v>
                </c:pt>
              </c:strCache>
            </c:strRef>
          </c:tx>
          <c:spPr>
            <a:ln w="28575" cap="rnd">
              <a:solidFill>
                <a:schemeClr val="accent3">
                  <a:lumMod val="60000"/>
                </a:schemeClr>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prisjustert.xlsx]Ark2'!$B$30:$K$30</c:f>
              <c:numCache>
                <c:formatCode>0</c:formatCode>
                <c:ptCount val="10"/>
                <c:pt idx="0">
                  <c:v>23696.0163484</c:v>
                </c:pt>
                <c:pt idx="1">
                  <c:v>26827.200000000001</c:v>
                </c:pt>
                <c:pt idx="2">
                  <c:v>25144.396500000003</c:v>
                </c:pt>
                <c:pt idx="3">
                  <c:v>25797.156000000003</c:v>
                </c:pt>
                <c:pt idx="4">
                  <c:v>24748.340400000001</c:v>
                </c:pt>
                <c:pt idx="5">
                  <c:v>25148.012500000001</c:v>
                </c:pt>
                <c:pt idx="6">
                  <c:v>24025.664000000004</c:v>
                </c:pt>
                <c:pt idx="7">
                  <c:v>26455.812299999998</c:v>
                </c:pt>
                <c:pt idx="8">
                  <c:v>23007.174999999999</c:v>
                </c:pt>
                <c:pt idx="9">
                  <c:v>24100</c:v>
                </c:pt>
              </c:numCache>
            </c:numRef>
          </c:val>
          <c:smooth val="0"/>
          <c:extLst>
            <c:ext xmlns:c16="http://schemas.microsoft.com/office/drawing/2014/chart" uri="{C3380CC4-5D6E-409C-BE32-E72D297353CC}">
              <c16:uniqueId val="{00000008-0FF3-4E41-A172-49BB63A67632}"/>
            </c:ext>
          </c:extLst>
        </c:ser>
        <c:ser>
          <c:idx val="9"/>
          <c:order val="9"/>
          <c:tx>
            <c:strRef>
              <c:f>'[Studieavgifter prisjustert.xlsx]Ark2'!$A$31</c:f>
              <c:strCache>
                <c:ptCount val="1"/>
                <c:pt idx="0">
                  <c:v>HLT </c:v>
                </c:pt>
              </c:strCache>
            </c:strRef>
          </c:tx>
          <c:spPr>
            <a:ln w="28575" cap="rnd">
              <a:solidFill>
                <a:schemeClr val="accent4">
                  <a:lumMod val="60000"/>
                </a:schemeClr>
              </a:solidFill>
              <a:round/>
            </a:ln>
            <a:effectLst/>
          </c:spPr>
          <c:marker>
            <c:symbol val="none"/>
          </c:marker>
          <c:cat>
            <c:numRef>
              <c:f>'[Studieavgifter prisjustert.xlsx]Ark2'!$B$21:$K$21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'[Studieavgifter prisjustert.xlsx]Ark2'!$B$31:$K$31</c:f>
              <c:numCache>
                <c:formatCode>0</c:formatCode>
                <c:ptCount val="10"/>
                <c:pt idx="0">
                  <c:v>11119.918286400001</c:v>
                </c:pt>
                <c:pt idx="1">
                  <c:v>11145.6</c:v>
                </c:pt>
                <c:pt idx="2">
                  <c:v>10758.299000000001</c:v>
                </c:pt>
                <c:pt idx="3">
                  <c:v>11670.142</c:v>
                </c:pt>
                <c:pt idx="4">
                  <c:v>10521.033600000001</c:v>
                </c:pt>
                <c:pt idx="5">
                  <c:v>11228.880000000001</c:v>
                </c:pt>
                <c:pt idx="6">
                  <c:v>12359.356</c:v>
                </c:pt>
                <c:pt idx="7">
                  <c:v>12837.208500000001</c:v>
                </c:pt>
                <c:pt idx="8">
                  <c:v>12664.5</c:v>
                </c:pt>
                <c:pt idx="9">
                  <c:v>14300</c:v>
                </c:pt>
              </c:numCache>
            </c:numRef>
          </c:val>
          <c:smooth val="0"/>
          <c:extLst>
            <c:ext xmlns:c16="http://schemas.microsoft.com/office/drawing/2014/chart" uri="{C3380CC4-5D6E-409C-BE32-E72D297353CC}">
              <c16:uniqueId val="{00000009-0FF3-4E41-A172-49BB63A67632}"/>
            </c:ext>
          </c:extLst>
        </c:ser>
        <c:dLbls>
          <c:showLegendKey val="0"/>
          <c:showVal val="0"/>
          <c:showCatName val="0"/>
          <c:showSerName val="0"/>
          <c:showPercent val="0"/>
          <c:showBubbleSize val="0"/>
        </c:dLbls>
        <c:smooth val="0"/>
        <c:axId val="834809488"/>
        <c:axId val="1519203215"/>
      </c:lineChart>
      <c:catAx>
        <c:axId val="83480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19203215"/>
        <c:crosses val="autoZero"/>
        <c:auto val="1"/>
        <c:lblAlgn val="ctr"/>
        <c:lblOffset val="100"/>
        <c:noMultiLvlLbl val="0"/>
      </c:catAx>
      <c:valAx>
        <c:axId val="15192032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3480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'Figur 4.4'!$B$3</c:f>
              <c:strCache>
                <c:ptCount val="1"/>
                <c:pt idx="0">
                  <c:v>Førstestillinger</c:v>
                </c:pt>
              </c:strCache>
            </c:strRef>
          </c:tx>
          <c:invertIfNegative val="0"/>
          <c:cat>
            <c:strRef>
              <c:f>'Figur 4.4'!$A$4:$A$39</c:f>
              <c:strCache>
                <c:ptCount val="36"/>
                <c:pt idx="0">
                  <c:v>LDH</c:v>
                </c:pt>
                <c:pt idx="1">
                  <c:v>BDM</c:v>
                </c:pt>
                <c:pt idx="2">
                  <c:v>RS</c:v>
                </c:pt>
                <c:pt idx="3">
                  <c:v>ATH</c:v>
                </c:pt>
                <c:pt idx="4">
                  <c:v>HLT</c:v>
                </c:pt>
                <c:pt idx="5">
                  <c:v>DMMH</c:v>
                </c:pt>
                <c:pt idx="6">
                  <c:v>HVO</c:v>
                </c:pt>
                <c:pt idx="7">
                  <c:v>VID</c:v>
                </c:pt>
                <c:pt idx="8">
                  <c:v>HK</c:v>
                </c:pt>
                <c:pt idx="9">
                  <c:v>SH</c:v>
                </c:pt>
                <c:pt idx="10">
                  <c:v>HiØ</c:v>
                </c:pt>
                <c:pt idx="11">
                  <c:v>HiM</c:v>
                </c:pt>
                <c:pt idx="12">
                  <c:v>NLA</c:v>
                </c:pt>
                <c:pt idx="13">
                  <c:v>NU</c:v>
                </c:pt>
                <c:pt idx="14">
                  <c:v>HVL</c:v>
                </c:pt>
                <c:pt idx="15">
                  <c:v>AHO</c:v>
                </c:pt>
                <c:pt idx="16">
                  <c:v>USN</c:v>
                </c:pt>
                <c:pt idx="17">
                  <c:v>HINN</c:v>
                </c:pt>
                <c:pt idx="18">
                  <c:v>HGUT</c:v>
                </c:pt>
                <c:pt idx="19">
                  <c:v>OsloMet</c:v>
                </c:pt>
                <c:pt idx="20">
                  <c:v>FIH</c:v>
                </c:pt>
                <c:pt idx="21">
                  <c:v>HFDK</c:v>
                </c:pt>
                <c:pt idx="22">
                  <c:v>UiT</c:v>
                </c:pt>
                <c:pt idx="23">
                  <c:v>UiA</c:v>
                </c:pt>
                <c:pt idx="24">
                  <c:v>UiS</c:v>
                </c:pt>
                <c:pt idx="25">
                  <c:v>KHiO</c:v>
                </c:pt>
                <c:pt idx="26">
                  <c:v>NTNU</c:v>
                </c:pt>
                <c:pt idx="27">
                  <c:v>NMH</c:v>
                </c:pt>
                <c:pt idx="28">
                  <c:v>NIH</c:v>
                </c:pt>
                <c:pt idx="29">
                  <c:v>BAS</c:v>
                </c:pt>
                <c:pt idx="30">
                  <c:v>BI</c:v>
                </c:pt>
                <c:pt idx="31">
                  <c:v>NMBU</c:v>
                </c:pt>
                <c:pt idx="32">
                  <c:v>UiO</c:v>
                </c:pt>
                <c:pt idx="33">
                  <c:v>MF</c:v>
                </c:pt>
                <c:pt idx="34">
                  <c:v>UiB</c:v>
                </c:pt>
                <c:pt idx="35">
                  <c:v>NHH</c:v>
                </c:pt>
              </c:strCache>
            </c:strRef>
          </c:cat>
          <c:val>
            <c:numRef>
              <c:f>'Figur 4.4'!$B$4:$B$39</c:f>
              <c:numCache>
                <c:formatCode>0.000</c:formatCode>
                <c:ptCount val="36"/>
                <c:pt idx="0">
                  <c:v>0.39406000000000002</c:v>
                </c:pt>
                <c:pt idx="1">
                  <c:v>0.39933999999999997</c:v>
                </c:pt>
                <c:pt idx="2">
                  <c:v>0.4582</c:v>
                </c:pt>
                <c:pt idx="3">
                  <c:v>0.46682000000000001</c:v>
                </c:pt>
                <c:pt idx="4">
                  <c:v>0.51537999999999995</c:v>
                </c:pt>
                <c:pt idx="5">
                  <c:v>0.51970000000000005</c:v>
                </c:pt>
                <c:pt idx="6">
                  <c:v>0.55635000000000001</c:v>
                </c:pt>
                <c:pt idx="7">
                  <c:v>0.57491000000000003</c:v>
                </c:pt>
                <c:pt idx="8">
                  <c:v>0.58382999999999996</c:v>
                </c:pt>
                <c:pt idx="9">
                  <c:v>0.60675000000000001</c:v>
                </c:pt>
                <c:pt idx="10">
                  <c:v>0.60938000000000003</c:v>
                </c:pt>
                <c:pt idx="11">
                  <c:v>0.61419999999999997</c:v>
                </c:pt>
                <c:pt idx="12">
                  <c:v>0.61607000000000001</c:v>
                </c:pt>
                <c:pt idx="13">
                  <c:v>0.62817999999999996</c:v>
                </c:pt>
                <c:pt idx="14">
                  <c:v>0.62868999999999997</c:v>
                </c:pt>
                <c:pt idx="15">
                  <c:v>0.66278999999999999</c:v>
                </c:pt>
                <c:pt idx="16">
                  <c:v>0.66818</c:v>
                </c:pt>
                <c:pt idx="17">
                  <c:v>0.67105999999999999</c:v>
                </c:pt>
                <c:pt idx="18">
                  <c:v>0.71428999999999998</c:v>
                </c:pt>
                <c:pt idx="19">
                  <c:v>0.71619999999999995</c:v>
                </c:pt>
                <c:pt idx="20">
                  <c:v>0.72182000000000002</c:v>
                </c:pt>
                <c:pt idx="21">
                  <c:v>0.72902</c:v>
                </c:pt>
                <c:pt idx="22">
                  <c:v>0.73314000000000001</c:v>
                </c:pt>
                <c:pt idx="23">
                  <c:v>0.73997999999999997</c:v>
                </c:pt>
                <c:pt idx="24">
                  <c:v>0.76912999999999998</c:v>
                </c:pt>
                <c:pt idx="25">
                  <c:v>0.77037999999999995</c:v>
                </c:pt>
                <c:pt idx="26">
                  <c:v>0.79251000000000005</c:v>
                </c:pt>
                <c:pt idx="27">
                  <c:v>0.80427000000000004</c:v>
                </c:pt>
                <c:pt idx="28">
                  <c:v>0.80686999999999998</c:v>
                </c:pt>
                <c:pt idx="29">
                  <c:v>0.84662999999999999</c:v>
                </c:pt>
                <c:pt idx="30">
                  <c:v>0.86699000000000004</c:v>
                </c:pt>
                <c:pt idx="31">
                  <c:v>0.89568000000000003</c:v>
                </c:pt>
                <c:pt idx="32">
                  <c:v>0.90573000000000004</c:v>
                </c:pt>
                <c:pt idx="33">
                  <c:v>0.90720000000000001</c:v>
                </c:pt>
                <c:pt idx="34">
                  <c:v>0.91139999999999999</c:v>
                </c:pt>
                <c:pt idx="35">
                  <c:v>0.95331999999999995</c:v>
                </c:pt>
              </c:numCache>
            </c:numRef>
          </c:val>
          <c:extLst>
            <c:ext xmlns:c16="http://schemas.microsoft.com/office/drawing/2014/chart" uri="{C3380CC4-5D6E-409C-BE32-E72D297353CC}">
              <c16:uniqueId val="{00000000-3D0C-4433-B448-33153A522467}"/>
            </c:ext>
          </c:extLst>
        </c:ser>
        <c:ser>
          <c:idx val="1"/>
          <c:order val="1"/>
          <c:tx>
            <c:strRef>
              <c:f>'Figur 4.4'!$C$3</c:f>
              <c:strCache>
                <c:ptCount val="1"/>
                <c:pt idx="0">
                  <c:v>Øvrige UF-stillinger</c:v>
                </c:pt>
              </c:strCache>
            </c:strRef>
          </c:tx>
          <c:invertIfNegative val="0"/>
          <c:cat>
            <c:strRef>
              <c:f>'Figur 4.4'!$A$4:$A$39</c:f>
              <c:strCache>
                <c:ptCount val="36"/>
                <c:pt idx="0">
                  <c:v>LDH</c:v>
                </c:pt>
                <c:pt idx="1">
                  <c:v>BDM</c:v>
                </c:pt>
                <c:pt idx="2">
                  <c:v>RS</c:v>
                </c:pt>
                <c:pt idx="3">
                  <c:v>ATH</c:v>
                </c:pt>
                <c:pt idx="4">
                  <c:v>HLT</c:v>
                </c:pt>
                <c:pt idx="5">
                  <c:v>DMMH</c:v>
                </c:pt>
                <c:pt idx="6">
                  <c:v>HVO</c:v>
                </c:pt>
                <c:pt idx="7">
                  <c:v>VID</c:v>
                </c:pt>
                <c:pt idx="8">
                  <c:v>HK</c:v>
                </c:pt>
                <c:pt idx="9">
                  <c:v>SH</c:v>
                </c:pt>
                <c:pt idx="10">
                  <c:v>HiØ</c:v>
                </c:pt>
                <c:pt idx="11">
                  <c:v>HiM</c:v>
                </c:pt>
                <c:pt idx="12">
                  <c:v>NLA</c:v>
                </c:pt>
                <c:pt idx="13">
                  <c:v>NU</c:v>
                </c:pt>
                <c:pt idx="14">
                  <c:v>HVL</c:v>
                </c:pt>
                <c:pt idx="15">
                  <c:v>AHO</c:v>
                </c:pt>
                <c:pt idx="16">
                  <c:v>USN</c:v>
                </c:pt>
                <c:pt idx="17">
                  <c:v>HINN</c:v>
                </c:pt>
                <c:pt idx="18">
                  <c:v>HGUT</c:v>
                </c:pt>
                <c:pt idx="19">
                  <c:v>OsloMet</c:v>
                </c:pt>
                <c:pt idx="20">
                  <c:v>FIH</c:v>
                </c:pt>
                <c:pt idx="21">
                  <c:v>HFDK</c:v>
                </c:pt>
                <c:pt idx="22">
                  <c:v>UiT</c:v>
                </c:pt>
                <c:pt idx="23">
                  <c:v>UiA</c:v>
                </c:pt>
                <c:pt idx="24">
                  <c:v>UiS</c:v>
                </c:pt>
                <c:pt idx="25">
                  <c:v>KHiO</c:v>
                </c:pt>
                <c:pt idx="26">
                  <c:v>NTNU</c:v>
                </c:pt>
                <c:pt idx="27">
                  <c:v>NMH</c:v>
                </c:pt>
                <c:pt idx="28">
                  <c:v>NIH</c:v>
                </c:pt>
                <c:pt idx="29">
                  <c:v>BAS</c:v>
                </c:pt>
                <c:pt idx="30">
                  <c:v>BI</c:v>
                </c:pt>
                <c:pt idx="31">
                  <c:v>NMBU</c:v>
                </c:pt>
                <c:pt idx="32">
                  <c:v>UiO</c:v>
                </c:pt>
                <c:pt idx="33">
                  <c:v>MF</c:v>
                </c:pt>
                <c:pt idx="34">
                  <c:v>UiB</c:v>
                </c:pt>
                <c:pt idx="35">
                  <c:v>NHH</c:v>
                </c:pt>
              </c:strCache>
            </c:strRef>
          </c:cat>
          <c:val>
            <c:numRef>
              <c:f>'Figur 4.4'!$C$4:$C$39</c:f>
              <c:numCache>
                <c:formatCode>0.000</c:formatCode>
                <c:ptCount val="36"/>
                <c:pt idx="0">
                  <c:v>0.60594000000000003</c:v>
                </c:pt>
                <c:pt idx="1">
                  <c:v>0.60065999999999997</c:v>
                </c:pt>
                <c:pt idx="2">
                  <c:v>0.54179999999999995</c:v>
                </c:pt>
                <c:pt idx="3">
                  <c:v>0.53317999999999999</c:v>
                </c:pt>
                <c:pt idx="4">
                  <c:v>0.48462</c:v>
                </c:pt>
                <c:pt idx="5">
                  <c:v>0.4803</c:v>
                </c:pt>
                <c:pt idx="6">
                  <c:v>0.44364999999999999</c:v>
                </c:pt>
                <c:pt idx="7">
                  <c:v>0.42509000000000002</c:v>
                </c:pt>
                <c:pt idx="8">
                  <c:v>0.41616999999999998</c:v>
                </c:pt>
                <c:pt idx="9">
                  <c:v>0.39324999999999999</c:v>
                </c:pt>
                <c:pt idx="10">
                  <c:v>0.39062000000000002</c:v>
                </c:pt>
                <c:pt idx="11">
                  <c:v>0.38579999999999998</c:v>
                </c:pt>
                <c:pt idx="12">
                  <c:v>0.38392999999999999</c:v>
                </c:pt>
                <c:pt idx="13">
                  <c:v>0.37181999999999998</c:v>
                </c:pt>
                <c:pt idx="14">
                  <c:v>0.37130999999999997</c:v>
                </c:pt>
                <c:pt idx="15">
                  <c:v>0.33721000000000001</c:v>
                </c:pt>
                <c:pt idx="16">
                  <c:v>0.33182</c:v>
                </c:pt>
                <c:pt idx="17">
                  <c:v>0.32894000000000001</c:v>
                </c:pt>
                <c:pt idx="18">
                  <c:v>0.28571000000000002</c:v>
                </c:pt>
                <c:pt idx="19">
                  <c:v>0.2838</c:v>
                </c:pt>
                <c:pt idx="20">
                  <c:v>0.27817999999999998</c:v>
                </c:pt>
                <c:pt idx="21">
                  <c:v>0.27098</c:v>
                </c:pt>
                <c:pt idx="22">
                  <c:v>0.26685999999999999</c:v>
                </c:pt>
                <c:pt idx="23">
                  <c:v>0.26001999999999997</c:v>
                </c:pt>
                <c:pt idx="24">
                  <c:v>0.23086999999999999</c:v>
                </c:pt>
                <c:pt idx="25">
                  <c:v>0.22961999999999999</c:v>
                </c:pt>
                <c:pt idx="26">
                  <c:v>0.20749000000000001</c:v>
                </c:pt>
                <c:pt idx="27">
                  <c:v>0.19572999999999999</c:v>
                </c:pt>
                <c:pt idx="28">
                  <c:v>0.19313</c:v>
                </c:pt>
                <c:pt idx="29">
                  <c:v>0.15337000000000001</c:v>
                </c:pt>
                <c:pt idx="30">
                  <c:v>0.13300999999999999</c:v>
                </c:pt>
                <c:pt idx="31">
                  <c:v>0.10432</c:v>
                </c:pt>
                <c:pt idx="32">
                  <c:v>9.4270000000000007E-2</c:v>
                </c:pt>
                <c:pt idx="33">
                  <c:v>9.2799999999999994E-2</c:v>
                </c:pt>
                <c:pt idx="34">
                  <c:v>8.8599999999999998E-2</c:v>
                </c:pt>
                <c:pt idx="35">
                  <c:v>4.6679999999999999E-2</c:v>
                </c:pt>
              </c:numCache>
            </c:numRef>
          </c:val>
          <c:extLst>
            <c:ext xmlns:c16="http://schemas.microsoft.com/office/drawing/2014/chart" uri="{C3380CC4-5D6E-409C-BE32-E72D297353CC}">
              <c16:uniqueId val="{00000001-3D0C-4433-B448-33153A522467}"/>
            </c:ext>
          </c:extLst>
        </c:ser>
        <c:dLbls>
          <c:showLegendKey val="0"/>
          <c:showVal val="0"/>
          <c:showCatName val="0"/>
          <c:showSerName val="0"/>
          <c:showPercent val="0"/>
          <c:showBubbleSize val="0"/>
        </c:dLbls>
        <c:gapWidth val="150"/>
        <c:overlap val="100"/>
        <c:axId val="130416640"/>
        <c:axId val="129882880"/>
      </c:barChart>
      <c:catAx>
        <c:axId val="130416640"/>
        <c:scaling>
          <c:orientation val="minMax"/>
        </c:scaling>
        <c:delete val="0"/>
        <c:axPos val="l"/>
        <c:numFmt formatCode="General" sourceLinked="1"/>
        <c:majorTickMark val="out"/>
        <c:minorTickMark val="none"/>
        <c:tickLblPos val="nextTo"/>
        <c:crossAx val="129882880"/>
        <c:crosses val="autoZero"/>
        <c:auto val="1"/>
        <c:lblAlgn val="ctr"/>
        <c:lblOffset val="100"/>
        <c:noMultiLvlLbl val="0"/>
      </c:catAx>
      <c:valAx>
        <c:axId val="129882880"/>
        <c:scaling>
          <c:orientation val="minMax"/>
        </c:scaling>
        <c:delete val="0"/>
        <c:axPos val="b"/>
        <c:majorGridlines/>
        <c:numFmt formatCode="0%" sourceLinked="1"/>
        <c:majorTickMark val="out"/>
        <c:minorTickMark val="none"/>
        <c:tickLblPos val="nextTo"/>
        <c:crossAx val="130416640"/>
        <c:crosses val="autoZero"/>
        <c:crossBetween val="between"/>
      </c:valAx>
    </c:plotArea>
    <c:legend>
      <c:legendPos val="b"/>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'[tabellar_laga_26_januar.xlsx]Figur 4.3'!$A$4</c:f>
              <c:strCache>
                <c:ptCount val="1"/>
                <c:pt idx="0">
                  <c:v>Professor</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4.3'!$B$4:$K$4</c:f>
              <c:numCache>
                <c:formatCode>0.0</c:formatCode>
                <c:ptCount val="10"/>
                <c:pt idx="0">
                  <c:v>3524.8072999999999</c:v>
                </c:pt>
                <c:pt idx="1">
                  <c:v>3635.8040000000001</c:v>
                </c:pt>
                <c:pt idx="2">
                  <c:v>3758.3760200000002</c:v>
                </c:pt>
                <c:pt idx="3">
                  <c:v>3891.8800200000001</c:v>
                </c:pt>
                <c:pt idx="4">
                  <c:v>3998.0660200000002</c:v>
                </c:pt>
                <c:pt idx="5">
                  <c:v>4126.5749999999998</c:v>
                </c:pt>
                <c:pt idx="6">
                  <c:v>4291.66049999999</c:v>
                </c:pt>
                <c:pt idx="7">
                  <c:v>4419.5177999999996</c:v>
                </c:pt>
                <c:pt idx="8">
                  <c:v>4493.5607999999902</c:v>
                </c:pt>
                <c:pt idx="9">
                  <c:v>4621.2085999999899</c:v>
                </c:pt>
              </c:numCache>
            </c:numRef>
          </c:val>
          <c:extLst>
            <c:ext xmlns:c16="http://schemas.microsoft.com/office/drawing/2014/chart" uri="{C3380CC4-5D6E-409C-BE32-E72D297353CC}">
              <c16:uniqueId val="{00000000-B0A4-4757-9E39-AD690D776266}"/>
            </c:ext>
          </c:extLst>
        </c:ser>
        <c:ser>
          <c:idx val="1"/>
          <c:order val="1"/>
          <c:tx>
            <c:strRef>
              <c:f>'[tabellar_laga_26_januar.xlsx]Figur 4.3'!$A$5</c:f>
              <c:strCache>
                <c:ptCount val="1"/>
                <c:pt idx="0">
                  <c:v>Førsteamanuensis</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4.3'!$B$5:$K$5</c:f>
              <c:numCache>
                <c:formatCode>0.0</c:formatCode>
                <c:ptCount val="10"/>
                <c:pt idx="0">
                  <c:v>3683.71629999999</c:v>
                </c:pt>
                <c:pt idx="1">
                  <c:v>3910.9250099999999</c:v>
                </c:pt>
                <c:pt idx="2">
                  <c:v>4131.6116199999897</c:v>
                </c:pt>
                <c:pt idx="3">
                  <c:v>4350.90001999999</c:v>
                </c:pt>
                <c:pt idx="4">
                  <c:v>4602.2479199999898</c:v>
                </c:pt>
                <c:pt idx="5">
                  <c:v>4859.0649999999896</c:v>
                </c:pt>
                <c:pt idx="6">
                  <c:v>4973.0490999999902</c:v>
                </c:pt>
                <c:pt idx="7">
                  <c:v>5249.8547999999901</c:v>
                </c:pt>
                <c:pt idx="8">
                  <c:v>5498.1451999999799</c:v>
                </c:pt>
                <c:pt idx="9">
                  <c:v>5596.1758999999702</c:v>
                </c:pt>
              </c:numCache>
            </c:numRef>
          </c:val>
          <c:extLst>
            <c:ext xmlns:c16="http://schemas.microsoft.com/office/drawing/2014/chart" uri="{C3380CC4-5D6E-409C-BE32-E72D297353CC}">
              <c16:uniqueId val="{00000001-B0A4-4757-9E39-AD690D776266}"/>
            </c:ext>
          </c:extLst>
        </c:ser>
        <c:ser>
          <c:idx val="2"/>
          <c:order val="2"/>
          <c:tx>
            <c:strRef>
              <c:f>'[tabellar_laga_26_januar.xlsx]Figur 4.3'!$A$6</c:f>
              <c:strCache>
                <c:ptCount val="1"/>
                <c:pt idx="0">
                  <c:v>Dosent</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4.3'!$B$6:$K$6</c:f>
              <c:numCache>
                <c:formatCode>0.0</c:formatCode>
                <c:ptCount val="10"/>
                <c:pt idx="0">
                  <c:v>129.69999999999999</c:v>
                </c:pt>
                <c:pt idx="1">
                  <c:v>158.13</c:v>
                </c:pt>
                <c:pt idx="2">
                  <c:v>167.34</c:v>
                </c:pt>
                <c:pt idx="3">
                  <c:v>177.6</c:v>
                </c:pt>
                <c:pt idx="4">
                  <c:v>186.04</c:v>
                </c:pt>
                <c:pt idx="5">
                  <c:v>189.4</c:v>
                </c:pt>
                <c:pt idx="6">
                  <c:v>192.75</c:v>
                </c:pt>
                <c:pt idx="7">
                  <c:v>193.96100000000001</c:v>
                </c:pt>
                <c:pt idx="8">
                  <c:v>202.4</c:v>
                </c:pt>
                <c:pt idx="9">
                  <c:v>201.54</c:v>
                </c:pt>
              </c:numCache>
            </c:numRef>
          </c:val>
          <c:extLst>
            <c:ext xmlns:c16="http://schemas.microsoft.com/office/drawing/2014/chart" uri="{C3380CC4-5D6E-409C-BE32-E72D297353CC}">
              <c16:uniqueId val="{00000002-B0A4-4757-9E39-AD690D776266}"/>
            </c:ext>
          </c:extLst>
        </c:ser>
        <c:ser>
          <c:idx val="3"/>
          <c:order val="3"/>
          <c:tx>
            <c:strRef>
              <c:f>'[tabellar_laga_26_januar.xlsx]Figur 4.3'!$A$7</c:f>
              <c:strCache>
                <c:ptCount val="1"/>
                <c:pt idx="0">
                  <c:v>Førstelektor</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4.3'!$B$7:$K$7</c:f>
              <c:numCache>
                <c:formatCode>0.0</c:formatCode>
                <c:ptCount val="10"/>
                <c:pt idx="0">
                  <c:v>926.22</c:v>
                </c:pt>
                <c:pt idx="1">
                  <c:v>936.53099999999995</c:v>
                </c:pt>
                <c:pt idx="2">
                  <c:v>937.73500000000001</c:v>
                </c:pt>
                <c:pt idx="3">
                  <c:v>933.15840000000003</c:v>
                </c:pt>
                <c:pt idx="4">
                  <c:v>966.84199999999998</c:v>
                </c:pt>
                <c:pt idx="5">
                  <c:v>997.63800000000106</c:v>
                </c:pt>
                <c:pt idx="6">
                  <c:v>977.51700000000096</c:v>
                </c:pt>
                <c:pt idx="7">
                  <c:v>983.28070000000105</c:v>
                </c:pt>
                <c:pt idx="8">
                  <c:v>990.08260000000098</c:v>
                </c:pt>
                <c:pt idx="9">
                  <c:v>999.83159999999998</c:v>
                </c:pt>
              </c:numCache>
            </c:numRef>
          </c:val>
          <c:extLst>
            <c:ext xmlns:c16="http://schemas.microsoft.com/office/drawing/2014/chart" uri="{C3380CC4-5D6E-409C-BE32-E72D297353CC}">
              <c16:uniqueId val="{00000003-B0A4-4757-9E39-AD690D776266}"/>
            </c:ext>
          </c:extLst>
        </c:ser>
        <c:ser>
          <c:idx val="4"/>
          <c:order val="4"/>
          <c:tx>
            <c:strRef>
              <c:f>'[tabellar_laga_26_januar.xlsx]Figur 4.3'!$A$8</c:f>
              <c:strCache>
                <c:ptCount val="1"/>
                <c:pt idx="0">
                  <c:v>Forsker</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4.3'!$B$8:$K$8</c:f>
              <c:numCache>
                <c:formatCode>0.0</c:formatCode>
                <c:ptCount val="10"/>
                <c:pt idx="0">
                  <c:v>823.19670000000099</c:v>
                </c:pt>
                <c:pt idx="1">
                  <c:v>918.58</c:v>
                </c:pt>
                <c:pt idx="2">
                  <c:v>1038.6300000000001</c:v>
                </c:pt>
                <c:pt idx="3">
                  <c:v>1123.30601</c:v>
                </c:pt>
                <c:pt idx="4">
                  <c:v>1175.046</c:v>
                </c:pt>
                <c:pt idx="5">
                  <c:v>1197.31</c:v>
                </c:pt>
                <c:pt idx="6">
                  <c:v>1260.3137999999999</c:v>
                </c:pt>
                <c:pt idx="7">
                  <c:v>1329.3662999999999</c:v>
                </c:pt>
                <c:pt idx="8">
                  <c:v>1335.5550000000001</c:v>
                </c:pt>
                <c:pt idx="9">
                  <c:v>1355.825</c:v>
                </c:pt>
              </c:numCache>
            </c:numRef>
          </c:val>
          <c:extLst>
            <c:ext xmlns:c16="http://schemas.microsoft.com/office/drawing/2014/chart" uri="{C3380CC4-5D6E-409C-BE32-E72D297353CC}">
              <c16:uniqueId val="{00000004-B0A4-4757-9E39-AD690D776266}"/>
            </c:ext>
          </c:extLst>
        </c:ser>
        <c:ser>
          <c:idx val="5"/>
          <c:order val="5"/>
          <c:tx>
            <c:strRef>
              <c:f>'[tabellar_laga_26_januar.xlsx]Figur 4.3'!$A$9</c:f>
              <c:strCache>
                <c:ptCount val="1"/>
                <c:pt idx="0">
                  <c:v>Postdoktor</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4.3'!$B$9:$K$9</c:f>
              <c:numCache>
                <c:formatCode>0.0</c:formatCode>
                <c:ptCount val="10"/>
                <c:pt idx="0">
                  <c:v>1291.99</c:v>
                </c:pt>
                <c:pt idx="1">
                  <c:v>1374.2831000000001</c:v>
                </c:pt>
                <c:pt idx="2">
                  <c:v>1461.037</c:v>
                </c:pt>
                <c:pt idx="3">
                  <c:v>1552.1020000000001</c:v>
                </c:pt>
                <c:pt idx="4">
                  <c:v>1554.982</c:v>
                </c:pt>
                <c:pt idx="5">
                  <c:v>1611.0717</c:v>
                </c:pt>
                <c:pt idx="6">
                  <c:v>1649.5567000000001</c:v>
                </c:pt>
                <c:pt idx="7">
                  <c:v>1712.671</c:v>
                </c:pt>
                <c:pt idx="8">
                  <c:v>1817.1</c:v>
                </c:pt>
                <c:pt idx="9">
                  <c:v>1787.74</c:v>
                </c:pt>
              </c:numCache>
            </c:numRef>
          </c:val>
          <c:extLst>
            <c:ext xmlns:c16="http://schemas.microsoft.com/office/drawing/2014/chart" uri="{C3380CC4-5D6E-409C-BE32-E72D297353CC}">
              <c16:uniqueId val="{00000005-B0A4-4757-9E39-AD690D776266}"/>
            </c:ext>
          </c:extLst>
        </c:ser>
        <c:ser>
          <c:idx val="6"/>
          <c:order val="6"/>
          <c:tx>
            <c:strRef>
              <c:f>'[tabellar_laga_26_januar.xlsx]Figur 4.3'!$A$10</c:f>
              <c:strCache>
                <c:ptCount val="1"/>
                <c:pt idx="0">
                  <c:v>Professor II</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4.3'!$B$10:$K$10</c:f>
              <c:numCache>
                <c:formatCode>0.0</c:formatCode>
                <c:ptCount val="10"/>
                <c:pt idx="0">
                  <c:v>265.49</c:v>
                </c:pt>
                <c:pt idx="1">
                  <c:v>277.79999999999899</c:v>
                </c:pt>
                <c:pt idx="2">
                  <c:v>285.58253999999903</c:v>
                </c:pt>
                <c:pt idx="3">
                  <c:v>274.30254999999897</c:v>
                </c:pt>
                <c:pt idx="4">
                  <c:v>268.450029999999</c:v>
                </c:pt>
                <c:pt idx="5">
                  <c:v>253.83099999999999</c:v>
                </c:pt>
                <c:pt idx="6">
                  <c:v>256.05099999999999</c:v>
                </c:pt>
                <c:pt idx="7">
                  <c:v>236.61499999999899</c:v>
                </c:pt>
                <c:pt idx="8">
                  <c:v>264.43</c:v>
                </c:pt>
                <c:pt idx="9">
                  <c:v>242.509999999999</c:v>
                </c:pt>
              </c:numCache>
            </c:numRef>
          </c:val>
          <c:extLst>
            <c:ext xmlns:c16="http://schemas.microsoft.com/office/drawing/2014/chart" uri="{C3380CC4-5D6E-409C-BE32-E72D297353CC}">
              <c16:uniqueId val="{00000006-B0A4-4757-9E39-AD690D776266}"/>
            </c:ext>
          </c:extLst>
        </c:ser>
        <c:ser>
          <c:idx val="7"/>
          <c:order val="7"/>
          <c:tx>
            <c:strRef>
              <c:f>'[tabellar_laga_26_januar.xlsx]Figur 4.3'!$A$11</c:f>
              <c:strCache>
                <c:ptCount val="1"/>
                <c:pt idx="0">
                  <c:v>Øvrige UF-stillinger</c:v>
                </c:pt>
              </c:strCache>
            </c:strRef>
          </c:tx>
          <c:invertIfNegative val="0"/>
          <c:cat>
            <c:numRef>
              <c:f>'[tabellar_laga_26_januar.xlsx]Figur 4.3'!$B$3:$K$3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4.3'!$B$11:$K$11</c:f>
              <c:numCache>
                <c:formatCode>0.0</c:formatCode>
                <c:ptCount val="10"/>
                <c:pt idx="0">
                  <c:v>4302.8820999999998</c:v>
                </c:pt>
                <c:pt idx="1">
                  <c:v>4285.0527000000002</c:v>
                </c:pt>
                <c:pt idx="2">
                  <c:v>4343.8033999999898</c:v>
                </c:pt>
                <c:pt idx="3">
                  <c:v>4369.2285000000002</c:v>
                </c:pt>
                <c:pt idx="4">
                  <c:v>4433.4191999999903</c:v>
                </c:pt>
                <c:pt idx="5">
                  <c:v>4446.0291999999899</c:v>
                </c:pt>
                <c:pt idx="6">
                  <c:v>4404.0727999999999</c:v>
                </c:pt>
                <c:pt idx="7">
                  <c:v>4580.6738999999898</c:v>
                </c:pt>
                <c:pt idx="8">
                  <c:v>4661.8897999999899</c:v>
                </c:pt>
                <c:pt idx="9">
                  <c:v>4536.9399999999896</c:v>
                </c:pt>
              </c:numCache>
            </c:numRef>
          </c:val>
          <c:extLst>
            <c:ext xmlns:c16="http://schemas.microsoft.com/office/drawing/2014/chart" uri="{C3380CC4-5D6E-409C-BE32-E72D297353CC}">
              <c16:uniqueId val="{00000007-B0A4-4757-9E39-AD690D776266}"/>
            </c:ext>
          </c:extLst>
        </c:ser>
        <c:dLbls>
          <c:showLegendKey val="0"/>
          <c:showVal val="0"/>
          <c:showCatName val="0"/>
          <c:showSerName val="0"/>
          <c:showPercent val="0"/>
          <c:showBubbleSize val="0"/>
        </c:dLbls>
        <c:gapWidth val="150"/>
        <c:overlap val="100"/>
        <c:axId val="130418688"/>
        <c:axId val="129880576"/>
      </c:barChart>
      <c:catAx>
        <c:axId val="130418688"/>
        <c:scaling>
          <c:orientation val="minMax"/>
        </c:scaling>
        <c:delete val="0"/>
        <c:axPos val="b"/>
        <c:numFmt formatCode="General" sourceLinked="1"/>
        <c:majorTickMark val="out"/>
        <c:minorTickMark val="none"/>
        <c:tickLblPos val="nextTo"/>
        <c:crossAx val="129880576"/>
        <c:crosses val="autoZero"/>
        <c:auto val="1"/>
        <c:lblAlgn val="ctr"/>
        <c:lblOffset val="100"/>
        <c:noMultiLvlLbl val="0"/>
      </c:catAx>
      <c:valAx>
        <c:axId val="129880576"/>
        <c:scaling>
          <c:orientation val="minMax"/>
        </c:scaling>
        <c:delete val="0"/>
        <c:axPos val="l"/>
        <c:majorGridlines/>
        <c:numFmt formatCode="0%" sourceLinked="1"/>
        <c:majorTickMark val="out"/>
        <c:minorTickMark val="none"/>
        <c:tickLblPos val="nextTo"/>
        <c:crossAx val="130418688"/>
        <c:crosses val="autoZero"/>
        <c:crossBetween val="between"/>
      </c:valAx>
    </c:plotArea>
    <c:legend>
      <c:legendPos val="r"/>
      <c:overlay val="0"/>
    </c:legend>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'Ark1'!$J$3</c:f>
              <c:strCache>
                <c:ptCount val="1"/>
                <c:pt idx="0">
                  <c:v>Årsverk</c:v>
                </c:pt>
              </c:strCache>
            </c:strRef>
          </c:tx>
          <c:spPr>
            <a:solidFill>
              <a:schemeClr val="accent1"/>
            </a:solidFill>
            <a:ln>
              <a:noFill/>
            </a:ln>
            <a:effectLst/>
          </c:spPr>
          <c:invertIfNegative val="0"/>
          <c:cat>
            <c:strRef>
              <c:f>'Ark1'!$I$4:$I$24</c:f>
              <c:strCache>
                <c:ptCount val="21"/>
                <c:pt idx="0">
                  <c:v>UiA </c:v>
                </c:pt>
                <c:pt idx="1">
                  <c:v>UiS </c:v>
                </c:pt>
                <c:pt idx="2">
                  <c:v>HiM </c:v>
                </c:pt>
                <c:pt idx="3">
                  <c:v>HINN </c:v>
                </c:pt>
                <c:pt idx="4">
                  <c:v>HVL </c:v>
                </c:pt>
                <c:pt idx="5">
                  <c:v>USN </c:v>
                </c:pt>
                <c:pt idx="6">
                  <c:v>OsloMet </c:v>
                </c:pt>
                <c:pt idx="7">
                  <c:v>NU </c:v>
                </c:pt>
                <c:pt idx="8">
                  <c:v>HiØ </c:v>
                </c:pt>
                <c:pt idx="9">
                  <c:v>HVO </c:v>
                </c:pt>
                <c:pt idx="10">
                  <c:v>NTNU </c:v>
                </c:pt>
                <c:pt idx="11">
                  <c:v>AHO </c:v>
                </c:pt>
                <c:pt idx="12">
                  <c:v>NMBU </c:v>
                </c:pt>
                <c:pt idx="13">
                  <c:v>NHH </c:v>
                </c:pt>
                <c:pt idx="14">
                  <c:v>UiT </c:v>
                </c:pt>
                <c:pt idx="15">
                  <c:v>UiO </c:v>
                </c:pt>
                <c:pt idx="16">
                  <c:v>UiB </c:v>
                </c:pt>
                <c:pt idx="17">
                  <c:v>SH </c:v>
                </c:pt>
                <c:pt idx="18">
                  <c:v>NIH </c:v>
                </c:pt>
                <c:pt idx="19">
                  <c:v>NMH </c:v>
                </c:pt>
                <c:pt idx="20">
                  <c:v>KHiO </c:v>
                </c:pt>
              </c:strCache>
            </c:strRef>
          </c:cat>
          <c:val>
            <c:numRef>
              <c:f>'Ark1'!$J$4:$J$24</c:f>
              <c:numCache>
                <c:formatCode>0%</c:formatCode>
                <c:ptCount val="21"/>
                <c:pt idx="0">
                  <c:v>0.64799154334038056</c:v>
                </c:pt>
                <c:pt idx="1">
                  <c:v>0.62257792754844143</c:v>
                </c:pt>
                <c:pt idx="2">
                  <c:v>0.55882352941176472</c:v>
                </c:pt>
                <c:pt idx="3">
                  <c:v>0.50697674418604655</c:v>
                </c:pt>
                <c:pt idx="4">
                  <c:v>0.40600428877769834</c:v>
                </c:pt>
                <c:pt idx="5">
                  <c:v>0.33589385474860334</c:v>
                </c:pt>
                <c:pt idx="6">
                  <c:v>0.30684210526315792</c:v>
                </c:pt>
                <c:pt idx="7">
                  <c:v>0.29184925503943909</c:v>
                </c:pt>
                <c:pt idx="8">
                  <c:v>0.27843137254901962</c:v>
                </c:pt>
                <c:pt idx="9">
                  <c:v>0.26973684210526316</c:v>
                </c:pt>
                <c:pt idx="10">
                  <c:v>0.24926322320459129</c:v>
                </c:pt>
                <c:pt idx="11">
                  <c:v>0.22900763358778625</c:v>
                </c:pt>
                <c:pt idx="12">
                  <c:v>0.21804511278195488</c:v>
                </c:pt>
                <c:pt idx="13">
                  <c:v>0.1825</c:v>
                </c:pt>
                <c:pt idx="14">
                  <c:v>0.17310664605873261</c:v>
                </c:pt>
                <c:pt idx="15">
                  <c:v>0.16402970616725865</c:v>
                </c:pt>
                <c:pt idx="16">
                  <c:v>0.15658362989323843</c:v>
                </c:pt>
                <c:pt idx="17">
                  <c:v>0.15463917525773196</c:v>
                </c:pt>
                <c:pt idx="18">
                  <c:v>0.10138248847926268</c:v>
                </c:pt>
                <c:pt idx="19">
                  <c:v>9.8958333333333329E-2</c:v>
                </c:pt>
                <c:pt idx="20">
                  <c:v>3.553299492385787E-2</c:v>
                </c:pt>
              </c:numCache>
            </c:numRef>
          </c:val>
          <c:extLst>
            <c:ext xmlns:c16="http://schemas.microsoft.com/office/drawing/2014/chart" uri="{C3380CC4-5D6E-409C-BE32-E72D297353CC}">
              <c16:uniqueId val="{00000000-E44B-4A4E-BF27-D986AC6B70EE}"/>
            </c:ext>
          </c:extLst>
        </c:ser>
        <c:ser>
          <c:idx val="1"/>
          <c:order val="1"/>
          <c:tx>
            <c:strRef>
              <c:f>'Ark1'!$K$3</c:f>
              <c:strCache>
                <c:ptCount val="1"/>
                <c:pt idx="0">
                  <c:v>Studenter</c:v>
                </c:pt>
              </c:strCache>
            </c:strRef>
          </c:tx>
          <c:spPr>
            <a:solidFill>
              <a:schemeClr val="accent2"/>
            </a:solidFill>
            <a:ln>
              <a:noFill/>
            </a:ln>
            <a:effectLst/>
          </c:spPr>
          <c:invertIfNegative val="0"/>
          <c:cat>
            <c:strRef>
              <c:f>'Ark1'!$I$4:$I$24</c:f>
              <c:strCache>
                <c:ptCount val="21"/>
                <c:pt idx="0">
                  <c:v>UiA </c:v>
                </c:pt>
                <c:pt idx="1">
                  <c:v>UiS </c:v>
                </c:pt>
                <c:pt idx="2">
                  <c:v>HiM </c:v>
                </c:pt>
                <c:pt idx="3">
                  <c:v>HINN </c:v>
                </c:pt>
                <c:pt idx="4">
                  <c:v>HVL </c:v>
                </c:pt>
                <c:pt idx="5">
                  <c:v>USN </c:v>
                </c:pt>
                <c:pt idx="6">
                  <c:v>OsloMet </c:v>
                </c:pt>
                <c:pt idx="7">
                  <c:v>NU </c:v>
                </c:pt>
                <c:pt idx="8">
                  <c:v>HiØ </c:v>
                </c:pt>
                <c:pt idx="9">
                  <c:v>HVO </c:v>
                </c:pt>
                <c:pt idx="10">
                  <c:v>NTNU </c:v>
                </c:pt>
                <c:pt idx="11">
                  <c:v>AHO </c:v>
                </c:pt>
                <c:pt idx="12">
                  <c:v>NMBU </c:v>
                </c:pt>
                <c:pt idx="13">
                  <c:v>NHH </c:v>
                </c:pt>
                <c:pt idx="14">
                  <c:v>UiT </c:v>
                </c:pt>
                <c:pt idx="15">
                  <c:v>UiO </c:v>
                </c:pt>
                <c:pt idx="16">
                  <c:v>UiB </c:v>
                </c:pt>
                <c:pt idx="17">
                  <c:v>SH </c:v>
                </c:pt>
                <c:pt idx="18">
                  <c:v>NIH </c:v>
                </c:pt>
                <c:pt idx="19">
                  <c:v>NMH </c:v>
                </c:pt>
                <c:pt idx="20">
                  <c:v>KHiO </c:v>
                </c:pt>
              </c:strCache>
            </c:strRef>
          </c:cat>
          <c:val>
            <c:numRef>
              <c:f>'Ark1'!$K$4:$K$24</c:f>
              <c:numCache>
                <c:formatCode>0%</c:formatCode>
                <c:ptCount val="21"/>
                <c:pt idx="0">
                  <c:v>0.21036438803961158</c:v>
                </c:pt>
                <c:pt idx="1">
                  <c:v>0.14281240212965862</c:v>
                </c:pt>
                <c:pt idx="2">
                  <c:v>0.71624087591240881</c:v>
                </c:pt>
                <c:pt idx="3">
                  <c:v>0.21421224871435249</c:v>
                </c:pt>
                <c:pt idx="4">
                  <c:v>6.9005847953216376E-2</c:v>
                </c:pt>
                <c:pt idx="5">
                  <c:v>1.9720955191843307E-2</c:v>
                </c:pt>
                <c:pt idx="6">
                  <c:v>0.1754938448325222</c:v>
                </c:pt>
                <c:pt idx="7">
                  <c:v>-6.4322157434402338E-2</c:v>
                </c:pt>
                <c:pt idx="8">
                  <c:v>0.28142444658325311</c:v>
                </c:pt>
                <c:pt idx="9">
                  <c:v>7.4095347501435954E-2</c:v>
                </c:pt>
                <c:pt idx="10">
                  <c:v>0.15378796368934214</c:v>
                </c:pt>
                <c:pt idx="11">
                  <c:v>0.32300163132137033</c:v>
                </c:pt>
                <c:pt idx="12">
                  <c:v>0.38091588426901707</c:v>
                </c:pt>
                <c:pt idx="13">
                  <c:v>5.0857480780603197E-2</c:v>
                </c:pt>
                <c:pt idx="14">
                  <c:v>0.10483104898900801</c:v>
                </c:pt>
                <c:pt idx="15">
                  <c:v>-5.2424933627491309E-2</c:v>
                </c:pt>
                <c:pt idx="16">
                  <c:v>0.2537550453252167</c:v>
                </c:pt>
                <c:pt idx="17">
                  <c:v>0.20805369127516779</c:v>
                </c:pt>
                <c:pt idx="18">
                  <c:v>0.54527363184079602</c:v>
                </c:pt>
                <c:pt idx="19">
                  <c:v>0.26900584795321636</c:v>
                </c:pt>
                <c:pt idx="20">
                  <c:v>0.16793893129770993</c:v>
                </c:pt>
              </c:numCache>
            </c:numRef>
          </c:val>
          <c:extLst>
            <c:ext xmlns:c16="http://schemas.microsoft.com/office/drawing/2014/chart" uri="{C3380CC4-5D6E-409C-BE32-E72D297353CC}">
              <c16:uniqueId val="{00000001-E44B-4A4E-BF27-D986AC6B70EE}"/>
            </c:ext>
          </c:extLst>
        </c:ser>
        <c:dLbls>
          <c:showLegendKey val="0"/>
          <c:showVal val="0"/>
          <c:showCatName val="0"/>
          <c:showSerName val="0"/>
          <c:showPercent val="0"/>
          <c:showBubbleSize val="0"/>
        </c:dLbls>
        <c:gapWidth val="219"/>
        <c:overlap val="-27"/>
        <c:axId val="399456992"/>
        <c:axId val="1105251584"/>
      </c:barChart>
      <c:catAx>
        <c:axId val="39945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05251584"/>
        <c:crosses val="autoZero"/>
        <c:auto val="1"/>
        <c:lblAlgn val="ctr"/>
        <c:lblOffset val="100"/>
        <c:noMultiLvlLbl val="0"/>
      </c:catAx>
      <c:valAx>
        <c:axId val="11052515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945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Figur!$E$3</c:f>
              <c:strCache>
                <c:ptCount val="1"/>
                <c:pt idx="0">
                  <c:v> Andel av tot. ant. årsverk </c:v>
                </c:pt>
              </c:strCache>
            </c:strRef>
          </c:tx>
          <c:spPr>
            <a:solidFill>
              <a:schemeClr val="accent1"/>
            </a:solidFill>
            <a:ln>
              <a:noFill/>
            </a:ln>
            <a:effectLst/>
          </c:spPr>
          <c:invertIfNegative val="0"/>
          <c:cat>
            <c:strRef>
              <c:f>Figur!$D$4:$D$24</c:f>
              <c:strCache>
                <c:ptCount val="21"/>
                <c:pt idx="0">
                  <c:v>HVL </c:v>
                </c:pt>
                <c:pt idx="1">
                  <c:v>HiM </c:v>
                </c:pt>
                <c:pt idx="2">
                  <c:v>USN </c:v>
                </c:pt>
                <c:pt idx="3">
                  <c:v>NMH </c:v>
                </c:pt>
                <c:pt idx="4">
                  <c:v>HINN </c:v>
                </c:pt>
                <c:pt idx="5">
                  <c:v>HiØ </c:v>
                </c:pt>
                <c:pt idx="6">
                  <c:v>HVO </c:v>
                </c:pt>
                <c:pt idx="7">
                  <c:v>NTNU </c:v>
                </c:pt>
                <c:pt idx="8">
                  <c:v>OsloMet </c:v>
                </c:pt>
                <c:pt idx="9">
                  <c:v>UiS </c:v>
                </c:pt>
                <c:pt idx="10">
                  <c:v>NU </c:v>
                </c:pt>
                <c:pt idx="11">
                  <c:v>NHH </c:v>
                </c:pt>
                <c:pt idx="12">
                  <c:v>UiA </c:v>
                </c:pt>
                <c:pt idx="13">
                  <c:v>UiT </c:v>
                </c:pt>
                <c:pt idx="14">
                  <c:v>AHO </c:v>
                </c:pt>
                <c:pt idx="15">
                  <c:v>NIH </c:v>
                </c:pt>
                <c:pt idx="16">
                  <c:v>UiB </c:v>
                </c:pt>
                <c:pt idx="17">
                  <c:v>UiO </c:v>
                </c:pt>
                <c:pt idx="18">
                  <c:v>NMBU </c:v>
                </c:pt>
                <c:pt idx="19">
                  <c:v>KHiO </c:v>
                </c:pt>
                <c:pt idx="20">
                  <c:v>SH </c:v>
                </c:pt>
              </c:strCache>
            </c:strRef>
          </c:cat>
          <c:val>
            <c:numRef>
              <c:f>Figur!$E$4:$E$24</c:f>
              <c:numCache>
                <c:formatCode>#\ ##0.0</c:formatCode>
                <c:ptCount val="21"/>
                <c:pt idx="0">
                  <c:v>70.2</c:v>
                </c:pt>
                <c:pt idx="1">
                  <c:v>69.3</c:v>
                </c:pt>
                <c:pt idx="2">
                  <c:v>68.400000000000006</c:v>
                </c:pt>
                <c:pt idx="3">
                  <c:v>68.099999999999994</c:v>
                </c:pt>
                <c:pt idx="4">
                  <c:v>66.2</c:v>
                </c:pt>
                <c:pt idx="5">
                  <c:v>66.099999999999994</c:v>
                </c:pt>
                <c:pt idx="6">
                  <c:v>66</c:v>
                </c:pt>
                <c:pt idx="7">
                  <c:v>65.3</c:v>
                </c:pt>
                <c:pt idx="8">
                  <c:v>65.2</c:v>
                </c:pt>
                <c:pt idx="9">
                  <c:v>65.2</c:v>
                </c:pt>
                <c:pt idx="10">
                  <c:v>63.7</c:v>
                </c:pt>
                <c:pt idx="11">
                  <c:v>63.3</c:v>
                </c:pt>
                <c:pt idx="12">
                  <c:v>63</c:v>
                </c:pt>
                <c:pt idx="13">
                  <c:v>61.8</c:v>
                </c:pt>
                <c:pt idx="14">
                  <c:v>61.5</c:v>
                </c:pt>
                <c:pt idx="15">
                  <c:v>59.6</c:v>
                </c:pt>
                <c:pt idx="16">
                  <c:v>59.2</c:v>
                </c:pt>
                <c:pt idx="17">
                  <c:v>58.2</c:v>
                </c:pt>
                <c:pt idx="18">
                  <c:v>54.8</c:v>
                </c:pt>
                <c:pt idx="19">
                  <c:v>48.2</c:v>
                </c:pt>
                <c:pt idx="20">
                  <c:v>47</c:v>
                </c:pt>
              </c:numCache>
            </c:numRef>
          </c:val>
          <c:extLst>
            <c:ext xmlns:c16="http://schemas.microsoft.com/office/drawing/2014/chart" uri="{C3380CC4-5D6E-409C-BE32-E72D297353CC}">
              <c16:uniqueId val="{00000000-79AA-4A8D-8DD9-09A47F7ED42C}"/>
            </c:ext>
          </c:extLst>
        </c:ser>
        <c:dLbls>
          <c:showLegendKey val="0"/>
          <c:showVal val="0"/>
          <c:showCatName val="0"/>
          <c:showSerName val="0"/>
          <c:showPercent val="0"/>
          <c:showBubbleSize val="0"/>
        </c:dLbls>
        <c:gapWidth val="219"/>
        <c:overlap val="-27"/>
        <c:axId val="399467072"/>
        <c:axId val="1105216864"/>
      </c:barChart>
      <c:catAx>
        <c:axId val="3994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05216864"/>
        <c:crosses val="autoZero"/>
        <c:auto val="1"/>
        <c:lblAlgn val="ctr"/>
        <c:lblOffset val="100"/>
        <c:noMultiLvlLbl val="0"/>
      </c:catAx>
      <c:valAx>
        <c:axId val="1105216864"/>
        <c:scaling>
          <c:orientation val="minMax"/>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99467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'[Kvinneandel stud og ansatte 2022.xlsx]Personale'!$B$3</c:f>
              <c:strCache>
                <c:ptCount val="1"/>
                <c:pt idx="0">
                  <c:v>Studenter</c:v>
                </c:pt>
              </c:strCache>
            </c:strRef>
          </c:tx>
          <c:spPr>
            <a:solidFill>
              <a:schemeClr val="accent1"/>
            </a:solidFill>
            <a:ln>
              <a:noFill/>
            </a:ln>
            <a:effectLst/>
          </c:spPr>
          <c:invertIfNegative val="0"/>
          <c:cat>
            <c:strRef>
              <c:f>'[Kvinneandel stud og ansatte 2022.xlsx]Personale'!$A$4:$A$19</c:f>
              <c:strCache>
                <c:ptCount val="16"/>
                <c:pt idx="0">
                  <c:v>NHH</c:v>
                </c:pt>
                <c:pt idx="1">
                  <c:v>BI</c:v>
                </c:pt>
                <c:pt idx="2">
                  <c:v>NTNU</c:v>
                </c:pt>
                <c:pt idx="3">
                  <c:v>NMBU</c:v>
                </c:pt>
                <c:pt idx="4">
                  <c:v>HINN</c:v>
                </c:pt>
                <c:pt idx="5">
                  <c:v>UiA</c:v>
                </c:pt>
                <c:pt idx="6">
                  <c:v>NU</c:v>
                </c:pt>
                <c:pt idx="7">
                  <c:v>UiB</c:v>
                </c:pt>
                <c:pt idx="8">
                  <c:v>UiS</c:v>
                </c:pt>
                <c:pt idx="9">
                  <c:v>UiO</c:v>
                </c:pt>
                <c:pt idx="10">
                  <c:v>USN</c:v>
                </c:pt>
                <c:pt idx="11">
                  <c:v>UiT</c:v>
                </c:pt>
                <c:pt idx="12">
                  <c:v>HVL</c:v>
                </c:pt>
                <c:pt idx="13">
                  <c:v>OsloMet</c:v>
                </c:pt>
                <c:pt idx="14">
                  <c:v>HiØ</c:v>
                </c:pt>
                <c:pt idx="15">
                  <c:v>VID</c:v>
                </c:pt>
              </c:strCache>
            </c:strRef>
          </c:cat>
          <c:val>
            <c:numRef>
              <c:f>'[Kvinneandel stud og ansatte 2022.xlsx]Personale'!$B$4:$B$19</c:f>
              <c:numCache>
                <c:formatCode>0%</c:formatCode>
                <c:ptCount val="16"/>
                <c:pt idx="0">
                  <c:v>0.40600000000000003</c:v>
                </c:pt>
                <c:pt idx="1">
                  <c:v>0.49200000000000005</c:v>
                </c:pt>
                <c:pt idx="2">
                  <c:v>0.51500000000000001</c:v>
                </c:pt>
                <c:pt idx="3">
                  <c:v>0.61</c:v>
                </c:pt>
                <c:pt idx="4">
                  <c:v>0.65700000000000003</c:v>
                </c:pt>
                <c:pt idx="5">
                  <c:v>0.57499999999999996</c:v>
                </c:pt>
                <c:pt idx="6">
                  <c:v>0.64300000000000002</c:v>
                </c:pt>
                <c:pt idx="7">
                  <c:v>0.60699999999999998</c:v>
                </c:pt>
                <c:pt idx="8">
                  <c:v>0.58099999999999996</c:v>
                </c:pt>
                <c:pt idx="9">
                  <c:v>0.61299999999999999</c:v>
                </c:pt>
                <c:pt idx="10">
                  <c:v>0.61099999999999999</c:v>
                </c:pt>
                <c:pt idx="11">
                  <c:v>0.58899999999999997</c:v>
                </c:pt>
                <c:pt idx="12">
                  <c:v>0.63</c:v>
                </c:pt>
                <c:pt idx="13">
                  <c:v>0.68099999999999994</c:v>
                </c:pt>
                <c:pt idx="14">
                  <c:v>0.63800000000000001</c:v>
                </c:pt>
                <c:pt idx="15">
                  <c:v>0.83599999999999997</c:v>
                </c:pt>
              </c:numCache>
            </c:numRef>
          </c:val>
          <c:extLst>
            <c:ext xmlns:c16="http://schemas.microsoft.com/office/drawing/2014/chart" uri="{C3380CC4-5D6E-409C-BE32-E72D297353CC}">
              <c16:uniqueId val="{00000000-BDC2-4585-A569-3874B69C35BB}"/>
            </c:ext>
          </c:extLst>
        </c:ser>
        <c:ser>
          <c:idx val="1"/>
          <c:order val="1"/>
          <c:tx>
            <c:strRef>
              <c:f>'[Kvinneandel stud og ansatte 2022.xlsx]Personale'!$C$3</c:f>
              <c:strCache>
                <c:ptCount val="1"/>
                <c:pt idx="0">
                  <c:v>Stipendiater</c:v>
                </c:pt>
              </c:strCache>
            </c:strRef>
          </c:tx>
          <c:spPr>
            <a:solidFill>
              <a:schemeClr val="accent2"/>
            </a:solidFill>
            <a:ln>
              <a:noFill/>
            </a:ln>
            <a:effectLst/>
          </c:spPr>
          <c:invertIfNegative val="0"/>
          <c:cat>
            <c:strRef>
              <c:f>'[Kvinneandel stud og ansatte 2022.xlsx]Personale'!$A$4:$A$19</c:f>
              <c:strCache>
                <c:ptCount val="16"/>
                <c:pt idx="0">
                  <c:v>NHH</c:v>
                </c:pt>
                <c:pt idx="1">
                  <c:v>BI</c:v>
                </c:pt>
                <c:pt idx="2">
                  <c:v>NTNU</c:v>
                </c:pt>
                <c:pt idx="3">
                  <c:v>NMBU</c:v>
                </c:pt>
                <c:pt idx="4">
                  <c:v>HINN</c:v>
                </c:pt>
                <c:pt idx="5">
                  <c:v>UiA</c:v>
                </c:pt>
                <c:pt idx="6">
                  <c:v>NU</c:v>
                </c:pt>
                <c:pt idx="7">
                  <c:v>UiB</c:v>
                </c:pt>
                <c:pt idx="8">
                  <c:v>UiS</c:v>
                </c:pt>
                <c:pt idx="9">
                  <c:v>UiO</c:v>
                </c:pt>
                <c:pt idx="10">
                  <c:v>USN</c:v>
                </c:pt>
                <c:pt idx="11">
                  <c:v>UiT</c:v>
                </c:pt>
                <c:pt idx="12">
                  <c:v>HVL</c:v>
                </c:pt>
                <c:pt idx="13">
                  <c:v>OsloMet</c:v>
                </c:pt>
                <c:pt idx="14">
                  <c:v>HiØ</c:v>
                </c:pt>
                <c:pt idx="15">
                  <c:v>VID</c:v>
                </c:pt>
              </c:strCache>
            </c:strRef>
          </c:cat>
          <c:val>
            <c:numRef>
              <c:f>'[Kvinneandel stud og ansatte 2022.xlsx]Personale'!$C$4:$C$19</c:f>
              <c:numCache>
                <c:formatCode>0%</c:formatCode>
                <c:ptCount val="16"/>
                <c:pt idx="0">
                  <c:v>0.45880000000000004</c:v>
                </c:pt>
                <c:pt idx="1">
                  <c:v>0.57140000000000002</c:v>
                </c:pt>
                <c:pt idx="2">
                  <c:v>0.46610000000000001</c:v>
                </c:pt>
                <c:pt idx="3">
                  <c:v>0.61890000000000001</c:v>
                </c:pt>
                <c:pt idx="4">
                  <c:v>0.6765000000000001</c:v>
                </c:pt>
                <c:pt idx="5">
                  <c:v>0.53159999999999996</c:v>
                </c:pt>
                <c:pt idx="6">
                  <c:v>0.64780000000000004</c:v>
                </c:pt>
                <c:pt idx="7">
                  <c:v>0.53520000000000001</c:v>
                </c:pt>
                <c:pt idx="8">
                  <c:v>0.54270000000000007</c:v>
                </c:pt>
                <c:pt idx="9">
                  <c:v>0.57210000000000005</c:v>
                </c:pt>
                <c:pt idx="10">
                  <c:v>0.60870000000000002</c:v>
                </c:pt>
                <c:pt idx="11">
                  <c:v>0.54810000000000003</c:v>
                </c:pt>
                <c:pt idx="12">
                  <c:v>0.59630000000000005</c:v>
                </c:pt>
                <c:pt idx="13">
                  <c:v>0.69959999999999989</c:v>
                </c:pt>
                <c:pt idx="14">
                  <c:v>0.4889</c:v>
                </c:pt>
                <c:pt idx="15">
                  <c:v>0.74419999999999997</c:v>
                </c:pt>
              </c:numCache>
            </c:numRef>
          </c:val>
          <c:extLst>
            <c:ext xmlns:c16="http://schemas.microsoft.com/office/drawing/2014/chart" uri="{C3380CC4-5D6E-409C-BE32-E72D297353CC}">
              <c16:uniqueId val="{00000001-BDC2-4585-A569-3874B69C35BB}"/>
            </c:ext>
          </c:extLst>
        </c:ser>
        <c:ser>
          <c:idx val="2"/>
          <c:order val="2"/>
          <c:tx>
            <c:strRef>
              <c:f>'[Kvinneandel stud og ansatte 2022.xlsx]Personale'!$D$3</c:f>
              <c:strCache>
                <c:ptCount val="1"/>
                <c:pt idx="0">
                  <c:v>Førsteam</c:v>
                </c:pt>
              </c:strCache>
            </c:strRef>
          </c:tx>
          <c:spPr>
            <a:solidFill>
              <a:schemeClr val="accent3"/>
            </a:solidFill>
            <a:ln>
              <a:noFill/>
            </a:ln>
            <a:effectLst/>
          </c:spPr>
          <c:invertIfNegative val="0"/>
          <c:cat>
            <c:strRef>
              <c:f>'[Kvinneandel stud og ansatte 2022.xlsx]Personale'!$A$4:$A$19</c:f>
              <c:strCache>
                <c:ptCount val="16"/>
                <c:pt idx="0">
                  <c:v>NHH</c:v>
                </c:pt>
                <c:pt idx="1">
                  <c:v>BI</c:v>
                </c:pt>
                <c:pt idx="2">
                  <c:v>NTNU</c:v>
                </c:pt>
                <c:pt idx="3">
                  <c:v>NMBU</c:v>
                </c:pt>
                <c:pt idx="4">
                  <c:v>HINN</c:v>
                </c:pt>
                <c:pt idx="5">
                  <c:v>UiA</c:v>
                </c:pt>
                <c:pt idx="6">
                  <c:v>NU</c:v>
                </c:pt>
                <c:pt idx="7">
                  <c:v>UiB</c:v>
                </c:pt>
                <c:pt idx="8">
                  <c:v>UiS</c:v>
                </c:pt>
                <c:pt idx="9">
                  <c:v>UiO</c:v>
                </c:pt>
                <c:pt idx="10">
                  <c:v>USN</c:v>
                </c:pt>
                <c:pt idx="11">
                  <c:v>UiT</c:v>
                </c:pt>
                <c:pt idx="12">
                  <c:v>HVL</c:v>
                </c:pt>
                <c:pt idx="13">
                  <c:v>OsloMet</c:v>
                </c:pt>
                <c:pt idx="14">
                  <c:v>HiØ</c:v>
                </c:pt>
                <c:pt idx="15">
                  <c:v>VID</c:v>
                </c:pt>
              </c:strCache>
            </c:strRef>
          </c:cat>
          <c:val>
            <c:numRef>
              <c:f>'[Kvinneandel stud og ansatte 2022.xlsx]Personale'!$D$4:$D$19</c:f>
              <c:numCache>
                <c:formatCode>0%</c:formatCode>
                <c:ptCount val="16"/>
                <c:pt idx="0">
                  <c:v>0.35420000000000001</c:v>
                </c:pt>
                <c:pt idx="1">
                  <c:v>0.3175</c:v>
                </c:pt>
                <c:pt idx="2">
                  <c:v>0.47479999999999994</c:v>
                </c:pt>
                <c:pt idx="3">
                  <c:v>0.51319999999999999</c:v>
                </c:pt>
                <c:pt idx="4">
                  <c:v>0.49390000000000001</c:v>
                </c:pt>
                <c:pt idx="5">
                  <c:v>0.4793</c:v>
                </c:pt>
                <c:pt idx="6">
                  <c:v>0.53500000000000003</c:v>
                </c:pt>
                <c:pt idx="7">
                  <c:v>0.46450000000000002</c:v>
                </c:pt>
                <c:pt idx="8">
                  <c:v>0.52910000000000001</c:v>
                </c:pt>
                <c:pt idx="9">
                  <c:v>0.5</c:v>
                </c:pt>
                <c:pt idx="10">
                  <c:v>0.54349999999999998</c:v>
                </c:pt>
                <c:pt idx="11">
                  <c:v>0.52049999999999996</c:v>
                </c:pt>
                <c:pt idx="12">
                  <c:v>0.52549999999999997</c:v>
                </c:pt>
                <c:pt idx="13">
                  <c:v>0.63759999999999994</c:v>
                </c:pt>
                <c:pt idx="14">
                  <c:v>0.51969999999999994</c:v>
                </c:pt>
                <c:pt idx="15">
                  <c:v>0.71589999999999998</c:v>
                </c:pt>
              </c:numCache>
            </c:numRef>
          </c:val>
          <c:extLst>
            <c:ext xmlns:c16="http://schemas.microsoft.com/office/drawing/2014/chart" uri="{C3380CC4-5D6E-409C-BE32-E72D297353CC}">
              <c16:uniqueId val="{00000002-BDC2-4585-A569-3874B69C35BB}"/>
            </c:ext>
          </c:extLst>
        </c:ser>
        <c:ser>
          <c:idx val="3"/>
          <c:order val="3"/>
          <c:tx>
            <c:strRef>
              <c:f>'[Kvinneandel stud og ansatte 2022.xlsx]Personale'!$E$3</c:f>
              <c:strCache>
                <c:ptCount val="1"/>
                <c:pt idx="0">
                  <c:v>Professor</c:v>
                </c:pt>
              </c:strCache>
            </c:strRef>
          </c:tx>
          <c:spPr>
            <a:solidFill>
              <a:schemeClr val="accent4"/>
            </a:solidFill>
            <a:ln>
              <a:noFill/>
            </a:ln>
            <a:effectLst/>
          </c:spPr>
          <c:invertIfNegative val="0"/>
          <c:cat>
            <c:strRef>
              <c:f>'[Kvinneandel stud og ansatte 2022.xlsx]Personale'!$A$4:$A$19</c:f>
              <c:strCache>
                <c:ptCount val="16"/>
                <c:pt idx="0">
                  <c:v>NHH</c:v>
                </c:pt>
                <c:pt idx="1">
                  <c:v>BI</c:v>
                </c:pt>
                <c:pt idx="2">
                  <c:v>NTNU</c:v>
                </c:pt>
                <c:pt idx="3">
                  <c:v>NMBU</c:v>
                </c:pt>
                <c:pt idx="4">
                  <c:v>HINN</c:v>
                </c:pt>
                <c:pt idx="5">
                  <c:v>UiA</c:v>
                </c:pt>
                <c:pt idx="6">
                  <c:v>NU</c:v>
                </c:pt>
                <c:pt idx="7">
                  <c:v>UiB</c:v>
                </c:pt>
                <c:pt idx="8">
                  <c:v>UiS</c:v>
                </c:pt>
                <c:pt idx="9">
                  <c:v>UiO</c:v>
                </c:pt>
                <c:pt idx="10">
                  <c:v>USN</c:v>
                </c:pt>
                <c:pt idx="11">
                  <c:v>UiT</c:v>
                </c:pt>
                <c:pt idx="12">
                  <c:v>HVL</c:v>
                </c:pt>
                <c:pt idx="13">
                  <c:v>OsloMet</c:v>
                </c:pt>
                <c:pt idx="14">
                  <c:v>HiØ</c:v>
                </c:pt>
                <c:pt idx="15">
                  <c:v>VID</c:v>
                </c:pt>
              </c:strCache>
            </c:strRef>
          </c:cat>
          <c:val>
            <c:numRef>
              <c:f>'[Kvinneandel stud og ansatte 2022.xlsx]Personale'!$E$4:$E$19</c:f>
              <c:numCache>
                <c:formatCode>0%</c:formatCode>
                <c:ptCount val="16"/>
                <c:pt idx="0">
                  <c:v>0.16879999999999998</c:v>
                </c:pt>
                <c:pt idx="1">
                  <c:v>0.27779999999999999</c:v>
                </c:pt>
                <c:pt idx="2">
                  <c:v>0.28050000000000003</c:v>
                </c:pt>
                <c:pt idx="3">
                  <c:v>0.30320000000000003</c:v>
                </c:pt>
                <c:pt idx="4">
                  <c:v>0.3276</c:v>
                </c:pt>
                <c:pt idx="5">
                  <c:v>0.33500000000000002</c:v>
                </c:pt>
                <c:pt idx="6">
                  <c:v>0.34619999999999995</c:v>
                </c:pt>
                <c:pt idx="7">
                  <c:v>0.35220000000000001</c:v>
                </c:pt>
                <c:pt idx="8">
                  <c:v>0.35680000000000001</c:v>
                </c:pt>
                <c:pt idx="9">
                  <c:v>0.35969999999999996</c:v>
                </c:pt>
                <c:pt idx="10">
                  <c:v>0.3785</c:v>
                </c:pt>
                <c:pt idx="11">
                  <c:v>0.41979999999999995</c:v>
                </c:pt>
                <c:pt idx="12">
                  <c:v>0.5252</c:v>
                </c:pt>
                <c:pt idx="13">
                  <c:v>0.54549999999999998</c:v>
                </c:pt>
                <c:pt idx="14">
                  <c:v>0.55100000000000005</c:v>
                </c:pt>
                <c:pt idx="15">
                  <c:v>0.7</c:v>
                </c:pt>
              </c:numCache>
            </c:numRef>
          </c:val>
          <c:extLst>
            <c:ext xmlns:c16="http://schemas.microsoft.com/office/drawing/2014/chart" uri="{C3380CC4-5D6E-409C-BE32-E72D297353CC}">
              <c16:uniqueId val="{00000003-BDC2-4585-A569-3874B69C35BB}"/>
            </c:ext>
          </c:extLst>
        </c:ser>
        <c:dLbls>
          <c:showLegendKey val="0"/>
          <c:showVal val="0"/>
          <c:showCatName val="0"/>
          <c:showSerName val="0"/>
          <c:showPercent val="0"/>
          <c:showBubbleSize val="0"/>
        </c:dLbls>
        <c:gapWidth val="219"/>
        <c:overlap val="-27"/>
        <c:axId val="1176793248"/>
        <c:axId val="1103397152"/>
      </c:barChart>
      <c:catAx>
        <c:axId val="117679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03397152"/>
        <c:crosses val="autoZero"/>
        <c:auto val="1"/>
        <c:lblAlgn val="ctr"/>
        <c:lblOffset val="100"/>
        <c:noMultiLvlLbl val="0"/>
      </c:catAx>
      <c:valAx>
        <c:axId val="1103397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76793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'[tabellar_laga_26_januar.xlsx]Figur 4.6'!$A$4</c:f>
              <c:strCache>
                <c:ptCount val="1"/>
                <c:pt idx="0">
                  <c:v>Dosent- og professorstillinger</c:v>
                </c:pt>
              </c:strCache>
            </c:strRef>
          </c:tx>
          <c:spPr>
            <a:solidFill>
              <a:schemeClr val="accent1"/>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'[tabellar_laga_26_januar.xlsx]Figur 4.6'!$B$3:$K$3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'[tabellar_laga_26_januar.xlsx]Figur 4.6'!$B$4:$K$4</c:f>
              <c:numCache>
                <c:formatCode>General</c:formatCode>
                <c:ptCount val="10"/>
                <c:pt idx="0">
                  <c:v>0.26499</c:v>
                </c:pt>
                <c:pt idx="1">
                  <c:v>0.27266000000000001</c:v>
                </c:pt>
                <c:pt idx="2">
                  <c:v>0.28171000000000002</c:v>
                </c:pt>
                <c:pt idx="3">
                  <c:v>0.29538999999999999</c:v>
                </c:pt>
                <c:pt idx="4">
                  <c:v>0.31108000000000002</c:v>
                </c:pt>
                <c:pt idx="5">
                  <c:v>0.32232</c:v>
                </c:pt>
                <c:pt idx="6">
                  <c:v>0.33545999999999998</c:v>
                </c:pt>
                <c:pt idx="7">
                  <c:v>0.34691</c:v>
                </c:pt>
                <c:pt idx="8">
                  <c:v>0.36170000000000002</c:v>
                </c:pt>
                <c:pt idx="9">
                  <c:v>0.37422</c:v>
                </c:pt>
              </c:numCache>
            </c:numRef>
          </c:val>
          <c:extLst>
            <c:ext xmlns:c16="http://schemas.microsoft.com/office/drawing/2014/chart" uri="{C3380CC4-5D6E-409C-BE32-E72D297353CC}">
              <c16:uniqueId val="{00000000-CBE3-4580-B81E-B342DEC76F08}"/>
            </c:ext>
          </c:extLst>
        </c:ser>
        <c:dLbls>
          <c:dLblPos val="outEnd"/>
          <c:showLegendKey val="0"/>
          <c:showVal val="1"/>
          <c:showCatName val="0"/>
          <c:showSerName val="0"/>
          <c:showPercent val="0"/>
          <c:showBubbleSize val="0"/>
        </c:dLbls>
        <c:gapWidth val="124"/>
        <c:axId val="1371575344"/>
        <c:axId val="1371558704"/>
      </c:barChart>
      <c:catAx>
        <c:axId val="1371575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1371558704"/>
        <c:crosses val="autoZero"/>
        <c:auto val="1"/>
        <c:lblAlgn val="ctr"/>
        <c:lblOffset val="100"/>
        <c:noMultiLvlLbl val="0"/>
      </c:catAx>
      <c:valAx>
        <c:axId val="1371558704"/>
        <c:scaling>
          <c:orientation val="minMax"/>
        </c:scaling>
        <c:delete val="0"/>
        <c:axPos val="l"/>
        <c:majorGridlines>
          <c:spPr>
            <a:ln w="9525" cap="flat" cmpd="sng" algn="ctr">
              <a:solidFill>
                <a:schemeClr val="bg1">
                  <a:lumMod val="85000"/>
                </a:schemeClr>
              </a:solidFill>
              <a:round/>
            </a:ln>
            <a:effectLst/>
          </c:spPr>
        </c:majorGridlines>
        <c:numFmt formatCode="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nb-NO"/>
          </a:p>
        </c:txPr>
        <c:crossAx val="1371575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nb-NO"/>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'[tabellar_laga_26_januar.xlsx]Figur 4.7'!$A$4</c:f>
              <c:strCache>
                <c:ptCount val="1"/>
                <c:pt idx="0">
                  <c:v>Undervisnings- og forskerstillinger</c:v>
                </c:pt>
              </c:strCache>
            </c:strRef>
          </c:tx>
          <c:spPr>
            <a:ln w="31750"/>
          </c:spPr>
          <c:marker>
            <c:symbol val="circle"/>
            <c:size val="7"/>
          </c:marker>
          <c:cat>
            <c:numRef>
              <c:f>'[tabellar_laga_26_januar.xlsx]Figur 4.7'!$B$3:$I$3</c:f>
              <c:numCache>
                <c:formatCode>General</c:formatCode>
                <c:ptCount val="8"/>
                <c:pt idx="0">
                  <c:v>2016</c:v>
                </c:pt>
                <c:pt idx="1">
                  <c:v>2017</c:v>
                </c:pt>
                <c:pt idx="2">
                  <c:v>2018</c:v>
                </c:pt>
                <c:pt idx="3">
                  <c:v>2019</c:v>
                </c:pt>
                <c:pt idx="4">
                  <c:v>2020</c:v>
                </c:pt>
                <c:pt idx="5">
                  <c:v>2021</c:v>
                </c:pt>
                <c:pt idx="6">
                  <c:v>2022</c:v>
                </c:pt>
                <c:pt idx="7">
                  <c:v>2023</c:v>
                </c:pt>
              </c:numCache>
            </c:numRef>
          </c:cat>
          <c:val>
            <c:numRef>
              <c:f>'[tabellar_laga_26_januar.xlsx]Figur 4.7'!$B$4:$I$4</c:f>
              <c:numCache>
                <c:formatCode>0.0000</c:formatCode>
                <c:ptCount val="8"/>
                <c:pt idx="0">
                  <c:v>0.16838</c:v>
                </c:pt>
                <c:pt idx="1">
                  <c:v>0.1658</c:v>
                </c:pt>
                <c:pt idx="2">
                  <c:v>0.16349</c:v>
                </c:pt>
                <c:pt idx="3">
                  <c:v>0.15010999999999999</c:v>
                </c:pt>
                <c:pt idx="4">
                  <c:v>0.12587000000000001</c:v>
                </c:pt>
                <c:pt idx="5">
                  <c:v>0.12926000000000001</c:v>
                </c:pt>
                <c:pt idx="6">
                  <c:v>0.11777</c:v>
                </c:pt>
                <c:pt idx="7">
                  <c:v>0.11257</c:v>
                </c:pt>
              </c:numCache>
            </c:numRef>
          </c:val>
          <c:smooth val="0"/>
          <c:extLst>
            <c:ext xmlns:c16="http://schemas.microsoft.com/office/drawing/2014/chart" uri="{C3380CC4-5D6E-409C-BE32-E72D297353CC}">
              <c16:uniqueId val="{00000000-1E4F-4D30-BFC5-8709DC856A9A}"/>
            </c:ext>
          </c:extLst>
        </c:ser>
        <c:ser>
          <c:idx val="1"/>
          <c:order val="1"/>
          <c:tx>
            <c:strRef>
              <c:f>'[tabellar_laga_26_januar.xlsx]Figur 4.7'!$A$5</c:f>
              <c:strCache>
                <c:ptCount val="1"/>
                <c:pt idx="0">
                  <c:v>Administrative stillinger</c:v>
                </c:pt>
              </c:strCache>
            </c:strRef>
          </c:tx>
          <c:spPr>
            <a:ln w="31750"/>
          </c:spPr>
          <c:marker>
            <c:symbol val="circle"/>
            <c:size val="7"/>
          </c:marker>
          <c:cat>
            <c:numRef>
              <c:f>'[tabellar_laga_26_januar.xlsx]Figur 4.7'!$B$3:$I$3</c:f>
              <c:numCache>
                <c:formatCode>General</c:formatCode>
                <c:ptCount val="8"/>
                <c:pt idx="0">
                  <c:v>2016</c:v>
                </c:pt>
                <c:pt idx="1">
                  <c:v>2017</c:v>
                </c:pt>
                <c:pt idx="2">
                  <c:v>2018</c:v>
                </c:pt>
                <c:pt idx="3">
                  <c:v>2019</c:v>
                </c:pt>
                <c:pt idx="4">
                  <c:v>2020</c:v>
                </c:pt>
                <c:pt idx="5">
                  <c:v>2021</c:v>
                </c:pt>
                <c:pt idx="6">
                  <c:v>2022</c:v>
                </c:pt>
                <c:pt idx="7">
                  <c:v>2023</c:v>
                </c:pt>
              </c:numCache>
            </c:numRef>
          </c:cat>
          <c:val>
            <c:numRef>
              <c:f>'[tabellar_laga_26_januar.xlsx]Figur 4.7'!$B$5:$I$5</c:f>
              <c:numCache>
                <c:formatCode>0.0000</c:formatCode>
                <c:ptCount val="8"/>
                <c:pt idx="0">
                  <c:v>0.14019000000000001</c:v>
                </c:pt>
                <c:pt idx="1">
                  <c:v>0.13111999999999999</c:v>
                </c:pt>
                <c:pt idx="2">
                  <c:v>0.12631999999999999</c:v>
                </c:pt>
                <c:pt idx="3">
                  <c:v>0.12014</c:v>
                </c:pt>
                <c:pt idx="4">
                  <c:v>0.10308</c:v>
                </c:pt>
                <c:pt idx="5">
                  <c:v>0.10496</c:v>
                </c:pt>
                <c:pt idx="6">
                  <c:v>9.8280000000000006E-2</c:v>
                </c:pt>
                <c:pt idx="7">
                  <c:v>8.7620000000000003E-2</c:v>
                </c:pt>
              </c:numCache>
            </c:numRef>
          </c:val>
          <c:smooth val="0"/>
          <c:extLst>
            <c:ext xmlns:c16="http://schemas.microsoft.com/office/drawing/2014/chart" uri="{C3380CC4-5D6E-409C-BE32-E72D297353CC}">
              <c16:uniqueId val="{00000001-1E4F-4D30-BFC5-8709DC856A9A}"/>
            </c:ext>
          </c:extLst>
        </c:ser>
        <c:ser>
          <c:idx val="2"/>
          <c:order val="2"/>
          <c:tx>
            <c:strRef>
              <c:f>'[tabellar_laga_26_januar.xlsx]Figur 4.7'!$A$6</c:f>
              <c:strCache>
                <c:ptCount val="1"/>
                <c:pt idx="0">
                  <c:v>Støttestillinger</c:v>
                </c:pt>
              </c:strCache>
            </c:strRef>
          </c:tx>
          <c:spPr>
            <a:ln w="31750"/>
          </c:spPr>
          <c:marker>
            <c:symbol val="circle"/>
            <c:size val="7"/>
          </c:marker>
          <c:cat>
            <c:numRef>
              <c:f>'[tabellar_laga_26_januar.xlsx]Figur 4.7'!$B$3:$I$3</c:f>
              <c:numCache>
                <c:formatCode>General</c:formatCode>
                <c:ptCount val="8"/>
                <c:pt idx="0">
                  <c:v>2016</c:v>
                </c:pt>
                <c:pt idx="1">
                  <c:v>2017</c:v>
                </c:pt>
                <c:pt idx="2">
                  <c:v>2018</c:v>
                </c:pt>
                <c:pt idx="3">
                  <c:v>2019</c:v>
                </c:pt>
                <c:pt idx="4">
                  <c:v>2020</c:v>
                </c:pt>
                <c:pt idx="5">
                  <c:v>2021</c:v>
                </c:pt>
                <c:pt idx="6">
                  <c:v>2022</c:v>
                </c:pt>
                <c:pt idx="7">
                  <c:v>2023</c:v>
                </c:pt>
              </c:numCache>
            </c:numRef>
          </c:cat>
          <c:val>
            <c:numRef>
              <c:f>'[tabellar_laga_26_januar.xlsx]Figur 4.7'!$B$6:$I$6</c:f>
              <c:numCache>
                <c:formatCode>0.0000</c:formatCode>
                <c:ptCount val="8"/>
                <c:pt idx="0">
                  <c:v>0.12937000000000001</c:v>
                </c:pt>
                <c:pt idx="1">
                  <c:v>0.12483</c:v>
                </c:pt>
                <c:pt idx="2">
                  <c:v>0.12336</c:v>
                </c:pt>
                <c:pt idx="3">
                  <c:v>0.10174</c:v>
                </c:pt>
                <c:pt idx="4">
                  <c:v>9.9540000000000003E-2</c:v>
                </c:pt>
                <c:pt idx="5">
                  <c:v>0.11316</c:v>
                </c:pt>
                <c:pt idx="6">
                  <c:v>0.11228</c:v>
                </c:pt>
                <c:pt idx="7">
                  <c:v>0.11448999999999999</c:v>
                </c:pt>
              </c:numCache>
            </c:numRef>
          </c:val>
          <c:smooth val="0"/>
          <c:extLst>
            <c:ext xmlns:c16="http://schemas.microsoft.com/office/drawing/2014/chart" uri="{C3380CC4-5D6E-409C-BE32-E72D297353CC}">
              <c16:uniqueId val="{00000002-1E4F-4D30-BFC5-8709DC856A9A}"/>
            </c:ext>
          </c:extLst>
        </c:ser>
        <c:dLbls>
          <c:showLegendKey val="0"/>
          <c:showVal val="0"/>
          <c:showCatName val="0"/>
          <c:showSerName val="0"/>
          <c:showPercent val="0"/>
          <c:showBubbleSize val="0"/>
        </c:dLbls>
        <c:marker val="1"/>
        <c:smooth val="0"/>
        <c:axId val="130693632"/>
        <c:axId val="130585664"/>
      </c:lineChart>
      <c:catAx>
        <c:axId val="130693632"/>
        <c:scaling>
          <c:orientation val="minMax"/>
        </c:scaling>
        <c:delete val="0"/>
        <c:axPos val="b"/>
        <c:numFmt formatCode="General" sourceLinked="1"/>
        <c:majorTickMark val="out"/>
        <c:minorTickMark val="none"/>
        <c:tickLblPos val="nextTo"/>
        <c:crossAx val="130585664"/>
        <c:crosses val="autoZero"/>
        <c:auto val="1"/>
        <c:lblAlgn val="ctr"/>
        <c:lblOffset val="100"/>
        <c:noMultiLvlLbl val="0"/>
      </c:catAx>
      <c:valAx>
        <c:axId val="130585664"/>
        <c:scaling>
          <c:orientation val="minMax"/>
          <c:max val="0.25"/>
        </c:scaling>
        <c:delete val="0"/>
        <c:axPos val="l"/>
        <c:majorGridlines/>
        <c:numFmt formatCode="0%" sourceLinked="0"/>
        <c:majorTickMark val="out"/>
        <c:minorTickMark val="none"/>
        <c:tickLblPos val="nextTo"/>
        <c:crossAx val="130693632"/>
        <c:crosses val="autoZero"/>
        <c:crossBetween val="between"/>
      </c:valAx>
    </c:plotArea>
    <c:legend>
      <c:legendPos val="b"/>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'[Midlertidighet sektor etter finanskilde.xlsx]Ark1'!$A$4</c:f>
              <c:strCache>
                <c:ptCount val="1"/>
                <c:pt idx="0">
                  <c:v>UF-stillinger, grunnbudsjett</c:v>
                </c:pt>
              </c:strCache>
            </c:strRef>
          </c:tx>
          <c:spPr>
            <a:ln w="28575" cap="rnd">
              <a:solidFill>
                <a:schemeClr val="accent1"/>
              </a:solidFill>
              <a:round/>
            </a:ln>
            <a:effectLst/>
          </c:spPr>
          <c:marker>
            <c:symbol val="none"/>
          </c:marker>
          <c:cat>
            <c:numRef>
              <c:f>'[Midlertidighet sektor etter finanskilde.xlsx]Ark1'!$B$3:$I$3</c:f>
              <c:numCache>
                <c:formatCode>General</c:formatCode>
                <c:ptCount val="8"/>
                <c:pt idx="0">
                  <c:v>2016</c:v>
                </c:pt>
                <c:pt idx="1">
                  <c:v>2017</c:v>
                </c:pt>
                <c:pt idx="2">
                  <c:v>2018</c:v>
                </c:pt>
                <c:pt idx="3">
                  <c:v>2019</c:v>
                </c:pt>
                <c:pt idx="4">
                  <c:v>2020</c:v>
                </c:pt>
                <c:pt idx="5">
                  <c:v>2021</c:v>
                </c:pt>
                <c:pt idx="6">
                  <c:v>2022</c:v>
                </c:pt>
                <c:pt idx="7">
                  <c:v>2023</c:v>
                </c:pt>
              </c:numCache>
            </c:numRef>
          </c:cat>
          <c:val>
            <c:numRef>
              <c:f>'[Midlertidighet sektor etter finanskilde.xlsx]Ark1'!$B$4:$I$4</c:f>
              <c:numCache>
                <c:formatCode>General</c:formatCode>
                <c:ptCount val="8"/>
                <c:pt idx="0">
                  <c:v>12.1</c:v>
                </c:pt>
                <c:pt idx="1">
                  <c:v>12</c:v>
                </c:pt>
                <c:pt idx="2">
                  <c:v>12.5</c:v>
                </c:pt>
                <c:pt idx="3">
                  <c:v>11.8</c:v>
                </c:pt>
                <c:pt idx="4">
                  <c:v>9.8000000000000007</c:v>
                </c:pt>
                <c:pt idx="5">
                  <c:v>10.4</c:v>
                </c:pt>
                <c:pt idx="6">
                  <c:v>9.4</c:v>
                </c:pt>
                <c:pt idx="7">
                  <c:v>8.5</c:v>
                </c:pt>
              </c:numCache>
            </c:numRef>
          </c:val>
          <c:smooth val="0"/>
          <c:extLst>
            <c:ext xmlns:c16="http://schemas.microsoft.com/office/drawing/2014/chart" uri="{C3380CC4-5D6E-409C-BE32-E72D297353CC}">
              <c16:uniqueId val="{00000000-F55E-4D8C-A74B-5EAFEA600743}"/>
            </c:ext>
          </c:extLst>
        </c:ser>
        <c:ser>
          <c:idx val="1"/>
          <c:order val="1"/>
          <c:tx>
            <c:strRef>
              <c:f>'[Midlertidighet sektor etter finanskilde.xlsx]Ark1'!$A$5</c:f>
              <c:strCache>
                <c:ptCount val="1"/>
                <c:pt idx="0">
                  <c:v>Adm. stillinger, grunnbudsjett</c:v>
                </c:pt>
              </c:strCache>
            </c:strRef>
          </c:tx>
          <c:spPr>
            <a:ln w="28575" cap="rnd">
              <a:solidFill>
                <a:schemeClr val="accent2"/>
              </a:solidFill>
              <a:round/>
            </a:ln>
            <a:effectLst/>
          </c:spPr>
          <c:marker>
            <c:symbol val="none"/>
          </c:marker>
          <c:cat>
            <c:numRef>
              <c:f>'[Midlertidighet sektor etter finanskilde.xlsx]Ark1'!$B$3:$I$3</c:f>
              <c:numCache>
                <c:formatCode>General</c:formatCode>
                <c:ptCount val="8"/>
                <c:pt idx="0">
                  <c:v>2016</c:v>
                </c:pt>
                <c:pt idx="1">
                  <c:v>2017</c:v>
                </c:pt>
                <c:pt idx="2">
                  <c:v>2018</c:v>
                </c:pt>
                <c:pt idx="3">
                  <c:v>2019</c:v>
                </c:pt>
                <c:pt idx="4">
                  <c:v>2020</c:v>
                </c:pt>
                <c:pt idx="5">
                  <c:v>2021</c:v>
                </c:pt>
                <c:pt idx="6">
                  <c:v>2022</c:v>
                </c:pt>
                <c:pt idx="7">
                  <c:v>2023</c:v>
                </c:pt>
              </c:numCache>
            </c:numRef>
          </c:cat>
          <c:val>
            <c:numRef>
              <c:f>'[Midlertidighet sektor etter finanskilde.xlsx]Ark1'!$B$5:$I$5</c:f>
              <c:numCache>
                <c:formatCode>General</c:formatCode>
                <c:ptCount val="8"/>
                <c:pt idx="0">
                  <c:v>11.8</c:v>
                </c:pt>
                <c:pt idx="1">
                  <c:v>11.8</c:v>
                </c:pt>
                <c:pt idx="2">
                  <c:v>11.7</c:v>
                </c:pt>
                <c:pt idx="3">
                  <c:v>11</c:v>
                </c:pt>
                <c:pt idx="4">
                  <c:v>9.1999999999999993</c:v>
                </c:pt>
                <c:pt idx="5">
                  <c:v>9.1</c:v>
                </c:pt>
                <c:pt idx="6">
                  <c:v>8.6999999999999993</c:v>
                </c:pt>
                <c:pt idx="7">
                  <c:v>7.4</c:v>
                </c:pt>
              </c:numCache>
            </c:numRef>
          </c:val>
          <c:smooth val="0"/>
          <c:extLst>
            <c:ext xmlns:c16="http://schemas.microsoft.com/office/drawing/2014/chart" uri="{C3380CC4-5D6E-409C-BE32-E72D297353CC}">
              <c16:uniqueId val="{00000001-F55E-4D8C-A74B-5EAFEA600743}"/>
            </c:ext>
          </c:extLst>
        </c:ser>
        <c:ser>
          <c:idx val="2"/>
          <c:order val="2"/>
          <c:tx>
            <c:strRef>
              <c:f>'[Midlertidighet sektor etter finanskilde.xlsx]Ark1'!$A$6</c:f>
              <c:strCache>
                <c:ptCount val="1"/>
                <c:pt idx="0">
                  <c:v>Støttestillinger, grunnbudsjett</c:v>
                </c:pt>
              </c:strCache>
            </c:strRef>
          </c:tx>
          <c:spPr>
            <a:ln w="28575" cap="rnd">
              <a:solidFill>
                <a:schemeClr val="accent3"/>
              </a:solidFill>
              <a:round/>
            </a:ln>
            <a:effectLst/>
          </c:spPr>
          <c:marker>
            <c:symbol val="none"/>
          </c:marker>
          <c:cat>
            <c:numRef>
              <c:f>'[Midlertidighet sektor etter finanskilde.xlsx]Ark1'!$B$3:$I$3</c:f>
              <c:numCache>
                <c:formatCode>General</c:formatCode>
                <c:ptCount val="8"/>
                <c:pt idx="0">
                  <c:v>2016</c:v>
                </c:pt>
                <c:pt idx="1">
                  <c:v>2017</c:v>
                </c:pt>
                <c:pt idx="2">
                  <c:v>2018</c:v>
                </c:pt>
                <c:pt idx="3">
                  <c:v>2019</c:v>
                </c:pt>
                <c:pt idx="4">
                  <c:v>2020</c:v>
                </c:pt>
                <c:pt idx="5">
                  <c:v>2021</c:v>
                </c:pt>
                <c:pt idx="6">
                  <c:v>2022</c:v>
                </c:pt>
                <c:pt idx="7">
                  <c:v>2023</c:v>
                </c:pt>
              </c:numCache>
            </c:numRef>
          </c:cat>
          <c:val>
            <c:numRef>
              <c:f>'[Midlertidighet sektor etter finanskilde.xlsx]Ark1'!$B$6:$I$6</c:f>
              <c:numCache>
                <c:formatCode>General</c:formatCode>
                <c:ptCount val="8"/>
                <c:pt idx="0">
                  <c:v>8</c:v>
                </c:pt>
                <c:pt idx="1">
                  <c:v>7.7</c:v>
                </c:pt>
                <c:pt idx="2">
                  <c:v>8.8000000000000007</c:v>
                </c:pt>
                <c:pt idx="3">
                  <c:v>7.5</c:v>
                </c:pt>
                <c:pt idx="4">
                  <c:v>6.9</c:v>
                </c:pt>
                <c:pt idx="5">
                  <c:v>8.1</c:v>
                </c:pt>
                <c:pt idx="6">
                  <c:v>9.1999999999999993</c:v>
                </c:pt>
                <c:pt idx="7">
                  <c:v>7.3</c:v>
                </c:pt>
              </c:numCache>
            </c:numRef>
          </c:val>
          <c:smooth val="0"/>
          <c:extLst>
            <c:ext xmlns:c16="http://schemas.microsoft.com/office/drawing/2014/chart" uri="{C3380CC4-5D6E-409C-BE32-E72D297353CC}">
              <c16:uniqueId val="{00000002-F55E-4D8C-A74B-5EAFEA600743}"/>
            </c:ext>
          </c:extLst>
        </c:ser>
        <c:ser>
          <c:idx val="3"/>
          <c:order val="3"/>
          <c:tx>
            <c:strRef>
              <c:f>'[Midlertidighet sektor etter finanskilde.xlsx]Ark1'!$A$7</c:f>
              <c:strCache>
                <c:ptCount val="1"/>
                <c:pt idx="0">
                  <c:v>UF-stillinger, ekstern finans</c:v>
                </c:pt>
              </c:strCache>
            </c:strRef>
          </c:tx>
          <c:spPr>
            <a:ln w="28575" cap="rnd">
              <a:solidFill>
                <a:schemeClr val="accent4"/>
              </a:solidFill>
              <a:round/>
            </a:ln>
            <a:effectLst/>
          </c:spPr>
          <c:marker>
            <c:symbol val="none"/>
          </c:marker>
          <c:cat>
            <c:numRef>
              <c:f>'[Midlertidighet sektor etter finanskilde.xlsx]Ark1'!$B$3:$I$3</c:f>
              <c:numCache>
                <c:formatCode>General</c:formatCode>
                <c:ptCount val="8"/>
                <c:pt idx="0">
                  <c:v>2016</c:v>
                </c:pt>
                <c:pt idx="1">
                  <c:v>2017</c:v>
                </c:pt>
                <c:pt idx="2">
                  <c:v>2018</c:v>
                </c:pt>
                <c:pt idx="3">
                  <c:v>2019</c:v>
                </c:pt>
                <c:pt idx="4">
                  <c:v>2020</c:v>
                </c:pt>
                <c:pt idx="5">
                  <c:v>2021</c:v>
                </c:pt>
                <c:pt idx="6">
                  <c:v>2022</c:v>
                </c:pt>
                <c:pt idx="7">
                  <c:v>2023</c:v>
                </c:pt>
              </c:numCache>
            </c:numRef>
          </c:cat>
          <c:val>
            <c:numRef>
              <c:f>'[Midlertidighet sektor etter finanskilde.xlsx]Ark1'!$B$7:$I$7</c:f>
              <c:numCache>
                <c:formatCode>General</c:formatCode>
                <c:ptCount val="8"/>
                <c:pt idx="0">
                  <c:v>60.9</c:v>
                </c:pt>
                <c:pt idx="1">
                  <c:v>60.5</c:v>
                </c:pt>
                <c:pt idx="2">
                  <c:v>52.3</c:v>
                </c:pt>
                <c:pt idx="3">
                  <c:v>44.6</c:v>
                </c:pt>
                <c:pt idx="4">
                  <c:v>37.1</c:v>
                </c:pt>
                <c:pt idx="5">
                  <c:v>34.6</c:v>
                </c:pt>
                <c:pt idx="6">
                  <c:v>33.4</c:v>
                </c:pt>
                <c:pt idx="7">
                  <c:v>34.9</c:v>
                </c:pt>
              </c:numCache>
            </c:numRef>
          </c:val>
          <c:smooth val="0"/>
          <c:extLst>
            <c:ext xmlns:c16="http://schemas.microsoft.com/office/drawing/2014/chart" uri="{C3380CC4-5D6E-409C-BE32-E72D297353CC}">
              <c16:uniqueId val="{00000003-F55E-4D8C-A74B-5EAFEA600743}"/>
            </c:ext>
          </c:extLst>
        </c:ser>
        <c:ser>
          <c:idx val="4"/>
          <c:order val="4"/>
          <c:tx>
            <c:strRef>
              <c:f>'[Midlertidighet sektor etter finanskilde.xlsx]Ark1'!$A$8</c:f>
              <c:strCache>
                <c:ptCount val="1"/>
                <c:pt idx="0">
                  <c:v>Støttestillinger, ekstern finans</c:v>
                </c:pt>
              </c:strCache>
            </c:strRef>
          </c:tx>
          <c:spPr>
            <a:ln w="28575" cap="rnd">
              <a:solidFill>
                <a:schemeClr val="accent5"/>
              </a:solidFill>
              <a:round/>
            </a:ln>
            <a:effectLst/>
          </c:spPr>
          <c:marker>
            <c:symbol val="none"/>
          </c:marker>
          <c:cat>
            <c:numRef>
              <c:f>'[Midlertidighet sektor etter finanskilde.xlsx]Ark1'!$B$3:$I$3</c:f>
              <c:numCache>
                <c:formatCode>General</c:formatCode>
                <c:ptCount val="8"/>
                <c:pt idx="0">
                  <c:v>2016</c:v>
                </c:pt>
                <c:pt idx="1">
                  <c:v>2017</c:v>
                </c:pt>
                <c:pt idx="2">
                  <c:v>2018</c:v>
                </c:pt>
                <c:pt idx="3">
                  <c:v>2019</c:v>
                </c:pt>
                <c:pt idx="4">
                  <c:v>2020</c:v>
                </c:pt>
                <c:pt idx="5">
                  <c:v>2021</c:v>
                </c:pt>
                <c:pt idx="6">
                  <c:v>2022</c:v>
                </c:pt>
                <c:pt idx="7">
                  <c:v>2023</c:v>
                </c:pt>
              </c:numCache>
            </c:numRef>
          </c:cat>
          <c:val>
            <c:numRef>
              <c:f>'[Midlertidighet sektor etter finanskilde.xlsx]Ark1'!$B$8:$I$8</c:f>
              <c:numCache>
                <c:formatCode>General</c:formatCode>
                <c:ptCount val="8"/>
                <c:pt idx="0">
                  <c:v>59</c:v>
                </c:pt>
                <c:pt idx="1">
                  <c:v>56.6</c:v>
                </c:pt>
                <c:pt idx="2">
                  <c:v>48.9</c:v>
                </c:pt>
                <c:pt idx="3">
                  <c:v>40.799999999999997</c:v>
                </c:pt>
                <c:pt idx="4">
                  <c:v>42</c:v>
                </c:pt>
                <c:pt idx="5">
                  <c:v>43.8</c:v>
                </c:pt>
                <c:pt idx="6">
                  <c:v>37.299999999999997</c:v>
                </c:pt>
                <c:pt idx="7">
                  <c:v>56</c:v>
                </c:pt>
              </c:numCache>
            </c:numRef>
          </c:val>
          <c:smooth val="0"/>
          <c:extLst>
            <c:ext xmlns:c16="http://schemas.microsoft.com/office/drawing/2014/chart" uri="{C3380CC4-5D6E-409C-BE32-E72D297353CC}">
              <c16:uniqueId val="{00000004-F55E-4D8C-A74B-5EAFEA600743}"/>
            </c:ext>
          </c:extLst>
        </c:ser>
        <c:ser>
          <c:idx val="5"/>
          <c:order val="5"/>
          <c:tx>
            <c:strRef>
              <c:f>'[Midlertidighet sektor etter finanskilde.xlsx]Ark1'!$A$9</c:f>
              <c:strCache>
                <c:ptCount val="1"/>
                <c:pt idx="0">
                  <c:v>Gjennomsnitt, alle sektorer</c:v>
                </c:pt>
              </c:strCache>
            </c:strRef>
          </c:tx>
          <c:spPr>
            <a:ln w="28575" cap="rnd">
              <a:solidFill>
                <a:schemeClr val="accent6"/>
              </a:solidFill>
              <a:round/>
            </a:ln>
            <a:effectLst/>
          </c:spPr>
          <c:marker>
            <c:symbol val="none"/>
          </c:marker>
          <c:cat>
            <c:numRef>
              <c:f>'[Midlertidighet sektor etter finanskilde.xlsx]Ark1'!$B$3:$I$3</c:f>
              <c:numCache>
                <c:formatCode>General</c:formatCode>
                <c:ptCount val="8"/>
                <c:pt idx="0">
                  <c:v>2016</c:v>
                </c:pt>
                <c:pt idx="1">
                  <c:v>2017</c:v>
                </c:pt>
                <c:pt idx="2">
                  <c:v>2018</c:v>
                </c:pt>
                <c:pt idx="3">
                  <c:v>2019</c:v>
                </c:pt>
                <c:pt idx="4">
                  <c:v>2020</c:v>
                </c:pt>
                <c:pt idx="5">
                  <c:v>2021</c:v>
                </c:pt>
                <c:pt idx="6">
                  <c:v>2022</c:v>
                </c:pt>
                <c:pt idx="7">
                  <c:v>2023</c:v>
                </c:pt>
              </c:numCache>
            </c:numRef>
          </c:cat>
          <c:val>
            <c:numRef>
              <c:f>'[Midlertidighet sektor etter finanskilde.xlsx]Ark1'!$B$9:$I$9</c:f>
              <c:numCache>
                <c:formatCode>General</c:formatCode>
                <c:ptCount val="8"/>
                <c:pt idx="0">
                  <c:v>8.3000000000000007</c:v>
                </c:pt>
                <c:pt idx="1">
                  <c:v>8.1999999999999993</c:v>
                </c:pt>
                <c:pt idx="2">
                  <c:v>8.3000000000000007</c:v>
                </c:pt>
                <c:pt idx="3">
                  <c:v>7.7</c:v>
                </c:pt>
                <c:pt idx="4">
                  <c:v>7.8</c:v>
                </c:pt>
                <c:pt idx="5">
                  <c:v>8.8000000000000007</c:v>
                </c:pt>
                <c:pt idx="6">
                  <c:v>8.3000000000000007</c:v>
                </c:pt>
                <c:pt idx="7">
                  <c:v>7.4</c:v>
                </c:pt>
              </c:numCache>
            </c:numRef>
          </c:val>
          <c:smooth val="0"/>
          <c:extLst>
            <c:ext xmlns:c16="http://schemas.microsoft.com/office/drawing/2014/chart" uri="{C3380CC4-5D6E-409C-BE32-E72D297353CC}">
              <c16:uniqueId val="{00000005-F55E-4D8C-A74B-5EAFEA600743}"/>
            </c:ext>
          </c:extLst>
        </c:ser>
        <c:dLbls>
          <c:showLegendKey val="0"/>
          <c:showVal val="0"/>
          <c:showCatName val="0"/>
          <c:showSerName val="0"/>
          <c:showPercent val="0"/>
          <c:showBubbleSize val="0"/>
        </c:dLbls>
        <c:smooth val="0"/>
        <c:axId val="1765710431"/>
        <c:axId val="1750478991"/>
      </c:lineChart>
      <c:catAx>
        <c:axId val="1765710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50478991"/>
        <c:crosses val="autoZero"/>
        <c:auto val="1"/>
        <c:lblAlgn val="ctr"/>
        <c:lblOffset val="100"/>
        <c:noMultiLvlLbl val="0"/>
      </c:catAx>
      <c:valAx>
        <c:axId val="17504789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65710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[microdata_aarskull_foedd_i_noreg_menn_endeleg.xlsx]Sheet1!$T$46</c:f>
              <c:strCache>
                <c:ptCount val="1"/>
                <c:pt idx="0">
                  <c:v>19 år eller yngre</c:v>
                </c:pt>
              </c:strCache>
            </c:strRef>
          </c:tx>
          <c:spPr>
            <a:solidFill>
              <a:schemeClr val="accent1"/>
            </a:solidFill>
            <a:ln>
              <a:noFill/>
            </a:ln>
            <a:effectLst/>
          </c:spPr>
          <c:invertIfNegative val="0"/>
          <c:cat>
            <c:strRef>
              <c:f>[microdata_aarskull_foedd_i_noreg_menn_endeleg.xlsx]Sheet1!$U$45:$AL$45</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[microdata_aarskull_foedd_i_noreg_menn_endeleg.xlsx]Sheet1!$U$46:$AL$46</c:f>
              <c:numCache>
                <c:formatCode>General</c:formatCode>
                <c:ptCount val="18"/>
                <c:pt idx="0">
                  <c:v>8.3817112502371463E-2</c:v>
                </c:pt>
                <c:pt idx="1">
                  <c:v>9.7999409419754907E-2</c:v>
                </c:pt>
                <c:pt idx="2">
                  <c:v>9.8761845975091675E-2</c:v>
                </c:pt>
                <c:pt idx="3">
                  <c:v>9.6885578876100192E-2</c:v>
                </c:pt>
                <c:pt idx="4">
                  <c:v>0.10306543525250539</c:v>
                </c:pt>
                <c:pt idx="5">
                  <c:v>0.12132247244849069</c:v>
                </c:pt>
                <c:pt idx="6">
                  <c:v>0.11774847546374638</c:v>
                </c:pt>
                <c:pt idx="7">
                  <c:v>0.1218635692742091</c:v>
                </c:pt>
                <c:pt idx="8">
                  <c:v>0.12283166182091404</c:v>
                </c:pt>
                <c:pt idx="9">
                  <c:v>0.14414938295535312</c:v>
                </c:pt>
                <c:pt idx="10">
                  <c:v>0.12975722841135939</c:v>
                </c:pt>
                <c:pt idx="11">
                  <c:v>0.14928639391056134</c:v>
                </c:pt>
                <c:pt idx="12">
                  <c:v>0.15441893737400017</c:v>
                </c:pt>
                <c:pt idx="13">
                  <c:v>0.15779626474224051</c:v>
                </c:pt>
                <c:pt idx="14">
                  <c:v>0.14495509080180952</c:v>
                </c:pt>
                <c:pt idx="15">
                  <c:v>0.14286652222441071</c:v>
                </c:pt>
                <c:pt idx="16">
                  <c:v>0.15970026124020348</c:v>
                </c:pt>
                <c:pt idx="17">
                  <c:v>0.15368094919550751</c:v>
                </c:pt>
              </c:numCache>
            </c:numRef>
          </c:val>
          <c:extLst>
            <c:ext xmlns:c16="http://schemas.microsoft.com/office/drawing/2014/chart" uri="{C3380CC4-5D6E-409C-BE32-E72D297353CC}">
              <c16:uniqueId val="{00000000-F596-4936-86B4-7187A06F0528}"/>
            </c:ext>
          </c:extLst>
        </c:ser>
        <c:ser>
          <c:idx val="1"/>
          <c:order val="1"/>
          <c:tx>
            <c:strRef>
              <c:f>[microdata_aarskull_foedd_i_noreg_menn_endeleg.xlsx]Sheet1!$T$47</c:f>
              <c:strCache>
                <c:ptCount val="1"/>
                <c:pt idx="0">
                  <c:v>20 år</c:v>
                </c:pt>
              </c:strCache>
            </c:strRef>
          </c:tx>
          <c:spPr>
            <a:solidFill>
              <a:schemeClr val="accent2"/>
            </a:solidFill>
            <a:ln>
              <a:noFill/>
            </a:ln>
            <a:effectLst/>
          </c:spPr>
          <c:invertIfNegative val="0"/>
          <c:cat>
            <c:strRef>
              <c:f>[microdata_aarskull_foedd_i_noreg_menn_endeleg.xlsx]Sheet1!$U$45:$AL$45</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[microdata_aarskull_foedd_i_noreg_menn_endeleg.xlsx]Sheet1!$U$47:$AL$47</c:f>
              <c:numCache>
                <c:formatCode>General</c:formatCode>
                <c:ptCount val="18"/>
                <c:pt idx="0">
                  <c:v>0.164712578258395</c:v>
                </c:pt>
                <c:pt idx="1">
                  <c:v>0.13092425808356711</c:v>
                </c:pt>
                <c:pt idx="2">
                  <c:v>0.1218546893722087</c:v>
                </c:pt>
                <c:pt idx="3">
                  <c:v>0.1350710900473934</c:v>
                </c:pt>
                <c:pt idx="4">
                  <c:v>0.1379445863627432</c:v>
                </c:pt>
                <c:pt idx="5">
                  <c:v>0.14058457115476761</c:v>
                </c:pt>
                <c:pt idx="6">
                  <c:v>0.14293924204208039</c:v>
                </c:pt>
                <c:pt idx="7">
                  <c:v>0.14506192645832</c:v>
                </c:pt>
                <c:pt idx="8">
                  <c:v>0.16340531181601381</c:v>
                </c:pt>
                <c:pt idx="9">
                  <c:v>0.16033469018543639</c:v>
                </c:pt>
                <c:pt idx="10">
                  <c:v>0.1759289072058729</c:v>
                </c:pt>
                <c:pt idx="11">
                  <c:v>0.1566127497621313</c:v>
                </c:pt>
                <c:pt idx="12">
                  <c:v>0.15097223125447101</c:v>
                </c:pt>
                <c:pt idx="13">
                  <c:v>0.14342988874411139</c:v>
                </c:pt>
                <c:pt idx="14">
                  <c:v>0.1437422146462991</c:v>
                </c:pt>
                <c:pt idx="15">
                  <c:v>0.15291182456831459</c:v>
                </c:pt>
                <c:pt idx="16">
                  <c:v>0.13660112745772029</c:v>
                </c:pt>
                <c:pt idx="17">
                  <c:v>0</c:v>
                </c:pt>
              </c:numCache>
            </c:numRef>
          </c:val>
          <c:extLst>
            <c:ext xmlns:c16="http://schemas.microsoft.com/office/drawing/2014/chart" uri="{C3380CC4-5D6E-409C-BE32-E72D297353CC}">
              <c16:uniqueId val="{00000001-F596-4936-86B4-7187A06F0528}"/>
            </c:ext>
          </c:extLst>
        </c:ser>
        <c:ser>
          <c:idx val="2"/>
          <c:order val="2"/>
          <c:tx>
            <c:strRef>
              <c:f>[microdata_aarskull_foedd_i_noreg_menn_endeleg.xlsx]Sheet1!$T$48</c:f>
              <c:strCache>
                <c:ptCount val="1"/>
                <c:pt idx="0">
                  <c:v>21 år</c:v>
                </c:pt>
              </c:strCache>
            </c:strRef>
          </c:tx>
          <c:spPr>
            <a:solidFill>
              <a:schemeClr val="accent3"/>
            </a:solidFill>
            <a:ln>
              <a:noFill/>
            </a:ln>
            <a:effectLst/>
          </c:spPr>
          <c:invertIfNegative val="0"/>
          <c:cat>
            <c:strRef>
              <c:f>[microdata_aarskull_foedd_i_noreg_menn_endeleg.xlsx]Sheet1!$U$45:$AL$45</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[microdata_aarskull_foedd_i_noreg_menn_endeleg.xlsx]Sheet1!$U$48:$AL$48</c:f>
              <c:numCache>
                <c:formatCode>General</c:formatCode>
                <c:ptCount val="18"/>
                <c:pt idx="0">
                  <c:v>7.4520963763991657E-2</c:v>
                </c:pt>
                <c:pt idx="1">
                  <c:v>7.75505684334859E-2</c:v>
                </c:pt>
                <c:pt idx="2">
                  <c:v>8.3003522021713086E-2</c:v>
                </c:pt>
                <c:pt idx="3">
                  <c:v>8.581584292484766E-2</c:v>
                </c:pt>
                <c:pt idx="4">
                  <c:v>8.8720770288858317E-2</c:v>
                </c:pt>
                <c:pt idx="5">
                  <c:v>8.2127455678006708E-2</c:v>
                </c:pt>
                <c:pt idx="6">
                  <c:v>9.0290859167970375E-2</c:v>
                </c:pt>
                <c:pt idx="7">
                  <c:v>0.104216132965411</c:v>
                </c:pt>
                <c:pt idx="8">
                  <c:v>9.349580216262128E-2</c:v>
                </c:pt>
                <c:pt idx="9">
                  <c:v>9.6918007365768555E-2</c:v>
                </c:pt>
                <c:pt idx="10">
                  <c:v>9.559533775516775E-2</c:v>
                </c:pt>
                <c:pt idx="11">
                  <c:v>9.6955280685061845E-2</c:v>
                </c:pt>
                <c:pt idx="12">
                  <c:v>9.3158613513689273E-2</c:v>
                </c:pt>
                <c:pt idx="13">
                  <c:v>0.10607731114897601</c:v>
                </c:pt>
                <c:pt idx="14">
                  <c:v>0.1097489018553727</c:v>
                </c:pt>
                <c:pt idx="15">
                  <c:v>0.1135184820432014</c:v>
                </c:pt>
                <c:pt idx="16">
                  <c:v>0</c:v>
                </c:pt>
                <c:pt idx="17">
                  <c:v>0</c:v>
                </c:pt>
              </c:numCache>
            </c:numRef>
          </c:val>
          <c:extLst>
            <c:ext xmlns:c16="http://schemas.microsoft.com/office/drawing/2014/chart" uri="{C3380CC4-5D6E-409C-BE32-E72D297353CC}">
              <c16:uniqueId val="{00000002-F596-4936-86B4-7187A06F0528}"/>
            </c:ext>
          </c:extLst>
        </c:ser>
        <c:ser>
          <c:idx val="3"/>
          <c:order val="3"/>
          <c:tx>
            <c:strRef>
              <c:f>[microdata_aarskull_foedd_i_noreg_menn_endeleg.xlsx]Sheet1!$T$49</c:f>
              <c:strCache>
                <c:ptCount val="1"/>
                <c:pt idx="0">
                  <c:v>22-24 år</c:v>
                </c:pt>
              </c:strCache>
            </c:strRef>
          </c:tx>
          <c:spPr>
            <a:solidFill>
              <a:schemeClr val="accent4"/>
            </a:solidFill>
            <a:ln>
              <a:noFill/>
            </a:ln>
            <a:effectLst/>
          </c:spPr>
          <c:invertIfNegative val="0"/>
          <c:cat>
            <c:strRef>
              <c:f>[microdata_aarskull_foedd_i_noreg_menn_endeleg.xlsx]Sheet1!$U$45:$AL$45</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[microdata_aarskull_foedd_i_noreg_menn_endeleg.xlsx]Sheet1!$U$49:$AL$49</c:f>
              <c:numCache>
                <c:formatCode>General</c:formatCode>
                <c:ptCount val="18"/>
                <c:pt idx="0">
                  <c:v>7.6759628154050463E-2</c:v>
                </c:pt>
                <c:pt idx="1">
                  <c:v>9.0063487376347257E-2</c:v>
                </c:pt>
                <c:pt idx="2">
                  <c:v>9.0410660469844958E-2</c:v>
                </c:pt>
                <c:pt idx="3">
                  <c:v>9.2484766418415715E-2</c:v>
                </c:pt>
                <c:pt idx="4">
                  <c:v>9.199580795179145E-2</c:v>
                </c:pt>
                <c:pt idx="5">
                  <c:v>9.714103178406007E-2</c:v>
                </c:pt>
                <c:pt idx="6">
                  <c:v>0.10759554292647106</c:v>
                </c:pt>
                <c:pt idx="7">
                  <c:v>9.1253288840402999E-2</c:v>
                </c:pt>
                <c:pt idx="8">
                  <c:v>8.6178171245630653E-2</c:v>
                </c:pt>
                <c:pt idx="9">
                  <c:v>8.1314208179879818E-2</c:v>
                </c:pt>
                <c:pt idx="10">
                  <c:v>8.5549616845901219E-2</c:v>
                </c:pt>
                <c:pt idx="11">
                  <c:v>8.0716777672058357E-2</c:v>
                </c:pt>
                <c:pt idx="12">
                  <c:v>8.6200169083696432E-2</c:v>
                </c:pt>
                <c:pt idx="15">
                  <c:v>0</c:v>
                </c:pt>
                <c:pt idx="16">
                  <c:v>0</c:v>
                </c:pt>
                <c:pt idx="17">
                  <c:v>0</c:v>
                </c:pt>
              </c:numCache>
            </c:numRef>
          </c:val>
          <c:extLst>
            <c:ext xmlns:c16="http://schemas.microsoft.com/office/drawing/2014/chart" uri="{C3380CC4-5D6E-409C-BE32-E72D297353CC}">
              <c16:uniqueId val="{00000003-F596-4936-86B4-7187A06F0528}"/>
            </c:ext>
          </c:extLst>
        </c:ser>
        <c:dLbls>
          <c:showLegendKey val="0"/>
          <c:showVal val="0"/>
          <c:showCatName val="0"/>
          <c:showSerName val="0"/>
          <c:showPercent val="0"/>
          <c:showBubbleSize val="0"/>
        </c:dLbls>
        <c:gapWidth val="150"/>
        <c:overlap val="100"/>
        <c:axId val="1117414720"/>
        <c:axId val="1314380416"/>
      </c:barChart>
      <c:catAx>
        <c:axId val="11174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4380416"/>
        <c:crosses val="autoZero"/>
        <c:auto val="1"/>
        <c:lblAlgn val="ctr"/>
        <c:lblOffset val="100"/>
        <c:noMultiLvlLbl val="0"/>
      </c:catAx>
      <c:valAx>
        <c:axId val="1314380416"/>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117414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[microdata_aarskull_foedd_i_noreg_kvinner_endeleg.xlsx]Sheet1!$T$47</c:f>
              <c:strCache>
                <c:ptCount val="1"/>
                <c:pt idx="0">
                  <c:v>19 år eller yngre</c:v>
                </c:pt>
              </c:strCache>
            </c:strRef>
          </c:tx>
          <c:spPr>
            <a:solidFill>
              <a:schemeClr val="accent1"/>
            </a:solidFill>
            <a:ln>
              <a:noFill/>
            </a:ln>
            <a:effectLst/>
          </c:spPr>
          <c:invertIfNegative val="0"/>
          <c:cat>
            <c:strRef>
              <c:f>[microdata_aarskull_foedd_i_noreg_kvinner_endeleg.xlsx]Sheet1!$U$46:$AL$46</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[microdata_aarskull_foedd_i_noreg_kvinner_endeleg.xlsx]Sheet1!$U$47:$AL$47</c:f>
              <c:numCache>
                <c:formatCode>General</c:formatCode>
                <c:ptCount val="18"/>
                <c:pt idx="0">
                  <c:v>0.21330975727375023</c:v>
                </c:pt>
                <c:pt idx="1">
                  <c:v>0.21797435595812253</c:v>
                </c:pt>
                <c:pt idx="2">
                  <c:v>0.22786811201445348</c:v>
                </c:pt>
                <c:pt idx="3">
                  <c:v>0.22124870890764681</c:v>
                </c:pt>
                <c:pt idx="4">
                  <c:v>0.23726522974565109</c:v>
                </c:pt>
                <c:pt idx="5">
                  <c:v>0.23494746767241376</c:v>
                </c:pt>
                <c:pt idx="6">
                  <c:v>0.23967529173008625</c:v>
                </c:pt>
                <c:pt idx="7">
                  <c:v>0.24193826521814102</c:v>
                </c:pt>
                <c:pt idx="8">
                  <c:v>0.24832721408228392</c:v>
                </c:pt>
                <c:pt idx="9">
                  <c:v>0.27036656389174374</c:v>
                </c:pt>
                <c:pt idx="10">
                  <c:v>0.2715927302485765</c:v>
                </c:pt>
                <c:pt idx="11">
                  <c:v>0.28643642285249016</c:v>
                </c:pt>
                <c:pt idx="12">
                  <c:v>0.27512044046799722</c:v>
                </c:pt>
                <c:pt idx="13">
                  <c:v>0.2717883865528507</c:v>
                </c:pt>
                <c:pt idx="14">
                  <c:v>0.25724197745013011</c:v>
                </c:pt>
                <c:pt idx="15">
                  <c:v>0.25112870736959086</c:v>
                </c:pt>
                <c:pt idx="16">
                  <c:v>0.29752604166666663</c:v>
                </c:pt>
                <c:pt idx="17">
                  <c:v>0.28557202921000224</c:v>
                </c:pt>
              </c:numCache>
            </c:numRef>
          </c:val>
          <c:extLst>
            <c:ext xmlns:c16="http://schemas.microsoft.com/office/drawing/2014/chart" uri="{C3380CC4-5D6E-409C-BE32-E72D297353CC}">
              <c16:uniqueId val="{00000000-F800-4B2C-92B0-4A172C3ABD25}"/>
            </c:ext>
          </c:extLst>
        </c:ser>
        <c:ser>
          <c:idx val="1"/>
          <c:order val="1"/>
          <c:tx>
            <c:strRef>
              <c:f>[microdata_aarskull_foedd_i_noreg_kvinner_endeleg.xlsx]Sheet1!$T$48</c:f>
              <c:strCache>
                <c:ptCount val="1"/>
                <c:pt idx="0">
                  <c:v>20 år</c:v>
                </c:pt>
              </c:strCache>
            </c:strRef>
          </c:tx>
          <c:spPr>
            <a:solidFill>
              <a:schemeClr val="accent2"/>
            </a:solidFill>
            <a:ln>
              <a:noFill/>
            </a:ln>
            <a:effectLst/>
          </c:spPr>
          <c:invertIfNegative val="0"/>
          <c:cat>
            <c:strRef>
              <c:f>[microdata_aarskull_foedd_i_noreg_kvinner_endeleg.xlsx]Sheet1!$U$46:$AL$46</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[microdata_aarskull_foedd_i_noreg_kvinner_endeleg.xlsx]Sheet1!$U$48:$AL$48</c:f>
              <c:numCache>
                <c:formatCode>General</c:formatCode>
                <c:ptCount val="18"/>
                <c:pt idx="0">
                  <c:v>0.21343031666934581</c:v>
                </c:pt>
                <c:pt idx="1">
                  <c:v>0.2164451241030467</c:v>
                </c:pt>
                <c:pt idx="2">
                  <c:v>0.2056233062330623</c:v>
                </c:pt>
                <c:pt idx="3">
                  <c:v>0.212415856394914</c:v>
                </c:pt>
                <c:pt idx="4">
                  <c:v>0.21370157322059741</c:v>
                </c:pt>
                <c:pt idx="5">
                  <c:v>0.21669585129310351</c:v>
                </c:pt>
                <c:pt idx="6">
                  <c:v>0.22678843226788431</c:v>
                </c:pt>
                <c:pt idx="7">
                  <c:v>0.2336954647352992</c:v>
                </c:pt>
                <c:pt idx="8">
                  <c:v>0.24167038396870599</c:v>
                </c:pt>
                <c:pt idx="9">
                  <c:v>0.2456320657759507</c:v>
                </c:pt>
                <c:pt idx="10">
                  <c:v>0.25222491219695159</c:v>
                </c:pt>
                <c:pt idx="11">
                  <c:v>0.23802415524494511</c:v>
                </c:pt>
                <c:pt idx="12">
                  <c:v>0.24559532002752929</c:v>
                </c:pt>
                <c:pt idx="13">
                  <c:v>0.23455228861488739</c:v>
                </c:pt>
                <c:pt idx="14">
                  <c:v>0.24360797918473551</c:v>
                </c:pt>
                <c:pt idx="15">
                  <c:v>0.26008890741126622</c:v>
                </c:pt>
                <c:pt idx="16">
                  <c:v>0.2328920717592593</c:v>
                </c:pt>
                <c:pt idx="17">
                  <c:v>0</c:v>
                </c:pt>
              </c:numCache>
            </c:numRef>
          </c:val>
          <c:extLst>
            <c:ext xmlns:c16="http://schemas.microsoft.com/office/drawing/2014/chart" uri="{C3380CC4-5D6E-409C-BE32-E72D297353CC}">
              <c16:uniqueId val="{00000001-F800-4B2C-92B0-4A172C3ABD25}"/>
            </c:ext>
          </c:extLst>
        </c:ser>
        <c:ser>
          <c:idx val="2"/>
          <c:order val="2"/>
          <c:tx>
            <c:strRef>
              <c:f>[microdata_aarskull_foedd_i_noreg_kvinner_endeleg.xlsx]Sheet1!$T$49</c:f>
              <c:strCache>
                <c:ptCount val="1"/>
                <c:pt idx="0">
                  <c:v>21 år</c:v>
                </c:pt>
              </c:strCache>
            </c:strRef>
          </c:tx>
          <c:spPr>
            <a:solidFill>
              <a:schemeClr val="accent3"/>
            </a:solidFill>
            <a:ln>
              <a:noFill/>
            </a:ln>
            <a:effectLst/>
          </c:spPr>
          <c:invertIfNegative val="0"/>
          <c:cat>
            <c:strRef>
              <c:f>[microdata_aarskull_foedd_i_noreg_kvinner_endeleg.xlsx]Sheet1!$U$46:$AL$46</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[microdata_aarskull_foedd_i_noreg_kvinner_endeleg.xlsx]Sheet1!$U$49:$AL$49</c:f>
              <c:numCache>
                <c:formatCode>General</c:formatCode>
                <c:ptCount val="18"/>
                <c:pt idx="0">
                  <c:v>8.6199967850827841E-2</c:v>
                </c:pt>
                <c:pt idx="1">
                  <c:v>8.3009841979374971E-2</c:v>
                </c:pt>
                <c:pt idx="2">
                  <c:v>8.6382113821138209E-2</c:v>
                </c:pt>
                <c:pt idx="3">
                  <c:v>8.9218933646757134E-2</c:v>
                </c:pt>
                <c:pt idx="4">
                  <c:v>9.1759650703444454E-2</c:v>
                </c:pt>
                <c:pt idx="5">
                  <c:v>9.7454202586206892E-2</c:v>
                </c:pt>
                <c:pt idx="6">
                  <c:v>9.9306612548621678E-2</c:v>
                </c:pt>
                <c:pt idx="7">
                  <c:v>9.943093636833937E-2</c:v>
                </c:pt>
                <c:pt idx="8">
                  <c:v>0.102323027828295</c:v>
                </c:pt>
                <c:pt idx="9">
                  <c:v>0.100342583076396</c:v>
                </c:pt>
                <c:pt idx="10">
                  <c:v>9.6293517918641519E-2</c:v>
                </c:pt>
                <c:pt idx="11">
                  <c:v>9.9708237209933506E-2</c:v>
                </c:pt>
                <c:pt idx="12">
                  <c:v>0.10216792842395039</c:v>
                </c:pt>
                <c:pt idx="13">
                  <c:v>0.12653247620051289</c:v>
                </c:pt>
                <c:pt idx="14">
                  <c:v>0.13495229835212491</c:v>
                </c:pt>
                <c:pt idx="15">
                  <c:v>0.12985344168924079</c:v>
                </c:pt>
                <c:pt idx="16">
                  <c:v>0</c:v>
                </c:pt>
                <c:pt idx="17">
                  <c:v>0</c:v>
                </c:pt>
              </c:numCache>
            </c:numRef>
          </c:val>
          <c:extLst>
            <c:ext xmlns:c16="http://schemas.microsoft.com/office/drawing/2014/chart" uri="{C3380CC4-5D6E-409C-BE32-E72D297353CC}">
              <c16:uniqueId val="{00000002-F800-4B2C-92B0-4A172C3ABD25}"/>
            </c:ext>
          </c:extLst>
        </c:ser>
        <c:ser>
          <c:idx val="3"/>
          <c:order val="3"/>
          <c:tx>
            <c:strRef>
              <c:f>[microdata_aarskull_foedd_i_noreg_kvinner_endeleg.xlsx]Sheet1!$T$50</c:f>
              <c:strCache>
                <c:ptCount val="1"/>
                <c:pt idx="0">
                  <c:v>22-24 år</c:v>
                </c:pt>
              </c:strCache>
            </c:strRef>
          </c:tx>
          <c:spPr>
            <a:solidFill>
              <a:schemeClr val="accent4"/>
            </a:solidFill>
            <a:ln>
              <a:noFill/>
            </a:ln>
            <a:effectLst/>
          </c:spPr>
          <c:invertIfNegative val="0"/>
          <c:cat>
            <c:strRef>
              <c:f>[microdata_aarskull_foedd_i_noreg_kvinner_endeleg.xlsx]Sheet1!$U$46:$AL$46</c:f>
              <c:strCache>
                <c:ptCount val="18"/>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strCache>
            </c:strRef>
          </c:cat>
          <c:val>
            <c:numRef>
              <c:f>[microdata_aarskull_foedd_i_noreg_kvinner_endeleg.xlsx]Sheet1!$U$50:$AL$50</c:f>
              <c:numCache>
                <c:formatCode>General</c:formatCode>
                <c:ptCount val="18"/>
                <c:pt idx="0">
                  <c:v>7.3058993730911431E-2</c:v>
                </c:pt>
                <c:pt idx="1">
                  <c:v>7.7559502803591737E-2</c:v>
                </c:pt>
                <c:pt idx="2">
                  <c:v>8.4725986148750376E-2</c:v>
                </c:pt>
                <c:pt idx="3">
                  <c:v>8.7829896356448334E-2</c:v>
                </c:pt>
                <c:pt idx="4">
                  <c:v>8.5452907339385958E-2</c:v>
                </c:pt>
                <c:pt idx="5">
                  <c:v>8.6105872844827569E-2</c:v>
                </c:pt>
                <c:pt idx="6">
                  <c:v>8.3037375274818179E-2</c:v>
                </c:pt>
                <c:pt idx="7">
                  <c:v>8.2359027418520442E-2</c:v>
                </c:pt>
                <c:pt idx="8">
                  <c:v>7.3877088837799823E-2</c:v>
                </c:pt>
                <c:pt idx="9">
                  <c:v>7.2422062350119915E-2</c:v>
                </c:pt>
                <c:pt idx="10">
                  <c:v>7.0788011047839883E-2</c:v>
                </c:pt>
                <c:pt idx="11">
                  <c:v>7.4365585561134484E-2</c:v>
                </c:pt>
                <c:pt idx="12">
                  <c:v>8.2415691672401925E-2</c:v>
                </c:pt>
                <c:pt idx="15">
                  <c:v>0</c:v>
                </c:pt>
                <c:pt idx="16">
                  <c:v>0</c:v>
                </c:pt>
                <c:pt idx="17">
                  <c:v>0</c:v>
                </c:pt>
              </c:numCache>
            </c:numRef>
          </c:val>
          <c:extLst>
            <c:ext xmlns:c16="http://schemas.microsoft.com/office/drawing/2014/chart" uri="{C3380CC4-5D6E-409C-BE32-E72D297353CC}">
              <c16:uniqueId val="{00000003-F800-4B2C-92B0-4A172C3ABD25}"/>
            </c:ext>
          </c:extLst>
        </c:ser>
        <c:dLbls>
          <c:showLegendKey val="0"/>
          <c:showVal val="0"/>
          <c:showCatName val="0"/>
          <c:showSerName val="0"/>
          <c:showPercent val="0"/>
          <c:showBubbleSize val="0"/>
        </c:dLbls>
        <c:gapWidth val="150"/>
        <c:overlap val="100"/>
        <c:axId val="372804176"/>
        <c:axId val="306325136"/>
      </c:barChart>
      <c:catAx>
        <c:axId val="37280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06325136"/>
        <c:crosses val="autoZero"/>
        <c:auto val="1"/>
        <c:lblAlgn val="ctr"/>
        <c:lblOffset val="100"/>
        <c:noMultiLvlLbl val="0"/>
      </c:catAx>
      <c:valAx>
        <c:axId val="306325136"/>
        <c:scaling>
          <c:orientation val="minMax"/>
          <c:max val="0.70000000000000007"/>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37280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417992815156912"/>
          <c:y val="4.1198501872659173E-2"/>
          <c:w val="0.46973206013772983"/>
          <c:h val="0.71889542288226627"/>
        </c:manualLayout>
      </c:layout>
      <c:barChart>
        <c:barDir val="bar"/>
        <c:grouping val="percentStacked"/>
        <c:varyColors val="0"/>
        <c:ser>
          <c:idx val="0"/>
          <c:order val="0"/>
          <c:tx>
            <c:strRef>
              <c:f>'[figurer_8mars2024_arbeidsfil.xlsx]Figur 2.2'!$D$3</c:f>
              <c:strCache>
                <c:ptCount val="1"/>
                <c:pt idx="0">
                  <c:v>Andel kvinner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b-N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'[figurer_8mars2024_arbeidsfil.xlsx]Figur 2.2'!$A$5:$A$10</c:f>
              <c:strCache>
                <c:ptCount val="6"/>
                <c:pt idx="0">
                  <c:v>Naturvitenskapelige fag, håndverksfag og tekniske fag</c:v>
                </c:pt>
                <c:pt idx="1">
                  <c:v>Økonomiske og administrative fag</c:v>
                </c:pt>
                <c:pt idx="2">
                  <c:v>Humanistiske og estetiske fag</c:v>
                </c:pt>
                <c:pt idx="3">
                  <c:v>Samfunnsfag og juridiske fag</c:v>
                </c:pt>
                <c:pt idx="4">
                  <c:v>Lærerutdanninger og utdanninger i pedagogikk</c:v>
                </c:pt>
                <c:pt idx="5">
                  <c:v>Helse-, sosial- og idrettsfag </c:v>
                </c:pt>
              </c:strCache>
            </c:strRef>
          </c:cat>
          <c:val>
            <c:numRef>
              <c:f>'[figurer_8mars2024_arbeidsfil.xlsx]Figur 2.2'!$D$5:$D$10</c:f>
              <c:numCache>
                <c:formatCode>0%</c:formatCode>
                <c:ptCount val="6"/>
                <c:pt idx="0">
                  <c:v>0.36035</c:v>
                </c:pt>
                <c:pt idx="1">
                  <c:v>0.53446000000000005</c:v>
                </c:pt>
                <c:pt idx="2">
                  <c:v>0.61580999999999997</c:v>
                </c:pt>
                <c:pt idx="3">
                  <c:v>0.65315000000000001</c:v>
                </c:pt>
                <c:pt idx="4">
                  <c:v>0.72541</c:v>
                </c:pt>
                <c:pt idx="5">
                  <c:v>0.78946000000000005</c:v>
                </c:pt>
              </c:numCache>
            </c:numRef>
          </c:val>
          <c:extLst>
            <c:ext xmlns:c16="http://schemas.microsoft.com/office/drawing/2014/chart" uri="{C3380CC4-5D6E-409C-BE32-E72D297353CC}">
              <c16:uniqueId val="{00000000-B6FB-42AB-8E9F-C306AFA2F046}"/>
            </c:ext>
          </c:extLst>
        </c:ser>
        <c:ser>
          <c:idx val="1"/>
          <c:order val="1"/>
          <c:tx>
            <c:strRef>
              <c:f>'[figurer_8mars2024_arbeidsfil.xlsx]Figur 2.2'!$E$3</c:f>
              <c:strCache>
                <c:ptCount val="1"/>
                <c:pt idx="0">
                  <c:v>Andel menn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nb-N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'[figurer_8mars2024_arbeidsfil.xlsx]Figur 2.2'!$A$5:$A$10</c:f>
              <c:strCache>
                <c:ptCount val="6"/>
                <c:pt idx="0">
                  <c:v>Naturvitenskapelige fag, håndverksfag og tekniske fag</c:v>
                </c:pt>
                <c:pt idx="1">
                  <c:v>Økonomiske og administrative fag</c:v>
                </c:pt>
                <c:pt idx="2">
                  <c:v>Humanistiske og estetiske fag</c:v>
                </c:pt>
                <c:pt idx="3">
                  <c:v>Samfunnsfag og juridiske fag</c:v>
                </c:pt>
                <c:pt idx="4">
                  <c:v>Lærerutdanninger og utdanninger i pedagogikk</c:v>
                </c:pt>
                <c:pt idx="5">
                  <c:v>Helse-, sosial- og idrettsfag </c:v>
                </c:pt>
              </c:strCache>
            </c:strRef>
          </c:cat>
          <c:val>
            <c:numRef>
              <c:f>'[figurer_8mars2024_arbeidsfil.xlsx]Figur 2.2'!$E$5:$E$10</c:f>
              <c:numCache>
                <c:formatCode>0%</c:formatCode>
                <c:ptCount val="6"/>
                <c:pt idx="0">
                  <c:v>0.63965000000000005</c:v>
                </c:pt>
                <c:pt idx="1">
                  <c:v>0.46553999999999995</c:v>
                </c:pt>
                <c:pt idx="2">
                  <c:v>0.38419000000000003</c:v>
                </c:pt>
                <c:pt idx="3">
                  <c:v>0.34684999999999999</c:v>
                </c:pt>
                <c:pt idx="4">
                  <c:v>0.27459</c:v>
                </c:pt>
                <c:pt idx="5">
                  <c:v>0.21053999999999995</c:v>
                </c:pt>
              </c:numCache>
            </c:numRef>
          </c:val>
          <c:extLst>
            <c:ext xmlns:c16="http://schemas.microsoft.com/office/drawing/2014/chart" uri="{C3380CC4-5D6E-409C-BE32-E72D297353CC}">
              <c16:uniqueId val="{00000001-B6FB-42AB-8E9F-C306AFA2F046}"/>
            </c:ext>
          </c:extLst>
        </c:ser>
        <c:dLbls>
          <c:showLegendKey val="0"/>
          <c:showVal val="0"/>
          <c:showCatName val="0"/>
          <c:showSerName val="0"/>
          <c:showPercent val="0"/>
          <c:showBubbleSize val="0"/>
        </c:dLbls>
        <c:gapWidth val="150"/>
        <c:overlap val="100"/>
        <c:axId val="1194478960"/>
        <c:axId val="1194482704"/>
      </c:barChart>
      <c:catAx>
        <c:axId val="119447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1100" b="0" i="0" u="none" strike="noStrike" kern="1200" baseline="0">
                <a:solidFill>
                  <a:schemeClr val="tx1">
                    <a:lumMod val="65000"/>
                    <a:lumOff val="35000"/>
                  </a:schemeClr>
                </a:solidFill>
                <a:latin typeface="+mn-lt"/>
                <a:ea typeface="+mn-ea"/>
                <a:cs typeface="+mn-cs"/>
              </a:defRPr>
            </a:pPr>
            <a:endParaRPr lang="nb-NO"/>
          </a:p>
        </c:txPr>
        <c:crossAx val="1194482704"/>
        <c:crosses val="autoZero"/>
        <c:auto val="1"/>
        <c:lblAlgn val="ctr"/>
        <c:lblOffset val="100"/>
        <c:noMultiLvlLbl val="0"/>
      </c:catAx>
      <c:valAx>
        <c:axId val="11944827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crossAx val="1194478960"/>
        <c:crosses val="autoZero"/>
        <c:crossBetween val="between"/>
        <c:majorUnit val="0.2"/>
      </c:valAx>
      <c:spPr>
        <a:noFill/>
        <a:ln>
          <a:noFill/>
        </a:ln>
        <a:effectLst/>
      </c:spPr>
    </c:plotArea>
    <c:legend>
      <c:legendPos val="b"/>
      <c:layout>
        <c:manualLayout>
          <c:xMode val="edge"/>
          <c:yMode val="edge"/>
          <c:x val="0.27153716908807629"/>
          <c:y val="0.89960523016577998"/>
          <c:w val="0.4524938454264234"/>
          <c:h val="8.558361209539007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415706B4-56A0-401B-9B51-C467ACEDF708}">
    <t:Anchor>
      <t:Comment id="1618774587"/>
    </t:Anchor>
    <t:History>
      <t:Event id="{0005A2C8-17E7-442D-A2E8-D620C5E85735}" time="2024-04-08T11:10:54.017Z">
        <t:Attribution userId="S::trude.holme@hkdir.no::91324fb7-2d8d-4647-9df5-80a2570a104f" userProvider="AD" userName="Trude Holme"/>
        <t:Anchor>
          <t:Comment id="2096725470"/>
        </t:Anchor>
        <t:Create/>
      </t:Event>
      <t:Event id="{CB04AAAF-DE83-4297-9DA1-DD4710C7689F}" time="2024-04-08T11:10:54.017Z">
        <t:Attribution userId="S::trude.holme@hkdir.no::91324fb7-2d8d-4647-9df5-80a2570a104f" userProvider="AD" userName="Trude Holme"/>
        <t:Anchor>
          <t:Comment id="2096725470"/>
        </t:Anchor>
        <t:Assign userId="S::Asgeir.Rabben@hkdir.no::5e250c4c-b105-44d2-904c-2e60497cc049" userProvider="AD" userName="Åsgeir Kjetland Rabben"/>
      </t:Event>
      <t:Event id="{B79E2908-AD17-4A29-A01E-66ED4164A2F3}" time="2024-04-08T11:10:54.017Z">
        <t:Attribution userId="S::trude.holme@hkdir.no::91324fb7-2d8d-4647-9df5-80a2570a104f" userProvider="AD" userName="Trude Holme"/>
        <t:Anchor>
          <t:Comment id="2096725470"/>
        </t:Anchor>
        <t:SetTitle title="@Åsgeir Kjetland Rabben Håper du kan se på dette!"/>
      </t:Event>
      <t:Event id="{40FEAC6A-5EAB-4676-9195-545C8F60D856}" time="2024-04-08T14:26:51.004Z">
        <t:Attribution userId="S::arne.haugen@hkdir.no::5b676b91-8afe-4ed7-9146-39eba2666f86" userProvider="AD" userName="Arne Haugen"/>
        <t:Progress percentComplete="100"/>
      </t:Event>
      <t:Event id="{EDB8E7EA-2E31-423C-A70C-71E13AC0682E}" time="2024-04-08T14:26:52.801Z">
        <t:Attribution userId="S::arne.haugen@hkdir.no::5b676b91-8afe-4ed7-9146-39eba2666f86" userProvider="AD" userName="Arne Haugen"/>
        <t:Progress percentComplete="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838AD971EA14E429C96A89C186B6C5E"/>
        <w:category>
          <w:name w:val="Generelt"/>
          <w:gallery w:val="placeholder"/>
        </w:category>
        <w:types>
          <w:type w:val="bbPlcHdr"/>
        </w:types>
        <w:behaviors>
          <w:behavior w:val="content"/>
        </w:behaviors>
        <w:guid w:val="{CD723726-E14C-4E6E-BE64-1B9D46221E19}"/>
      </w:docPartPr>
      <w:docPartBody>
        <w:p w:rsidR="008A443B" w:rsidRDefault="00A03CBC">
          <w:pPr>
            <w:pStyle w:val="F838AD971EA14E429C96A89C186B6C5E"/>
          </w:pPr>
          <w:r w:rsidRPr="00FC5F8D">
            <w:rPr>
              <w:rStyle w:val="Plassholdertekst"/>
            </w:rPr>
            <w:t>[xx]</w:t>
          </w:r>
        </w:p>
      </w:docPartBody>
    </w:docPart>
    <w:docPart>
      <w:docPartPr>
        <w:name w:val="3993E9E23CFD44A3AC8E103AB25B7157"/>
        <w:category>
          <w:name w:val="Generelt"/>
          <w:gallery w:val="placeholder"/>
        </w:category>
        <w:types>
          <w:type w:val="bbPlcHdr"/>
        </w:types>
        <w:behaviors>
          <w:behavior w:val="content"/>
        </w:behaviors>
        <w:guid w:val="{B5AEF3F9-E5FF-43F0-A383-4816EDFA1BB7}"/>
      </w:docPartPr>
      <w:docPartBody>
        <w:p w:rsidR="008A443B" w:rsidRDefault="00A03CBC">
          <w:pPr>
            <w:pStyle w:val="3993E9E23CFD44A3AC8E103AB25B7157"/>
          </w:pPr>
          <w:r w:rsidRPr="006F3D01">
            <w:rPr>
              <w:rStyle w:val="Plassholdertekst"/>
            </w:rPr>
            <w:t>[Tittel]</w:t>
          </w:r>
        </w:p>
      </w:docPartBody>
    </w:docPart>
    <w:docPart>
      <w:docPartPr>
        <w:name w:val="AB08DF626BF14E0D867CFE0A61FF1DD7"/>
        <w:category>
          <w:name w:val="Generelt"/>
          <w:gallery w:val="placeholder"/>
        </w:category>
        <w:types>
          <w:type w:val="bbPlcHdr"/>
        </w:types>
        <w:behaviors>
          <w:behavior w:val="content"/>
        </w:behaviors>
        <w:guid w:val="{9C22A80A-6179-4C77-A5D9-61886147B47F}"/>
      </w:docPartPr>
      <w:docPartBody>
        <w:p w:rsidR="008A443B" w:rsidRDefault="00A03CBC">
          <w:pPr>
            <w:pStyle w:val="AB08DF626BF14E0D867CFE0A61FF1DD7"/>
          </w:pPr>
          <w:r w:rsidRPr="0008478B">
            <w:t>[Undertittel]</w:t>
          </w:r>
        </w:p>
      </w:docPartBody>
    </w:docPart>
    <w:docPart>
      <w:docPartPr>
        <w:name w:val="0E5E9112C5CF4573BAEDC19E476BBEC2"/>
        <w:category>
          <w:name w:val="Generelt"/>
          <w:gallery w:val="placeholder"/>
        </w:category>
        <w:types>
          <w:type w:val="bbPlcHdr"/>
        </w:types>
        <w:behaviors>
          <w:behavior w:val="content"/>
        </w:behaviors>
        <w:guid w:val="{F97F620D-A8E6-46C5-BE70-E6094281FE2E}"/>
      </w:docPartPr>
      <w:docPartBody>
        <w:p w:rsidR="008A443B" w:rsidRDefault="00A03CBC">
          <w:pPr>
            <w:pStyle w:val="0E5E9112C5CF4573BAEDC19E476BBEC2"/>
          </w:pPr>
          <w:r w:rsidRPr="006F3D01">
            <w:rPr>
              <w:rStyle w:val="Plassholdertekst"/>
            </w:rPr>
            <w:t>[Tittel]</w:t>
          </w:r>
        </w:p>
      </w:docPartBody>
    </w:docPart>
    <w:docPart>
      <w:docPartPr>
        <w:name w:val="F67120448B96444BA9811D3078E300A1"/>
        <w:category>
          <w:name w:val="Generelt"/>
          <w:gallery w:val="placeholder"/>
        </w:category>
        <w:types>
          <w:type w:val="bbPlcHdr"/>
        </w:types>
        <w:behaviors>
          <w:behavior w:val="content"/>
        </w:behaviors>
        <w:guid w:val="{415BC90D-D161-4FF5-A4B0-E8B575751320}"/>
      </w:docPartPr>
      <w:docPartBody>
        <w:p w:rsidR="008A443B" w:rsidRDefault="00A03CBC">
          <w:pPr>
            <w:pStyle w:val="F67120448B96444BA9811D3078E300A1"/>
          </w:pPr>
          <w:r w:rsidRPr="001B01D3">
            <w:rPr>
              <w:rStyle w:val="Plassholdertekst"/>
            </w:rPr>
            <w:t>[</w:t>
          </w:r>
          <w:r>
            <w:rPr>
              <w:rStyle w:val="Plassholdertekst"/>
            </w:rPr>
            <w:t>Namn</w:t>
          </w:r>
          <w:r w:rsidRPr="001B01D3">
            <w:rPr>
              <w:rStyle w:val="Plassholdertekst"/>
            </w:rPr>
            <w:t xml:space="preserve"> </w:t>
          </w:r>
          <w:r w:rsidRPr="008E34CA">
            <w:rPr>
              <w:lang w:val="nn-NO"/>
            </w:rPr>
            <w:t>Etternamn</w:t>
          </w:r>
          <w:r w:rsidRPr="001B01D3">
            <w:rPr>
              <w:rStyle w:val="Plassholdertekst"/>
            </w:rPr>
            <w:t>]</w:t>
          </w:r>
        </w:p>
      </w:docPartBody>
    </w:docPart>
    <w:docPart>
      <w:docPartPr>
        <w:name w:val="9036F35115B74BA3971899F5C471924C"/>
        <w:category>
          <w:name w:val="Generelt"/>
          <w:gallery w:val="placeholder"/>
        </w:category>
        <w:types>
          <w:type w:val="bbPlcHdr"/>
        </w:types>
        <w:behaviors>
          <w:behavior w:val="content"/>
        </w:behaviors>
        <w:guid w:val="{BFB6DE65-4A38-437C-8444-C8E1147A3691}"/>
      </w:docPartPr>
      <w:docPartBody>
        <w:p w:rsidR="008A443B" w:rsidRDefault="00A03CBC">
          <w:pPr>
            <w:pStyle w:val="9036F35115B74BA3971899F5C471924C"/>
          </w:pPr>
          <w:r w:rsidRPr="001B01D3">
            <w:rPr>
              <w:rStyle w:val="Plassholdertekst"/>
            </w:rPr>
            <w:t>[</w:t>
          </w:r>
          <w:r>
            <w:rPr>
              <w:rStyle w:val="Plassholdertekst"/>
            </w:rPr>
            <w:t>Namn</w:t>
          </w:r>
          <w:r w:rsidRPr="001B01D3">
            <w:rPr>
              <w:rStyle w:val="Plassholdertekst"/>
            </w:rPr>
            <w:t xml:space="preserve"> </w:t>
          </w:r>
          <w:r w:rsidRPr="008E34CA">
            <w:rPr>
              <w:lang w:val="nn-NO"/>
            </w:rPr>
            <w:t>Etternamn</w:t>
          </w:r>
          <w:r w:rsidRPr="001B01D3">
            <w:rPr>
              <w:rStyle w:val="Plassholdertekst"/>
            </w:rPr>
            <w:t>]</w:t>
          </w:r>
        </w:p>
      </w:docPartBody>
    </w:docPart>
    <w:docPart>
      <w:docPartPr>
        <w:name w:val="84B2E5029EEC465AB355D6F477CDCED6"/>
        <w:category>
          <w:name w:val="Generelt"/>
          <w:gallery w:val="placeholder"/>
        </w:category>
        <w:types>
          <w:type w:val="bbPlcHdr"/>
        </w:types>
        <w:behaviors>
          <w:behavior w:val="content"/>
        </w:behaviors>
        <w:guid w:val="{183BC873-90B3-4B67-A893-921DB0CC1D49}"/>
      </w:docPartPr>
      <w:docPartBody>
        <w:p w:rsidR="008A443B" w:rsidRDefault="00A03CBC">
          <w:pPr>
            <w:pStyle w:val="84B2E5029EEC465AB355D6F477CDCED6"/>
          </w:pPr>
          <w:r w:rsidRPr="001B01D3">
            <w:rPr>
              <w:rStyle w:val="Plassholdertekst"/>
            </w:rPr>
            <w:t>[</w:t>
          </w:r>
          <w:r>
            <w:rPr>
              <w:rStyle w:val="Plassholdertekst"/>
            </w:rPr>
            <w:t>Namn</w:t>
          </w:r>
          <w:r w:rsidRPr="001B01D3">
            <w:rPr>
              <w:rStyle w:val="Plassholdertekst"/>
            </w:rPr>
            <w:t xml:space="preserve"> </w:t>
          </w:r>
          <w:r w:rsidRPr="008E34CA">
            <w:rPr>
              <w:lang w:val="nn-NO"/>
            </w:rPr>
            <w:t>Etternamn</w:t>
          </w:r>
          <w:r w:rsidRPr="001B01D3">
            <w:rPr>
              <w:rStyle w:val="Plassholdertekst"/>
            </w:rPr>
            <w:t>]</w:t>
          </w:r>
        </w:p>
      </w:docPartBody>
    </w:docPart>
    <w:docPart>
      <w:docPartPr>
        <w:name w:val="E8C0F8FBF07A4D93BCA3DA5B9810EDC7"/>
        <w:category>
          <w:name w:val="Generelt"/>
          <w:gallery w:val="placeholder"/>
        </w:category>
        <w:types>
          <w:type w:val="bbPlcHdr"/>
        </w:types>
        <w:behaviors>
          <w:behavior w:val="content"/>
        </w:behaviors>
        <w:guid w:val="{958D4E06-2BE8-4C9D-9BB1-4B8C0DD92584}"/>
      </w:docPartPr>
      <w:docPartBody>
        <w:p w:rsidR="008A443B" w:rsidRDefault="00A03CBC">
          <w:pPr>
            <w:pStyle w:val="E8C0F8FBF07A4D93BCA3DA5B9810EDC7"/>
          </w:pPr>
          <w:r w:rsidRPr="00BA2E7C">
            <w:rPr>
              <w:rStyle w:val="Plassholdertekst"/>
            </w:rPr>
            <w:t>[Tittel]</w:t>
          </w:r>
        </w:p>
      </w:docPartBody>
    </w:docPart>
    <w:docPart>
      <w:docPartPr>
        <w:name w:val="7BA708C2D1764C3B9B9694596046C3DC"/>
        <w:category>
          <w:name w:val="Generelt"/>
          <w:gallery w:val="placeholder"/>
        </w:category>
        <w:types>
          <w:type w:val="bbPlcHdr"/>
        </w:types>
        <w:behaviors>
          <w:behavior w:val="content"/>
        </w:behaviors>
        <w:guid w:val="{994954EE-6EA8-494E-BB5C-E959835B58BC}"/>
      </w:docPartPr>
      <w:docPartBody>
        <w:p w:rsidR="008A443B" w:rsidRDefault="00F01B8E" w:rsidP="00F01B8E">
          <w:pPr>
            <w:pStyle w:val="7BA708C2D1764C3B9B9694596046C3DC"/>
          </w:pPr>
          <w:r w:rsidRPr="001B01D3">
            <w:rPr>
              <w:rStyle w:val="Plassholdertekst"/>
            </w:rPr>
            <w:t>[</w:t>
          </w:r>
          <w:r>
            <w:rPr>
              <w:rStyle w:val="Plassholdertekst"/>
            </w:rPr>
            <w:t>Namn</w:t>
          </w:r>
          <w:r w:rsidRPr="001B01D3">
            <w:rPr>
              <w:rStyle w:val="Plassholdertekst"/>
            </w:rPr>
            <w:t xml:space="preserve"> </w:t>
          </w:r>
          <w:r w:rsidRPr="008E34CA">
            <w:rPr>
              <w:lang w:val="nn-NO"/>
            </w:rPr>
            <w:t>Etternamn</w:t>
          </w:r>
          <w:r w:rsidRPr="001B01D3">
            <w:rPr>
              <w:rStyle w:val="Plassholderteks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B8E"/>
    <w:rsid w:val="0001745A"/>
    <w:rsid w:val="00023162"/>
    <w:rsid w:val="000404F0"/>
    <w:rsid w:val="00054D9D"/>
    <w:rsid w:val="000A72A1"/>
    <w:rsid w:val="000E4C08"/>
    <w:rsid w:val="00156DC0"/>
    <w:rsid w:val="00161D8B"/>
    <w:rsid w:val="00206466"/>
    <w:rsid w:val="00212E11"/>
    <w:rsid w:val="00220464"/>
    <w:rsid w:val="00227F17"/>
    <w:rsid w:val="0031707D"/>
    <w:rsid w:val="00355405"/>
    <w:rsid w:val="003631F0"/>
    <w:rsid w:val="00363978"/>
    <w:rsid w:val="003836C7"/>
    <w:rsid w:val="00383D24"/>
    <w:rsid w:val="003E753F"/>
    <w:rsid w:val="003F42A9"/>
    <w:rsid w:val="00404DF8"/>
    <w:rsid w:val="00441E0E"/>
    <w:rsid w:val="00467551"/>
    <w:rsid w:val="004A133E"/>
    <w:rsid w:val="004E0A73"/>
    <w:rsid w:val="00516E08"/>
    <w:rsid w:val="0052436F"/>
    <w:rsid w:val="005B5C57"/>
    <w:rsid w:val="00645EE6"/>
    <w:rsid w:val="00734330"/>
    <w:rsid w:val="007F23C7"/>
    <w:rsid w:val="00804C3C"/>
    <w:rsid w:val="00814974"/>
    <w:rsid w:val="0083064A"/>
    <w:rsid w:val="00831237"/>
    <w:rsid w:val="00860582"/>
    <w:rsid w:val="008823BD"/>
    <w:rsid w:val="008A443B"/>
    <w:rsid w:val="00910935"/>
    <w:rsid w:val="009810EE"/>
    <w:rsid w:val="00A03CBC"/>
    <w:rsid w:val="00A26746"/>
    <w:rsid w:val="00B30228"/>
    <w:rsid w:val="00BE65F3"/>
    <w:rsid w:val="00C20FB9"/>
    <w:rsid w:val="00C24585"/>
    <w:rsid w:val="00C555D0"/>
    <w:rsid w:val="00C650C0"/>
    <w:rsid w:val="00CA586C"/>
    <w:rsid w:val="00CA7952"/>
    <w:rsid w:val="00CD64E1"/>
    <w:rsid w:val="00CF230F"/>
    <w:rsid w:val="00DA78DA"/>
    <w:rsid w:val="00E569C5"/>
    <w:rsid w:val="00E8450A"/>
    <w:rsid w:val="00F01B8E"/>
    <w:rsid w:val="00F230CD"/>
    <w:rsid w:val="00F3007A"/>
    <w:rsid w:val="00F45C7E"/>
    <w:rsid w:val="00F64E29"/>
    <w:rsid w:val="00FA16AA"/>
    <w:rsid w:val="00FD4E9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F01B8E"/>
    <w:rPr>
      <w:color w:val="666666"/>
    </w:rPr>
  </w:style>
  <w:style w:type="paragraph" w:customStyle="1" w:styleId="F838AD971EA14E429C96A89C186B6C5E">
    <w:name w:val="F838AD971EA14E429C96A89C186B6C5E"/>
  </w:style>
  <w:style w:type="paragraph" w:customStyle="1" w:styleId="3993E9E23CFD44A3AC8E103AB25B7157">
    <w:name w:val="3993E9E23CFD44A3AC8E103AB25B7157"/>
  </w:style>
  <w:style w:type="paragraph" w:customStyle="1" w:styleId="AB08DF626BF14E0D867CFE0A61FF1DD7">
    <w:name w:val="AB08DF626BF14E0D867CFE0A61FF1DD7"/>
  </w:style>
  <w:style w:type="paragraph" w:customStyle="1" w:styleId="0E5E9112C5CF4573BAEDC19E476BBEC2">
    <w:name w:val="0E5E9112C5CF4573BAEDC19E476BBEC2"/>
  </w:style>
  <w:style w:type="paragraph" w:customStyle="1" w:styleId="F67120448B96444BA9811D3078E300A1">
    <w:name w:val="F67120448B96444BA9811D3078E300A1"/>
  </w:style>
  <w:style w:type="paragraph" w:customStyle="1" w:styleId="9036F35115B74BA3971899F5C471924C">
    <w:name w:val="9036F35115B74BA3971899F5C471924C"/>
  </w:style>
  <w:style w:type="paragraph" w:customStyle="1" w:styleId="84B2E5029EEC465AB355D6F477CDCED6">
    <w:name w:val="84B2E5029EEC465AB355D6F477CDCED6"/>
  </w:style>
  <w:style w:type="paragraph" w:customStyle="1" w:styleId="E8C0F8FBF07A4D93BCA3DA5B9810EDC7">
    <w:name w:val="E8C0F8FBF07A4D93BCA3DA5B9810EDC7"/>
  </w:style>
  <w:style w:type="paragraph" w:customStyle="1" w:styleId="7BA708C2D1764C3B9B9694596046C3DC">
    <w:name w:val="7BA708C2D1764C3B9B9694596046C3DC"/>
    <w:rsid w:val="00F01B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K DIR">
      <a:dk1>
        <a:sysClr val="windowText" lastClr="000000"/>
      </a:dk1>
      <a:lt1>
        <a:sysClr val="window" lastClr="FFFFFF"/>
      </a:lt1>
      <a:dk2>
        <a:srgbClr val="E72F72"/>
      </a:dk2>
      <a:lt2>
        <a:srgbClr val="E7E6E6"/>
      </a:lt2>
      <a:accent1>
        <a:srgbClr val="E72F72"/>
      </a:accent1>
      <a:accent2>
        <a:srgbClr val="0025A0"/>
      </a:accent2>
      <a:accent3>
        <a:srgbClr val="EA591D"/>
      </a:accent3>
      <a:accent4>
        <a:srgbClr val="630879"/>
      </a:accent4>
      <a:accent5>
        <a:srgbClr val="FF8C43"/>
      </a:accent5>
      <a:accent6>
        <a:srgbClr val="A80037"/>
      </a:accent6>
      <a:hlink>
        <a:srgbClr val="0563C1"/>
      </a:hlink>
      <a:folHlink>
        <a:srgbClr val="954F72"/>
      </a:folHlink>
    </a:clrScheme>
    <a:fontScheme name="Egendefinert 103">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txDef>
      <a:spPr>
        <a:solidFill>
          <a:schemeClr val="lt1"/>
        </a:solidFill>
        <a:ln w="6350">
          <a:solidFill>
            <a:schemeClr val="bg1">
              <a:lumMod val="65000"/>
            </a:schemeClr>
          </a:solid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HK DIR">
    <a:dk1>
      <a:sysClr val="windowText" lastClr="000000"/>
    </a:dk1>
    <a:lt1>
      <a:sysClr val="window" lastClr="FFFFFF"/>
    </a:lt1>
    <a:dk2>
      <a:srgbClr val="E72F72"/>
    </a:dk2>
    <a:lt2>
      <a:srgbClr val="E7E6E6"/>
    </a:lt2>
    <a:accent1>
      <a:srgbClr val="E72F72"/>
    </a:accent1>
    <a:accent2>
      <a:srgbClr val="0025A0"/>
    </a:accent2>
    <a:accent3>
      <a:srgbClr val="EA591D"/>
    </a:accent3>
    <a:accent4>
      <a:srgbClr val="630879"/>
    </a:accent4>
    <a:accent5>
      <a:srgbClr val="FF8C43"/>
    </a:accent5>
    <a:accent6>
      <a:srgbClr val="A80037"/>
    </a:accent6>
    <a:hlink>
      <a:srgbClr val="0563C1"/>
    </a:hlink>
    <a:folHlink>
      <a:srgbClr val="954F72"/>
    </a:folHlink>
  </a:clrScheme>
  <a:fontScheme name="Egendefinert 103">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0A5DDFC6FA03478571213EF5102D5A" ma:contentTypeVersion="26" ma:contentTypeDescription="Create a new document." ma:contentTypeScope="" ma:versionID="d4725d0a85acbc30ad30ad57904a0c08">
  <xsd:schema xmlns:xsd="http://www.w3.org/2001/XMLSchema" xmlns:xs="http://www.w3.org/2001/XMLSchema" xmlns:p="http://schemas.microsoft.com/office/2006/metadata/properties" xmlns:ns2="0ceb6b12-fb48-474e-a796-03b3a8a0c3ff" xmlns:ns3="f8ceb90b-b19b-421b-aa39-1955100b9c41" xmlns:ns4="6e31577e-0215-4a71-88e6-bb03c582c6ec" targetNamespace="http://schemas.microsoft.com/office/2006/metadata/properties" ma:root="true" ma:fieldsID="bc2799e666f6d2230e6b5a64c7f14b3e" ns2:_="" ns3:_="" ns4:_="">
    <xsd:import namespace="0ceb6b12-fb48-474e-a796-03b3a8a0c3ff"/>
    <xsd:import namespace="f8ceb90b-b19b-421b-aa39-1955100b9c41"/>
    <xsd:import namespace="6e31577e-0215-4a71-88e6-bb03c582c6ec"/>
    <xsd:element name="properties">
      <xsd:complexType>
        <xsd:sequence>
          <xsd:element name="documentManagement">
            <xsd:complexType>
              <xsd:all>
                <xsd:element ref="ns2:TaxKeywordTaxHTField" minOccurs="0"/>
                <xsd:element ref="ns3:TaxCatchAll" minOccurs="0"/>
                <xsd:element ref="ns4:Ekstern" minOccurs="0"/>
                <xsd:element ref="ns4:Arkivverdig" minOccurs="0"/>
                <xsd:element ref="ns4:Klassifisering" minOccurs="0"/>
                <xsd:element ref="ns4:MediaServiceMetadata" minOccurs="0"/>
                <xsd:element ref="ns4:MediaServiceFastMetadata" minOccurs="0"/>
                <xsd:element ref="ns2:SharedWithUsers" minOccurs="0"/>
                <xsd:element ref="ns2:SharedWithDetails"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MediaServiceOCR" minOccurs="0"/>
                <xsd:element ref="ns4:MediaServiceObjectDetectorVersions" minOccurs="0"/>
                <xsd:element ref="ns4:MediaServiceSearchPropertie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b6b12-fb48-474e-a796-03b3a8a0c3ff" elementFormDefault="qualified">
    <xsd:import namespace="http://schemas.microsoft.com/office/2006/documentManagement/types"/>
    <xsd:import namespace="http://schemas.microsoft.com/office/infopath/2007/PartnerControls"/>
    <xsd:element name="TaxKeywordTaxHTField" ma:index="5" nillable="true" ma:taxonomy="true" ma:internalName="TaxKeywordTaxHTField" ma:taxonomyFieldName="TaxKeyword" ma:displayName="Enterprise Keywords" ma:fieldId="{23f27201-bee3-471e-b2e7-b64fd8b7ca38}" ma:taxonomyMulti="true" ma:sspId="15a638eb-336d-4a77-9d4b-1a2ff8992301" ma:termSetId="00000000-0000-0000-0000-000000000000" ma:anchorId="00000000-0000-0000-0000-000000000000" ma:open="true" ma:isKeyword="true">
      <xsd:complexType>
        <xsd:sequence>
          <xsd:element ref="pc:Terms" minOccurs="0" maxOccurs="1"/>
        </xsd:sequence>
      </xsd:complexType>
    </xsd:element>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ceb90b-b19b-421b-aa39-1955100b9c41"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61c4e297-0f84-445c-b1ac-376bf3a244d9}" ma:internalName="TaxCatchAll" ma:showField="CatchAllData" ma:web="0ceb6b12-fb48-474e-a796-03b3a8a0c3f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31577e-0215-4a71-88e6-bb03c582c6ec" elementFormDefault="qualified">
    <xsd:import namespace="http://schemas.microsoft.com/office/2006/documentManagement/types"/>
    <xsd:import namespace="http://schemas.microsoft.com/office/infopath/2007/PartnerControls"/>
    <xsd:element name="Ekstern" ma:index="7" nillable="true" ma:displayName="Ekstern" ma:default="0" ma:internalName="Ekstern" ma:readOnly="false">
      <xsd:simpleType>
        <xsd:restriction base="dms:Boolean"/>
      </xsd:simpleType>
    </xsd:element>
    <xsd:element name="Arkivverdig" ma:index="8" nillable="true" ma:displayName="Arkivverdig" ma:default="0" ma:internalName="Arkivverdig" ma:readOnly="false">
      <xsd:simpleType>
        <xsd:restriction base="dms:Boolean"/>
      </xsd:simpleType>
    </xsd:element>
    <xsd:element name="Klassifisering" ma:index="9" nillable="true" ma:displayName="Klassifisering" ma:default="Intern" ma:format="Dropdown" ma:internalName="Klassifisering" ma:readOnly="false">
      <xsd:simpleType>
        <xsd:restriction base="dms:Choice">
          <xsd:enumeration value="Åpen"/>
          <xsd:enumeration value="Intern"/>
          <xsd:enumeration value="Fortrolig"/>
          <xsd:enumeration value="Strengt fortrolig"/>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15a638eb-336d-4a77-9d4b-1a2ff899230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blankdocument","templateDescription":"","enableDocumentContentUpdater":false,"version":"2.0"}]]></TemplafyTemplateConfiguratio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TaxKeywordTaxHTField xmlns="0ceb6b12-fb48-474e-a796-03b3a8a0c3ff">
      <Terms xmlns="http://schemas.microsoft.com/office/infopath/2007/PartnerControls"/>
    </TaxKeywordTaxHTField>
    <Arkivverdig xmlns="6e31577e-0215-4a71-88e6-bb03c582c6ec">false</Arkivverdig>
    <Klassifisering xmlns="6e31577e-0215-4a71-88e6-bb03c582c6ec">Intern</Klassifisering>
    <Ekstern xmlns="6e31577e-0215-4a71-88e6-bb03c582c6ec">false</Ekstern>
    <TaxCatchAll xmlns="f8ceb90b-b19b-421b-aa39-1955100b9c41" xsi:nil="true"/>
    <SharedWithUsers xmlns="0ceb6b12-fb48-474e-a796-03b3a8a0c3ff">
      <UserInfo>
        <DisplayName>Trude Holme</DisplayName>
        <AccountId>68</AccountId>
        <AccountType/>
      </UserInfo>
      <UserInfo>
        <DisplayName>Åsgeir Kjetland Rabben</DisplayName>
        <AccountId>375</AccountId>
        <AccountType/>
      </UserInfo>
      <UserInfo>
        <DisplayName>Arne Haugen</DisplayName>
        <AccountId>182</AccountId>
        <AccountType/>
      </UserInfo>
      <UserInfo>
        <DisplayName>Stig Helge Pedersen</DisplayName>
        <AccountId>64</AccountId>
        <AccountType/>
      </UserInfo>
      <UserInfo>
        <DisplayName>Magnus Fodstad Larsen</DisplayName>
        <AccountId>117</AccountId>
        <AccountType/>
      </UserInfo>
      <UserInfo>
        <DisplayName>Lene Krogh Baldersheim</DisplayName>
        <AccountId>81</AccountId>
        <AccountType/>
      </UserInfo>
      <UserInfo>
        <DisplayName>Herdis Kolle</DisplayName>
        <AccountId>96</AccountId>
        <AccountType/>
      </UserInfo>
      <UserInfo>
        <DisplayName>Vegard Furustøl Vibe</DisplayName>
        <AccountId>195</AccountId>
        <AccountType/>
      </UserInfo>
      <UserInfo>
        <DisplayName>Torstein Nielsen Hole</DisplayName>
        <AccountId>382</AccountId>
        <AccountType/>
      </UserInfo>
      <UserInfo>
        <DisplayName>Olena Tkachenko</DisplayName>
        <AccountId>162</AccountId>
        <AccountType/>
      </UserInfo>
      <UserInfo>
        <DisplayName>Merete Helle</DisplayName>
        <AccountId>364</AccountId>
        <AccountType/>
      </UserInfo>
      <UserInfo>
        <DisplayName>Therese H. Røst</DisplayName>
        <AccountId>67</AccountId>
        <AccountType/>
      </UserInfo>
      <UserInfo>
        <DisplayName>Vibecke Milde Fantoft</DisplayName>
        <AccountId>69</AccountId>
        <AccountType/>
      </UserInfo>
    </SharedWithUsers>
    <lcf76f155ced4ddcb4097134ff3c332f xmlns="6e31577e-0215-4a71-88e6-bb03c582c6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FAE8AE-5EEE-480C-A358-C276D6EC44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b6b12-fb48-474e-a796-03b3a8a0c3ff"/>
    <ds:schemaRef ds:uri="f8ceb90b-b19b-421b-aa39-1955100b9c41"/>
    <ds:schemaRef ds:uri="6e31577e-0215-4a71-88e6-bb03c582c6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04AE45A-43A0-4612-8FA3-7026C3667A2D}">
  <ds:schemaRefs/>
</ds:datastoreItem>
</file>

<file path=customXml/itemProps3.xml><?xml version="1.0" encoding="utf-8"?>
<ds:datastoreItem xmlns:ds="http://schemas.openxmlformats.org/officeDocument/2006/customXml" ds:itemID="{58F6F5A3-EB44-438D-AC9A-C675F424A025}">
  <ds:schemaRefs/>
</ds:datastoreItem>
</file>

<file path=customXml/itemProps4.xml><?xml version="1.0" encoding="utf-8"?>
<ds:datastoreItem xmlns:ds="http://schemas.openxmlformats.org/officeDocument/2006/customXml" ds:itemID="{0DA550C3-ADDB-4738-B841-05D0434A778A}">
  <ds:schemaRefs>
    <ds:schemaRef ds:uri="http://schemas.openxmlformats.org/officeDocument/2006/bibliography"/>
  </ds:schemaRefs>
</ds:datastoreItem>
</file>

<file path=customXml/itemProps5.xml><?xml version="1.0" encoding="utf-8"?>
<ds:datastoreItem xmlns:ds="http://schemas.openxmlformats.org/officeDocument/2006/customXml" ds:itemID="{816DC872-01AC-4FAA-AFC6-6059D9104153}">
  <ds:schemaRefs>
    <ds:schemaRef ds:uri="http://schemas.microsoft.com/sharepoint/v3/contenttype/forms"/>
  </ds:schemaRefs>
</ds:datastoreItem>
</file>

<file path=customXml/itemProps6.xml><?xml version="1.0" encoding="utf-8"?>
<ds:datastoreItem xmlns:ds="http://schemas.openxmlformats.org/officeDocument/2006/customXml" ds:itemID="{875B9355-706F-4AFB-8B67-2234F067AD85}">
  <ds:schemaRefs>
    <ds:schemaRef ds:uri="http://schemas.microsoft.com/office/2006/metadata/properties"/>
    <ds:schemaRef ds:uri="http://schemas.microsoft.com/office/infopath/2007/PartnerControls"/>
    <ds:schemaRef ds:uri="0ceb6b12-fb48-474e-a796-03b3a8a0c3ff"/>
    <ds:schemaRef ds:uri="6e31577e-0215-4a71-88e6-bb03c582c6ec"/>
    <ds:schemaRef ds:uri="f8ceb90b-b19b-421b-aa39-1955100b9c41"/>
  </ds:schemaRefs>
</ds:datastoreItem>
</file>

<file path=docProps/app.xml><?xml version="1.0" encoding="utf-8"?>
<Properties xmlns="http://schemas.openxmlformats.org/officeDocument/2006/extended-properties" xmlns:vt="http://schemas.openxmlformats.org/officeDocument/2006/docPropsVTypes">
  <Template>C:\Users\arne.haugen\HKdirektoratet\Tilstandsrapport høyere utdanning - Dokumenter\TRHU2024\Tekst\Mal\Wordmal_ikke endelig.dotx</Template>
  <TotalTime>2</TotalTime>
  <Pages>143</Pages>
  <Words>41753</Words>
  <Characters>225885</Characters>
  <Application>Microsoft Office Word</Application>
  <DocSecurity>0</DocSecurity>
  <Lines>9035</Lines>
  <Paragraphs>6690</Paragraphs>
  <ScaleCrop>false</ScaleCrop>
  <HeadingPairs>
    <vt:vector size="2" baseType="variant">
      <vt:variant>
        <vt:lpstr>Tittel</vt:lpstr>
      </vt:variant>
      <vt:variant>
        <vt:i4>1</vt:i4>
      </vt:variant>
    </vt:vector>
  </HeadingPairs>
  <TitlesOfParts>
    <vt:vector size="1" baseType="lpstr">
      <vt:lpstr>Tilstandsrapport for høyere utdanning 2024</vt:lpstr>
    </vt:vector>
  </TitlesOfParts>
  <Company/>
  <LinksUpToDate>false</LinksUpToDate>
  <CharactersWithSpaces>260948</CharactersWithSpaces>
  <SharedDoc>false</SharedDoc>
  <HLinks>
    <vt:vector size="726" baseType="variant">
      <vt:variant>
        <vt:i4>6291560</vt:i4>
      </vt:variant>
      <vt:variant>
        <vt:i4>1574</vt:i4>
      </vt:variant>
      <vt:variant>
        <vt:i4>0</vt:i4>
      </vt:variant>
      <vt:variant>
        <vt:i4>5</vt:i4>
      </vt:variant>
      <vt:variant>
        <vt:lpwstr>https://www.usn.no/getfile.php/13760751-1679060583/usn.no/om_USN/%C3%85rsrapport/%C3%85rsrapport_2022-2023.pdf</vt:lpwstr>
      </vt:variant>
      <vt:variant>
        <vt:lpwstr/>
      </vt:variant>
      <vt:variant>
        <vt:i4>7667747</vt:i4>
      </vt:variant>
      <vt:variant>
        <vt:i4>1571</vt:i4>
      </vt:variant>
      <vt:variant>
        <vt:i4>0</vt:i4>
      </vt:variant>
      <vt:variant>
        <vt:i4>5</vt:i4>
      </vt:variant>
      <vt:variant>
        <vt:lpwstr>https://www.uio.no/om/organisasjon/styret/moter/2024/02-06/i-sak-1-24-arbeid-med-midlertidighet-ved-universtetet-i-oslo.pdf</vt:lpwstr>
      </vt:variant>
      <vt:variant>
        <vt:lpwstr/>
      </vt:variant>
      <vt:variant>
        <vt:i4>3538985</vt:i4>
      </vt:variant>
      <vt:variant>
        <vt:i4>1568</vt:i4>
      </vt:variant>
      <vt:variant>
        <vt:i4>0</vt:i4>
      </vt:variant>
      <vt:variant>
        <vt:i4>5</vt:i4>
      </vt:variant>
      <vt:variant>
        <vt:lpwstr>https://www.uib.no/foransatte/117829/f%C3%A6rre-midlertidige-ansettelser</vt:lpwstr>
      </vt:variant>
      <vt:variant>
        <vt:lpwstr>fast-ansettelse-er-hovedregel-nbsp-</vt:lpwstr>
      </vt:variant>
      <vt:variant>
        <vt:i4>2818171</vt:i4>
      </vt:variant>
      <vt:variant>
        <vt:i4>1565</vt:i4>
      </vt:variant>
      <vt:variant>
        <vt:i4>0</vt:i4>
      </vt:variant>
      <vt:variant>
        <vt:i4>5</vt:i4>
      </vt:variant>
      <vt:variant>
        <vt:lpwstr>https://www.uia.no/media/files/om-uia/aarsrapport-2022-2023</vt:lpwstr>
      </vt:variant>
      <vt:variant>
        <vt:lpwstr/>
      </vt:variant>
      <vt:variant>
        <vt:i4>5898261</vt:i4>
      </vt:variant>
      <vt:variant>
        <vt:i4>1562</vt:i4>
      </vt:variant>
      <vt:variant>
        <vt:i4>0</vt:i4>
      </vt:variant>
      <vt:variant>
        <vt:i4>5</vt:i4>
      </vt:variant>
      <vt:variant>
        <vt:lpwstr>https://www.khrono.no/faktakampen-om-midlertidigheten/633923</vt:lpwstr>
      </vt:variant>
      <vt:variant>
        <vt:lpwstr/>
      </vt:variant>
      <vt:variant>
        <vt:i4>1835008</vt:i4>
      </vt:variant>
      <vt:variant>
        <vt:i4>1559</vt:i4>
      </vt:variant>
      <vt:variant>
        <vt:i4>0</vt:i4>
      </vt:variant>
      <vt:variant>
        <vt:i4>5</vt:i4>
      </vt:variant>
      <vt:variant>
        <vt:lpwstr>https://ideas2evidence.com/nb/publications/mellom-styring-og-marked-kartlegging-av-behovet-et-kunnskapsgrunnlag-dimensjonering-av</vt:lpwstr>
      </vt:variant>
      <vt:variant>
        <vt:lpwstr/>
      </vt:variant>
      <vt:variant>
        <vt:i4>2359401</vt:i4>
      </vt:variant>
      <vt:variant>
        <vt:i4>1556</vt:i4>
      </vt:variant>
      <vt:variant>
        <vt:i4>0</vt:i4>
      </vt:variant>
      <vt:variant>
        <vt:i4>5</vt:i4>
      </vt:variant>
      <vt:variant>
        <vt:lpwstr>https://www.nifu.no/publikasjoner/forskerhverdag-under-koronapandemien-resultater-fra-en-panelundersokelse-av-norske-forskere-2022/</vt:lpwstr>
      </vt:variant>
      <vt:variant>
        <vt:lpwstr/>
      </vt:variant>
      <vt:variant>
        <vt:i4>4849749</vt:i4>
      </vt:variant>
      <vt:variant>
        <vt:i4>1553</vt:i4>
      </vt:variant>
      <vt:variant>
        <vt:i4>0</vt:i4>
      </vt:variant>
      <vt:variant>
        <vt:i4>5</vt:i4>
      </vt:variant>
      <vt:variant>
        <vt:lpwstr>https://proba.no/rapport/analyse-av-ekstern-finansiering-og-midlertidighet-i-universitetsog-hoyskolesektoren/</vt:lpwstr>
      </vt:variant>
      <vt:variant>
        <vt:lpwstr/>
      </vt:variant>
      <vt:variant>
        <vt:i4>2359418</vt:i4>
      </vt:variant>
      <vt:variant>
        <vt:i4>1550</vt:i4>
      </vt:variant>
      <vt:variant>
        <vt:i4>0</vt:i4>
      </vt:variant>
      <vt:variant>
        <vt:i4>5</vt:i4>
      </vt:variant>
      <vt:variant>
        <vt:lpwstr>https://ansatt.oslomet.no/documents/585743/54495365/OsloMet_Aarsrapport_2022+.pdf/e56f1f4a-1e74-a85b-fbe6-542730226576?t=1682600003954</vt:lpwstr>
      </vt:variant>
      <vt:variant>
        <vt:lpwstr/>
      </vt:variant>
      <vt:variant>
        <vt:i4>3080252</vt:i4>
      </vt:variant>
      <vt:variant>
        <vt:i4>1547</vt:i4>
      </vt:variant>
      <vt:variant>
        <vt:i4>0</vt:i4>
      </vt:variant>
      <vt:variant>
        <vt:i4>5</vt:i4>
      </vt:variant>
      <vt:variant>
        <vt:lpwstr>https://www.regjeringen.no/contentassets/216ef613554042ccae0c127a6b3b3ac8/no/pdfs/nou201920190002000dddpdfs.pdf</vt:lpwstr>
      </vt:variant>
      <vt:variant>
        <vt:lpwstr/>
      </vt:variant>
      <vt:variant>
        <vt:i4>524360</vt:i4>
      </vt:variant>
      <vt:variant>
        <vt:i4>1544</vt:i4>
      </vt:variant>
      <vt:variant>
        <vt:i4>0</vt:i4>
      </vt:variant>
      <vt:variant>
        <vt:i4>5</vt:i4>
      </vt:variant>
      <vt:variant>
        <vt:lpwstr>https://www.nord.no/sites/default/files/2023-05/Arsrapport-2022-Nord-universitet.pdf</vt:lpwstr>
      </vt:variant>
      <vt:variant>
        <vt:lpwstr/>
      </vt:variant>
      <vt:variant>
        <vt:i4>5373971</vt:i4>
      </vt:variant>
      <vt:variant>
        <vt:i4>1541</vt:i4>
      </vt:variant>
      <vt:variant>
        <vt:i4>0</vt:i4>
      </vt:variant>
      <vt:variant>
        <vt:i4>5</vt:i4>
      </vt:variant>
      <vt:variant>
        <vt:lpwstr>https://www.nokut.no/globalassets/studiebarometeret/2024/hoyere-utdanning/studiebarometeret-2023_hovedtendenser_4-2024.pdf</vt:lpwstr>
      </vt:variant>
      <vt:variant>
        <vt:lpwstr/>
      </vt:variant>
      <vt:variant>
        <vt:i4>3080231</vt:i4>
      </vt:variant>
      <vt:variant>
        <vt:i4>1538</vt:i4>
      </vt:variant>
      <vt:variant>
        <vt:i4>0</vt:i4>
      </vt:variant>
      <vt:variant>
        <vt:i4>5</vt:i4>
      </vt:variant>
      <vt:variant>
        <vt:lpwstr>https://www.nokut.no/globalassets/studiebarometeret/2016/rom_for_mer_laring_2016.pdf</vt:lpwstr>
      </vt:variant>
      <vt:variant>
        <vt:lpwstr/>
      </vt:variant>
      <vt:variant>
        <vt:i4>5832706</vt:i4>
      </vt:variant>
      <vt:variant>
        <vt:i4>1535</vt:i4>
      </vt:variant>
      <vt:variant>
        <vt:i4>0</vt:i4>
      </vt:variant>
      <vt:variant>
        <vt:i4>5</vt:i4>
      </vt:variant>
      <vt:variant>
        <vt:lpwstr>https://www.khrono.no/daehlen-frafall-meninger/er-frafallet-i-hoyere-utdanning-et-sa-stort-problem-som-noen-vil-ha-det-til/406268</vt:lpwstr>
      </vt:variant>
      <vt:variant>
        <vt:lpwstr/>
      </vt:variant>
      <vt:variant>
        <vt:i4>1179690</vt:i4>
      </vt:variant>
      <vt:variant>
        <vt:i4>1532</vt:i4>
      </vt:variant>
      <vt:variant>
        <vt:i4>0</vt:i4>
      </vt:variant>
      <vt:variant>
        <vt:i4>5</vt:i4>
      </vt:variant>
      <vt:variant>
        <vt:lpwstr>https://www.nav.no/_/attachment/download/53351692-1196-4647-bee2-3055f8c81ed5:3b00bf572c1b9aa10ef9f0d10dbbc8a585329c88/NAVs bedriftsunders%C3%B8kelse 2023.pdf</vt:lpwstr>
      </vt:variant>
      <vt:variant>
        <vt:lpwstr/>
      </vt:variant>
      <vt:variant>
        <vt:i4>4456455</vt:i4>
      </vt:variant>
      <vt:variant>
        <vt:i4>1529</vt:i4>
      </vt:variant>
      <vt:variant>
        <vt:i4>0</vt:i4>
      </vt:variant>
      <vt:variant>
        <vt:i4>5</vt:i4>
      </vt:variant>
      <vt:variant>
        <vt:lpwstr>https://www.regjeringen.no/no/dokumenter/meld.-st.-25-20162017/id2545646/</vt:lpwstr>
      </vt:variant>
      <vt:variant>
        <vt:lpwstr/>
      </vt:variant>
      <vt:variant>
        <vt:i4>4325383</vt:i4>
      </vt:variant>
      <vt:variant>
        <vt:i4>1526</vt:i4>
      </vt:variant>
      <vt:variant>
        <vt:i4>0</vt:i4>
      </vt:variant>
      <vt:variant>
        <vt:i4>5</vt:i4>
      </vt:variant>
      <vt:variant>
        <vt:lpwstr>https://www.regjeringen.no/no/dokumenter/meld.-st.-20-20232024/id3032432/</vt:lpwstr>
      </vt:variant>
      <vt:variant>
        <vt:lpwstr/>
      </vt:variant>
      <vt:variant>
        <vt:i4>4653059</vt:i4>
      </vt:variant>
      <vt:variant>
        <vt:i4>1523</vt:i4>
      </vt:variant>
      <vt:variant>
        <vt:i4>0</vt:i4>
      </vt:variant>
      <vt:variant>
        <vt:i4>5</vt:i4>
      </vt:variant>
      <vt:variant>
        <vt:lpwstr>https://www.regjeringen.no/no/dokumenter/meld.-st.-16-20162017/id2536007/</vt:lpwstr>
      </vt:variant>
      <vt:variant>
        <vt:lpwstr/>
      </vt:variant>
      <vt:variant>
        <vt:i4>4128827</vt:i4>
      </vt:variant>
      <vt:variant>
        <vt:i4>1520</vt:i4>
      </vt:variant>
      <vt:variant>
        <vt:i4>0</vt:i4>
      </vt:variant>
      <vt:variant>
        <vt:i4>5</vt:i4>
      </vt:variant>
      <vt:variant>
        <vt:lpwstr>https://www.regjeringen.no/contentassets/aee30e4b7d3241d5bd89db69fe38f7ba/no/pdfs/stm201620170016000dddpdfs.pdf</vt:lpwstr>
      </vt:variant>
      <vt:variant>
        <vt:lpwstr/>
      </vt:variant>
      <vt:variant>
        <vt:i4>2293869</vt:i4>
      </vt:variant>
      <vt:variant>
        <vt:i4>1517</vt:i4>
      </vt:variant>
      <vt:variant>
        <vt:i4>0</vt:i4>
      </vt:variant>
      <vt:variant>
        <vt:i4>5</vt:i4>
      </vt:variant>
      <vt:variant>
        <vt:lpwstr>https://www.regjeringen.no/no/dokumenter/stmeld-nr-14-2008-2009-/id545749/</vt:lpwstr>
      </vt:variant>
      <vt:variant>
        <vt:lpwstr/>
      </vt:variant>
      <vt:variant>
        <vt:i4>4915212</vt:i4>
      </vt:variant>
      <vt:variant>
        <vt:i4>1514</vt:i4>
      </vt:variant>
      <vt:variant>
        <vt:i4>0</vt:i4>
      </vt:variant>
      <vt:variant>
        <vt:i4>5</vt:i4>
      </vt:variant>
      <vt:variant>
        <vt:lpwstr>https://www.regjeringen.no/no/dokumenter/meld.-st.-14-20222023/id2967608/</vt:lpwstr>
      </vt:variant>
      <vt:variant>
        <vt:lpwstr/>
      </vt:variant>
      <vt:variant>
        <vt:i4>4456455</vt:i4>
      </vt:variant>
      <vt:variant>
        <vt:i4>1511</vt:i4>
      </vt:variant>
      <vt:variant>
        <vt:i4>0</vt:i4>
      </vt:variant>
      <vt:variant>
        <vt:i4>5</vt:i4>
      </vt:variant>
      <vt:variant>
        <vt:lpwstr>https://www.regjeringen.no/no/dokumenter/meld.-st.-14-20192020/id2698284/</vt:lpwstr>
      </vt:variant>
      <vt:variant>
        <vt:lpwstr/>
      </vt:variant>
      <vt:variant>
        <vt:i4>5308431</vt:i4>
      </vt:variant>
      <vt:variant>
        <vt:i4>1508</vt:i4>
      </vt:variant>
      <vt:variant>
        <vt:i4>0</vt:i4>
      </vt:variant>
      <vt:variant>
        <vt:i4>5</vt:i4>
      </vt:variant>
      <vt:variant>
        <vt:lpwstr>https://www.regjeringen.no/no/dokumenter/meld.-st.-5-20192020/id2674349/</vt:lpwstr>
      </vt:variant>
      <vt:variant>
        <vt:lpwstr/>
      </vt:variant>
      <vt:variant>
        <vt:i4>7536688</vt:i4>
      </vt:variant>
      <vt:variant>
        <vt:i4>1505</vt:i4>
      </vt:variant>
      <vt:variant>
        <vt:i4>0</vt:i4>
      </vt:variant>
      <vt:variant>
        <vt:i4>5</vt:i4>
      </vt:variant>
      <vt:variant>
        <vt:lpwstr>https://doi.org/10.1093/scipol/scab024</vt:lpwstr>
      </vt:variant>
      <vt:variant>
        <vt:lpwstr/>
      </vt:variant>
      <vt:variant>
        <vt:i4>2162729</vt:i4>
      </vt:variant>
      <vt:variant>
        <vt:i4>1502</vt:i4>
      </vt:variant>
      <vt:variant>
        <vt:i4>0</vt:i4>
      </vt:variant>
      <vt:variant>
        <vt:i4>5</vt:i4>
      </vt:variant>
      <vt:variant>
        <vt:lpwstr>https://www.regjeringen.no/contentassets/31af8e2c3a224ac2829e48cc91d89083/v3.-orientering-om-statsbudsjettet-2024-for-universitet-og-hogskular.pdf</vt:lpwstr>
      </vt:variant>
      <vt:variant>
        <vt:lpwstr/>
      </vt:variant>
      <vt:variant>
        <vt:i4>655367</vt:i4>
      </vt:variant>
      <vt:variant>
        <vt:i4>1499</vt:i4>
      </vt:variant>
      <vt:variant>
        <vt:i4>0</vt:i4>
      </vt:variant>
      <vt:variant>
        <vt:i4>5</vt:i4>
      </vt:variant>
      <vt:variant>
        <vt:lpwstr>https://www.regjeringen.no/contentassets/c151afba427f446b8aa44aa1a673e6d6/no/pdfs/kd-strategi-digital-omstilling.pdf</vt:lpwstr>
      </vt:variant>
      <vt:variant>
        <vt:lpwstr/>
      </vt:variant>
      <vt:variant>
        <vt:i4>7798840</vt:i4>
      </vt:variant>
      <vt:variant>
        <vt:i4>1496</vt:i4>
      </vt:variant>
      <vt:variant>
        <vt:i4>0</vt:i4>
      </vt:variant>
      <vt:variant>
        <vt:i4>5</vt:i4>
      </vt:variant>
      <vt:variant>
        <vt:lpwstr>https://nifu.brage.unit.no/nifu-xmlui/handle/11250/3117072</vt:lpwstr>
      </vt:variant>
      <vt:variant>
        <vt:lpwstr/>
      </vt:variant>
      <vt:variant>
        <vt:i4>3145811</vt:i4>
      </vt:variant>
      <vt:variant>
        <vt:i4>1493</vt:i4>
      </vt:variant>
      <vt:variant>
        <vt:i4>0</vt:i4>
      </vt:variant>
      <vt:variant>
        <vt:i4>5</vt:i4>
      </vt:variant>
      <vt:variant>
        <vt:lpwstr>https://www.ssb.no/arbeid-og-lonn/sysselsetting/artikler/arbeidsmarkedet-for-helsepersonell-fram-mot-2040/_/attachment/inline/487396f0-0469-49de-8b79-092941ac346f:9861f0cf62d33b5643028f02e0e8f7c22f80a709/RAPP2023-02.pdf</vt:lpwstr>
      </vt:variant>
      <vt:variant>
        <vt:lpwstr/>
      </vt:variant>
      <vt:variant>
        <vt:i4>1441823</vt:i4>
      </vt:variant>
      <vt:variant>
        <vt:i4>1490</vt:i4>
      </vt:variant>
      <vt:variant>
        <vt:i4>0</vt:i4>
      </vt:variant>
      <vt:variant>
        <vt:i4>5</vt:i4>
      </vt:variant>
      <vt:variant>
        <vt:lpwstr>https://www.hvl.no/globalassets/hvl-internett/dokument/rapport/hvl_arsrapport_2022.pdf</vt:lpwstr>
      </vt:variant>
      <vt:variant>
        <vt:lpwstr/>
      </vt:variant>
      <vt:variant>
        <vt:i4>1966100</vt:i4>
      </vt:variant>
      <vt:variant>
        <vt:i4>1487</vt:i4>
      </vt:variant>
      <vt:variant>
        <vt:i4>0</vt:i4>
      </vt:variant>
      <vt:variant>
        <vt:i4>5</vt:i4>
      </vt:variant>
      <vt:variant>
        <vt:lpwstr>https://kudos.dfo.no/documents/33329/files/29689.pdf</vt:lpwstr>
      </vt:variant>
      <vt:variant>
        <vt:lpwstr/>
      </vt:variant>
      <vt:variant>
        <vt:i4>524364</vt:i4>
      </vt:variant>
      <vt:variant>
        <vt:i4>1484</vt:i4>
      </vt:variant>
      <vt:variant>
        <vt:i4>0</vt:i4>
      </vt:variant>
      <vt:variant>
        <vt:i4>5</vt:i4>
      </vt:variant>
      <vt:variant>
        <vt:lpwstr>https://www.inn.no/om-hogskolen/organisering/styringsdokumenter/hinn-aarsrapport-2022.pdf</vt:lpwstr>
      </vt:variant>
      <vt:variant>
        <vt:lpwstr/>
      </vt:variant>
      <vt:variant>
        <vt:i4>7864424</vt:i4>
      </vt:variant>
      <vt:variant>
        <vt:i4>1481</vt:i4>
      </vt:variant>
      <vt:variant>
        <vt:i4>0</vt:i4>
      </vt:variant>
      <vt:variant>
        <vt:i4>5</vt:i4>
      </vt:variant>
      <vt:variant>
        <vt:lpwstr>https://www.inn.no/om-hogskolen/kvalitetssystem-for-utdanning/dokumentasjon/kvalitetsrapport-for-utdanning/2021_kvalitetsrapport_hinn.pdf</vt:lpwstr>
      </vt:variant>
      <vt:variant>
        <vt:lpwstr/>
      </vt:variant>
      <vt:variant>
        <vt:i4>8257591</vt:i4>
      </vt:variant>
      <vt:variant>
        <vt:i4>1478</vt:i4>
      </vt:variant>
      <vt:variant>
        <vt:i4>0</vt:i4>
      </vt:variant>
      <vt:variant>
        <vt:i4>5</vt:i4>
      </vt:variant>
      <vt:variant>
        <vt:lpwstr>https://nifu.brage.unit.no/nifu-xmlui/handle/11250/2432088</vt:lpwstr>
      </vt:variant>
      <vt:variant>
        <vt:lpwstr/>
      </vt:variant>
      <vt:variant>
        <vt:i4>3145789</vt:i4>
      </vt:variant>
      <vt:variant>
        <vt:i4>1475</vt:i4>
      </vt:variant>
      <vt:variant>
        <vt:i4>0</vt:i4>
      </vt:variant>
      <vt:variant>
        <vt:i4>5</vt:i4>
      </vt:variant>
      <vt:variant>
        <vt:lpwstr>https://hkdir.no/rapporter-undersokelser-og-statistikk/digital-omstilling-i-uh-sektoren-status-muligheter-og-utfordringer-2023</vt:lpwstr>
      </vt:variant>
      <vt:variant>
        <vt:lpwstr/>
      </vt:variant>
      <vt:variant>
        <vt:i4>85</vt:i4>
      </vt:variant>
      <vt:variant>
        <vt:i4>1472</vt:i4>
      </vt:variant>
      <vt:variant>
        <vt:i4>0</vt:i4>
      </vt:variant>
      <vt:variant>
        <vt:i4>5</vt:i4>
      </vt:variant>
      <vt:variant>
        <vt:lpwstr>https://hkdir.no/rapporter-undersokelser-og-statistikk/framtidige-kompetansebehov-kunnskapsgrunnlag-for-kompetansepolitikken-2023</vt:lpwstr>
      </vt:variant>
      <vt:variant>
        <vt:lpwstr/>
      </vt:variant>
      <vt:variant>
        <vt:i4>3473462</vt:i4>
      </vt:variant>
      <vt:variant>
        <vt:i4>1469</vt:i4>
      </vt:variant>
      <vt:variant>
        <vt:i4>0</vt:i4>
      </vt:variant>
      <vt:variant>
        <vt:i4>5</vt:i4>
      </vt:variant>
      <vt:variant>
        <vt:lpwstr>https://hkdir.no/rapporter-undersokelser-og-statistikk/fleksible-profesjonsutdanninger-en-undersokelse-av-studietilbud-og-studenter</vt:lpwstr>
      </vt:variant>
      <vt:variant>
        <vt:lpwstr/>
      </vt:variant>
      <vt:variant>
        <vt:i4>2293864</vt:i4>
      </vt:variant>
      <vt:variant>
        <vt:i4>1466</vt:i4>
      </vt:variant>
      <vt:variant>
        <vt:i4>0</vt:i4>
      </vt:variant>
      <vt:variant>
        <vt:i4>5</vt:i4>
      </vt:variant>
      <vt:variant>
        <vt:lpwstr>https://vedlegg.hkdir.no/TRHU/2022</vt:lpwstr>
      </vt:variant>
      <vt:variant>
        <vt:lpwstr/>
      </vt:variant>
      <vt:variant>
        <vt:i4>3735670</vt:i4>
      </vt:variant>
      <vt:variant>
        <vt:i4>1463</vt:i4>
      </vt:variant>
      <vt:variant>
        <vt:i4>0</vt:i4>
      </vt:variant>
      <vt:variant>
        <vt:i4>5</vt:i4>
      </vt:variant>
      <vt:variant>
        <vt:lpwstr>https://erasmuspluss.no/rapporter-undersokelser-og-statistikk/erasmus-i-norsk-hoyere-utdanning-2022</vt:lpwstr>
      </vt:variant>
      <vt:variant>
        <vt:lpwstr/>
      </vt:variant>
      <vt:variant>
        <vt:i4>2293866</vt:i4>
      </vt:variant>
      <vt:variant>
        <vt:i4>1460</vt:i4>
      </vt:variant>
      <vt:variant>
        <vt:i4>0</vt:i4>
      </vt:variant>
      <vt:variant>
        <vt:i4>5</vt:i4>
      </vt:variant>
      <vt:variant>
        <vt:lpwstr>https://hkdir.no/rapporter-undersokelser-og-statistikk/avtalelengder-og-tidsbruk-i-ph-d-utdanninga</vt:lpwstr>
      </vt:variant>
      <vt:variant>
        <vt:lpwstr/>
      </vt:variant>
      <vt:variant>
        <vt:i4>5046292</vt:i4>
      </vt:variant>
      <vt:variant>
        <vt:i4>1457</vt:i4>
      </vt:variant>
      <vt:variant>
        <vt:i4>0</vt:i4>
      </vt:variant>
      <vt:variant>
        <vt:i4>5</vt:i4>
      </vt:variant>
      <vt:variant>
        <vt:lpwstr>https://www.ssb.no/utdanning/utdanningsniva/artikler/slik-henger-utdanning-sammen-med-foreldrenes-utdanningsniva</vt:lpwstr>
      </vt:variant>
      <vt:variant>
        <vt:lpwstr/>
      </vt:variant>
      <vt:variant>
        <vt:i4>7733292</vt:i4>
      </vt:variant>
      <vt:variant>
        <vt:i4>1454</vt:i4>
      </vt:variant>
      <vt:variant>
        <vt:i4>0</vt:i4>
      </vt:variant>
      <vt:variant>
        <vt:i4>5</vt:i4>
      </vt:variant>
      <vt:variant>
        <vt:lpwstr>https://www.forskningsradet.no/indikatorrapporten/indikatorrapporten-dokument/</vt:lpwstr>
      </vt:variant>
      <vt:variant>
        <vt:lpwstr/>
      </vt:variant>
      <vt:variant>
        <vt:i4>6684746</vt:i4>
      </vt:variant>
      <vt:variant>
        <vt:i4>1451</vt:i4>
      </vt:variant>
      <vt:variant>
        <vt:i4>0</vt:i4>
      </vt:variant>
      <vt:variant>
        <vt:i4>5</vt:i4>
      </vt:variant>
      <vt:variant>
        <vt:lpwstr>https://database.eurostudent.eu/drm/?eust_nr=7&amp;e=time_budget_all&amp;fg=e_age&amp;country_list=NO&amp;Curr=NCU</vt:lpwstr>
      </vt:variant>
      <vt:variant>
        <vt:lpwstr/>
      </vt:variant>
      <vt:variant>
        <vt:i4>7471186</vt:i4>
      </vt:variant>
      <vt:variant>
        <vt:i4>1448</vt:i4>
      </vt:variant>
      <vt:variant>
        <vt:i4>0</vt:i4>
      </vt:variant>
      <vt:variant>
        <vt:i4>5</vt:i4>
      </vt:variant>
      <vt:variant>
        <vt:lpwstr>https://www.ssb.no/nasjonalregnskap-og-konjunkturer/konjunkturer/artikler/utfordringer-for-lonnsdannelsen-og-norsk-okonomi/_/attachment/inline/8f6c764d-e7f8-4253-9551-88cc187468ce:03fe13c797378730d261d421f952b844f7c33729/RAPP2023-47.pdf</vt:lpwstr>
      </vt:variant>
      <vt:variant>
        <vt:lpwstr/>
      </vt:variant>
      <vt:variant>
        <vt:i4>1572926</vt:i4>
      </vt:variant>
      <vt:variant>
        <vt:i4>443</vt:i4>
      </vt:variant>
      <vt:variant>
        <vt:i4>0</vt:i4>
      </vt:variant>
      <vt:variant>
        <vt:i4>5</vt:i4>
      </vt:variant>
      <vt:variant>
        <vt:lpwstr/>
      </vt:variant>
      <vt:variant>
        <vt:lpwstr>_Toc163488457</vt:lpwstr>
      </vt:variant>
      <vt:variant>
        <vt:i4>1572926</vt:i4>
      </vt:variant>
      <vt:variant>
        <vt:i4>437</vt:i4>
      </vt:variant>
      <vt:variant>
        <vt:i4>0</vt:i4>
      </vt:variant>
      <vt:variant>
        <vt:i4>5</vt:i4>
      </vt:variant>
      <vt:variant>
        <vt:lpwstr/>
      </vt:variant>
      <vt:variant>
        <vt:lpwstr>_Toc163488456</vt:lpwstr>
      </vt:variant>
      <vt:variant>
        <vt:i4>1572926</vt:i4>
      </vt:variant>
      <vt:variant>
        <vt:i4>431</vt:i4>
      </vt:variant>
      <vt:variant>
        <vt:i4>0</vt:i4>
      </vt:variant>
      <vt:variant>
        <vt:i4>5</vt:i4>
      </vt:variant>
      <vt:variant>
        <vt:lpwstr/>
      </vt:variant>
      <vt:variant>
        <vt:lpwstr>_Toc163488455</vt:lpwstr>
      </vt:variant>
      <vt:variant>
        <vt:i4>1572926</vt:i4>
      </vt:variant>
      <vt:variant>
        <vt:i4>425</vt:i4>
      </vt:variant>
      <vt:variant>
        <vt:i4>0</vt:i4>
      </vt:variant>
      <vt:variant>
        <vt:i4>5</vt:i4>
      </vt:variant>
      <vt:variant>
        <vt:lpwstr/>
      </vt:variant>
      <vt:variant>
        <vt:lpwstr>_Toc163488454</vt:lpwstr>
      </vt:variant>
      <vt:variant>
        <vt:i4>1572926</vt:i4>
      </vt:variant>
      <vt:variant>
        <vt:i4>419</vt:i4>
      </vt:variant>
      <vt:variant>
        <vt:i4>0</vt:i4>
      </vt:variant>
      <vt:variant>
        <vt:i4>5</vt:i4>
      </vt:variant>
      <vt:variant>
        <vt:lpwstr/>
      </vt:variant>
      <vt:variant>
        <vt:lpwstr>_Toc163488453</vt:lpwstr>
      </vt:variant>
      <vt:variant>
        <vt:i4>1572926</vt:i4>
      </vt:variant>
      <vt:variant>
        <vt:i4>413</vt:i4>
      </vt:variant>
      <vt:variant>
        <vt:i4>0</vt:i4>
      </vt:variant>
      <vt:variant>
        <vt:i4>5</vt:i4>
      </vt:variant>
      <vt:variant>
        <vt:lpwstr/>
      </vt:variant>
      <vt:variant>
        <vt:lpwstr>_Toc163488452</vt:lpwstr>
      </vt:variant>
      <vt:variant>
        <vt:i4>1572926</vt:i4>
      </vt:variant>
      <vt:variant>
        <vt:i4>407</vt:i4>
      </vt:variant>
      <vt:variant>
        <vt:i4>0</vt:i4>
      </vt:variant>
      <vt:variant>
        <vt:i4>5</vt:i4>
      </vt:variant>
      <vt:variant>
        <vt:lpwstr/>
      </vt:variant>
      <vt:variant>
        <vt:lpwstr>_Toc163488451</vt:lpwstr>
      </vt:variant>
      <vt:variant>
        <vt:i4>1572926</vt:i4>
      </vt:variant>
      <vt:variant>
        <vt:i4>401</vt:i4>
      </vt:variant>
      <vt:variant>
        <vt:i4>0</vt:i4>
      </vt:variant>
      <vt:variant>
        <vt:i4>5</vt:i4>
      </vt:variant>
      <vt:variant>
        <vt:lpwstr/>
      </vt:variant>
      <vt:variant>
        <vt:lpwstr>_Toc163488450</vt:lpwstr>
      </vt:variant>
      <vt:variant>
        <vt:i4>1638462</vt:i4>
      </vt:variant>
      <vt:variant>
        <vt:i4>395</vt:i4>
      </vt:variant>
      <vt:variant>
        <vt:i4>0</vt:i4>
      </vt:variant>
      <vt:variant>
        <vt:i4>5</vt:i4>
      </vt:variant>
      <vt:variant>
        <vt:lpwstr/>
      </vt:variant>
      <vt:variant>
        <vt:lpwstr>_Toc163488449</vt:lpwstr>
      </vt:variant>
      <vt:variant>
        <vt:i4>1638462</vt:i4>
      </vt:variant>
      <vt:variant>
        <vt:i4>389</vt:i4>
      </vt:variant>
      <vt:variant>
        <vt:i4>0</vt:i4>
      </vt:variant>
      <vt:variant>
        <vt:i4>5</vt:i4>
      </vt:variant>
      <vt:variant>
        <vt:lpwstr/>
      </vt:variant>
      <vt:variant>
        <vt:lpwstr>_Toc163488448</vt:lpwstr>
      </vt:variant>
      <vt:variant>
        <vt:i4>1638462</vt:i4>
      </vt:variant>
      <vt:variant>
        <vt:i4>383</vt:i4>
      </vt:variant>
      <vt:variant>
        <vt:i4>0</vt:i4>
      </vt:variant>
      <vt:variant>
        <vt:i4>5</vt:i4>
      </vt:variant>
      <vt:variant>
        <vt:lpwstr/>
      </vt:variant>
      <vt:variant>
        <vt:lpwstr>_Toc163488447</vt:lpwstr>
      </vt:variant>
      <vt:variant>
        <vt:i4>1638462</vt:i4>
      </vt:variant>
      <vt:variant>
        <vt:i4>377</vt:i4>
      </vt:variant>
      <vt:variant>
        <vt:i4>0</vt:i4>
      </vt:variant>
      <vt:variant>
        <vt:i4>5</vt:i4>
      </vt:variant>
      <vt:variant>
        <vt:lpwstr/>
      </vt:variant>
      <vt:variant>
        <vt:lpwstr>_Toc163488446</vt:lpwstr>
      </vt:variant>
      <vt:variant>
        <vt:i4>1638462</vt:i4>
      </vt:variant>
      <vt:variant>
        <vt:i4>371</vt:i4>
      </vt:variant>
      <vt:variant>
        <vt:i4>0</vt:i4>
      </vt:variant>
      <vt:variant>
        <vt:i4>5</vt:i4>
      </vt:variant>
      <vt:variant>
        <vt:lpwstr/>
      </vt:variant>
      <vt:variant>
        <vt:lpwstr>_Toc163488445</vt:lpwstr>
      </vt:variant>
      <vt:variant>
        <vt:i4>1638462</vt:i4>
      </vt:variant>
      <vt:variant>
        <vt:i4>365</vt:i4>
      </vt:variant>
      <vt:variant>
        <vt:i4>0</vt:i4>
      </vt:variant>
      <vt:variant>
        <vt:i4>5</vt:i4>
      </vt:variant>
      <vt:variant>
        <vt:lpwstr/>
      </vt:variant>
      <vt:variant>
        <vt:lpwstr>_Toc163488444</vt:lpwstr>
      </vt:variant>
      <vt:variant>
        <vt:i4>1638462</vt:i4>
      </vt:variant>
      <vt:variant>
        <vt:i4>359</vt:i4>
      </vt:variant>
      <vt:variant>
        <vt:i4>0</vt:i4>
      </vt:variant>
      <vt:variant>
        <vt:i4>5</vt:i4>
      </vt:variant>
      <vt:variant>
        <vt:lpwstr/>
      </vt:variant>
      <vt:variant>
        <vt:lpwstr>_Toc163488443</vt:lpwstr>
      </vt:variant>
      <vt:variant>
        <vt:i4>1638462</vt:i4>
      </vt:variant>
      <vt:variant>
        <vt:i4>353</vt:i4>
      </vt:variant>
      <vt:variant>
        <vt:i4>0</vt:i4>
      </vt:variant>
      <vt:variant>
        <vt:i4>5</vt:i4>
      </vt:variant>
      <vt:variant>
        <vt:lpwstr/>
      </vt:variant>
      <vt:variant>
        <vt:lpwstr>_Toc163488442</vt:lpwstr>
      </vt:variant>
      <vt:variant>
        <vt:i4>1638462</vt:i4>
      </vt:variant>
      <vt:variant>
        <vt:i4>347</vt:i4>
      </vt:variant>
      <vt:variant>
        <vt:i4>0</vt:i4>
      </vt:variant>
      <vt:variant>
        <vt:i4>5</vt:i4>
      </vt:variant>
      <vt:variant>
        <vt:lpwstr/>
      </vt:variant>
      <vt:variant>
        <vt:lpwstr>_Toc163488441</vt:lpwstr>
      </vt:variant>
      <vt:variant>
        <vt:i4>1638462</vt:i4>
      </vt:variant>
      <vt:variant>
        <vt:i4>341</vt:i4>
      </vt:variant>
      <vt:variant>
        <vt:i4>0</vt:i4>
      </vt:variant>
      <vt:variant>
        <vt:i4>5</vt:i4>
      </vt:variant>
      <vt:variant>
        <vt:lpwstr/>
      </vt:variant>
      <vt:variant>
        <vt:lpwstr>_Toc163488440</vt:lpwstr>
      </vt:variant>
      <vt:variant>
        <vt:i4>1966142</vt:i4>
      </vt:variant>
      <vt:variant>
        <vt:i4>335</vt:i4>
      </vt:variant>
      <vt:variant>
        <vt:i4>0</vt:i4>
      </vt:variant>
      <vt:variant>
        <vt:i4>5</vt:i4>
      </vt:variant>
      <vt:variant>
        <vt:lpwstr/>
      </vt:variant>
      <vt:variant>
        <vt:lpwstr>_Toc163488439</vt:lpwstr>
      </vt:variant>
      <vt:variant>
        <vt:i4>1966142</vt:i4>
      </vt:variant>
      <vt:variant>
        <vt:i4>329</vt:i4>
      </vt:variant>
      <vt:variant>
        <vt:i4>0</vt:i4>
      </vt:variant>
      <vt:variant>
        <vt:i4>5</vt:i4>
      </vt:variant>
      <vt:variant>
        <vt:lpwstr/>
      </vt:variant>
      <vt:variant>
        <vt:lpwstr>_Toc163488438</vt:lpwstr>
      </vt:variant>
      <vt:variant>
        <vt:i4>1966142</vt:i4>
      </vt:variant>
      <vt:variant>
        <vt:i4>323</vt:i4>
      </vt:variant>
      <vt:variant>
        <vt:i4>0</vt:i4>
      </vt:variant>
      <vt:variant>
        <vt:i4>5</vt:i4>
      </vt:variant>
      <vt:variant>
        <vt:lpwstr/>
      </vt:variant>
      <vt:variant>
        <vt:lpwstr>_Toc163488437</vt:lpwstr>
      </vt:variant>
      <vt:variant>
        <vt:i4>1966142</vt:i4>
      </vt:variant>
      <vt:variant>
        <vt:i4>317</vt:i4>
      </vt:variant>
      <vt:variant>
        <vt:i4>0</vt:i4>
      </vt:variant>
      <vt:variant>
        <vt:i4>5</vt:i4>
      </vt:variant>
      <vt:variant>
        <vt:lpwstr/>
      </vt:variant>
      <vt:variant>
        <vt:lpwstr>_Toc163488436</vt:lpwstr>
      </vt:variant>
      <vt:variant>
        <vt:i4>1966142</vt:i4>
      </vt:variant>
      <vt:variant>
        <vt:i4>311</vt:i4>
      </vt:variant>
      <vt:variant>
        <vt:i4>0</vt:i4>
      </vt:variant>
      <vt:variant>
        <vt:i4>5</vt:i4>
      </vt:variant>
      <vt:variant>
        <vt:lpwstr/>
      </vt:variant>
      <vt:variant>
        <vt:lpwstr>_Toc163488435</vt:lpwstr>
      </vt:variant>
      <vt:variant>
        <vt:i4>1966142</vt:i4>
      </vt:variant>
      <vt:variant>
        <vt:i4>305</vt:i4>
      </vt:variant>
      <vt:variant>
        <vt:i4>0</vt:i4>
      </vt:variant>
      <vt:variant>
        <vt:i4>5</vt:i4>
      </vt:variant>
      <vt:variant>
        <vt:lpwstr/>
      </vt:variant>
      <vt:variant>
        <vt:lpwstr>_Toc163488434</vt:lpwstr>
      </vt:variant>
      <vt:variant>
        <vt:i4>1966142</vt:i4>
      </vt:variant>
      <vt:variant>
        <vt:i4>299</vt:i4>
      </vt:variant>
      <vt:variant>
        <vt:i4>0</vt:i4>
      </vt:variant>
      <vt:variant>
        <vt:i4>5</vt:i4>
      </vt:variant>
      <vt:variant>
        <vt:lpwstr/>
      </vt:variant>
      <vt:variant>
        <vt:lpwstr>_Toc163488433</vt:lpwstr>
      </vt:variant>
      <vt:variant>
        <vt:i4>1966142</vt:i4>
      </vt:variant>
      <vt:variant>
        <vt:i4>293</vt:i4>
      </vt:variant>
      <vt:variant>
        <vt:i4>0</vt:i4>
      </vt:variant>
      <vt:variant>
        <vt:i4>5</vt:i4>
      </vt:variant>
      <vt:variant>
        <vt:lpwstr/>
      </vt:variant>
      <vt:variant>
        <vt:lpwstr>_Toc163488432</vt:lpwstr>
      </vt:variant>
      <vt:variant>
        <vt:i4>1966142</vt:i4>
      </vt:variant>
      <vt:variant>
        <vt:i4>287</vt:i4>
      </vt:variant>
      <vt:variant>
        <vt:i4>0</vt:i4>
      </vt:variant>
      <vt:variant>
        <vt:i4>5</vt:i4>
      </vt:variant>
      <vt:variant>
        <vt:lpwstr/>
      </vt:variant>
      <vt:variant>
        <vt:lpwstr>_Toc163488431</vt:lpwstr>
      </vt:variant>
      <vt:variant>
        <vt:i4>1966142</vt:i4>
      </vt:variant>
      <vt:variant>
        <vt:i4>281</vt:i4>
      </vt:variant>
      <vt:variant>
        <vt:i4>0</vt:i4>
      </vt:variant>
      <vt:variant>
        <vt:i4>5</vt:i4>
      </vt:variant>
      <vt:variant>
        <vt:lpwstr/>
      </vt:variant>
      <vt:variant>
        <vt:lpwstr>_Toc163488430</vt:lpwstr>
      </vt:variant>
      <vt:variant>
        <vt:i4>2031678</vt:i4>
      </vt:variant>
      <vt:variant>
        <vt:i4>275</vt:i4>
      </vt:variant>
      <vt:variant>
        <vt:i4>0</vt:i4>
      </vt:variant>
      <vt:variant>
        <vt:i4>5</vt:i4>
      </vt:variant>
      <vt:variant>
        <vt:lpwstr/>
      </vt:variant>
      <vt:variant>
        <vt:lpwstr>_Toc163488429</vt:lpwstr>
      </vt:variant>
      <vt:variant>
        <vt:i4>2031678</vt:i4>
      </vt:variant>
      <vt:variant>
        <vt:i4>269</vt:i4>
      </vt:variant>
      <vt:variant>
        <vt:i4>0</vt:i4>
      </vt:variant>
      <vt:variant>
        <vt:i4>5</vt:i4>
      </vt:variant>
      <vt:variant>
        <vt:lpwstr/>
      </vt:variant>
      <vt:variant>
        <vt:lpwstr>_Toc163488428</vt:lpwstr>
      </vt:variant>
      <vt:variant>
        <vt:i4>2031678</vt:i4>
      </vt:variant>
      <vt:variant>
        <vt:i4>263</vt:i4>
      </vt:variant>
      <vt:variant>
        <vt:i4>0</vt:i4>
      </vt:variant>
      <vt:variant>
        <vt:i4>5</vt:i4>
      </vt:variant>
      <vt:variant>
        <vt:lpwstr/>
      </vt:variant>
      <vt:variant>
        <vt:lpwstr>_Toc163488427</vt:lpwstr>
      </vt:variant>
      <vt:variant>
        <vt:i4>2031678</vt:i4>
      </vt:variant>
      <vt:variant>
        <vt:i4>257</vt:i4>
      </vt:variant>
      <vt:variant>
        <vt:i4>0</vt:i4>
      </vt:variant>
      <vt:variant>
        <vt:i4>5</vt:i4>
      </vt:variant>
      <vt:variant>
        <vt:lpwstr/>
      </vt:variant>
      <vt:variant>
        <vt:lpwstr>_Toc163488426</vt:lpwstr>
      </vt:variant>
      <vt:variant>
        <vt:i4>2031678</vt:i4>
      </vt:variant>
      <vt:variant>
        <vt:i4>251</vt:i4>
      </vt:variant>
      <vt:variant>
        <vt:i4>0</vt:i4>
      </vt:variant>
      <vt:variant>
        <vt:i4>5</vt:i4>
      </vt:variant>
      <vt:variant>
        <vt:lpwstr/>
      </vt:variant>
      <vt:variant>
        <vt:lpwstr>_Toc163488425</vt:lpwstr>
      </vt:variant>
      <vt:variant>
        <vt:i4>2031678</vt:i4>
      </vt:variant>
      <vt:variant>
        <vt:i4>245</vt:i4>
      </vt:variant>
      <vt:variant>
        <vt:i4>0</vt:i4>
      </vt:variant>
      <vt:variant>
        <vt:i4>5</vt:i4>
      </vt:variant>
      <vt:variant>
        <vt:lpwstr/>
      </vt:variant>
      <vt:variant>
        <vt:lpwstr>_Toc163488424</vt:lpwstr>
      </vt:variant>
      <vt:variant>
        <vt:i4>2031678</vt:i4>
      </vt:variant>
      <vt:variant>
        <vt:i4>239</vt:i4>
      </vt:variant>
      <vt:variant>
        <vt:i4>0</vt:i4>
      </vt:variant>
      <vt:variant>
        <vt:i4>5</vt:i4>
      </vt:variant>
      <vt:variant>
        <vt:lpwstr/>
      </vt:variant>
      <vt:variant>
        <vt:lpwstr>_Toc163488423</vt:lpwstr>
      </vt:variant>
      <vt:variant>
        <vt:i4>2031678</vt:i4>
      </vt:variant>
      <vt:variant>
        <vt:i4>233</vt:i4>
      </vt:variant>
      <vt:variant>
        <vt:i4>0</vt:i4>
      </vt:variant>
      <vt:variant>
        <vt:i4>5</vt:i4>
      </vt:variant>
      <vt:variant>
        <vt:lpwstr/>
      </vt:variant>
      <vt:variant>
        <vt:lpwstr>_Toc163488422</vt:lpwstr>
      </vt:variant>
      <vt:variant>
        <vt:i4>2031678</vt:i4>
      </vt:variant>
      <vt:variant>
        <vt:i4>227</vt:i4>
      </vt:variant>
      <vt:variant>
        <vt:i4>0</vt:i4>
      </vt:variant>
      <vt:variant>
        <vt:i4>5</vt:i4>
      </vt:variant>
      <vt:variant>
        <vt:lpwstr/>
      </vt:variant>
      <vt:variant>
        <vt:lpwstr>_Toc163488421</vt:lpwstr>
      </vt:variant>
      <vt:variant>
        <vt:i4>2031678</vt:i4>
      </vt:variant>
      <vt:variant>
        <vt:i4>221</vt:i4>
      </vt:variant>
      <vt:variant>
        <vt:i4>0</vt:i4>
      </vt:variant>
      <vt:variant>
        <vt:i4>5</vt:i4>
      </vt:variant>
      <vt:variant>
        <vt:lpwstr/>
      </vt:variant>
      <vt:variant>
        <vt:lpwstr>_Toc163488420</vt:lpwstr>
      </vt:variant>
      <vt:variant>
        <vt:i4>1835070</vt:i4>
      </vt:variant>
      <vt:variant>
        <vt:i4>215</vt:i4>
      </vt:variant>
      <vt:variant>
        <vt:i4>0</vt:i4>
      </vt:variant>
      <vt:variant>
        <vt:i4>5</vt:i4>
      </vt:variant>
      <vt:variant>
        <vt:lpwstr/>
      </vt:variant>
      <vt:variant>
        <vt:lpwstr>_Toc163488419</vt:lpwstr>
      </vt:variant>
      <vt:variant>
        <vt:i4>1835070</vt:i4>
      </vt:variant>
      <vt:variant>
        <vt:i4>209</vt:i4>
      </vt:variant>
      <vt:variant>
        <vt:i4>0</vt:i4>
      </vt:variant>
      <vt:variant>
        <vt:i4>5</vt:i4>
      </vt:variant>
      <vt:variant>
        <vt:lpwstr/>
      </vt:variant>
      <vt:variant>
        <vt:lpwstr>_Toc163488418</vt:lpwstr>
      </vt:variant>
      <vt:variant>
        <vt:i4>1835070</vt:i4>
      </vt:variant>
      <vt:variant>
        <vt:i4>203</vt:i4>
      </vt:variant>
      <vt:variant>
        <vt:i4>0</vt:i4>
      </vt:variant>
      <vt:variant>
        <vt:i4>5</vt:i4>
      </vt:variant>
      <vt:variant>
        <vt:lpwstr/>
      </vt:variant>
      <vt:variant>
        <vt:lpwstr>_Toc163488417</vt:lpwstr>
      </vt:variant>
      <vt:variant>
        <vt:i4>1835070</vt:i4>
      </vt:variant>
      <vt:variant>
        <vt:i4>197</vt:i4>
      </vt:variant>
      <vt:variant>
        <vt:i4>0</vt:i4>
      </vt:variant>
      <vt:variant>
        <vt:i4>5</vt:i4>
      </vt:variant>
      <vt:variant>
        <vt:lpwstr/>
      </vt:variant>
      <vt:variant>
        <vt:lpwstr>_Toc163488416</vt:lpwstr>
      </vt:variant>
      <vt:variant>
        <vt:i4>1835070</vt:i4>
      </vt:variant>
      <vt:variant>
        <vt:i4>191</vt:i4>
      </vt:variant>
      <vt:variant>
        <vt:i4>0</vt:i4>
      </vt:variant>
      <vt:variant>
        <vt:i4>5</vt:i4>
      </vt:variant>
      <vt:variant>
        <vt:lpwstr/>
      </vt:variant>
      <vt:variant>
        <vt:lpwstr>_Toc163488415</vt:lpwstr>
      </vt:variant>
      <vt:variant>
        <vt:i4>1835070</vt:i4>
      </vt:variant>
      <vt:variant>
        <vt:i4>185</vt:i4>
      </vt:variant>
      <vt:variant>
        <vt:i4>0</vt:i4>
      </vt:variant>
      <vt:variant>
        <vt:i4>5</vt:i4>
      </vt:variant>
      <vt:variant>
        <vt:lpwstr/>
      </vt:variant>
      <vt:variant>
        <vt:lpwstr>_Toc163488414</vt:lpwstr>
      </vt:variant>
      <vt:variant>
        <vt:i4>1835070</vt:i4>
      </vt:variant>
      <vt:variant>
        <vt:i4>179</vt:i4>
      </vt:variant>
      <vt:variant>
        <vt:i4>0</vt:i4>
      </vt:variant>
      <vt:variant>
        <vt:i4>5</vt:i4>
      </vt:variant>
      <vt:variant>
        <vt:lpwstr/>
      </vt:variant>
      <vt:variant>
        <vt:lpwstr>_Toc163488413</vt:lpwstr>
      </vt:variant>
      <vt:variant>
        <vt:i4>1835070</vt:i4>
      </vt:variant>
      <vt:variant>
        <vt:i4>173</vt:i4>
      </vt:variant>
      <vt:variant>
        <vt:i4>0</vt:i4>
      </vt:variant>
      <vt:variant>
        <vt:i4>5</vt:i4>
      </vt:variant>
      <vt:variant>
        <vt:lpwstr/>
      </vt:variant>
      <vt:variant>
        <vt:lpwstr>_Toc163488412</vt:lpwstr>
      </vt:variant>
      <vt:variant>
        <vt:i4>1835070</vt:i4>
      </vt:variant>
      <vt:variant>
        <vt:i4>167</vt:i4>
      </vt:variant>
      <vt:variant>
        <vt:i4>0</vt:i4>
      </vt:variant>
      <vt:variant>
        <vt:i4>5</vt:i4>
      </vt:variant>
      <vt:variant>
        <vt:lpwstr/>
      </vt:variant>
      <vt:variant>
        <vt:lpwstr>_Toc163488411</vt:lpwstr>
      </vt:variant>
      <vt:variant>
        <vt:i4>1835070</vt:i4>
      </vt:variant>
      <vt:variant>
        <vt:i4>161</vt:i4>
      </vt:variant>
      <vt:variant>
        <vt:i4>0</vt:i4>
      </vt:variant>
      <vt:variant>
        <vt:i4>5</vt:i4>
      </vt:variant>
      <vt:variant>
        <vt:lpwstr/>
      </vt:variant>
      <vt:variant>
        <vt:lpwstr>_Toc163488410</vt:lpwstr>
      </vt:variant>
      <vt:variant>
        <vt:i4>1900606</vt:i4>
      </vt:variant>
      <vt:variant>
        <vt:i4>155</vt:i4>
      </vt:variant>
      <vt:variant>
        <vt:i4>0</vt:i4>
      </vt:variant>
      <vt:variant>
        <vt:i4>5</vt:i4>
      </vt:variant>
      <vt:variant>
        <vt:lpwstr/>
      </vt:variant>
      <vt:variant>
        <vt:lpwstr>_Toc163488409</vt:lpwstr>
      </vt:variant>
      <vt:variant>
        <vt:i4>1900606</vt:i4>
      </vt:variant>
      <vt:variant>
        <vt:i4>149</vt:i4>
      </vt:variant>
      <vt:variant>
        <vt:i4>0</vt:i4>
      </vt:variant>
      <vt:variant>
        <vt:i4>5</vt:i4>
      </vt:variant>
      <vt:variant>
        <vt:lpwstr/>
      </vt:variant>
      <vt:variant>
        <vt:lpwstr>_Toc163488408</vt:lpwstr>
      </vt:variant>
      <vt:variant>
        <vt:i4>1900606</vt:i4>
      </vt:variant>
      <vt:variant>
        <vt:i4>143</vt:i4>
      </vt:variant>
      <vt:variant>
        <vt:i4>0</vt:i4>
      </vt:variant>
      <vt:variant>
        <vt:i4>5</vt:i4>
      </vt:variant>
      <vt:variant>
        <vt:lpwstr/>
      </vt:variant>
      <vt:variant>
        <vt:lpwstr>_Toc163488407</vt:lpwstr>
      </vt:variant>
      <vt:variant>
        <vt:i4>1900606</vt:i4>
      </vt:variant>
      <vt:variant>
        <vt:i4>137</vt:i4>
      </vt:variant>
      <vt:variant>
        <vt:i4>0</vt:i4>
      </vt:variant>
      <vt:variant>
        <vt:i4>5</vt:i4>
      </vt:variant>
      <vt:variant>
        <vt:lpwstr/>
      </vt:variant>
      <vt:variant>
        <vt:lpwstr>_Toc163488406</vt:lpwstr>
      </vt:variant>
      <vt:variant>
        <vt:i4>1900606</vt:i4>
      </vt:variant>
      <vt:variant>
        <vt:i4>131</vt:i4>
      </vt:variant>
      <vt:variant>
        <vt:i4>0</vt:i4>
      </vt:variant>
      <vt:variant>
        <vt:i4>5</vt:i4>
      </vt:variant>
      <vt:variant>
        <vt:lpwstr/>
      </vt:variant>
      <vt:variant>
        <vt:lpwstr>_Toc163488405</vt:lpwstr>
      </vt:variant>
      <vt:variant>
        <vt:i4>1900606</vt:i4>
      </vt:variant>
      <vt:variant>
        <vt:i4>125</vt:i4>
      </vt:variant>
      <vt:variant>
        <vt:i4>0</vt:i4>
      </vt:variant>
      <vt:variant>
        <vt:i4>5</vt:i4>
      </vt:variant>
      <vt:variant>
        <vt:lpwstr/>
      </vt:variant>
      <vt:variant>
        <vt:lpwstr>_Toc163488404</vt:lpwstr>
      </vt:variant>
      <vt:variant>
        <vt:i4>1900606</vt:i4>
      </vt:variant>
      <vt:variant>
        <vt:i4>119</vt:i4>
      </vt:variant>
      <vt:variant>
        <vt:i4>0</vt:i4>
      </vt:variant>
      <vt:variant>
        <vt:i4>5</vt:i4>
      </vt:variant>
      <vt:variant>
        <vt:lpwstr/>
      </vt:variant>
      <vt:variant>
        <vt:lpwstr>_Toc163488403</vt:lpwstr>
      </vt:variant>
      <vt:variant>
        <vt:i4>1900606</vt:i4>
      </vt:variant>
      <vt:variant>
        <vt:i4>113</vt:i4>
      </vt:variant>
      <vt:variant>
        <vt:i4>0</vt:i4>
      </vt:variant>
      <vt:variant>
        <vt:i4>5</vt:i4>
      </vt:variant>
      <vt:variant>
        <vt:lpwstr/>
      </vt:variant>
      <vt:variant>
        <vt:lpwstr>_Toc163488402</vt:lpwstr>
      </vt:variant>
      <vt:variant>
        <vt:i4>1900606</vt:i4>
      </vt:variant>
      <vt:variant>
        <vt:i4>107</vt:i4>
      </vt:variant>
      <vt:variant>
        <vt:i4>0</vt:i4>
      </vt:variant>
      <vt:variant>
        <vt:i4>5</vt:i4>
      </vt:variant>
      <vt:variant>
        <vt:lpwstr/>
      </vt:variant>
      <vt:variant>
        <vt:lpwstr>_Toc163488401</vt:lpwstr>
      </vt:variant>
      <vt:variant>
        <vt:i4>1900606</vt:i4>
      </vt:variant>
      <vt:variant>
        <vt:i4>101</vt:i4>
      </vt:variant>
      <vt:variant>
        <vt:i4>0</vt:i4>
      </vt:variant>
      <vt:variant>
        <vt:i4>5</vt:i4>
      </vt:variant>
      <vt:variant>
        <vt:lpwstr/>
      </vt:variant>
      <vt:variant>
        <vt:lpwstr>_Toc163488400</vt:lpwstr>
      </vt:variant>
      <vt:variant>
        <vt:i4>1310777</vt:i4>
      </vt:variant>
      <vt:variant>
        <vt:i4>95</vt:i4>
      </vt:variant>
      <vt:variant>
        <vt:i4>0</vt:i4>
      </vt:variant>
      <vt:variant>
        <vt:i4>5</vt:i4>
      </vt:variant>
      <vt:variant>
        <vt:lpwstr/>
      </vt:variant>
      <vt:variant>
        <vt:lpwstr>_Toc163488399</vt:lpwstr>
      </vt:variant>
      <vt:variant>
        <vt:i4>1310777</vt:i4>
      </vt:variant>
      <vt:variant>
        <vt:i4>89</vt:i4>
      </vt:variant>
      <vt:variant>
        <vt:i4>0</vt:i4>
      </vt:variant>
      <vt:variant>
        <vt:i4>5</vt:i4>
      </vt:variant>
      <vt:variant>
        <vt:lpwstr/>
      </vt:variant>
      <vt:variant>
        <vt:lpwstr>_Toc163488398</vt:lpwstr>
      </vt:variant>
      <vt:variant>
        <vt:i4>1310777</vt:i4>
      </vt:variant>
      <vt:variant>
        <vt:i4>83</vt:i4>
      </vt:variant>
      <vt:variant>
        <vt:i4>0</vt:i4>
      </vt:variant>
      <vt:variant>
        <vt:i4>5</vt:i4>
      </vt:variant>
      <vt:variant>
        <vt:lpwstr/>
      </vt:variant>
      <vt:variant>
        <vt:lpwstr>_Toc163488397</vt:lpwstr>
      </vt:variant>
      <vt:variant>
        <vt:i4>1310777</vt:i4>
      </vt:variant>
      <vt:variant>
        <vt:i4>77</vt:i4>
      </vt:variant>
      <vt:variant>
        <vt:i4>0</vt:i4>
      </vt:variant>
      <vt:variant>
        <vt:i4>5</vt:i4>
      </vt:variant>
      <vt:variant>
        <vt:lpwstr/>
      </vt:variant>
      <vt:variant>
        <vt:lpwstr>_Toc163488396</vt:lpwstr>
      </vt:variant>
      <vt:variant>
        <vt:i4>1310777</vt:i4>
      </vt:variant>
      <vt:variant>
        <vt:i4>71</vt:i4>
      </vt:variant>
      <vt:variant>
        <vt:i4>0</vt:i4>
      </vt:variant>
      <vt:variant>
        <vt:i4>5</vt:i4>
      </vt:variant>
      <vt:variant>
        <vt:lpwstr/>
      </vt:variant>
      <vt:variant>
        <vt:lpwstr>_Toc163488395</vt:lpwstr>
      </vt:variant>
      <vt:variant>
        <vt:i4>1310777</vt:i4>
      </vt:variant>
      <vt:variant>
        <vt:i4>65</vt:i4>
      </vt:variant>
      <vt:variant>
        <vt:i4>0</vt:i4>
      </vt:variant>
      <vt:variant>
        <vt:i4>5</vt:i4>
      </vt:variant>
      <vt:variant>
        <vt:lpwstr/>
      </vt:variant>
      <vt:variant>
        <vt:lpwstr>_Toc163488394</vt:lpwstr>
      </vt:variant>
      <vt:variant>
        <vt:i4>1310777</vt:i4>
      </vt:variant>
      <vt:variant>
        <vt:i4>59</vt:i4>
      </vt:variant>
      <vt:variant>
        <vt:i4>0</vt:i4>
      </vt:variant>
      <vt:variant>
        <vt:i4>5</vt:i4>
      </vt:variant>
      <vt:variant>
        <vt:lpwstr/>
      </vt:variant>
      <vt:variant>
        <vt:lpwstr>_Toc163488393</vt:lpwstr>
      </vt:variant>
      <vt:variant>
        <vt:i4>1310777</vt:i4>
      </vt:variant>
      <vt:variant>
        <vt:i4>53</vt:i4>
      </vt:variant>
      <vt:variant>
        <vt:i4>0</vt:i4>
      </vt:variant>
      <vt:variant>
        <vt:i4>5</vt:i4>
      </vt:variant>
      <vt:variant>
        <vt:lpwstr/>
      </vt:variant>
      <vt:variant>
        <vt:lpwstr>_Toc163488392</vt:lpwstr>
      </vt:variant>
      <vt:variant>
        <vt:i4>1310777</vt:i4>
      </vt:variant>
      <vt:variant>
        <vt:i4>47</vt:i4>
      </vt:variant>
      <vt:variant>
        <vt:i4>0</vt:i4>
      </vt:variant>
      <vt:variant>
        <vt:i4>5</vt:i4>
      </vt:variant>
      <vt:variant>
        <vt:lpwstr/>
      </vt:variant>
      <vt:variant>
        <vt:lpwstr>_Toc163488391</vt:lpwstr>
      </vt:variant>
      <vt:variant>
        <vt:i4>1310777</vt:i4>
      </vt:variant>
      <vt:variant>
        <vt:i4>41</vt:i4>
      </vt:variant>
      <vt:variant>
        <vt:i4>0</vt:i4>
      </vt:variant>
      <vt:variant>
        <vt:i4>5</vt:i4>
      </vt:variant>
      <vt:variant>
        <vt:lpwstr/>
      </vt:variant>
      <vt:variant>
        <vt:lpwstr>_Toc163488390</vt:lpwstr>
      </vt:variant>
      <vt:variant>
        <vt:i4>1376313</vt:i4>
      </vt:variant>
      <vt:variant>
        <vt:i4>35</vt:i4>
      </vt:variant>
      <vt:variant>
        <vt:i4>0</vt:i4>
      </vt:variant>
      <vt:variant>
        <vt:i4>5</vt:i4>
      </vt:variant>
      <vt:variant>
        <vt:lpwstr/>
      </vt:variant>
      <vt:variant>
        <vt:lpwstr>_Toc163488389</vt:lpwstr>
      </vt:variant>
      <vt:variant>
        <vt:i4>1376313</vt:i4>
      </vt:variant>
      <vt:variant>
        <vt:i4>29</vt:i4>
      </vt:variant>
      <vt:variant>
        <vt:i4>0</vt:i4>
      </vt:variant>
      <vt:variant>
        <vt:i4>5</vt:i4>
      </vt:variant>
      <vt:variant>
        <vt:lpwstr/>
      </vt:variant>
      <vt:variant>
        <vt:lpwstr>_Toc163488388</vt:lpwstr>
      </vt:variant>
      <vt:variant>
        <vt:i4>1376313</vt:i4>
      </vt:variant>
      <vt:variant>
        <vt:i4>23</vt:i4>
      </vt:variant>
      <vt:variant>
        <vt:i4>0</vt:i4>
      </vt:variant>
      <vt:variant>
        <vt:i4>5</vt:i4>
      </vt:variant>
      <vt:variant>
        <vt:lpwstr/>
      </vt:variant>
      <vt:variant>
        <vt:lpwstr>_Toc163488387</vt:lpwstr>
      </vt:variant>
      <vt:variant>
        <vt:i4>1376313</vt:i4>
      </vt:variant>
      <vt:variant>
        <vt:i4>17</vt:i4>
      </vt:variant>
      <vt:variant>
        <vt:i4>0</vt:i4>
      </vt:variant>
      <vt:variant>
        <vt:i4>5</vt:i4>
      </vt:variant>
      <vt:variant>
        <vt:lpwstr/>
      </vt:variant>
      <vt:variant>
        <vt:lpwstr>_Toc163488386</vt:lpwstr>
      </vt:variant>
      <vt:variant>
        <vt:i4>1376313</vt:i4>
      </vt:variant>
      <vt:variant>
        <vt:i4>11</vt:i4>
      </vt:variant>
      <vt:variant>
        <vt:i4>0</vt:i4>
      </vt:variant>
      <vt:variant>
        <vt:i4>5</vt:i4>
      </vt:variant>
      <vt:variant>
        <vt:lpwstr/>
      </vt:variant>
      <vt:variant>
        <vt:lpwstr>_Toc163488385</vt:lpwstr>
      </vt:variant>
      <vt:variant>
        <vt:i4>1376313</vt:i4>
      </vt:variant>
      <vt:variant>
        <vt:i4>5</vt:i4>
      </vt:variant>
      <vt:variant>
        <vt:i4>0</vt:i4>
      </vt:variant>
      <vt:variant>
        <vt:i4>5</vt:i4>
      </vt:variant>
      <vt:variant>
        <vt:lpwstr/>
      </vt:variant>
      <vt:variant>
        <vt:lpwstr>_Toc163488384</vt:lpwstr>
      </vt:variant>
      <vt:variant>
        <vt:i4>262237</vt:i4>
      </vt:variant>
      <vt:variant>
        <vt:i4>12</vt:i4>
      </vt:variant>
      <vt:variant>
        <vt:i4>0</vt:i4>
      </vt:variant>
      <vt:variant>
        <vt:i4>5</vt:i4>
      </vt:variant>
      <vt:variant>
        <vt:lpwstr>http://www.samordnaopptak.no/info/opptak/poengberegning/</vt:lpwstr>
      </vt:variant>
      <vt:variant>
        <vt:lpwstr/>
      </vt:variant>
      <vt:variant>
        <vt:i4>10</vt:i4>
      </vt:variant>
      <vt:variant>
        <vt:i4>9</vt:i4>
      </vt:variant>
      <vt:variant>
        <vt:i4>0</vt:i4>
      </vt:variant>
      <vt:variant>
        <vt:i4>5</vt:i4>
      </vt:variant>
      <vt:variant>
        <vt:lpwstr>https://www.ssb.no/utdanning/grunnskoler/artikler/hva-er-det-mest-populaere-fremmedspraket-i-grunnskolen</vt:lpwstr>
      </vt:variant>
      <vt:variant>
        <vt:lpwstr/>
      </vt:variant>
      <vt:variant>
        <vt:i4>6291502</vt:i4>
      </vt:variant>
      <vt:variant>
        <vt:i4>6</vt:i4>
      </vt:variant>
      <vt:variant>
        <vt:i4>0</vt:i4>
      </vt:variant>
      <vt:variant>
        <vt:i4>5</vt:i4>
      </vt:variant>
      <vt:variant>
        <vt:lpwstr>https://www.ssb.no/utenriksokonomi/utenrikshandel/statistikk/utenrikshandel-med-varer/artikler/norges-viktigste-handelspartnere</vt:lpwstr>
      </vt:variant>
      <vt:variant>
        <vt:lpwstr/>
      </vt:variant>
      <vt:variant>
        <vt:i4>1966111</vt:i4>
      </vt:variant>
      <vt:variant>
        <vt:i4>0</vt:i4>
      </vt:variant>
      <vt:variant>
        <vt:i4>0</vt:i4>
      </vt:variant>
      <vt:variant>
        <vt:i4>5</vt:i4>
      </vt:variant>
      <vt:variant>
        <vt:lpwstr>https://www.ssb.no/utdanning/artikler-og-publikasjoner/norske-studenter-blant-de-eldste-i-europa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Tilstandsrapport for høyere utdanning 2024</dc:title>
  <dc:subject/>
  <dc:creator>Arne Haugen</dc:creator>
  <cp:keywords/>
  <dc:description/>
  <cp:lastModifiedBy>SVEDENBORG Sarah</cp:lastModifiedBy>
  <cp:revision>4</cp:revision>
  <dcterms:created xsi:type="dcterms:W3CDTF">2024-04-12T11:42:00Z</dcterms:created>
  <dcterms:modified xsi:type="dcterms:W3CDTF">2024-04-12T13:18:00Z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officeconsult</vt:lpwstr>
  </property>
  <property fmtid="{D5CDD505-2E9C-101B-9397-08002B2CF9AE}" pid="3" name="TemplafyTemplateId">
    <vt:lpwstr>637366221224864452</vt:lpwstr>
  </property>
  <property fmtid="{D5CDD505-2E9C-101B-9397-08002B2CF9AE}" pid="4" name="TemplafyUserProfileId">
    <vt:lpwstr>637366220921655817</vt:lpwstr>
  </property>
  <property fmtid="{D5CDD505-2E9C-101B-9397-08002B2CF9AE}" pid="5" name="TemplafyFromBlank">
    <vt:bool>true</vt:bool>
  </property>
  <property fmtid="{D5CDD505-2E9C-101B-9397-08002B2CF9AE}" pid="6" name="MSIP_Label_4012811f-b717-4099-a412-3cacd3519ab9_Enabled">
    <vt:lpwstr>true</vt:lpwstr>
  </property>
  <property fmtid="{D5CDD505-2E9C-101B-9397-08002B2CF9AE}" pid="7" name="MSIP_Label_4012811f-b717-4099-a412-3cacd3519ab9_SetDate">
    <vt:lpwstr>2024-01-12T12:06:45Z</vt:lpwstr>
  </property>
  <property fmtid="{D5CDD505-2E9C-101B-9397-08002B2CF9AE}" pid="8" name="MSIP_Label_4012811f-b717-4099-a412-3cacd3519ab9_Method">
    <vt:lpwstr>Privileged</vt:lpwstr>
  </property>
  <property fmtid="{D5CDD505-2E9C-101B-9397-08002B2CF9AE}" pid="9" name="MSIP_Label_4012811f-b717-4099-a412-3cacd3519ab9_Name">
    <vt:lpwstr>Åpen</vt:lpwstr>
  </property>
  <property fmtid="{D5CDD505-2E9C-101B-9397-08002B2CF9AE}" pid="10" name="MSIP_Label_4012811f-b717-4099-a412-3cacd3519ab9_SiteId">
    <vt:lpwstr>1ec46890-73f8-4a2a-9b2c-9a6611f1c922</vt:lpwstr>
  </property>
  <property fmtid="{D5CDD505-2E9C-101B-9397-08002B2CF9AE}" pid="11" name="MSIP_Label_4012811f-b717-4099-a412-3cacd3519ab9_ActionId">
    <vt:lpwstr>3c91e5b5-ce02-4bea-9fd9-0d52f0b37a28</vt:lpwstr>
  </property>
  <property fmtid="{D5CDD505-2E9C-101B-9397-08002B2CF9AE}" pid="12" name="MSIP_Label_4012811f-b717-4099-a412-3cacd3519ab9_ContentBits">
    <vt:lpwstr>0</vt:lpwstr>
  </property>
  <property fmtid="{D5CDD505-2E9C-101B-9397-08002B2CF9AE}" pid="13" name="TaxKeyword">
    <vt:lpwstr/>
  </property>
  <property fmtid="{D5CDD505-2E9C-101B-9397-08002B2CF9AE}" pid="14" name="ContentTypeId">
    <vt:lpwstr>0x010100CD0A5DDFC6FA03478571213EF5102D5A</vt:lpwstr>
  </property>
  <property fmtid="{D5CDD505-2E9C-101B-9397-08002B2CF9AE}" pid="15" name="MediaServiceImageTags">
    <vt:lpwstr/>
  </property>
  <property fmtid="{D5CDD505-2E9C-101B-9397-08002B2CF9AE}" pid="16" name="ClassificationContentMarkingHeaderShapeIds">
    <vt:lpwstr>3d0c0334,3c42544d,42d32d7c</vt:lpwstr>
  </property>
  <property fmtid="{D5CDD505-2E9C-101B-9397-08002B2CF9AE}" pid="17" name="ClassificationContentMarkingHeaderFontProps">
    <vt:lpwstr>#cf022b,8,Tahoma</vt:lpwstr>
  </property>
  <property fmtid="{D5CDD505-2E9C-101B-9397-08002B2CF9AE}" pid="18" name="ClassificationContentMarkingHeaderText">
    <vt:lpwstr>               C2 - Restricted use</vt:lpwstr>
  </property>
  <property fmtid="{D5CDD505-2E9C-101B-9397-08002B2CF9AE}" pid="19" name="MSIP_Label_c5e6e129-f928-4a05-ae32-d838f6b21bdd_Enabled">
    <vt:lpwstr>true</vt:lpwstr>
  </property>
  <property fmtid="{D5CDD505-2E9C-101B-9397-08002B2CF9AE}" pid="20" name="MSIP_Label_c5e6e129-f928-4a05-ae32-d838f6b21bdd_SetDate">
    <vt:lpwstr>2024-04-12T13:13:52Z</vt:lpwstr>
  </property>
  <property fmtid="{D5CDD505-2E9C-101B-9397-08002B2CF9AE}" pid="21" name="MSIP_Label_c5e6e129-f928-4a05-ae32-d838f6b21bdd_Method">
    <vt:lpwstr>Standard</vt:lpwstr>
  </property>
  <property fmtid="{D5CDD505-2E9C-101B-9397-08002B2CF9AE}" pid="22" name="MSIP_Label_c5e6e129-f928-4a05-ae32-d838f6b21bdd_Name">
    <vt:lpwstr>EN Restricted use</vt:lpwstr>
  </property>
  <property fmtid="{D5CDD505-2E9C-101B-9397-08002B2CF9AE}" pid="23" name="MSIP_Label_c5e6e129-f928-4a05-ae32-d838f6b21bdd_SiteId">
    <vt:lpwstr>8b87af7d-8647-4dc7-8df4-5f69a2011bb5</vt:lpwstr>
  </property>
  <property fmtid="{D5CDD505-2E9C-101B-9397-08002B2CF9AE}" pid="24" name="MSIP_Label_c5e6e129-f928-4a05-ae32-d838f6b21bdd_ActionId">
    <vt:lpwstr>fe0eb80a-79c7-4bfd-93d5-352e4b5016b6</vt:lpwstr>
  </property>
  <property fmtid="{D5CDD505-2E9C-101B-9397-08002B2CF9AE}" pid="25" name="MSIP_Label_c5e6e129-f928-4a05-ae32-d838f6b21bdd_ContentBits">
    <vt:lpwstr>3</vt:lpwstr>
  </property>
</Properties>
</file>