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FFDA" w14:textId="7C3B675D" w:rsidR="00541444" w:rsidRPr="0011473E" w:rsidRDefault="004A4BE8">
      <w:pPr>
        <w:pStyle w:val="Nadpis1"/>
        <w:rPr>
          <w:rFonts w:ascii="Arial" w:hAnsi="Arial" w:cs="Arial"/>
          <w:color w:val="108DD2"/>
        </w:rPr>
      </w:pPr>
      <w:r w:rsidRPr="0011473E">
        <w:rPr>
          <w:rFonts w:ascii="Arial" w:hAnsi="Arial" w:cs="Arial"/>
          <w:color w:val="108DD2"/>
        </w:rPr>
        <w:t xml:space="preserve">PRŮZKUM: </w:t>
      </w:r>
      <w:r w:rsidR="00CF249A" w:rsidRPr="0011473E">
        <w:rPr>
          <w:rFonts w:ascii="Arial" w:hAnsi="Arial" w:cs="Arial"/>
          <w:color w:val="108DD2"/>
        </w:rPr>
        <w:t xml:space="preserve">Je e-commerce </w:t>
      </w:r>
      <w:r w:rsidR="00D33508" w:rsidRPr="0011473E">
        <w:rPr>
          <w:rFonts w:ascii="Arial" w:hAnsi="Arial" w:cs="Arial"/>
          <w:color w:val="108DD2"/>
        </w:rPr>
        <w:t>z nejhoršího venku</w:t>
      </w:r>
      <w:r w:rsidR="00CF249A" w:rsidRPr="0011473E">
        <w:rPr>
          <w:rFonts w:ascii="Arial" w:hAnsi="Arial" w:cs="Arial"/>
          <w:color w:val="108DD2"/>
        </w:rPr>
        <w:t>?</w:t>
      </w:r>
      <w:r w:rsidR="00D33508" w:rsidRPr="0011473E">
        <w:rPr>
          <w:rFonts w:ascii="Arial" w:hAnsi="Arial" w:cs="Arial"/>
          <w:color w:val="108DD2"/>
        </w:rPr>
        <w:t xml:space="preserve"> </w:t>
      </w:r>
      <w:r w:rsidR="00CF249A" w:rsidRPr="0011473E">
        <w:rPr>
          <w:rFonts w:ascii="Arial" w:hAnsi="Arial" w:cs="Arial"/>
          <w:color w:val="108DD2"/>
        </w:rPr>
        <w:t xml:space="preserve">Češi jsou </w:t>
      </w:r>
      <w:r w:rsidR="00FA5593" w:rsidRPr="0011473E">
        <w:rPr>
          <w:rFonts w:ascii="Arial" w:hAnsi="Arial" w:cs="Arial"/>
          <w:color w:val="108DD2"/>
        </w:rPr>
        <w:t xml:space="preserve">při nákupech impulsivnější, radost z utrácení se </w:t>
      </w:r>
      <w:r w:rsidR="00CF249A" w:rsidRPr="0011473E">
        <w:rPr>
          <w:rFonts w:ascii="Arial" w:hAnsi="Arial" w:cs="Arial"/>
          <w:color w:val="108DD2"/>
        </w:rPr>
        <w:t xml:space="preserve">ale </w:t>
      </w:r>
      <w:r w:rsidR="00FA5593" w:rsidRPr="0011473E">
        <w:rPr>
          <w:rFonts w:ascii="Arial" w:hAnsi="Arial" w:cs="Arial"/>
          <w:color w:val="108DD2"/>
        </w:rPr>
        <w:t>nevrací</w:t>
      </w:r>
      <w:r w:rsidR="00D33508" w:rsidRPr="0011473E">
        <w:rPr>
          <w:rFonts w:ascii="Arial" w:hAnsi="Arial" w:cs="Arial"/>
          <w:color w:val="108DD2"/>
        </w:rPr>
        <w:t xml:space="preserve"> a trh deformují slevy, ukazuje nová sonda Skip Pay</w:t>
      </w:r>
      <w:r w:rsidR="00D33508" w:rsidRPr="0011473E">
        <w:rPr>
          <w:rFonts w:ascii="Arial" w:hAnsi="Arial" w:cs="Arial"/>
          <w:color w:val="108DD2"/>
        </w:rPr>
        <w:br/>
      </w:r>
    </w:p>
    <w:p w14:paraId="3DBE2D48" w14:textId="040630C7" w:rsidR="00541444" w:rsidRDefault="5D11630E">
      <w:pPr>
        <w:rPr>
          <w:rFonts w:ascii="Arial" w:hAnsi="Arial" w:cs="Arial"/>
          <w:b/>
          <w:bCs/>
        </w:rPr>
      </w:pPr>
      <w:r w:rsidRPr="7D275171">
        <w:rPr>
          <w:rFonts w:ascii="Arial" w:hAnsi="Arial" w:cs="Arial"/>
          <w:b/>
          <w:bCs/>
        </w:rPr>
        <w:t>Jak se na konci jara změnil běžný zákazník českých e-shopů? A co si z toho mají odnést obchodníci? Nová sonda Skip Pay, provedená na 66</w:t>
      </w:r>
      <w:r w:rsidR="3B2994AF" w:rsidRPr="7D275171">
        <w:rPr>
          <w:rFonts w:ascii="Arial" w:hAnsi="Arial" w:cs="Arial"/>
          <w:b/>
          <w:bCs/>
        </w:rPr>
        <w:t>4</w:t>
      </w:r>
      <w:r w:rsidRPr="7D275171">
        <w:rPr>
          <w:rFonts w:ascii="Arial" w:hAnsi="Arial" w:cs="Arial"/>
          <w:b/>
          <w:bCs/>
        </w:rPr>
        <w:t xml:space="preserve"> Če</w:t>
      </w:r>
      <w:r w:rsidR="4F779291" w:rsidRPr="7D275171">
        <w:rPr>
          <w:rFonts w:ascii="Arial" w:hAnsi="Arial" w:cs="Arial"/>
          <w:b/>
          <w:bCs/>
        </w:rPr>
        <w:t xml:space="preserve">ších </w:t>
      </w:r>
      <w:r w:rsidRPr="7D275171">
        <w:rPr>
          <w:rFonts w:ascii="Arial" w:hAnsi="Arial" w:cs="Arial"/>
          <w:b/>
          <w:bCs/>
        </w:rPr>
        <w:t>pravidelně nakupujících online</w:t>
      </w:r>
      <w:r w:rsidR="00525319" w:rsidRPr="7D275171">
        <w:rPr>
          <w:rFonts w:ascii="Arial" w:hAnsi="Arial" w:cs="Arial"/>
          <w:b/>
          <w:bCs/>
        </w:rPr>
        <w:t>,</w:t>
      </w:r>
      <w:r w:rsidRPr="7D275171">
        <w:rPr>
          <w:rFonts w:ascii="Arial" w:hAnsi="Arial" w:cs="Arial"/>
          <w:b/>
          <w:bCs/>
        </w:rPr>
        <w:t xml:space="preserve"> ukazuje, že po letech přestáváme být při nakupování ve vleku ekonomické situace a vracíme </w:t>
      </w:r>
      <w:r w:rsidR="007B5B71" w:rsidRPr="7D275171">
        <w:rPr>
          <w:rFonts w:ascii="Arial" w:hAnsi="Arial" w:cs="Arial"/>
          <w:b/>
          <w:bCs/>
        </w:rPr>
        <w:t xml:space="preserve">se </w:t>
      </w:r>
      <w:r w:rsidRPr="7D275171">
        <w:rPr>
          <w:rFonts w:ascii="Arial" w:hAnsi="Arial" w:cs="Arial"/>
          <w:b/>
          <w:bCs/>
        </w:rPr>
        <w:t>k impulsivnějším nákupům. Zároveň ale překvapivě klesá loajalita a také důvěra v obchodníky. A hlavně – radost z nakupování a utrácení se stále nevrací tam, kde byla před inflační vlnou.</w:t>
      </w:r>
    </w:p>
    <w:p w14:paraId="38F6A1AC" w14:textId="77777777" w:rsidR="00CF249A" w:rsidRPr="00172FB8" w:rsidRDefault="00CF249A">
      <w:pPr>
        <w:rPr>
          <w:rFonts w:ascii="Arial" w:hAnsi="Arial" w:cs="Arial"/>
          <w:b/>
          <w:bCs/>
        </w:rPr>
      </w:pPr>
    </w:p>
    <w:p w14:paraId="12F262B5" w14:textId="44DB94D3" w:rsidR="00825753" w:rsidRPr="00172FB8" w:rsidRDefault="49673EF2" w:rsidP="00825753">
      <w:pPr>
        <w:rPr>
          <w:rFonts w:ascii="Arial" w:hAnsi="Arial" w:cs="Arial"/>
        </w:rPr>
      </w:pPr>
      <w:r w:rsidRPr="6BA60D05">
        <w:rPr>
          <w:rFonts w:ascii="Arial" w:hAnsi="Arial" w:cs="Arial"/>
          <w:i/>
          <w:iCs/>
        </w:rPr>
        <w:t>„Česká e-</w:t>
      </w:r>
      <w:proofErr w:type="spellStart"/>
      <w:r w:rsidRPr="6BA60D05">
        <w:rPr>
          <w:rFonts w:ascii="Arial" w:hAnsi="Arial" w:cs="Arial"/>
          <w:i/>
          <w:iCs/>
        </w:rPr>
        <w:t>commerce</w:t>
      </w:r>
      <w:proofErr w:type="spellEnd"/>
      <w:r w:rsidRPr="6BA60D05">
        <w:rPr>
          <w:rFonts w:ascii="Arial" w:hAnsi="Arial" w:cs="Arial"/>
          <w:i/>
          <w:iCs/>
        </w:rPr>
        <w:t xml:space="preserve"> se stabilizuje</w:t>
      </w:r>
      <w:r w:rsidR="1389CA8E" w:rsidRPr="6BA60D05">
        <w:rPr>
          <w:rFonts w:ascii="Arial" w:hAnsi="Arial" w:cs="Arial"/>
          <w:i/>
          <w:iCs/>
        </w:rPr>
        <w:t xml:space="preserve"> a prochází konsolidací. Mizí malí hráči nebo </w:t>
      </w:r>
      <w:proofErr w:type="spellStart"/>
      <w:r w:rsidR="1389CA8E" w:rsidRPr="6BA60D05">
        <w:rPr>
          <w:rFonts w:ascii="Arial" w:hAnsi="Arial" w:cs="Arial"/>
          <w:i/>
          <w:iCs/>
        </w:rPr>
        <w:t>přeposílači</w:t>
      </w:r>
      <w:proofErr w:type="spellEnd"/>
      <w:r w:rsidR="1389CA8E" w:rsidRPr="6BA60D05">
        <w:rPr>
          <w:rFonts w:ascii="Arial" w:hAnsi="Arial" w:cs="Arial"/>
          <w:i/>
          <w:iCs/>
        </w:rPr>
        <w:t xml:space="preserve"> zboží. </w:t>
      </w:r>
      <w:r w:rsidRPr="6BA60D05">
        <w:rPr>
          <w:rFonts w:ascii="Arial" w:hAnsi="Arial" w:cs="Arial"/>
          <w:i/>
          <w:iCs/>
        </w:rPr>
        <w:t xml:space="preserve">Šest z deseti největších hráčů na trhu jsou nově zahraniční subjekty. Asijské platformy mění pravidla hry – a zákazníci se s tím zatím učí žít,“ </w:t>
      </w:r>
      <w:r w:rsidRPr="6BA60D05">
        <w:rPr>
          <w:rFonts w:ascii="Arial" w:hAnsi="Arial" w:cs="Arial"/>
        </w:rPr>
        <w:t xml:space="preserve">vysvětluje </w:t>
      </w:r>
      <w:r w:rsidRPr="6BA60D05">
        <w:rPr>
          <w:rFonts w:ascii="Arial" w:hAnsi="Arial" w:cs="Arial"/>
          <w:b/>
          <w:bCs/>
        </w:rPr>
        <w:t>David Filippov, obchodní ředitel Skip Pay</w:t>
      </w:r>
      <w:r w:rsidRPr="6BA60D05">
        <w:rPr>
          <w:rFonts w:ascii="Arial" w:hAnsi="Arial" w:cs="Arial"/>
        </w:rPr>
        <w:t xml:space="preserve">. </w:t>
      </w:r>
      <w:r w:rsidRPr="6BA60D05">
        <w:rPr>
          <w:rFonts w:ascii="Arial" w:hAnsi="Arial" w:cs="Arial"/>
          <w:i/>
          <w:iCs/>
        </w:rPr>
        <w:t>„Jasný návod neexistuje. Snad až na maximální zaměření na spokojenost zákazníka, férovost a hledání cest, jak bojovat jinak než cenou.“</w:t>
      </w:r>
    </w:p>
    <w:p w14:paraId="43DBE9E3" w14:textId="534BD700" w:rsidR="00541444" w:rsidRPr="00172FB8" w:rsidRDefault="00FA5593">
      <w:pPr>
        <w:pStyle w:val="Nadpis2"/>
        <w:rPr>
          <w:rFonts w:ascii="Arial" w:hAnsi="Arial" w:cs="Arial"/>
        </w:rPr>
      </w:pPr>
      <w:r w:rsidRPr="0011473E">
        <w:rPr>
          <w:rFonts w:ascii="Arial" w:hAnsi="Arial" w:cs="Arial"/>
          <w:color w:val="108DD2"/>
        </w:rPr>
        <w:t xml:space="preserve">Zákazníci </w:t>
      </w:r>
      <w:r w:rsidR="00825753" w:rsidRPr="0011473E">
        <w:rPr>
          <w:rFonts w:ascii="Arial" w:hAnsi="Arial" w:cs="Arial"/>
          <w:color w:val="108DD2"/>
        </w:rPr>
        <w:t>se při nakupování rychleji rozhodují. Naneštěstí pro obchodníky za to mohou především slevy</w:t>
      </w:r>
      <w:r w:rsidR="00825753" w:rsidRPr="00172FB8">
        <w:rPr>
          <w:rFonts w:ascii="Arial" w:hAnsi="Arial" w:cs="Arial"/>
        </w:rPr>
        <w:br/>
      </w:r>
    </w:p>
    <w:p w14:paraId="1CB85794" w14:textId="71074332" w:rsidR="00825753" w:rsidRDefault="00D33508" w:rsidP="00FA5593">
      <w:pPr>
        <w:rPr>
          <w:rFonts w:ascii="Arial" w:hAnsi="Arial" w:cs="Arial"/>
        </w:rPr>
      </w:pPr>
      <w:r w:rsidRPr="00172FB8">
        <w:rPr>
          <w:rFonts w:ascii="Arial" w:hAnsi="Arial" w:cs="Arial"/>
        </w:rPr>
        <w:t>Že se trh stabilizuje</w:t>
      </w:r>
      <w:r w:rsidR="00DE6672">
        <w:rPr>
          <w:rFonts w:ascii="Arial" w:hAnsi="Arial" w:cs="Arial"/>
        </w:rPr>
        <w:t>,</w:t>
      </w:r>
      <w:r w:rsidRPr="00172FB8">
        <w:rPr>
          <w:rFonts w:ascii="Arial" w:hAnsi="Arial" w:cs="Arial"/>
        </w:rPr>
        <w:t xml:space="preserve"> ukazuje zastavení propadu takzvaného „pocitu svobodné volby“. Zhruba polovina lidí tak nemá pocit, že by je při nákupech jejich ekonomická situace zásadněji limitovala. </w:t>
      </w:r>
      <w:r w:rsidR="00825753" w:rsidRPr="00172FB8">
        <w:rPr>
          <w:rFonts w:ascii="Arial" w:hAnsi="Arial" w:cs="Arial"/>
        </w:rPr>
        <w:t>U</w:t>
      </w:r>
      <w:r w:rsidR="00FA5593" w:rsidRPr="00172FB8">
        <w:rPr>
          <w:rFonts w:ascii="Arial" w:hAnsi="Arial" w:cs="Arial"/>
        </w:rPr>
        <w:t xml:space="preserve">kazatel „zvažování nákupu“, který obchodníci nejlépe </w:t>
      </w:r>
      <w:r w:rsidR="00825753" w:rsidRPr="00172FB8">
        <w:rPr>
          <w:rFonts w:ascii="Arial" w:hAnsi="Arial" w:cs="Arial"/>
        </w:rPr>
        <w:t xml:space="preserve">vidí </w:t>
      </w:r>
      <w:r w:rsidR="00FA5593" w:rsidRPr="00172FB8">
        <w:rPr>
          <w:rFonts w:ascii="Arial" w:hAnsi="Arial" w:cs="Arial"/>
        </w:rPr>
        <w:t>na míře opuštěných košíků a nedokončených nákupů</w:t>
      </w:r>
      <w:r w:rsidR="00825753" w:rsidRPr="00172FB8">
        <w:rPr>
          <w:rFonts w:ascii="Arial" w:hAnsi="Arial" w:cs="Arial"/>
        </w:rPr>
        <w:t>,</w:t>
      </w:r>
      <w:r w:rsidR="00FA5593" w:rsidRPr="00172FB8">
        <w:rPr>
          <w:rFonts w:ascii="Arial" w:hAnsi="Arial" w:cs="Arial"/>
        </w:rPr>
        <w:t xml:space="preserve"> klesl </w:t>
      </w:r>
      <w:r w:rsidRPr="00172FB8">
        <w:rPr>
          <w:rFonts w:ascii="Arial" w:hAnsi="Arial" w:cs="Arial"/>
        </w:rPr>
        <w:t>m</w:t>
      </w:r>
      <w:r w:rsidR="00FA5593" w:rsidRPr="00172FB8">
        <w:rPr>
          <w:rFonts w:ascii="Arial" w:hAnsi="Arial" w:cs="Arial"/>
        </w:rPr>
        <w:t>eziročně přesně o pětinu</w:t>
      </w:r>
      <w:r w:rsidR="00825753" w:rsidRPr="00172FB8">
        <w:rPr>
          <w:rFonts w:ascii="Arial" w:hAnsi="Arial" w:cs="Arial"/>
        </w:rPr>
        <w:t xml:space="preserve">. </w:t>
      </w:r>
      <w:r w:rsidRPr="00172FB8">
        <w:rPr>
          <w:rFonts w:ascii="Arial" w:hAnsi="Arial" w:cs="Arial"/>
        </w:rPr>
        <w:t xml:space="preserve">Bohužel pro obchodníky </w:t>
      </w:r>
      <w:r w:rsidR="00825753" w:rsidRPr="00172FB8">
        <w:rPr>
          <w:rFonts w:ascii="Arial" w:hAnsi="Arial" w:cs="Arial"/>
        </w:rPr>
        <w:t>však nejde o to, že by si Češi nakupování a utrácení začali opět užívat. Radost z nákupu mezi sezonami totiž klesla a je na stejné úrovni jako v době, kdy z peněženek ukusovala inflace.</w:t>
      </w:r>
    </w:p>
    <w:p w14:paraId="454AF967" w14:textId="77777777" w:rsidR="00CF249A" w:rsidRPr="00172FB8" w:rsidRDefault="00CF249A" w:rsidP="00FA5593">
      <w:pPr>
        <w:rPr>
          <w:rFonts w:ascii="Arial" w:hAnsi="Arial" w:cs="Arial"/>
        </w:rPr>
      </w:pPr>
    </w:p>
    <w:p w14:paraId="18552151" w14:textId="54195310" w:rsidR="00825753" w:rsidRPr="00172FB8" w:rsidRDefault="00825753" w:rsidP="00825753">
      <w:pPr>
        <w:rPr>
          <w:rFonts w:ascii="Arial" w:hAnsi="Arial" w:cs="Arial"/>
          <w:i/>
          <w:iCs/>
          <w:sz w:val="22"/>
          <w:szCs w:val="22"/>
        </w:rPr>
      </w:pPr>
      <w:r w:rsidRPr="00172FB8">
        <w:rPr>
          <w:rFonts w:ascii="Arial" w:hAnsi="Arial" w:cs="Arial"/>
          <w:i/>
          <w:iCs/>
        </w:rPr>
        <w:t>„Vysvětlení je jednoduché. Zaprvé už nevládne taková ekonomická nejistota, takže nemáme potřebu třikrát otočit každou korunu. Zadruhé je to efekt slev a spirály, kterou roztáčí. Bohužel pro obchodníky</w:t>
      </w:r>
      <w:r w:rsidR="00D33508" w:rsidRPr="00172FB8">
        <w:rPr>
          <w:rFonts w:ascii="Arial" w:hAnsi="Arial" w:cs="Arial"/>
          <w:i/>
          <w:iCs/>
        </w:rPr>
        <w:t>. Lidé prostě ví, že slevy budou pravděpodobně všude podobné</w:t>
      </w:r>
      <w:r w:rsidR="00AA09D3">
        <w:rPr>
          <w:rFonts w:ascii="Arial" w:hAnsi="Arial" w:cs="Arial"/>
          <w:i/>
          <w:iCs/>
        </w:rPr>
        <w:t>,</w:t>
      </w:r>
      <w:r w:rsidR="00D33508" w:rsidRPr="00172FB8">
        <w:rPr>
          <w:rFonts w:ascii="Arial" w:hAnsi="Arial" w:cs="Arial"/>
          <w:i/>
          <w:iCs/>
        </w:rPr>
        <w:t xml:space="preserve"> a méně hledají alternativu,</w:t>
      </w:r>
      <w:r w:rsidRPr="00172FB8">
        <w:rPr>
          <w:rFonts w:ascii="Arial" w:hAnsi="Arial" w:cs="Arial"/>
          <w:i/>
          <w:iCs/>
        </w:rPr>
        <w:t>“</w:t>
      </w:r>
      <w:r w:rsidRPr="00172FB8">
        <w:rPr>
          <w:rFonts w:ascii="Arial" w:hAnsi="Arial" w:cs="Arial"/>
        </w:rPr>
        <w:t xml:space="preserve"> </w:t>
      </w:r>
      <w:r w:rsidRPr="00226890">
        <w:rPr>
          <w:rFonts w:ascii="Arial" w:hAnsi="Arial" w:cs="Arial"/>
        </w:rPr>
        <w:t>vysvětluje</w:t>
      </w:r>
      <w:r w:rsidRPr="00172FB8">
        <w:rPr>
          <w:rFonts w:ascii="Arial" w:hAnsi="Arial" w:cs="Arial"/>
          <w:sz w:val="22"/>
          <w:szCs w:val="22"/>
        </w:rPr>
        <w:t xml:space="preserve"> </w:t>
      </w:r>
      <w:r w:rsidRPr="00226890">
        <w:rPr>
          <w:rFonts w:ascii="Arial" w:hAnsi="Arial" w:cs="Arial"/>
          <w:b/>
          <w:bCs/>
        </w:rPr>
        <w:t>David Filippov, obchodní ředitel Skip Pay.</w:t>
      </w:r>
      <w:r w:rsidRPr="00172FB8">
        <w:rPr>
          <w:rFonts w:ascii="Arial" w:hAnsi="Arial" w:cs="Arial"/>
        </w:rPr>
        <w:t xml:space="preserve"> </w:t>
      </w:r>
      <w:r w:rsidRPr="00172FB8">
        <w:rPr>
          <w:rFonts w:ascii="Arial" w:hAnsi="Arial" w:cs="Arial"/>
          <w:i/>
          <w:iCs/>
        </w:rPr>
        <w:t xml:space="preserve">„To potvrzuje právě to, že takzvaná </w:t>
      </w:r>
      <w:r w:rsidR="00923E02">
        <w:rPr>
          <w:rFonts w:ascii="Arial" w:hAnsi="Arial" w:cs="Arial"/>
          <w:i/>
          <w:iCs/>
        </w:rPr>
        <w:t>‚</w:t>
      </w:r>
      <w:r w:rsidRPr="00172FB8">
        <w:rPr>
          <w:rFonts w:ascii="Arial" w:hAnsi="Arial" w:cs="Arial"/>
          <w:i/>
          <w:iCs/>
        </w:rPr>
        <w:t>radost z nákupu</w:t>
      </w:r>
      <w:r w:rsidR="00923E02">
        <w:rPr>
          <w:rFonts w:ascii="Arial" w:hAnsi="Arial" w:cs="Arial"/>
          <w:i/>
          <w:iCs/>
        </w:rPr>
        <w:t>‘</w:t>
      </w:r>
      <w:r w:rsidR="00923E02" w:rsidRPr="00172FB8">
        <w:rPr>
          <w:rFonts w:ascii="Arial" w:hAnsi="Arial" w:cs="Arial"/>
          <w:i/>
          <w:iCs/>
        </w:rPr>
        <w:t xml:space="preserve"> </w:t>
      </w:r>
      <w:r w:rsidRPr="00172FB8">
        <w:rPr>
          <w:rFonts w:ascii="Arial" w:hAnsi="Arial" w:cs="Arial"/>
          <w:i/>
          <w:iCs/>
        </w:rPr>
        <w:t>po mírném vzestupu opět klesá. Utrácení máme spojené stále ještě s negativní emocí.“</w:t>
      </w:r>
    </w:p>
    <w:p w14:paraId="75BCACC7" w14:textId="0D4F48B0" w:rsidR="00D33508" w:rsidRPr="0011473E" w:rsidRDefault="00D33508" w:rsidP="00D33508">
      <w:pPr>
        <w:pStyle w:val="Nadpis2"/>
        <w:rPr>
          <w:rFonts w:ascii="Arial" w:hAnsi="Arial" w:cs="Arial"/>
          <w:color w:val="108DD2"/>
        </w:rPr>
      </w:pPr>
      <w:r w:rsidRPr="0011473E">
        <w:rPr>
          <w:rFonts w:ascii="Arial" w:hAnsi="Arial" w:cs="Arial"/>
          <w:color w:val="108DD2"/>
        </w:rPr>
        <w:lastRenderedPageBreak/>
        <w:t>Sleva jako standard. Zákazník už ji nebere jako motivaci</w:t>
      </w:r>
    </w:p>
    <w:p w14:paraId="4003CFE3" w14:textId="6A948153" w:rsidR="00D33508" w:rsidRPr="00172FB8" w:rsidRDefault="00D33508" w:rsidP="00D33508">
      <w:pPr>
        <w:rPr>
          <w:rFonts w:ascii="Arial" w:hAnsi="Arial" w:cs="Arial"/>
        </w:rPr>
      </w:pPr>
      <w:r w:rsidRPr="00172FB8">
        <w:rPr>
          <w:rFonts w:ascii="Arial" w:hAnsi="Arial" w:cs="Arial"/>
        </w:rPr>
        <w:t>Slevy se bohužel staly novou normou. Míra jejich využívání sto</w:t>
      </w:r>
      <w:r w:rsidR="00923E02">
        <w:rPr>
          <w:rFonts w:ascii="Arial" w:hAnsi="Arial" w:cs="Arial"/>
        </w:rPr>
        <w:t>u</w:t>
      </w:r>
      <w:r w:rsidRPr="00172FB8">
        <w:rPr>
          <w:rFonts w:ascii="Arial" w:hAnsi="Arial" w:cs="Arial"/>
        </w:rPr>
        <w:t>pla na nové maximum – 88 %. Zároveň ale slevy začínají ztrácet na akvizičním efektu. Zatímco před Vánoci skoro 2/3 lidí donutila sleva nakupovat, nyní je to kolem 59</w:t>
      </w:r>
      <w:r w:rsidR="007D3A27">
        <w:rPr>
          <w:rFonts w:ascii="Arial" w:hAnsi="Arial" w:cs="Arial"/>
        </w:rPr>
        <w:t> </w:t>
      </w:r>
      <w:r w:rsidRPr="00172FB8">
        <w:rPr>
          <w:rFonts w:ascii="Arial" w:hAnsi="Arial" w:cs="Arial"/>
        </w:rPr>
        <w:t>% a experti očekávají další pokles. I to je efekt slevové spirály, která český trh svírá.</w:t>
      </w:r>
    </w:p>
    <w:p w14:paraId="6311AA68" w14:textId="3DC1D03F" w:rsidR="00D33508" w:rsidRPr="00172FB8" w:rsidRDefault="700B169E" w:rsidP="00D33508">
      <w:pPr>
        <w:rPr>
          <w:rFonts w:ascii="Arial" w:hAnsi="Arial" w:cs="Arial"/>
        </w:rPr>
      </w:pPr>
      <w:r w:rsidRPr="00226890">
        <w:rPr>
          <w:rFonts w:ascii="Arial" w:hAnsi="Arial" w:cs="Arial"/>
          <w:i/>
          <w:iCs/>
        </w:rPr>
        <w:t xml:space="preserve">„Sleva už dnes nepůsobí jako motivace k nákupu, ale jako podmínka. Stala se standardem, který zákazník očekává. To je hlavní past slevové spirály. Aby </w:t>
      </w:r>
      <w:r w:rsidR="5A1DAA3C" w:rsidRPr="00226890">
        <w:rPr>
          <w:rFonts w:ascii="Arial" w:hAnsi="Arial" w:cs="Arial"/>
          <w:i/>
          <w:iCs/>
        </w:rPr>
        <w:t xml:space="preserve">obchodníci </w:t>
      </w:r>
      <w:r w:rsidRPr="00226890">
        <w:rPr>
          <w:rFonts w:ascii="Arial" w:hAnsi="Arial" w:cs="Arial"/>
          <w:i/>
          <w:iCs/>
        </w:rPr>
        <w:t>mohli prodávat, musí obětovat zisk. Na ceny asijských tržišť se však nemají šanci dostat. Není to výhodné pro ně, ale z dlouhodobého hlediska ani pro zákazníka,“</w:t>
      </w:r>
      <w:r w:rsidRPr="6BA60D05">
        <w:rPr>
          <w:rFonts w:ascii="Arial" w:hAnsi="Arial" w:cs="Arial"/>
        </w:rPr>
        <w:t xml:space="preserve"> vysvětluje </w:t>
      </w:r>
      <w:r w:rsidRPr="00226890">
        <w:rPr>
          <w:rFonts w:ascii="Arial" w:hAnsi="Arial" w:cs="Arial"/>
          <w:b/>
          <w:bCs/>
        </w:rPr>
        <w:t>David Filippov</w:t>
      </w:r>
      <w:r w:rsidRPr="6BA60D05">
        <w:rPr>
          <w:rFonts w:ascii="Arial" w:hAnsi="Arial" w:cs="Arial"/>
        </w:rPr>
        <w:t xml:space="preserve">. </w:t>
      </w:r>
      <w:r w:rsidRPr="00226890">
        <w:rPr>
          <w:rFonts w:ascii="Arial" w:hAnsi="Arial" w:cs="Arial"/>
          <w:i/>
          <w:iCs/>
        </w:rPr>
        <w:t>„Navíc se ukazuje, že sleva nevede ani k větší loajalitě stávajících zákazníků. Pokud jsou totiž non-stop slevy na podobné zboží všude, začíná jim být jedno, kde nakupují.“</w:t>
      </w:r>
    </w:p>
    <w:p w14:paraId="5B8686E9" w14:textId="69FC513E" w:rsidR="00F73639" w:rsidRPr="0011473E" w:rsidRDefault="00F73639" w:rsidP="00F73639">
      <w:pPr>
        <w:pStyle w:val="Nadpis2"/>
        <w:rPr>
          <w:rFonts w:ascii="Arial" w:hAnsi="Arial" w:cs="Arial"/>
          <w:color w:val="108DD2"/>
        </w:rPr>
      </w:pPr>
      <w:r w:rsidRPr="0011473E">
        <w:rPr>
          <w:rFonts w:ascii="Arial" w:hAnsi="Arial" w:cs="Arial"/>
          <w:color w:val="108DD2"/>
        </w:rPr>
        <w:t>Překvapivý pokles loajality i důvěry</w:t>
      </w:r>
    </w:p>
    <w:p w14:paraId="7953E65E" w14:textId="5E32384C" w:rsidR="00D33508" w:rsidRDefault="00D33508">
      <w:pPr>
        <w:rPr>
          <w:rFonts w:ascii="Arial" w:hAnsi="Arial" w:cs="Arial"/>
        </w:rPr>
      </w:pPr>
      <w:r w:rsidRPr="00172FB8">
        <w:rPr>
          <w:rFonts w:ascii="Arial" w:hAnsi="Arial" w:cs="Arial"/>
        </w:rPr>
        <w:t xml:space="preserve">To je ostatně důvod, proč ukazatel zákaznické loajality klesl meziročně o 13 %. Platí to zejména u těch prodejců, kteří v minulosti neinvestovali do vlastní identity nebo vlastních produktů a jsou tak snadno zaměnitelní. </w:t>
      </w:r>
      <w:r w:rsidR="00F73639" w:rsidRPr="00172FB8">
        <w:rPr>
          <w:rFonts w:ascii="Arial" w:hAnsi="Arial" w:cs="Arial"/>
        </w:rPr>
        <w:t>Proti nim se navíc může obrátit i další z trendů – dlouhodobě rostoucí opatrnost. Až 89 % respondentů totiž přistupuje k obchodníkům apriori s nedůvěrou.</w:t>
      </w:r>
    </w:p>
    <w:p w14:paraId="2FD47C6D" w14:textId="77777777" w:rsidR="00CF249A" w:rsidRPr="00172FB8" w:rsidRDefault="00CF249A">
      <w:pPr>
        <w:rPr>
          <w:rFonts w:ascii="Arial" w:hAnsi="Arial" w:cs="Arial"/>
        </w:rPr>
      </w:pPr>
    </w:p>
    <w:p w14:paraId="646AF1DE" w14:textId="5A05ACC6" w:rsidR="00541444" w:rsidRPr="00172FB8" w:rsidRDefault="700B169E" w:rsidP="00F73639">
      <w:pPr>
        <w:rPr>
          <w:rFonts w:ascii="Arial" w:hAnsi="Arial" w:cs="Arial"/>
        </w:rPr>
      </w:pPr>
      <w:r w:rsidRPr="700B169E">
        <w:rPr>
          <w:rFonts w:ascii="Arial" w:hAnsi="Arial" w:cs="Arial"/>
          <w:i/>
          <w:iCs/>
        </w:rPr>
        <w:t>„Je potřeba si uvědomit, že česká e-commerce má velmi vysoký standard. Zákazníci však mají stále častěji rozporuplné zkušenosti se zbožím z asijských tržišť. Může to být zpožděné doručení, rozdílné parametry oproti popisům, kvalita neodpovídající tomu, co čekáte. Dopad toho však cítí celý sektor e-commerce právě na rostoucí opatrnosti,“</w:t>
      </w:r>
      <w:r w:rsidRPr="700B169E">
        <w:rPr>
          <w:rFonts w:ascii="Arial" w:hAnsi="Arial" w:cs="Arial"/>
        </w:rPr>
        <w:t xml:space="preserve"> uzavírá </w:t>
      </w:r>
      <w:r w:rsidRPr="700B169E">
        <w:rPr>
          <w:rFonts w:ascii="Arial" w:hAnsi="Arial" w:cs="Arial"/>
          <w:b/>
          <w:bCs/>
        </w:rPr>
        <w:t>David Filippov</w:t>
      </w:r>
      <w:r w:rsidRPr="700B169E">
        <w:rPr>
          <w:rFonts w:ascii="Arial" w:hAnsi="Arial" w:cs="Arial"/>
        </w:rPr>
        <w:t xml:space="preserve">. </w:t>
      </w:r>
      <w:r w:rsidRPr="700B169E">
        <w:rPr>
          <w:rFonts w:ascii="Arial" w:hAnsi="Arial" w:cs="Arial"/>
          <w:i/>
          <w:iCs/>
        </w:rPr>
        <w:t>„I to je jedna z velkých výzev, kterou musí obchodníci umět adresovat.“</w:t>
      </w:r>
    </w:p>
    <w:p w14:paraId="75CDAC4F" w14:textId="71AA91E1" w:rsidR="00541444" w:rsidRPr="00172FB8" w:rsidRDefault="008F69FE">
      <w:pPr>
        <w:pStyle w:val="Nadpis2"/>
        <w:rPr>
          <w:rFonts w:ascii="Arial" w:hAnsi="Arial" w:cs="Arial"/>
        </w:rPr>
      </w:pPr>
      <w:r w:rsidRPr="0011473E">
        <w:rPr>
          <w:rFonts w:ascii="Arial" w:hAnsi="Arial" w:cs="Arial"/>
          <w:color w:val="108DD2"/>
        </w:rPr>
        <w:t>Zákaznická sonda Skip Pay</w:t>
      </w:r>
      <w:r w:rsidR="00F73639" w:rsidRPr="0011473E">
        <w:rPr>
          <w:rFonts w:ascii="Arial" w:hAnsi="Arial" w:cs="Arial"/>
          <w:color w:val="108DD2"/>
        </w:rPr>
        <w:t xml:space="preserve"> – jak se v průběhu času mění zákaznické chování</w:t>
      </w:r>
      <w:r w:rsidR="00172FB8" w:rsidRPr="0011473E">
        <w:rPr>
          <w:rFonts w:ascii="Arial" w:hAnsi="Arial" w:cs="Arial"/>
          <w:color w:val="108DD2"/>
        </w:rPr>
        <w:br/>
      </w:r>
      <w:r w:rsidR="00F73639" w:rsidRPr="00172FB8">
        <w:rPr>
          <w:rFonts w:ascii="Arial" w:hAnsi="Arial" w:cs="Arial"/>
        </w:rPr>
        <w:br/>
      </w:r>
      <w:r w:rsidR="00172FB8" w:rsidRPr="00172FB8">
        <w:rPr>
          <w:rFonts w:ascii="Arial" w:eastAsiaTheme="minorEastAsia" w:hAnsi="Arial" w:cs="Arial"/>
          <w:color w:val="auto"/>
          <w:sz w:val="22"/>
          <w:szCs w:val="22"/>
        </w:rPr>
        <w:t>Dlouhodobý vývoj</w:t>
      </w:r>
    </w:p>
    <w:tbl>
      <w:tblPr>
        <w:tblW w:w="90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960"/>
        <w:gridCol w:w="960"/>
        <w:gridCol w:w="960"/>
        <w:gridCol w:w="960"/>
        <w:gridCol w:w="960"/>
        <w:gridCol w:w="960"/>
      </w:tblGrid>
      <w:tr w:rsidR="00F73639" w:rsidRPr="00F73639" w14:paraId="01F9DD3E" w14:textId="77777777" w:rsidTr="00F73639">
        <w:trPr>
          <w:trHeight w:val="300"/>
        </w:trPr>
        <w:tc>
          <w:tcPr>
            <w:tcW w:w="3240" w:type="dxa"/>
            <w:noWrap/>
            <w:vAlign w:val="bottom"/>
            <w:hideMark/>
          </w:tcPr>
          <w:p w14:paraId="362ADA83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BFBFBF"/>
            <w:noWrap/>
            <w:vAlign w:val="bottom"/>
            <w:hideMark/>
          </w:tcPr>
          <w:p w14:paraId="250DAFFA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H2 2022</w:t>
            </w:r>
          </w:p>
        </w:tc>
        <w:tc>
          <w:tcPr>
            <w:tcW w:w="960" w:type="dxa"/>
            <w:shd w:val="clear" w:color="000000" w:fill="BFBFBF"/>
            <w:noWrap/>
            <w:vAlign w:val="bottom"/>
            <w:hideMark/>
          </w:tcPr>
          <w:p w14:paraId="1924E23D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H1 2023</w:t>
            </w:r>
          </w:p>
        </w:tc>
        <w:tc>
          <w:tcPr>
            <w:tcW w:w="960" w:type="dxa"/>
            <w:shd w:val="clear" w:color="000000" w:fill="BFBFBF"/>
            <w:noWrap/>
            <w:vAlign w:val="bottom"/>
            <w:hideMark/>
          </w:tcPr>
          <w:p w14:paraId="3707FE86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H2 2023</w:t>
            </w:r>
          </w:p>
        </w:tc>
        <w:tc>
          <w:tcPr>
            <w:tcW w:w="960" w:type="dxa"/>
            <w:shd w:val="clear" w:color="000000" w:fill="BFBFBF"/>
            <w:noWrap/>
            <w:vAlign w:val="bottom"/>
            <w:hideMark/>
          </w:tcPr>
          <w:p w14:paraId="48BC35A4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H1 2024</w:t>
            </w:r>
          </w:p>
        </w:tc>
        <w:tc>
          <w:tcPr>
            <w:tcW w:w="960" w:type="dxa"/>
            <w:shd w:val="clear" w:color="000000" w:fill="BFBFBF"/>
            <w:noWrap/>
            <w:vAlign w:val="bottom"/>
            <w:hideMark/>
          </w:tcPr>
          <w:p w14:paraId="7762C20C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H2 2024</w:t>
            </w:r>
          </w:p>
        </w:tc>
        <w:tc>
          <w:tcPr>
            <w:tcW w:w="960" w:type="dxa"/>
            <w:shd w:val="clear" w:color="000000" w:fill="BFBFBF"/>
            <w:noWrap/>
            <w:vAlign w:val="bottom"/>
            <w:hideMark/>
          </w:tcPr>
          <w:p w14:paraId="22BB2EA9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H1 2025</w:t>
            </w:r>
          </w:p>
        </w:tc>
      </w:tr>
      <w:tr w:rsidR="00F73639" w:rsidRPr="00F73639" w14:paraId="7D63D09C" w14:textId="77777777" w:rsidTr="00F73639">
        <w:trPr>
          <w:trHeight w:val="300"/>
        </w:trPr>
        <w:tc>
          <w:tcPr>
            <w:tcW w:w="3240" w:type="dxa"/>
            <w:noWrap/>
            <w:vAlign w:val="bottom"/>
            <w:hideMark/>
          </w:tcPr>
          <w:p w14:paraId="69A950D0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Možnost svobodné volby</w:t>
            </w:r>
          </w:p>
        </w:tc>
        <w:tc>
          <w:tcPr>
            <w:tcW w:w="960" w:type="dxa"/>
            <w:noWrap/>
            <w:vAlign w:val="bottom"/>
            <w:hideMark/>
          </w:tcPr>
          <w:p w14:paraId="1F8E2BBC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960" w:type="dxa"/>
            <w:noWrap/>
            <w:vAlign w:val="bottom"/>
            <w:hideMark/>
          </w:tcPr>
          <w:p w14:paraId="2C30928E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6,4</w:t>
            </w:r>
          </w:p>
        </w:tc>
        <w:tc>
          <w:tcPr>
            <w:tcW w:w="960" w:type="dxa"/>
            <w:noWrap/>
            <w:vAlign w:val="bottom"/>
            <w:hideMark/>
          </w:tcPr>
          <w:p w14:paraId="5E732175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960" w:type="dxa"/>
            <w:noWrap/>
            <w:vAlign w:val="bottom"/>
            <w:hideMark/>
          </w:tcPr>
          <w:p w14:paraId="01D77779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960" w:type="dxa"/>
            <w:noWrap/>
            <w:vAlign w:val="bottom"/>
            <w:hideMark/>
          </w:tcPr>
          <w:p w14:paraId="420F1AFF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4,7</w:t>
            </w:r>
          </w:p>
        </w:tc>
        <w:tc>
          <w:tcPr>
            <w:tcW w:w="960" w:type="dxa"/>
            <w:noWrap/>
            <w:vAlign w:val="bottom"/>
            <w:hideMark/>
          </w:tcPr>
          <w:p w14:paraId="588B91C3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4,6</w:t>
            </w:r>
          </w:p>
        </w:tc>
      </w:tr>
      <w:tr w:rsidR="00F73639" w:rsidRPr="00F73639" w14:paraId="73685912" w14:textId="77777777" w:rsidTr="00F73639">
        <w:trPr>
          <w:trHeight w:val="300"/>
        </w:trPr>
        <w:tc>
          <w:tcPr>
            <w:tcW w:w="3240" w:type="dxa"/>
            <w:noWrap/>
            <w:vAlign w:val="bottom"/>
            <w:hideMark/>
          </w:tcPr>
          <w:p w14:paraId="7946EAA7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Míra zvažování</w:t>
            </w:r>
          </w:p>
        </w:tc>
        <w:tc>
          <w:tcPr>
            <w:tcW w:w="960" w:type="dxa"/>
            <w:noWrap/>
            <w:vAlign w:val="bottom"/>
            <w:hideMark/>
          </w:tcPr>
          <w:p w14:paraId="30A4FDC8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960" w:type="dxa"/>
            <w:noWrap/>
            <w:vAlign w:val="bottom"/>
            <w:hideMark/>
          </w:tcPr>
          <w:p w14:paraId="44A8B7E6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60" w:type="dxa"/>
            <w:noWrap/>
            <w:vAlign w:val="bottom"/>
            <w:hideMark/>
          </w:tcPr>
          <w:p w14:paraId="17A3CF05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960" w:type="dxa"/>
            <w:noWrap/>
            <w:vAlign w:val="bottom"/>
            <w:hideMark/>
          </w:tcPr>
          <w:p w14:paraId="0249ABD7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960" w:type="dxa"/>
            <w:noWrap/>
            <w:vAlign w:val="bottom"/>
            <w:hideMark/>
          </w:tcPr>
          <w:p w14:paraId="5F521359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60" w:type="dxa"/>
            <w:noWrap/>
            <w:vAlign w:val="bottom"/>
            <w:hideMark/>
          </w:tcPr>
          <w:p w14:paraId="6ABD18AB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5,7</w:t>
            </w:r>
          </w:p>
        </w:tc>
      </w:tr>
      <w:tr w:rsidR="00F73639" w:rsidRPr="00F73639" w14:paraId="45F8A2CE" w14:textId="77777777" w:rsidTr="00F73639">
        <w:trPr>
          <w:trHeight w:val="300"/>
        </w:trPr>
        <w:tc>
          <w:tcPr>
            <w:tcW w:w="3240" w:type="dxa"/>
            <w:noWrap/>
            <w:vAlign w:val="bottom"/>
            <w:hideMark/>
          </w:tcPr>
          <w:p w14:paraId="052DF889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Chuť utrácet / Radost z nákupu</w:t>
            </w:r>
          </w:p>
        </w:tc>
        <w:tc>
          <w:tcPr>
            <w:tcW w:w="960" w:type="dxa"/>
            <w:noWrap/>
            <w:vAlign w:val="bottom"/>
            <w:hideMark/>
          </w:tcPr>
          <w:p w14:paraId="4FA44FF3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960" w:type="dxa"/>
            <w:noWrap/>
            <w:vAlign w:val="bottom"/>
            <w:hideMark/>
          </w:tcPr>
          <w:p w14:paraId="6D9BEF3F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960" w:type="dxa"/>
            <w:noWrap/>
            <w:vAlign w:val="bottom"/>
            <w:hideMark/>
          </w:tcPr>
          <w:p w14:paraId="12363927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60" w:type="dxa"/>
            <w:noWrap/>
            <w:vAlign w:val="bottom"/>
            <w:hideMark/>
          </w:tcPr>
          <w:p w14:paraId="453B4AFC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6,9</w:t>
            </w:r>
          </w:p>
        </w:tc>
        <w:tc>
          <w:tcPr>
            <w:tcW w:w="960" w:type="dxa"/>
            <w:noWrap/>
            <w:vAlign w:val="bottom"/>
            <w:hideMark/>
          </w:tcPr>
          <w:p w14:paraId="0EB879C5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960" w:type="dxa"/>
            <w:noWrap/>
            <w:vAlign w:val="bottom"/>
            <w:hideMark/>
          </w:tcPr>
          <w:p w14:paraId="56243456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F73639" w:rsidRPr="00F73639" w14:paraId="79901075" w14:textId="77777777" w:rsidTr="00F73639">
        <w:trPr>
          <w:trHeight w:val="300"/>
        </w:trPr>
        <w:tc>
          <w:tcPr>
            <w:tcW w:w="3240" w:type="dxa"/>
            <w:noWrap/>
            <w:vAlign w:val="bottom"/>
            <w:hideMark/>
          </w:tcPr>
          <w:p w14:paraId="6E8A9153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Opatrnost / nedůvěra</w:t>
            </w:r>
          </w:p>
        </w:tc>
        <w:tc>
          <w:tcPr>
            <w:tcW w:w="960" w:type="dxa"/>
            <w:noWrap/>
            <w:vAlign w:val="bottom"/>
            <w:hideMark/>
          </w:tcPr>
          <w:p w14:paraId="54F60AD9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960" w:type="dxa"/>
            <w:noWrap/>
            <w:vAlign w:val="bottom"/>
            <w:hideMark/>
          </w:tcPr>
          <w:p w14:paraId="7E0AFDAC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960" w:type="dxa"/>
            <w:noWrap/>
            <w:vAlign w:val="bottom"/>
            <w:hideMark/>
          </w:tcPr>
          <w:p w14:paraId="06B29D55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6,7</w:t>
            </w:r>
          </w:p>
        </w:tc>
        <w:tc>
          <w:tcPr>
            <w:tcW w:w="960" w:type="dxa"/>
            <w:noWrap/>
            <w:vAlign w:val="bottom"/>
            <w:hideMark/>
          </w:tcPr>
          <w:p w14:paraId="0D4A8473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7,9</w:t>
            </w:r>
          </w:p>
        </w:tc>
        <w:tc>
          <w:tcPr>
            <w:tcW w:w="960" w:type="dxa"/>
            <w:noWrap/>
            <w:vAlign w:val="bottom"/>
            <w:hideMark/>
          </w:tcPr>
          <w:p w14:paraId="7EC7D696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8,1</w:t>
            </w:r>
          </w:p>
        </w:tc>
        <w:tc>
          <w:tcPr>
            <w:tcW w:w="960" w:type="dxa"/>
            <w:noWrap/>
            <w:vAlign w:val="bottom"/>
            <w:hideMark/>
          </w:tcPr>
          <w:p w14:paraId="53803C24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8,9</w:t>
            </w:r>
          </w:p>
        </w:tc>
      </w:tr>
      <w:tr w:rsidR="00F73639" w:rsidRPr="00F73639" w14:paraId="36655742" w14:textId="77777777" w:rsidTr="00F73639">
        <w:trPr>
          <w:trHeight w:val="300"/>
        </w:trPr>
        <w:tc>
          <w:tcPr>
            <w:tcW w:w="3240" w:type="dxa"/>
            <w:noWrap/>
            <w:vAlign w:val="bottom"/>
            <w:hideMark/>
          </w:tcPr>
          <w:p w14:paraId="26D4617A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Loajalita</w:t>
            </w:r>
          </w:p>
        </w:tc>
        <w:tc>
          <w:tcPr>
            <w:tcW w:w="960" w:type="dxa"/>
            <w:noWrap/>
            <w:vAlign w:val="bottom"/>
            <w:hideMark/>
          </w:tcPr>
          <w:p w14:paraId="3CAC3A4C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60" w:type="dxa"/>
            <w:noWrap/>
            <w:vAlign w:val="bottom"/>
            <w:hideMark/>
          </w:tcPr>
          <w:p w14:paraId="36453932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960" w:type="dxa"/>
            <w:noWrap/>
            <w:vAlign w:val="bottom"/>
            <w:hideMark/>
          </w:tcPr>
          <w:p w14:paraId="18B006DD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960" w:type="dxa"/>
            <w:noWrap/>
            <w:vAlign w:val="bottom"/>
            <w:hideMark/>
          </w:tcPr>
          <w:p w14:paraId="3403FBA4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6,9</w:t>
            </w:r>
          </w:p>
        </w:tc>
        <w:tc>
          <w:tcPr>
            <w:tcW w:w="960" w:type="dxa"/>
            <w:noWrap/>
            <w:vAlign w:val="bottom"/>
            <w:hideMark/>
          </w:tcPr>
          <w:p w14:paraId="17D994A1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960" w:type="dxa"/>
            <w:noWrap/>
            <w:vAlign w:val="bottom"/>
            <w:hideMark/>
          </w:tcPr>
          <w:p w14:paraId="112793FF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F73639" w:rsidRPr="00F73639" w14:paraId="2409DB3D" w14:textId="77777777" w:rsidTr="00F73639">
        <w:trPr>
          <w:trHeight w:val="300"/>
        </w:trPr>
        <w:tc>
          <w:tcPr>
            <w:tcW w:w="3240" w:type="dxa"/>
            <w:noWrap/>
            <w:vAlign w:val="bottom"/>
            <w:hideMark/>
          </w:tcPr>
          <w:p w14:paraId="68D14C9A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Využívání slev</w:t>
            </w:r>
          </w:p>
        </w:tc>
        <w:tc>
          <w:tcPr>
            <w:tcW w:w="960" w:type="dxa"/>
            <w:noWrap/>
            <w:vAlign w:val="bottom"/>
            <w:hideMark/>
          </w:tcPr>
          <w:p w14:paraId="407490AE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960" w:type="dxa"/>
            <w:noWrap/>
            <w:vAlign w:val="bottom"/>
            <w:hideMark/>
          </w:tcPr>
          <w:p w14:paraId="52DF29CB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8,4</w:t>
            </w:r>
          </w:p>
        </w:tc>
        <w:tc>
          <w:tcPr>
            <w:tcW w:w="960" w:type="dxa"/>
            <w:noWrap/>
            <w:vAlign w:val="bottom"/>
            <w:hideMark/>
          </w:tcPr>
          <w:p w14:paraId="56532EA1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8,1</w:t>
            </w:r>
          </w:p>
        </w:tc>
        <w:tc>
          <w:tcPr>
            <w:tcW w:w="960" w:type="dxa"/>
            <w:noWrap/>
            <w:vAlign w:val="bottom"/>
            <w:hideMark/>
          </w:tcPr>
          <w:p w14:paraId="5030C72E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8,2</w:t>
            </w:r>
          </w:p>
        </w:tc>
        <w:tc>
          <w:tcPr>
            <w:tcW w:w="960" w:type="dxa"/>
            <w:noWrap/>
            <w:vAlign w:val="bottom"/>
            <w:hideMark/>
          </w:tcPr>
          <w:p w14:paraId="7A5610BD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960" w:type="dxa"/>
            <w:noWrap/>
            <w:vAlign w:val="bottom"/>
            <w:hideMark/>
          </w:tcPr>
          <w:p w14:paraId="52CD2B7A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8,8</w:t>
            </w:r>
          </w:p>
        </w:tc>
      </w:tr>
      <w:tr w:rsidR="00F73639" w:rsidRPr="00F73639" w14:paraId="0FB14FEF" w14:textId="77777777" w:rsidTr="00F73639">
        <w:trPr>
          <w:trHeight w:val="300"/>
        </w:trPr>
        <w:tc>
          <w:tcPr>
            <w:tcW w:w="3240" w:type="dxa"/>
            <w:noWrap/>
            <w:vAlign w:val="bottom"/>
            <w:hideMark/>
          </w:tcPr>
          <w:p w14:paraId="292C6690" w14:textId="77777777" w:rsidR="00F73639" w:rsidRPr="00F73639" w:rsidRDefault="00F73639" w:rsidP="00F73639">
            <w:pPr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Cenová / slevová impulsivita</w:t>
            </w:r>
          </w:p>
        </w:tc>
        <w:tc>
          <w:tcPr>
            <w:tcW w:w="960" w:type="dxa"/>
            <w:noWrap/>
            <w:vAlign w:val="bottom"/>
            <w:hideMark/>
          </w:tcPr>
          <w:p w14:paraId="27676D05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960" w:type="dxa"/>
            <w:noWrap/>
            <w:vAlign w:val="bottom"/>
            <w:hideMark/>
          </w:tcPr>
          <w:p w14:paraId="45CE0FF7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960" w:type="dxa"/>
            <w:noWrap/>
            <w:vAlign w:val="bottom"/>
            <w:hideMark/>
          </w:tcPr>
          <w:p w14:paraId="0D474496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960" w:type="dxa"/>
            <w:noWrap/>
            <w:vAlign w:val="bottom"/>
            <w:hideMark/>
          </w:tcPr>
          <w:p w14:paraId="021ED768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6,3</w:t>
            </w:r>
          </w:p>
        </w:tc>
        <w:tc>
          <w:tcPr>
            <w:tcW w:w="960" w:type="dxa"/>
            <w:noWrap/>
            <w:vAlign w:val="bottom"/>
            <w:hideMark/>
          </w:tcPr>
          <w:p w14:paraId="743A6AFF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960" w:type="dxa"/>
            <w:noWrap/>
            <w:vAlign w:val="bottom"/>
            <w:hideMark/>
          </w:tcPr>
          <w:p w14:paraId="0027BE04" w14:textId="77777777" w:rsidR="00F73639" w:rsidRPr="00F73639" w:rsidRDefault="00F73639" w:rsidP="00F73639">
            <w:pPr>
              <w:jc w:val="right"/>
              <w:rPr>
                <w:rFonts w:ascii="Arial" w:hAnsi="Arial" w:cs="Arial"/>
                <w:color w:val="000000"/>
              </w:rPr>
            </w:pPr>
            <w:r w:rsidRPr="00F73639">
              <w:rPr>
                <w:rFonts w:ascii="Arial" w:hAnsi="Arial" w:cs="Arial"/>
                <w:color w:val="000000"/>
              </w:rPr>
              <w:t>5,9</w:t>
            </w:r>
          </w:p>
        </w:tc>
      </w:tr>
    </w:tbl>
    <w:p w14:paraId="79E85259" w14:textId="2589D05C" w:rsidR="00172FB8" w:rsidRPr="00FE6C7B" w:rsidRDefault="00172FB8" w:rsidP="00172FB8">
      <w:pPr>
        <w:pStyle w:val="Nadpis2"/>
        <w:rPr>
          <w:rFonts w:ascii="Arial" w:hAnsi="Arial" w:cs="Arial"/>
          <w:i/>
          <w:iCs/>
          <w:sz w:val="16"/>
          <w:szCs w:val="16"/>
        </w:rPr>
      </w:pPr>
      <w:r w:rsidRPr="00FE6C7B">
        <w:rPr>
          <w:rFonts w:ascii="Arial" w:hAnsi="Arial" w:cs="Arial"/>
          <w:i/>
          <w:iCs/>
          <w:sz w:val="16"/>
          <w:szCs w:val="16"/>
        </w:rPr>
        <w:lastRenderedPageBreak/>
        <w:br/>
      </w:r>
      <w:r w:rsidRPr="00FE6C7B">
        <w:rPr>
          <w:rFonts w:ascii="Arial" w:eastAsiaTheme="minorEastAsia" w:hAnsi="Arial" w:cs="Arial"/>
          <w:color w:val="auto"/>
          <w:sz w:val="22"/>
          <w:szCs w:val="22"/>
        </w:rPr>
        <w:t>Srovnání v čase</w:t>
      </w:r>
    </w:p>
    <w:p w14:paraId="474EEF2C" w14:textId="77777777" w:rsidR="00172FB8" w:rsidRPr="00FE6C7B" w:rsidRDefault="00172FB8" w:rsidP="00172FB8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2409"/>
        <w:gridCol w:w="2268"/>
      </w:tblGrid>
      <w:tr w:rsidR="00FE6C7B" w:rsidRPr="00FE6C7B" w14:paraId="2855A824" w14:textId="77777777" w:rsidTr="00FE6C7B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32F88" w14:textId="77777777" w:rsidR="00FE6C7B" w:rsidRPr="00FE6C7B" w:rsidRDefault="00FE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533B84" w14:textId="77777777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H1 2025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1EF8E5" w14:textId="77777777" w:rsidR="00FE6C7B" w:rsidRPr="00FE6C7B" w:rsidRDefault="00FE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 změna vs H1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3F16AC" w14:textId="77777777" w:rsidR="00FE6C7B" w:rsidRPr="00FE6C7B" w:rsidRDefault="00FE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 změna vs H2 2024</w:t>
            </w:r>
          </w:p>
        </w:tc>
      </w:tr>
      <w:tr w:rsidR="00FE6C7B" w:rsidRPr="00FE6C7B" w14:paraId="3A713B42" w14:textId="77777777" w:rsidTr="00FE6C7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3707" w14:textId="77777777" w:rsidR="00FE6C7B" w:rsidRPr="00FE6C7B" w:rsidRDefault="00FE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Možnost svobodné volby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1275" w14:textId="77777777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09B6" w14:textId="42AF2029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21,10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8AF2" w14:textId="5C4C6A6B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–2,1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FE6C7B" w:rsidRPr="00FE6C7B" w14:paraId="013C084C" w14:textId="77777777" w:rsidTr="00FE6C7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88C" w14:textId="77777777" w:rsidR="00FE6C7B" w:rsidRPr="00FE6C7B" w:rsidRDefault="00FE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Míra zvažování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46F8" w14:textId="77777777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7634" w14:textId="24CD9D7D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–19,7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8820" w14:textId="7FFA609B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–25,0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FE6C7B" w:rsidRPr="00FE6C7B" w14:paraId="4C857ACA" w14:textId="77777777" w:rsidTr="00FE6C7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08D3" w14:textId="77777777" w:rsidR="00FE6C7B" w:rsidRPr="00FE6C7B" w:rsidRDefault="00FE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Chuť utrácet / Radost z nákupu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6FDA" w14:textId="77777777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E47A" w14:textId="1889E522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–1,4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CD7A" w14:textId="285467D6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–8,1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FE6C7B" w:rsidRPr="00FE6C7B" w14:paraId="054BCE75" w14:textId="77777777" w:rsidTr="00FE6C7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D70" w14:textId="77777777" w:rsidR="00FE6C7B" w:rsidRPr="00FE6C7B" w:rsidRDefault="00FE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Opatrnost / nedůvěra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F44D" w14:textId="77777777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F3CE" w14:textId="64BA7068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12,70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0AC3" w14:textId="7D6DE0FF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9,90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FE6C7B" w:rsidRPr="00FE6C7B" w14:paraId="2970C147" w14:textId="77777777" w:rsidTr="00FE6C7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1C78" w14:textId="77777777" w:rsidR="00FE6C7B" w:rsidRPr="00FE6C7B" w:rsidRDefault="00FE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Loajalita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09C0" w14:textId="77777777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E2A5" w14:textId="253E0663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–13,0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89E5" w14:textId="091431FD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–16,7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FE6C7B" w:rsidRPr="00FE6C7B" w14:paraId="5F5CF6CA" w14:textId="77777777" w:rsidTr="00FE6C7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8547" w14:textId="77777777" w:rsidR="00FE6C7B" w:rsidRPr="00FE6C7B" w:rsidRDefault="00FE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Využívání slev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CF62" w14:textId="77777777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AD3C" w14:textId="610E7CED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7,30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86FB" w14:textId="60621C97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3,50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FE6C7B" w:rsidRPr="00FE6C7B" w14:paraId="33EE5047" w14:textId="77777777" w:rsidTr="00FE6C7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98A7" w14:textId="77777777" w:rsidR="00FE6C7B" w:rsidRPr="00FE6C7B" w:rsidRDefault="00FE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Cenová / slevová impulsivita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ED0C" w14:textId="77777777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CFE8" w14:textId="315E70DC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–6,3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DC82" w14:textId="0843106B" w:rsidR="00FE6C7B" w:rsidRPr="00FE6C7B" w:rsidRDefault="00FE6C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–9,2</w:t>
            </w:r>
            <w:r w:rsidR="009D0C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6C7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767A9611" w14:textId="77777777" w:rsidR="00FE6C7B" w:rsidRDefault="00FE6C7B" w:rsidP="00172FB8">
      <w:pPr>
        <w:rPr>
          <w:rFonts w:ascii="Arial" w:hAnsi="Arial" w:cs="Arial"/>
          <w:i/>
          <w:iCs/>
          <w:sz w:val="16"/>
          <w:szCs w:val="16"/>
        </w:rPr>
      </w:pPr>
    </w:p>
    <w:p w14:paraId="17DD4DC5" w14:textId="77777777" w:rsidR="00FE6C7B" w:rsidRDefault="00172FB8" w:rsidP="00172FB8">
      <w:pPr>
        <w:rPr>
          <w:rFonts w:ascii="Arial" w:hAnsi="Arial" w:cs="Arial"/>
          <w:i/>
          <w:iCs/>
          <w:sz w:val="16"/>
          <w:szCs w:val="16"/>
        </w:rPr>
      </w:pPr>
      <w:r w:rsidRPr="00172FB8">
        <w:rPr>
          <w:rFonts w:ascii="Arial" w:hAnsi="Arial" w:cs="Arial"/>
          <w:i/>
          <w:iCs/>
          <w:sz w:val="16"/>
          <w:szCs w:val="16"/>
        </w:rPr>
        <w:t>Poznámka: Hodnoty jednotlivých indexů jsou uváděny na škále 0–10 a lze je zjednodušeně interpretovat jako „počet lidí z deseti“, kteří daný postoj nebo chování sdílejí. Po vynásobení deseti je možné získat přibližné procentuální vyjádření respondentů, kteří souhlasili s výrokem nebo se identifikují s daným jevem. Index tak představuje průměrnou míru sdílení postoje nebo chování napříč celou vzorkovanou skupinou.</w:t>
      </w:r>
    </w:p>
    <w:p w14:paraId="4F812126" w14:textId="77777777" w:rsidR="00FE6C7B" w:rsidRDefault="00FE6C7B" w:rsidP="00172FB8">
      <w:pPr>
        <w:rPr>
          <w:rFonts w:ascii="Arial" w:hAnsi="Arial" w:cs="Arial"/>
          <w:i/>
          <w:iCs/>
          <w:sz w:val="16"/>
          <w:szCs w:val="16"/>
        </w:rPr>
      </w:pPr>
    </w:p>
    <w:p w14:paraId="5C10ABCF" w14:textId="4FD39AFD" w:rsidR="00172FB8" w:rsidRPr="00FE6C7B" w:rsidRDefault="00FE6C7B" w:rsidP="00172FB8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FE6C7B">
        <w:rPr>
          <w:rFonts w:ascii="Arial" w:eastAsiaTheme="minorEastAsia" w:hAnsi="Arial" w:cs="Arial"/>
          <w:b/>
          <w:bCs/>
          <w:sz w:val="22"/>
          <w:szCs w:val="22"/>
        </w:rPr>
        <w:t>Vysvětlivky</w:t>
      </w:r>
      <w:r w:rsidRPr="00FE6C7B">
        <w:rPr>
          <w:rFonts w:ascii="Arial" w:hAnsi="Arial" w:cs="Arial"/>
          <w:b/>
          <w:bCs/>
          <w:i/>
          <w:iCs/>
          <w:sz w:val="16"/>
          <w:szCs w:val="16"/>
        </w:rPr>
        <w:br/>
      </w:r>
    </w:p>
    <w:p w14:paraId="4BB6A1BE" w14:textId="19834592" w:rsidR="00172FB8" w:rsidRPr="00172FB8" w:rsidRDefault="00172FB8" w:rsidP="00172FB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2FB8">
        <w:rPr>
          <w:rFonts w:ascii="Arial" w:hAnsi="Arial" w:cs="Arial"/>
          <w:b/>
          <w:bCs/>
        </w:rPr>
        <w:t>Možnost svobodné volby</w:t>
      </w:r>
      <w:r w:rsidRPr="00172FB8">
        <w:rPr>
          <w:rFonts w:ascii="Arial" w:hAnsi="Arial" w:cs="Arial"/>
        </w:rPr>
        <w:br/>
        <w:t>Ekonomický ukazatel zachycující, do jaké míry zákazník vnímá, že může utrácet bez omezení daných rozpočtem domácnosti. Vyšší hodnota znamená vyšší finanční sebevědomí a menší tlak rodinné ekonomiky na nákupní rozhodování.</w:t>
      </w:r>
    </w:p>
    <w:p w14:paraId="3867DC14" w14:textId="47A6B212" w:rsidR="00172FB8" w:rsidRPr="00172FB8" w:rsidRDefault="00172FB8" w:rsidP="00172FB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2FB8">
        <w:rPr>
          <w:rFonts w:ascii="Arial" w:hAnsi="Arial" w:cs="Arial"/>
          <w:b/>
          <w:bCs/>
        </w:rPr>
        <w:t>Míra zvažování</w:t>
      </w:r>
      <w:r w:rsidRPr="00172FB8">
        <w:rPr>
          <w:rFonts w:ascii="Arial" w:hAnsi="Arial" w:cs="Arial"/>
        </w:rPr>
        <w:br/>
        <w:t>Index promyšlenosti nákupu. Udává, nakolik zákazníci při rozhodování zvažují různé alternativy, ceny a potřebnost. Klesající hodnota značí rychlejší a impul</w:t>
      </w:r>
      <w:r w:rsidR="000A5F6D">
        <w:rPr>
          <w:rFonts w:ascii="Arial" w:hAnsi="Arial" w:cs="Arial"/>
        </w:rPr>
        <w:t>s</w:t>
      </w:r>
      <w:r w:rsidRPr="00172FB8">
        <w:rPr>
          <w:rFonts w:ascii="Arial" w:hAnsi="Arial" w:cs="Arial"/>
        </w:rPr>
        <w:t>ivnější nákupní chování.</w:t>
      </w:r>
    </w:p>
    <w:p w14:paraId="0372ADE2" w14:textId="721A4C13" w:rsidR="00172FB8" w:rsidRPr="00172FB8" w:rsidRDefault="00172FB8" w:rsidP="00172FB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2FB8">
        <w:rPr>
          <w:rFonts w:ascii="Arial" w:hAnsi="Arial" w:cs="Arial"/>
          <w:b/>
          <w:bCs/>
        </w:rPr>
        <w:t>Radost z nákupu</w:t>
      </w:r>
      <w:r w:rsidRPr="00172FB8">
        <w:rPr>
          <w:rFonts w:ascii="Arial" w:hAnsi="Arial" w:cs="Arial"/>
        </w:rPr>
        <w:br/>
        <w:t>Emoční složka nákupního procesu. Vyjadřuje subjektivní pocit spokojenosti a uspokojení po dokončení nákupu. Může klesat i v situaci, kdy se nákupy dějí častěji, rutinně nebo v době napjaté ekonomické situace.</w:t>
      </w:r>
    </w:p>
    <w:p w14:paraId="61855692" w14:textId="39EF29EB" w:rsidR="00172FB8" w:rsidRPr="00172FB8" w:rsidRDefault="00172FB8" w:rsidP="00172FB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2FB8">
        <w:rPr>
          <w:rFonts w:ascii="Arial" w:hAnsi="Arial" w:cs="Arial"/>
          <w:b/>
          <w:bCs/>
        </w:rPr>
        <w:t>Opatrnost / Nedůvěra</w:t>
      </w:r>
      <w:r w:rsidRPr="00172FB8">
        <w:rPr>
          <w:rFonts w:ascii="Arial" w:hAnsi="Arial" w:cs="Arial"/>
        </w:rPr>
        <w:br/>
        <w:t>Odráží obecnou míru nejistoty nebo skepsi vůči obchodníkům a nákupnímu prostředí. Vyšší skóre naznačuje zhoršení celkové zákaznické zkušenosti, např. zpoždění, nízká kvalita či problémy s reklamací.</w:t>
      </w:r>
    </w:p>
    <w:p w14:paraId="535703F7" w14:textId="75E556D5" w:rsidR="00172FB8" w:rsidRPr="00172FB8" w:rsidRDefault="00172FB8" w:rsidP="00172FB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2FB8">
        <w:rPr>
          <w:rFonts w:ascii="Arial" w:hAnsi="Arial" w:cs="Arial"/>
          <w:b/>
          <w:bCs/>
        </w:rPr>
        <w:t>Loajalita</w:t>
      </w:r>
      <w:r w:rsidRPr="00172FB8">
        <w:rPr>
          <w:rFonts w:ascii="Arial" w:hAnsi="Arial" w:cs="Arial"/>
        </w:rPr>
        <w:br/>
        <w:t>Stabilita vztahu k obchodníkovi nebo značce. Sleduje míru ochoty zákazníků vracet se ke stejnému prodejci. Pokles indikuje vyšší ochotu experimentovat nebo přecházet ke konkurenci.</w:t>
      </w:r>
    </w:p>
    <w:p w14:paraId="4C400E45" w14:textId="1FF09695" w:rsidR="00172FB8" w:rsidRPr="00172FB8" w:rsidRDefault="00172FB8" w:rsidP="00172FB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2FB8">
        <w:rPr>
          <w:rFonts w:ascii="Arial" w:hAnsi="Arial" w:cs="Arial"/>
          <w:b/>
          <w:bCs/>
        </w:rPr>
        <w:t>Využívání slev</w:t>
      </w:r>
      <w:r w:rsidRPr="00172FB8">
        <w:rPr>
          <w:rFonts w:ascii="Arial" w:hAnsi="Arial" w:cs="Arial"/>
        </w:rPr>
        <w:br/>
        <w:t>Frekvence, s jakou zákazníci aktivně sledují a využívají akční nabídky. Vysoká hodnota ukazuje na nárůst cenové citlivosti a potřebu hledat výhodnější podmínky nebo zařazení slev do hlavních podmínek nákupu.</w:t>
      </w:r>
    </w:p>
    <w:p w14:paraId="50704A5A" w14:textId="4C14CD0E" w:rsidR="00172FB8" w:rsidRPr="00172FB8" w:rsidRDefault="00172FB8" w:rsidP="00172FB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2FB8">
        <w:rPr>
          <w:rFonts w:ascii="Arial" w:hAnsi="Arial" w:cs="Arial"/>
          <w:b/>
          <w:bCs/>
        </w:rPr>
        <w:lastRenderedPageBreak/>
        <w:t>Slevová impulsivita</w:t>
      </w:r>
      <w:r w:rsidRPr="00172FB8">
        <w:rPr>
          <w:rFonts w:ascii="Arial" w:hAnsi="Arial" w:cs="Arial"/>
        </w:rPr>
        <w:br/>
        <w:t>Reaktivita na slevu – tedy míra, s jakou sleva spouští neplánovaný nákup. Klesající hodnota znamená, že sleva ztrácí schopnost ovlivnit rozhodnutí o nákupu v reálném čase.</w:t>
      </w:r>
    </w:p>
    <w:p w14:paraId="61FFA26C" w14:textId="77777777" w:rsidR="00172FB8" w:rsidRPr="00172FB8" w:rsidRDefault="00172FB8">
      <w:pPr>
        <w:rPr>
          <w:rFonts w:ascii="Arial" w:hAnsi="Arial" w:cs="Arial"/>
        </w:rPr>
      </w:pPr>
    </w:p>
    <w:p w14:paraId="69E7E398" w14:textId="77777777" w:rsidR="00541444" w:rsidRPr="001F4027" w:rsidRDefault="008F69FE">
      <w:pPr>
        <w:pStyle w:val="Nadpis2"/>
        <w:rPr>
          <w:rFonts w:ascii="Arial" w:hAnsi="Arial" w:cs="Arial"/>
          <w:color w:val="108DD2"/>
        </w:rPr>
      </w:pPr>
      <w:r w:rsidRPr="001F4027">
        <w:rPr>
          <w:rFonts w:ascii="Arial" w:hAnsi="Arial" w:cs="Arial"/>
          <w:color w:val="108DD2"/>
        </w:rPr>
        <w:t>O Skip Pay</w:t>
      </w:r>
    </w:p>
    <w:p w14:paraId="00133416" w14:textId="2B050815" w:rsidR="00541444" w:rsidRPr="00172FB8" w:rsidRDefault="700B169E">
      <w:pPr>
        <w:rPr>
          <w:rFonts w:ascii="Arial" w:hAnsi="Arial" w:cs="Arial"/>
        </w:rPr>
      </w:pPr>
      <w:r w:rsidRPr="6BA60D05">
        <w:rPr>
          <w:rFonts w:ascii="Arial" w:hAnsi="Arial" w:cs="Arial"/>
        </w:rPr>
        <w:t xml:space="preserve">Skip Pay je fintech ze skupiny ČSOB. Umožňuje zákazníkům nakupovat s větší jistotou a obchodníkům nabízí vyšší konverzi i retenci. Vedle odložené platby a služby Nákup na Třetinu nabízí nově i produkt Skip Pay Splátky. Ten umožňuje rozložit si platbu až na 37 </w:t>
      </w:r>
      <w:proofErr w:type="gramStart"/>
      <w:r w:rsidRPr="6BA60D05">
        <w:rPr>
          <w:rFonts w:ascii="Arial" w:hAnsi="Arial" w:cs="Arial"/>
        </w:rPr>
        <w:t>měsíců</w:t>
      </w:r>
      <w:proofErr w:type="gramEnd"/>
      <w:r w:rsidRPr="6BA60D05">
        <w:rPr>
          <w:rFonts w:ascii="Arial" w:hAnsi="Arial" w:cs="Arial"/>
        </w:rPr>
        <w:t xml:space="preserve"> a ještě více přizpůsobit nákupní rozhodnutí aktuálním finančním možnostem. Služby Skip Pay využívají desetitisíce zákazníků a tisíce e-shopů a kamenných obchodníků v celé ČR.</w:t>
      </w:r>
    </w:p>
    <w:sectPr w:rsidR="00541444" w:rsidRPr="00172FB8" w:rsidSect="0011473E">
      <w:headerReference w:type="default" r:id="rId11"/>
      <w:pgSz w:w="12240" w:h="15840"/>
      <w:pgMar w:top="237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0C43" w14:textId="77777777" w:rsidR="00275A3F" w:rsidRDefault="00275A3F" w:rsidP="0011473E">
      <w:r>
        <w:separator/>
      </w:r>
    </w:p>
  </w:endnote>
  <w:endnote w:type="continuationSeparator" w:id="0">
    <w:p w14:paraId="1E69DE88" w14:textId="77777777" w:rsidR="00275A3F" w:rsidRDefault="00275A3F" w:rsidP="0011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CA2E8" w14:textId="77777777" w:rsidR="00275A3F" w:rsidRDefault="00275A3F" w:rsidP="0011473E">
      <w:r>
        <w:separator/>
      </w:r>
    </w:p>
  </w:footnote>
  <w:footnote w:type="continuationSeparator" w:id="0">
    <w:p w14:paraId="67405048" w14:textId="77777777" w:rsidR="00275A3F" w:rsidRDefault="00275A3F" w:rsidP="0011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A695" w14:textId="3DC2478F" w:rsidR="0011473E" w:rsidRDefault="0011473E">
    <w:pPr>
      <w:pStyle w:val="Zhlav"/>
    </w:pPr>
    <w:r>
      <w:rPr>
        <w:noProof/>
      </w:rPr>
      <w:drawing>
        <wp:inline distT="0" distB="0" distL="0" distR="0" wp14:anchorId="6140206C" wp14:editId="7428C984">
          <wp:extent cx="1356323" cy="726602"/>
          <wp:effectExtent l="0" t="0" r="0" b="0"/>
          <wp:docPr id="51124525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3C4386"/>
    <w:multiLevelType w:val="hybridMultilevel"/>
    <w:tmpl w:val="4120C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77084">
    <w:abstractNumId w:val="8"/>
  </w:num>
  <w:num w:numId="2" w16cid:durableId="2048337568">
    <w:abstractNumId w:val="6"/>
  </w:num>
  <w:num w:numId="3" w16cid:durableId="567305796">
    <w:abstractNumId w:val="5"/>
  </w:num>
  <w:num w:numId="4" w16cid:durableId="487944724">
    <w:abstractNumId w:val="4"/>
  </w:num>
  <w:num w:numId="5" w16cid:durableId="255017694">
    <w:abstractNumId w:val="7"/>
  </w:num>
  <w:num w:numId="6" w16cid:durableId="446311212">
    <w:abstractNumId w:val="3"/>
  </w:num>
  <w:num w:numId="7" w16cid:durableId="657340419">
    <w:abstractNumId w:val="2"/>
  </w:num>
  <w:num w:numId="8" w16cid:durableId="1169369312">
    <w:abstractNumId w:val="1"/>
  </w:num>
  <w:num w:numId="9" w16cid:durableId="1574705947">
    <w:abstractNumId w:val="0"/>
  </w:num>
  <w:num w:numId="10" w16cid:durableId="61611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F6D"/>
    <w:rsid w:val="0011473E"/>
    <w:rsid w:val="0015074B"/>
    <w:rsid w:val="00160E9C"/>
    <w:rsid w:val="00172FB8"/>
    <w:rsid w:val="001D45E6"/>
    <w:rsid w:val="001F4027"/>
    <w:rsid w:val="00226890"/>
    <w:rsid w:val="00275A3F"/>
    <w:rsid w:val="002806D2"/>
    <w:rsid w:val="00280FF7"/>
    <w:rsid w:val="0029639D"/>
    <w:rsid w:val="0030452D"/>
    <w:rsid w:val="00326F90"/>
    <w:rsid w:val="003B0154"/>
    <w:rsid w:val="004A4BE8"/>
    <w:rsid w:val="0051414C"/>
    <w:rsid w:val="00525319"/>
    <w:rsid w:val="00541444"/>
    <w:rsid w:val="0061246F"/>
    <w:rsid w:val="00634119"/>
    <w:rsid w:val="007B5B71"/>
    <w:rsid w:val="007D0831"/>
    <w:rsid w:val="007D3A27"/>
    <w:rsid w:val="007E48FB"/>
    <w:rsid w:val="00825753"/>
    <w:rsid w:val="008B1CA5"/>
    <w:rsid w:val="008F69FE"/>
    <w:rsid w:val="00923E02"/>
    <w:rsid w:val="009D0C91"/>
    <w:rsid w:val="009F0073"/>
    <w:rsid w:val="00A87375"/>
    <w:rsid w:val="00AA09D3"/>
    <w:rsid w:val="00AA1D8D"/>
    <w:rsid w:val="00AB3C0A"/>
    <w:rsid w:val="00B47730"/>
    <w:rsid w:val="00C54D3D"/>
    <w:rsid w:val="00C75C45"/>
    <w:rsid w:val="00CB0664"/>
    <w:rsid w:val="00CF249A"/>
    <w:rsid w:val="00D33508"/>
    <w:rsid w:val="00DE6672"/>
    <w:rsid w:val="00F73639"/>
    <w:rsid w:val="00F911B5"/>
    <w:rsid w:val="00FA5593"/>
    <w:rsid w:val="00FC693F"/>
    <w:rsid w:val="00FE6C7B"/>
    <w:rsid w:val="1389CA8E"/>
    <w:rsid w:val="2C4F7CC9"/>
    <w:rsid w:val="3B2994AF"/>
    <w:rsid w:val="3DB233A2"/>
    <w:rsid w:val="49673EF2"/>
    <w:rsid w:val="4F779291"/>
    <w:rsid w:val="5A1DAA3C"/>
    <w:rsid w:val="5D11630E"/>
    <w:rsid w:val="6BA60D05"/>
    <w:rsid w:val="700B169E"/>
    <w:rsid w:val="7B9C7E6B"/>
    <w:rsid w:val="7D27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2A571"/>
  <w14:defaultImageDpi w14:val="300"/>
  <w15:docId w15:val="{8C1A03B8-F173-4391-9733-DB4D7EE1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825753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1D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4" ma:contentTypeDescription="Vytvoří nový dokument" ma:contentTypeScope="" ma:versionID="0a6672dedfead24e635f2eb18ca5c2e4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645fec088b8658383de4da032c7c417d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Datum xmlns="f0344b2a-ebb0-4405-80ef-03e828f2e051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907041-7B7D-49A6-A729-AEA15AF7E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72982-068E-4F21-AE30-6931676059B0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customXml/itemProps3.xml><?xml version="1.0" encoding="utf-8"?>
<ds:datastoreItem xmlns:ds="http://schemas.openxmlformats.org/officeDocument/2006/customXml" ds:itemID="{628CA7DC-6B7A-4D10-98DD-78F66C1B4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6090</Characters>
  <Application>Microsoft Office Word</Application>
  <DocSecurity>0</DocSecurity>
  <Lines>50</Lines>
  <Paragraphs>14</Paragraphs>
  <ScaleCrop>false</ScaleCrop>
  <Manager/>
  <Company/>
  <LinksUpToDate>false</LinksUpToDate>
  <CharactersWithSpaces>7108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Josef Tesfaye | FYI Prague</cp:lastModifiedBy>
  <cp:revision>34</cp:revision>
  <dcterms:created xsi:type="dcterms:W3CDTF">2025-06-18T09:20:00Z</dcterms:created>
  <dcterms:modified xsi:type="dcterms:W3CDTF">2025-09-16T15:26:00Z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  <property fmtid="{D5CDD505-2E9C-101B-9397-08002B2CF9AE}" pid="3" name="MediaServiceImageTags">
    <vt:lpwstr/>
  </property>
</Properties>
</file>