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DB190" w14:textId="3DC73E93" w:rsidR="006E23E1" w:rsidRPr="000E2CE8" w:rsidRDefault="00627DF9" w:rsidP="000E2CE8">
      <w:pPr>
        <w:rPr>
          <w:rFonts w:ascii="Apercu Pro" w:hAnsi="Apercu Pro"/>
          <w:b/>
          <w:bCs/>
        </w:rPr>
      </w:pPr>
      <w:r w:rsidRPr="000E2CE8">
        <w:rPr>
          <w:rFonts w:ascii="Apercu Pro" w:hAnsi="Apercu Pro"/>
          <w:b/>
          <w:bCs/>
        </w:rPr>
        <w:t xml:space="preserve">We are the Minories </w:t>
      </w:r>
      <w:r w:rsidR="006E23E1" w:rsidRPr="000E2CE8">
        <w:rPr>
          <w:rFonts w:ascii="Apercu Pro" w:hAnsi="Apercu Pro"/>
          <w:b/>
          <w:bCs/>
        </w:rPr>
        <w:t xml:space="preserve">Conflict of Interest Policy </w:t>
      </w:r>
      <w:r w:rsidRPr="000E2CE8">
        <w:rPr>
          <w:rFonts w:ascii="Apercu Pro" w:hAnsi="Apercu Pro"/>
          <w:b/>
          <w:bCs/>
        </w:rPr>
        <w:t xml:space="preserve">– </w:t>
      </w:r>
      <w:r w:rsidR="000E2CE8">
        <w:rPr>
          <w:rFonts w:ascii="Apercu Pro" w:hAnsi="Apercu Pro"/>
          <w:b/>
          <w:bCs/>
        </w:rPr>
        <w:t>September 2024</w:t>
      </w:r>
    </w:p>
    <w:p w14:paraId="1D27185B" w14:textId="77777777" w:rsidR="000E2CE8" w:rsidRDefault="000E2CE8" w:rsidP="000E2CE8">
      <w:pPr>
        <w:rPr>
          <w:rFonts w:ascii="Apercu Pro" w:hAnsi="Apercu Pro"/>
        </w:rPr>
      </w:pPr>
    </w:p>
    <w:p w14:paraId="052B2C15" w14:textId="77777777" w:rsidR="000E2CE8" w:rsidRPr="000E2CE8" w:rsidRDefault="006E23E1" w:rsidP="000E2CE8">
      <w:pPr>
        <w:rPr>
          <w:rFonts w:ascii="Apercu Pro" w:hAnsi="Apercu Pro"/>
          <w:b/>
          <w:bCs/>
        </w:rPr>
      </w:pPr>
      <w:r w:rsidRPr="000E2CE8">
        <w:rPr>
          <w:rFonts w:ascii="Apercu Pro" w:hAnsi="Apercu Pro"/>
          <w:b/>
          <w:bCs/>
        </w:rPr>
        <w:t xml:space="preserve">Introduction: </w:t>
      </w:r>
    </w:p>
    <w:p w14:paraId="0D89B18D" w14:textId="77777777" w:rsidR="000E2CE8" w:rsidRDefault="00627DF9" w:rsidP="000E2CE8">
      <w:pPr>
        <w:rPr>
          <w:rFonts w:ascii="Apercu Pro" w:hAnsi="Apercu Pro"/>
        </w:rPr>
      </w:pPr>
      <w:r w:rsidRPr="000E2CE8">
        <w:rPr>
          <w:rFonts w:ascii="Apercu Pro" w:hAnsi="Apercu Pro"/>
        </w:rPr>
        <w:t>We are the Minories</w:t>
      </w:r>
      <w:r w:rsidR="00F36CDA" w:rsidRPr="000E2CE8">
        <w:rPr>
          <w:rFonts w:ascii="Apercu Pro" w:hAnsi="Apercu Pro"/>
        </w:rPr>
        <w:t xml:space="preserve"> is committed to conducting its affairs with integrity and transparency</w:t>
      </w:r>
      <w:r w:rsidR="006E23E1" w:rsidRPr="000E2CE8">
        <w:rPr>
          <w:rFonts w:ascii="Apercu Pro" w:hAnsi="Apercu Pro"/>
        </w:rPr>
        <w:t xml:space="preserve"> and in the best interest of its mission to support the arts community. As a registered charity, we recogni</w:t>
      </w:r>
      <w:r w:rsidR="00F36CDA" w:rsidRPr="000E2CE8">
        <w:rPr>
          <w:rFonts w:ascii="Apercu Pro" w:hAnsi="Apercu Pro"/>
        </w:rPr>
        <w:t>s</w:t>
      </w:r>
      <w:r w:rsidR="006E23E1" w:rsidRPr="000E2CE8">
        <w:rPr>
          <w:rFonts w:ascii="Apercu Pro" w:hAnsi="Apercu Pro"/>
        </w:rPr>
        <w:t>e the importance of managing conflicts of interest to maintain public trust and confidence in our organi</w:t>
      </w:r>
      <w:r w:rsidR="00F36CDA" w:rsidRPr="000E2CE8">
        <w:rPr>
          <w:rFonts w:ascii="Apercu Pro" w:hAnsi="Apercu Pro"/>
        </w:rPr>
        <w:t>s</w:t>
      </w:r>
      <w:r w:rsidR="006E23E1" w:rsidRPr="000E2CE8">
        <w:rPr>
          <w:rFonts w:ascii="Apercu Pro" w:hAnsi="Apercu Pro"/>
        </w:rPr>
        <w:t xml:space="preserve">ation. </w:t>
      </w:r>
    </w:p>
    <w:p w14:paraId="551CD167" w14:textId="77777777" w:rsidR="000E2CE8" w:rsidRDefault="000E2CE8" w:rsidP="000E2CE8">
      <w:pPr>
        <w:rPr>
          <w:rFonts w:ascii="Apercu Pro" w:hAnsi="Apercu Pro"/>
        </w:rPr>
      </w:pPr>
    </w:p>
    <w:p w14:paraId="2E61C4E5" w14:textId="766D2B23" w:rsidR="006E23E1" w:rsidRPr="000E2CE8" w:rsidRDefault="006E23E1" w:rsidP="000E2CE8">
      <w:pPr>
        <w:rPr>
          <w:rFonts w:ascii="Apercu Pro" w:hAnsi="Apercu Pro"/>
        </w:rPr>
      </w:pPr>
      <w:r w:rsidRPr="000E2CE8">
        <w:rPr>
          <w:rFonts w:ascii="Apercu Pro" w:hAnsi="Apercu Pro"/>
        </w:rPr>
        <w:t xml:space="preserve">This </w:t>
      </w:r>
      <w:proofErr w:type="gramStart"/>
      <w:r w:rsidRPr="000E2CE8">
        <w:rPr>
          <w:rFonts w:ascii="Apercu Pro" w:hAnsi="Apercu Pro"/>
        </w:rPr>
        <w:t>Conflict of Interest</w:t>
      </w:r>
      <w:proofErr w:type="gramEnd"/>
      <w:r w:rsidRPr="000E2CE8">
        <w:rPr>
          <w:rFonts w:ascii="Apercu Pro" w:hAnsi="Apercu Pro"/>
        </w:rPr>
        <w:t xml:space="preserve"> Policy outlines our commitment to identifying, disclosing, and managing conflicts of interest that may arise among our trustees, staff, volunteers, and other stakeholders.</w:t>
      </w:r>
    </w:p>
    <w:p w14:paraId="32BB35A5" w14:textId="77777777" w:rsidR="000E2CE8" w:rsidRDefault="000E2CE8" w:rsidP="000E2CE8">
      <w:pPr>
        <w:rPr>
          <w:rFonts w:ascii="Apercu Pro" w:hAnsi="Apercu Pro"/>
        </w:rPr>
      </w:pPr>
    </w:p>
    <w:p w14:paraId="77CB4806" w14:textId="4D9A47A4" w:rsidR="006E23E1" w:rsidRPr="000E2CE8" w:rsidRDefault="006E23E1" w:rsidP="000E2CE8">
      <w:pPr>
        <w:rPr>
          <w:rFonts w:ascii="Apercu Pro" w:hAnsi="Apercu Pro"/>
          <w:b/>
          <w:bCs/>
        </w:rPr>
      </w:pPr>
      <w:r w:rsidRPr="000E2CE8">
        <w:rPr>
          <w:rFonts w:ascii="Apercu Pro" w:hAnsi="Apercu Pro"/>
          <w:b/>
          <w:bCs/>
        </w:rPr>
        <w:t>Policy Statement:</w:t>
      </w:r>
    </w:p>
    <w:p w14:paraId="7E581563" w14:textId="5305D754" w:rsidR="00F36CDA" w:rsidRPr="000E2CE8" w:rsidRDefault="006E23E1" w:rsidP="000E2CE8">
      <w:pPr>
        <w:rPr>
          <w:rFonts w:ascii="Apercu Pro" w:hAnsi="Apercu Pro"/>
        </w:rPr>
      </w:pPr>
      <w:r w:rsidRPr="000E2CE8">
        <w:rPr>
          <w:rFonts w:ascii="Apercu Pro" w:hAnsi="Apercu Pro"/>
        </w:rPr>
        <w:t xml:space="preserve">Definition of Conflict of Interest: A conflict of interest arises when an individual's personal interests or loyalties interfere with their ability to act in the best interest </w:t>
      </w:r>
      <w:proofErr w:type="gramStart"/>
      <w:r w:rsidRPr="000E2CE8">
        <w:rPr>
          <w:rFonts w:ascii="Apercu Pro" w:hAnsi="Apercu Pro"/>
        </w:rPr>
        <w:t>of</w:t>
      </w:r>
      <w:proofErr w:type="gramEnd"/>
      <w:r w:rsidRPr="000E2CE8">
        <w:rPr>
          <w:rFonts w:ascii="Apercu Pro" w:hAnsi="Apercu Pro"/>
        </w:rPr>
        <w:t xml:space="preserve"> </w:t>
      </w:r>
      <w:r w:rsidR="00627DF9" w:rsidRPr="000E2CE8">
        <w:rPr>
          <w:rFonts w:ascii="Apercu Pro" w:hAnsi="Apercu Pro"/>
        </w:rPr>
        <w:t>We are the Minories</w:t>
      </w:r>
      <w:r w:rsidR="000E2CE8">
        <w:rPr>
          <w:rFonts w:ascii="Apercu Pro" w:hAnsi="Apercu Pro"/>
        </w:rPr>
        <w:t>.</w:t>
      </w:r>
    </w:p>
    <w:p w14:paraId="78282632" w14:textId="77777777" w:rsidR="00F36CDA" w:rsidRPr="000E2CE8" w:rsidRDefault="00F36CDA" w:rsidP="000E2CE8">
      <w:pPr>
        <w:rPr>
          <w:rFonts w:ascii="Apercu Pro" w:hAnsi="Apercu Pro"/>
        </w:rPr>
      </w:pPr>
    </w:p>
    <w:p w14:paraId="4C970F48" w14:textId="14396018" w:rsidR="006E23E1" w:rsidRPr="000E2CE8" w:rsidRDefault="006E23E1" w:rsidP="000E2CE8">
      <w:pPr>
        <w:rPr>
          <w:rFonts w:ascii="Apercu Pro" w:hAnsi="Apercu Pro"/>
        </w:rPr>
      </w:pPr>
      <w:r w:rsidRPr="000E2CE8">
        <w:rPr>
          <w:rFonts w:ascii="Apercu Pro" w:hAnsi="Apercu Pro"/>
        </w:rPr>
        <w:t>Conflicts of interest may include, but are not limited to, financial interests, personal relationships, or other affiliations that could influence decision-making or actions within the organi</w:t>
      </w:r>
      <w:r w:rsidR="00F36CDA" w:rsidRPr="000E2CE8">
        <w:rPr>
          <w:rFonts w:ascii="Apercu Pro" w:hAnsi="Apercu Pro"/>
        </w:rPr>
        <w:t>s</w:t>
      </w:r>
      <w:r w:rsidRPr="000E2CE8">
        <w:rPr>
          <w:rFonts w:ascii="Apercu Pro" w:hAnsi="Apercu Pro"/>
        </w:rPr>
        <w:t>ation.</w:t>
      </w:r>
    </w:p>
    <w:p w14:paraId="1262CB7D" w14:textId="77777777" w:rsidR="00F36CDA" w:rsidRPr="000E2CE8" w:rsidRDefault="00F36CDA" w:rsidP="000E2CE8">
      <w:pPr>
        <w:rPr>
          <w:rFonts w:ascii="Apercu Pro" w:hAnsi="Apercu Pro"/>
        </w:rPr>
      </w:pPr>
    </w:p>
    <w:p w14:paraId="5A3215CC" w14:textId="7AAFFE4F" w:rsidR="006E23E1" w:rsidRPr="000E2CE8" w:rsidRDefault="006E23E1" w:rsidP="000E2CE8">
      <w:pPr>
        <w:rPr>
          <w:rFonts w:ascii="Apercu Pro" w:hAnsi="Apercu Pro"/>
        </w:rPr>
      </w:pPr>
      <w:r w:rsidRPr="000E2CE8">
        <w:rPr>
          <w:rFonts w:ascii="Apercu Pro" w:hAnsi="Apercu Pro"/>
        </w:rPr>
        <w:t xml:space="preserve">Disclosure: All trustees, staff, volunteers, and other individuals associated with </w:t>
      </w:r>
      <w:r w:rsidR="00627DF9" w:rsidRPr="000E2CE8">
        <w:rPr>
          <w:rFonts w:ascii="Apercu Pro" w:hAnsi="Apercu Pro"/>
        </w:rPr>
        <w:t>We are the Minories</w:t>
      </w:r>
      <w:r w:rsidRPr="000E2CE8">
        <w:rPr>
          <w:rFonts w:ascii="Apercu Pro" w:hAnsi="Apercu Pro"/>
        </w:rPr>
        <w:t xml:space="preserve"> </w:t>
      </w:r>
      <w:r w:rsidR="0099155A" w:rsidRPr="000E2CE8">
        <w:rPr>
          <w:rFonts w:ascii="Apercu Pro" w:hAnsi="Apercu Pro"/>
        </w:rPr>
        <w:t>must</w:t>
      </w:r>
      <w:r w:rsidRPr="000E2CE8">
        <w:rPr>
          <w:rFonts w:ascii="Apercu Pro" w:hAnsi="Apercu Pro"/>
        </w:rPr>
        <w:t xml:space="preserve"> disclose any actual or potential conflicts of interest in writing to the Chair of the Board of Trustees or designated officer. Disclosure should include details of the conflict, the individual(s) involved, and any relevant information that could impact the organi</w:t>
      </w:r>
      <w:r w:rsidR="00F36CDA" w:rsidRPr="000E2CE8">
        <w:rPr>
          <w:rFonts w:ascii="Apercu Pro" w:hAnsi="Apercu Pro"/>
        </w:rPr>
        <w:t>s</w:t>
      </w:r>
      <w:r w:rsidRPr="000E2CE8">
        <w:rPr>
          <w:rFonts w:ascii="Apercu Pro" w:hAnsi="Apercu Pro"/>
        </w:rPr>
        <w:t>ation.</w:t>
      </w:r>
      <w:r w:rsidR="000E2CE8">
        <w:rPr>
          <w:rFonts w:ascii="Apercu Pro" w:hAnsi="Apercu Pro"/>
        </w:rPr>
        <w:t xml:space="preserve"> There is also an opportunity at every board meeting to disclose conflicts of interest, which are recorded in the meeting minutes.</w:t>
      </w:r>
    </w:p>
    <w:p w14:paraId="37E96329" w14:textId="77777777" w:rsidR="00F36CDA" w:rsidRPr="000E2CE8" w:rsidRDefault="00F36CDA" w:rsidP="000E2CE8">
      <w:pPr>
        <w:rPr>
          <w:rFonts w:ascii="Apercu Pro" w:hAnsi="Apercu Pro"/>
        </w:rPr>
      </w:pPr>
    </w:p>
    <w:p w14:paraId="4E7B0861" w14:textId="77777777" w:rsidR="006E23E1" w:rsidRPr="000E2CE8" w:rsidRDefault="006E23E1" w:rsidP="000E2CE8">
      <w:pPr>
        <w:rPr>
          <w:rFonts w:ascii="Apercu Pro" w:hAnsi="Apercu Pro"/>
        </w:rPr>
      </w:pPr>
      <w:r w:rsidRPr="000E2CE8">
        <w:rPr>
          <w:rFonts w:ascii="Apercu Pro" w:hAnsi="Apercu Pro"/>
        </w:rPr>
        <w:t xml:space="preserve">Assessment and Management: Upon receipt of a </w:t>
      </w:r>
      <w:proofErr w:type="gramStart"/>
      <w:r w:rsidRPr="000E2CE8">
        <w:rPr>
          <w:rFonts w:ascii="Apercu Pro" w:hAnsi="Apercu Pro"/>
        </w:rPr>
        <w:t>conflict of interest</w:t>
      </w:r>
      <w:proofErr w:type="gramEnd"/>
      <w:r w:rsidRPr="000E2CE8">
        <w:rPr>
          <w:rFonts w:ascii="Apercu Pro" w:hAnsi="Apercu Pro"/>
        </w:rPr>
        <w:t xml:space="preserve"> disclosure, the Board of Trustees or designated committee will assess the nature and significance of the conflict. Depending on the circumstances, possible courses of action may include:</w:t>
      </w:r>
    </w:p>
    <w:p w14:paraId="1D5ECA23" w14:textId="77777777" w:rsidR="00F36CDA" w:rsidRPr="000E2CE8" w:rsidRDefault="00F36CDA" w:rsidP="000E2CE8">
      <w:pPr>
        <w:rPr>
          <w:rFonts w:ascii="Apercu Pro" w:hAnsi="Apercu Pro"/>
        </w:rPr>
      </w:pPr>
    </w:p>
    <w:p w14:paraId="60FD3FD6" w14:textId="77777777" w:rsidR="006E23E1" w:rsidRDefault="006E23E1" w:rsidP="000E2CE8">
      <w:pPr>
        <w:rPr>
          <w:rFonts w:ascii="Apercu Pro" w:hAnsi="Apercu Pro"/>
        </w:rPr>
      </w:pPr>
      <w:r w:rsidRPr="000E2CE8">
        <w:rPr>
          <w:rFonts w:ascii="Apercu Pro" w:hAnsi="Apercu Pro"/>
        </w:rPr>
        <w:t>Recusal: The individual with the conflict may be required to abstain from participating in discussions or decisions related to the matter in question.</w:t>
      </w:r>
    </w:p>
    <w:p w14:paraId="65BC521C" w14:textId="77777777" w:rsidR="000E2CE8" w:rsidRPr="000E2CE8" w:rsidRDefault="000E2CE8" w:rsidP="000E2CE8">
      <w:pPr>
        <w:rPr>
          <w:rFonts w:ascii="Apercu Pro" w:hAnsi="Apercu Pro"/>
        </w:rPr>
      </w:pPr>
    </w:p>
    <w:p w14:paraId="6E86E355" w14:textId="77777777" w:rsidR="006E23E1" w:rsidRPr="000E2CE8" w:rsidRDefault="006E23E1" w:rsidP="000E2CE8">
      <w:pPr>
        <w:rPr>
          <w:rFonts w:ascii="Apercu Pro" w:hAnsi="Apercu Pro"/>
        </w:rPr>
      </w:pPr>
      <w:r w:rsidRPr="000E2CE8">
        <w:rPr>
          <w:rFonts w:ascii="Apercu Pro" w:hAnsi="Apercu Pro"/>
        </w:rPr>
        <w:t>Transparency: When appropriate, the conflict may be disclosed to other relevant parties to ensure transparency and accountability.</w:t>
      </w:r>
    </w:p>
    <w:p w14:paraId="47CC37FA" w14:textId="49878106" w:rsidR="006E23E1" w:rsidRDefault="006E23E1" w:rsidP="000E2CE8">
      <w:pPr>
        <w:rPr>
          <w:rFonts w:ascii="Apercu Pro" w:hAnsi="Apercu Pro"/>
        </w:rPr>
      </w:pPr>
      <w:r w:rsidRPr="000E2CE8">
        <w:rPr>
          <w:rFonts w:ascii="Apercu Pro" w:hAnsi="Apercu Pro"/>
        </w:rPr>
        <w:lastRenderedPageBreak/>
        <w:t xml:space="preserve">Resolution: The Board may take steps to resolve the conflict in the </w:t>
      </w:r>
      <w:r w:rsidR="00F36CDA" w:rsidRPr="000E2CE8">
        <w:rPr>
          <w:rFonts w:ascii="Apercu Pro" w:hAnsi="Apercu Pro"/>
        </w:rPr>
        <w:t>charity's best interest</w:t>
      </w:r>
      <w:r w:rsidRPr="000E2CE8">
        <w:rPr>
          <w:rFonts w:ascii="Apercu Pro" w:hAnsi="Apercu Pro"/>
        </w:rPr>
        <w:t>, which may involve seeking advice from independent experts or legal counsel.</w:t>
      </w:r>
    </w:p>
    <w:p w14:paraId="14CDE4D1" w14:textId="77777777" w:rsidR="000E2CE8" w:rsidRPr="000E2CE8" w:rsidRDefault="000E2CE8" w:rsidP="000E2CE8">
      <w:pPr>
        <w:rPr>
          <w:rFonts w:ascii="Apercu Pro" w:hAnsi="Apercu Pro"/>
        </w:rPr>
      </w:pPr>
    </w:p>
    <w:p w14:paraId="008C54A8" w14:textId="796FD03B" w:rsidR="006E23E1" w:rsidRDefault="006E23E1" w:rsidP="000E2CE8">
      <w:pPr>
        <w:rPr>
          <w:rFonts w:ascii="Apercu Pro" w:hAnsi="Apercu Pro"/>
        </w:rPr>
      </w:pPr>
      <w:r w:rsidRPr="000E2CE8">
        <w:rPr>
          <w:rFonts w:ascii="Apercu Pro" w:hAnsi="Apercu Pro"/>
        </w:rPr>
        <w:t>Documentation: All actions to address conflicts of interest, including decisions made and resolutions reached, will be documented in writing and maintained in the organi</w:t>
      </w:r>
      <w:r w:rsidR="00F36CDA" w:rsidRPr="000E2CE8">
        <w:rPr>
          <w:rFonts w:ascii="Apercu Pro" w:hAnsi="Apercu Pro"/>
        </w:rPr>
        <w:t>s</w:t>
      </w:r>
      <w:r w:rsidRPr="000E2CE8">
        <w:rPr>
          <w:rFonts w:ascii="Apercu Pro" w:hAnsi="Apercu Pro"/>
        </w:rPr>
        <w:t>ation's records.</w:t>
      </w:r>
    </w:p>
    <w:p w14:paraId="78E4D2C8" w14:textId="77777777" w:rsidR="000E2CE8" w:rsidRPr="000E2CE8" w:rsidRDefault="000E2CE8" w:rsidP="000E2CE8">
      <w:pPr>
        <w:rPr>
          <w:rFonts w:ascii="Apercu Pro" w:hAnsi="Apercu Pro"/>
        </w:rPr>
      </w:pPr>
    </w:p>
    <w:p w14:paraId="1BFDAC54" w14:textId="13372A55" w:rsidR="0099155A" w:rsidRPr="000E2CE8" w:rsidRDefault="0099155A" w:rsidP="000E2CE8">
      <w:pPr>
        <w:rPr>
          <w:rFonts w:ascii="Apercu Pro" w:hAnsi="Apercu Pro"/>
        </w:rPr>
      </w:pPr>
      <w:r w:rsidRPr="000E2CE8">
        <w:rPr>
          <w:rFonts w:ascii="Apercu Pro" w:hAnsi="Apercu Pro"/>
        </w:rPr>
        <w:t xml:space="preserve">Particular attention will be paid to Conflicts of Interest in the </w:t>
      </w:r>
      <w:proofErr w:type="gramStart"/>
      <w:r w:rsidRPr="000E2CE8">
        <w:rPr>
          <w:rFonts w:ascii="Apercu Pro" w:hAnsi="Apercu Pro"/>
        </w:rPr>
        <w:t>complaints</w:t>
      </w:r>
      <w:proofErr w:type="gramEnd"/>
      <w:r w:rsidRPr="000E2CE8">
        <w:rPr>
          <w:rFonts w:ascii="Apercu Pro" w:hAnsi="Apercu Pro"/>
        </w:rPr>
        <w:t xml:space="preserve"> procedure.</w:t>
      </w:r>
    </w:p>
    <w:p w14:paraId="50C3956F" w14:textId="77777777" w:rsidR="00F36CDA" w:rsidRPr="000E2CE8" w:rsidRDefault="00F36CDA" w:rsidP="000E2CE8">
      <w:pPr>
        <w:rPr>
          <w:rFonts w:ascii="Apercu Pro" w:hAnsi="Apercu Pro"/>
        </w:rPr>
      </w:pPr>
    </w:p>
    <w:p w14:paraId="2298548D" w14:textId="42D8B8DA" w:rsidR="006E23E1" w:rsidRPr="000E2CE8" w:rsidRDefault="006E23E1" w:rsidP="000E2CE8">
      <w:pPr>
        <w:rPr>
          <w:rFonts w:ascii="Apercu Pro" w:hAnsi="Apercu Pro"/>
        </w:rPr>
      </w:pPr>
      <w:r w:rsidRPr="000E2CE8">
        <w:rPr>
          <w:rFonts w:ascii="Apercu Pro" w:hAnsi="Apercu Pro"/>
        </w:rPr>
        <w:t xml:space="preserve">Annual Declaration: All trustees, staff, and volunteers </w:t>
      </w:r>
      <w:r w:rsidR="0099155A" w:rsidRPr="000E2CE8">
        <w:rPr>
          <w:rFonts w:ascii="Apercu Pro" w:hAnsi="Apercu Pro"/>
        </w:rPr>
        <w:t>must</w:t>
      </w:r>
      <w:r w:rsidRPr="000E2CE8">
        <w:rPr>
          <w:rFonts w:ascii="Apercu Pro" w:hAnsi="Apercu Pro"/>
        </w:rPr>
        <w:t xml:space="preserve"> sign an annual declaration confirming their compliance with this </w:t>
      </w:r>
      <w:proofErr w:type="gramStart"/>
      <w:r w:rsidRPr="000E2CE8">
        <w:rPr>
          <w:rFonts w:ascii="Apercu Pro" w:hAnsi="Apercu Pro"/>
        </w:rPr>
        <w:t>Conflict of Interest</w:t>
      </w:r>
      <w:proofErr w:type="gramEnd"/>
      <w:r w:rsidRPr="000E2CE8">
        <w:rPr>
          <w:rFonts w:ascii="Apercu Pro" w:hAnsi="Apercu Pro"/>
        </w:rPr>
        <w:t xml:space="preserve"> Policy and disclosing any new conflicts of interest that may have arisen since their last declaration.</w:t>
      </w:r>
    </w:p>
    <w:p w14:paraId="16E1CDBF" w14:textId="77777777" w:rsidR="00F36CDA" w:rsidRPr="000E2CE8" w:rsidRDefault="00F36CDA" w:rsidP="000E2CE8">
      <w:pPr>
        <w:rPr>
          <w:rFonts w:ascii="Apercu Pro" w:hAnsi="Apercu Pro"/>
        </w:rPr>
      </w:pPr>
    </w:p>
    <w:p w14:paraId="48F05C72" w14:textId="0F386953" w:rsidR="006E23E1" w:rsidRDefault="006E23E1" w:rsidP="000E2CE8">
      <w:pPr>
        <w:rPr>
          <w:rFonts w:ascii="Apercu Pro" w:hAnsi="Apercu Pro"/>
        </w:rPr>
      </w:pPr>
      <w:r w:rsidRPr="000E2CE8">
        <w:rPr>
          <w:rFonts w:ascii="Apercu Pro" w:hAnsi="Apercu Pro"/>
        </w:rPr>
        <w:t>Review and Revision: Th</w:t>
      </w:r>
      <w:r w:rsidR="00320182" w:rsidRPr="000E2CE8">
        <w:rPr>
          <w:rFonts w:ascii="Apercu Pro" w:hAnsi="Apercu Pro"/>
        </w:rPr>
        <w:t xml:space="preserve">e Board of Trustees will periodically review this </w:t>
      </w:r>
      <w:proofErr w:type="gramStart"/>
      <w:r w:rsidR="00320182" w:rsidRPr="000E2CE8">
        <w:rPr>
          <w:rFonts w:ascii="Apercu Pro" w:hAnsi="Apercu Pro"/>
        </w:rPr>
        <w:t>Conflict of Interest</w:t>
      </w:r>
      <w:proofErr w:type="gramEnd"/>
      <w:r w:rsidR="00320182" w:rsidRPr="000E2CE8">
        <w:rPr>
          <w:rFonts w:ascii="Apercu Pro" w:hAnsi="Apercu Pro"/>
        </w:rPr>
        <w:t xml:space="preserve"> Policy to ensure its effectiveness and relevance. Any revisions will be made according to legislative changes, organis</w:t>
      </w:r>
      <w:r w:rsidRPr="000E2CE8">
        <w:rPr>
          <w:rFonts w:ascii="Apercu Pro" w:hAnsi="Apercu Pro"/>
        </w:rPr>
        <w:t>ational structure, or best practices.</w:t>
      </w:r>
    </w:p>
    <w:p w14:paraId="615B7A1E" w14:textId="77777777" w:rsidR="000E2CE8" w:rsidRPr="000E2CE8" w:rsidRDefault="000E2CE8" w:rsidP="000E2CE8">
      <w:pPr>
        <w:rPr>
          <w:rFonts w:ascii="Apercu Pro" w:hAnsi="Apercu Pro"/>
        </w:rPr>
      </w:pPr>
    </w:p>
    <w:p w14:paraId="481761BC" w14:textId="70E484DF" w:rsidR="006E23E1" w:rsidRDefault="006E23E1" w:rsidP="000E2CE8">
      <w:pPr>
        <w:rPr>
          <w:rFonts w:ascii="Apercu Pro" w:hAnsi="Apercu Pro"/>
        </w:rPr>
      </w:pPr>
      <w:r w:rsidRPr="000E2CE8">
        <w:rPr>
          <w:rFonts w:ascii="Apercu Pro" w:hAnsi="Apercu Pro"/>
        </w:rPr>
        <w:t xml:space="preserve">Conclusion: </w:t>
      </w:r>
      <w:r w:rsidR="00627DF9" w:rsidRPr="000E2CE8">
        <w:rPr>
          <w:rFonts w:ascii="Apercu Pro" w:hAnsi="Apercu Pro"/>
        </w:rPr>
        <w:t>We are the Minories</w:t>
      </w:r>
      <w:r w:rsidRPr="000E2CE8">
        <w:rPr>
          <w:rFonts w:ascii="Apercu Pro" w:hAnsi="Apercu Pro"/>
        </w:rPr>
        <w:t xml:space="preserve"> is committed to upholding the highest standards of ethical conduct and accountability in all operations. By adhering to this </w:t>
      </w:r>
      <w:proofErr w:type="gramStart"/>
      <w:r w:rsidRPr="000E2CE8">
        <w:rPr>
          <w:rFonts w:ascii="Apercu Pro" w:hAnsi="Apercu Pro"/>
        </w:rPr>
        <w:t>Conflict of Interest</w:t>
      </w:r>
      <w:proofErr w:type="gramEnd"/>
      <w:r w:rsidRPr="000E2CE8">
        <w:rPr>
          <w:rFonts w:ascii="Apercu Pro" w:hAnsi="Apercu Pro"/>
        </w:rPr>
        <w:t xml:space="preserve"> Policy and promoting a culture of transparency and integrity, we aim to safeguard the interests of our stakeholders and maintain public trust in our organi</w:t>
      </w:r>
      <w:r w:rsidR="00F36CDA" w:rsidRPr="000E2CE8">
        <w:rPr>
          <w:rFonts w:ascii="Apercu Pro" w:hAnsi="Apercu Pro"/>
        </w:rPr>
        <w:t>s</w:t>
      </w:r>
      <w:r w:rsidRPr="000E2CE8">
        <w:rPr>
          <w:rFonts w:ascii="Apercu Pro" w:hAnsi="Apercu Pro"/>
        </w:rPr>
        <w:t>ation.</w:t>
      </w:r>
    </w:p>
    <w:p w14:paraId="030EEA79" w14:textId="77777777" w:rsidR="000E2CE8" w:rsidRPr="000E2CE8" w:rsidRDefault="000E2CE8" w:rsidP="000E2CE8">
      <w:pPr>
        <w:rPr>
          <w:rFonts w:ascii="Apercu Pro" w:hAnsi="Apercu Pro"/>
        </w:rPr>
      </w:pPr>
    </w:p>
    <w:p w14:paraId="14A8E961" w14:textId="77777777" w:rsidR="00F36CDA" w:rsidRPr="000E2CE8" w:rsidRDefault="00F36CDA" w:rsidP="000E2CE8">
      <w:pPr>
        <w:rPr>
          <w:rFonts w:ascii="Apercu Pro" w:hAnsi="Apercu Pro"/>
        </w:rPr>
      </w:pPr>
    </w:p>
    <w:p w14:paraId="4381D0AD" w14:textId="33E976A2" w:rsidR="00F36CDA" w:rsidRPr="000E2CE8" w:rsidRDefault="00F36CDA" w:rsidP="000E2CE8">
      <w:pPr>
        <w:rPr>
          <w:rFonts w:ascii="Apercu Pro" w:hAnsi="Apercu Pro"/>
        </w:rPr>
      </w:pPr>
      <w:r w:rsidRPr="000E2CE8">
        <w:rPr>
          <w:rFonts w:ascii="Apercu Pro" w:hAnsi="Apercu Pro"/>
        </w:rPr>
        <w:t>Th</w:t>
      </w:r>
      <w:r w:rsidR="0099155A" w:rsidRPr="000E2CE8">
        <w:rPr>
          <w:rFonts w:ascii="Apercu Pro" w:hAnsi="Apercu Pro"/>
        </w:rPr>
        <w:t xml:space="preserve">e </w:t>
      </w:r>
      <w:r w:rsidR="00627DF9" w:rsidRPr="000E2CE8">
        <w:rPr>
          <w:rFonts w:ascii="Apercu Pro" w:hAnsi="Apercu Pro"/>
        </w:rPr>
        <w:t xml:space="preserve">We are the Minories </w:t>
      </w:r>
      <w:r w:rsidR="0099155A" w:rsidRPr="000E2CE8">
        <w:rPr>
          <w:rFonts w:ascii="Apercu Pro" w:hAnsi="Apercu Pro"/>
        </w:rPr>
        <w:t>Board adopted this policy</w:t>
      </w:r>
      <w:r w:rsidRPr="000E2CE8">
        <w:rPr>
          <w:rFonts w:ascii="Apercu Pro" w:hAnsi="Apercu Pro"/>
        </w:rPr>
        <w:t xml:space="preserve"> on</w:t>
      </w:r>
      <w:r w:rsidR="0099155A" w:rsidRPr="000E2CE8">
        <w:rPr>
          <w:rFonts w:ascii="Apercu Pro" w:hAnsi="Apercu Pro"/>
        </w:rPr>
        <w:t>:</w:t>
      </w:r>
      <w:r w:rsidRPr="000E2CE8">
        <w:rPr>
          <w:rFonts w:ascii="Apercu Pro" w:hAnsi="Apercu Pro"/>
        </w:rPr>
        <w:t xml:space="preserve"> </w:t>
      </w:r>
    </w:p>
    <w:p w14:paraId="440D4310" w14:textId="2F0DE7C9" w:rsidR="006E23E1" w:rsidRPr="000E2CE8" w:rsidRDefault="006E23E1" w:rsidP="000E2CE8">
      <w:pPr>
        <w:rPr>
          <w:rFonts w:ascii="Apercu Pro" w:hAnsi="Apercu Pro"/>
        </w:rPr>
      </w:pPr>
      <w:r w:rsidRPr="000E2CE8">
        <w:rPr>
          <w:rFonts w:ascii="Apercu Pro" w:hAnsi="Apercu Pro"/>
        </w:rPr>
        <w:t>Date</w:t>
      </w:r>
    </w:p>
    <w:p w14:paraId="68032415" w14:textId="77777777" w:rsidR="00EB0170" w:rsidRPr="000E2CE8" w:rsidRDefault="00EB0170" w:rsidP="000E2CE8">
      <w:pPr>
        <w:rPr>
          <w:rFonts w:ascii="Apercu Pro" w:hAnsi="Apercu Pro"/>
        </w:rPr>
      </w:pPr>
    </w:p>
    <w:sectPr w:rsidR="00EB0170" w:rsidRPr="000E2CE8" w:rsidSect="006515C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ercu Pro">
    <w:panose1 w:val="020B0503050601040103"/>
    <w:charset w:val="00"/>
    <w:family w:val="swiss"/>
    <w:notTrueType/>
    <w:pitch w:val="variable"/>
    <w:sig w:usb0="000002C7" w:usb1="00000001"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54AED"/>
    <w:multiLevelType w:val="multilevel"/>
    <w:tmpl w:val="6C9AED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5239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3E1"/>
    <w:rsid w:val="000A015C"/>
    <w:rsid w:val="000E2CE8"/>
    <w:rsid w:val="002D5CEB"/>
    <w:rsid w:val="00320182"/>
    <w:rsid w:val="004F191C"/>
    <w:rsid w:val="00627DF9"/>
    <w:rsid w:val="006515CE"/>
    <w:rsid w:val="006A163B"/>
    <w:rsid w:val="006E23E1"/>
    <w:rsid w:val="00757508"/>
    <w:rsid w:val="00832508"/>
    <w:rsid w:val="0099155A"/>
    <w:rsid w:val="009A19E2"/>
    <w:rsid w:val="00B73FF8"/>
    <w:rsid w:val="00C27181"/>
    <w:rsid w:val="00EB0170"/>
    <w:rsid w:val="00F36C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02966"/>
  <w15:chartTrackingRefBased/>
  <w15:docId w15:val="{DDE98544-7AF8-BE4C-9A2E-62372855E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23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23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23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23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23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23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23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23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23E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3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23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23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23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23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23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23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23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23E1"/>
    <w:rPr>
      <w:rFonts w:eastAsiaTheme="majorEastAsia" w:cstheme="majorBidi"/>
      <w:color w:val="272727" w:themeColor="text1" w:themeTint="D8"/>
    </w:rPr>
  </w:style>
  <w:style w:type="paragraph" w:styleId="Title">
    <w:name w:val="Title"/>
    <w:basedOn w:val="Normal"/>
    <w:next w:val="Normal"/>
    <w:link w:val="TitleChar"/>
    <w:uiPriority w:val="10"/>
    <w:qFormat/>
    <w:rsid w:val="006E23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23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23E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23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23E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E23E1"/>
    <w:rPr>
      <w:i/>
      <w:iCs/>
      <w:color w:val="404040" w:themeColor="text1" w:themeTint="BF"/>
    </w:rPr>
  </w:style>
  <w:style w:type="paragraph" w:styleId="ListParagraph">
    <w:name w:val="List Paragraph"/>
    <w:basedOn w:val="Normal"/>
    <w:uiPriority w:val="34"/>
    <w:qFormat/>
    <w:rsid w:val="006E23E1"/>
    <w:pPr>
      <w:ind w:left="720"/>
      <w:contextualSpacing/>
    </w:pPr>
  </w:style>
  <w:style w:type="character" w:styleId="IntenseEmphasis">
    <w:name w:val="Intense Emphasis"/>
    <w:basedOn w:val="DefaultParagraphFont"/>
    <w:uiPriority w:val="21"/>
    <w:qFormat/>
    <w:rsid w:val="006E23E1"/>
    <w:rPr>
      <w:i/>
      <w:iCs/>
      <w:color w:val="0F4761" w:themeColor="accent1" w:themeShade="BF"/>
    </w:rPr>
  </w:style>
  <w:style w:type="paragraph" w:styleId="IntenseQuote">
    <w:name w:val="Intense Quote"/>
    <w:basedOn w:val="Normal"/>
    <w:next w:val="Normal"/>
    <w:link w:val="IntenseQuoteChar"/>
    <w:uiPriority w:val="30"/>
    <w:qFormat/>
    <w:rsid w:val="006E23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23E1"/>
    <w:rPr>
      <w:i/>
      <w:iCs/>
      <w:color w:val="0F4761" w:themeColor="accent1" w:themeShade="BF"/>
    </w:rPr>
  </w:style>
  <w:style w:type="character" w:styleId="IntenseReference">
    <w:name w:val="Intense Reference"/>
    <w:basedOn w:val="DefaultParagraphFont"/>
    <w:uiPriority w:val="32"/>
    <w:qFormat/>
    <w:rsid w:val="006E23E1"/>
    <w:rPr>
      <w:b/>
      <w:bCs/>
      <w:smallCaps/>
      <w:color w:val="0F4761" w:themeColor="accent1" w:themeShade="BF"/>
      <w:spacing w:val="5"/>
    </w:rPr>
  </w:style>
  <w:style w:type="paragraph" w:styleId="NormalWeb">
    <w:name w:val="Normal (Web)"/>
    <w:basedOn w:val="Normal"/>
    <w:uiPriority w:val="99"/>
    <w:semiHidden/>
    <w:unhideWhenUsed/>
    <w:rsid w:val="006E23E1"/>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61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501</Words>
  <Characters>2910</Characters>
  <Application>Microsoft Office Word</Application>
  <DocSecurity>0</DocSecurity>
  <Lines>58</Lines>
  <Paragraphs>21</Paragraphs>
  <ScaleCrop>false</ScaleCrop>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Coode-Adams</dc:creator>
  <cp:keywords/>
  <dc:description/>
  <cp:lastModifiedBy>Emma Howe</cp:lastModifiedBy>
  <cp:revision>5</cp:revision>
  <dcterms:created xsi:type="dcterms:W3CDTF">2024-05-20T18:57:00Z</dcterms:created>
  <dcterms:modified xsi:type="dcterms:W3CDTF">2024-09-27T10:02:00Z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9bc794bc4b5597bdf3828be200693a72438d3fb5d0a29da9f6fb4b214982fd92</vt:lpwstr>
  </property>
</Properties>
</file>