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5ED8" w:rsidRDefault="00000000">
      <w:pPr>
        <w:jc w:val="center"/>
        <w:rPr>
          <w:b/>
          <w:sz w:val="24"/>
          <w:szCs w:val="24"/>
          <w:u w:val="single"/>
        </w:rPr>
      </w:pPr>
      <w:r>
        <w:rPr>
          <w:b/>
          <w:sz w:val="24"/>
          <w:szCs w:val="24"/>
          <w:u w:val="single"/>
        </w:rPr>
        <w:t>EPID 757 Systematic Reviews &amp; Meta Analysis</w:t>
      </w:r>
    </w:p>
    <w:p w14:paraId="00000002" w14:textId="77777777" w:rsidR="00B55ED8" w:rsidRDefault="00000000">
      <w:pPr>
        <w:spacing w:after="0" w:line="240" w:lineRule="auto"/>
        <w:jc w:val="center"/>
      </w:pPr>
      <w:r>
        <w:t>1 Credit</w:t>
      </w:r>
    </w:p>
    <w:p w14:paraId="00000003" w14:textId="0A896F7D" w:rsidR="00B55ED8" w:rsidRDefault="00000000">
      <w:pPr>
        <w:spacing w:after="0" w:line="240" w:lineRule="auto"/>
        <w:jc w:val="center"/>
      </w:pPr>
      <w:r>
        <w:t xml:space="preserve">July </w:t>
      </w:r>
      <w:r w:rsidR="00252596">
        <w:t>20</w:t>
      </w:r>
      <w:r>
        <w:t xml:space="preserve"> - </w:t>
      </w:r>
      <w:r w:rsidR="00252596">
        <w:t>24</w:t>
      </w:r>
      <w:r>
        <w:t>, 2026</w:t>
      </w:r>
    </w:p>
    <w:p w14:paraId="00000004" w14:textId="601AEF05" w:rsidR="00B55ED8" w:rsidRDefault="00000000">
      <w:pPr>
        <w:jc w:val="center"/>
        <w:rPr>
          <w:sz w:val="24"/>
          <w:szCs w:val="24"/>
        </w:rPr>
        <w:sectPr w:rsidR="00B55ED8">
          <w:footerReference w:type="default" r:id="rId7"/>
          <w:pgSz w:w="12240" w:h="15840"/>
          <w:pgMar w:top="1440" w:right="1440" w:bottom="1440" w:left="1440" w:header="720" w:footer="720" w:gutter="0"/>
          <w:pgNumType w:start="1"/>
          <w:cols w:space="720"/>
        </w:sectPr>
      </w:pPr>
      <w:r>
        <w:t>1:30-5</w:t>
      </w:r>
      <w:r w:rsidR="00252596">
        <w:t>pm</w:t>
      </w:r>
    </w:p>
    <w:p w14:paraId="00000009" w14:textId="111A8832" w:rsidR="00B55ED8" w:rsidRDefault="00000000" w:rsidP="00252596">
      <w:pPr>
        <w:pBdr>
          <w:top w:val="nil"/>
          <w:left w:val="nil"/>
          <w:bottom w:val="nil"/>
          <w:right w:val="nil"/>
          <w:between w:val="nil"/>
        </w:pBdr>
        <w:spacing w:after="0" w:line="240" w:lineRule="auto"/>
      </w:pPr>
      <w:r>
        <w:rPr>
          <w:b/>
          <w:color w:val="000000"/>
        </w:rPr>
        <w:t>Professor:</w:t>
      </w:r>
      <w:r w:rsidR="00252596">
        <w:rPr>
          <w:b/>
          <w:color w:val="000000"/>
        </w:rPr>
        <w:tab/>
      </w:r>
      <w:r w:rsidR="00252596">
        <w:rPr>
          <w:b/>
          <w:color w:val="000000"/>
        </w:rPr>
        <w:tab/>
      </w:r>
      <w:r w:rsidR="00252596">
        <w:rPr>
          <w:b/>
          <w:color w:val="000000"/>
        </w:rPr>
        <w:tab/>
      </w:r>
      <w:r w:rsidR="00252596">
        <w:rPr>
          <w:b/>
          <w:color w:val="000000"/>
        </w:rPr>
        <w:tab/>
      </w:r>
      <w:r>
        <w:rPr>
          <w:color w:val="000000"/>
        </w:rPr>
        <w:t>N</w:t>
      </w:r>
      <w:r>
        <w:t>ancy Santesso, RD, MLIS, PhD</w:t>
      </w:r>
    </w:p>
    <w:p w14:paraId="60C26BB4" w14:textId="77777777" w:rsidR="00252596" w:rsidRPr="00252596" w:rsidRDefault="00252596" w:rsidP="00252596">
      <w:pPr>
        <w:pBdr>
          <w:top w:val="nil"/>
          <w:left w:val="nil"/>
          <w:bottom w:val="nil"/>
          <w:right w:val="nil"/>
          <w:between w:val="nil"/>
        </w:pBdr>
        <w:spacing w:after="0" w:line="240" w:lineRule="auto"/>
        <w:ind w:left="3600" w:right="-360"/>
        <w:rPr>
          <w:color w:val="000000"/>
          <w:lang w:val="en-GB"/>
        </w:rPr>
      </w:pPr>
      <w:r w:rsidRPr="00252596">
        <w:rPr>
          <w:i/>
          <w:iCs/>
          <w:color w:val="000000"/>
          <w:lang w:val="en-GB"/>
        </w:rPr>
        <w:t>Health Sciences Centre, Rm 2C, McMaster University</w:t>
      </w:r>
    </w:p>
    <w:p w14:paraId="1DAACEDB" w14:textId="77777777" w:rsidR="00252596" w:rsidRPr="00252596" w:rsidRDefault="00252596" w:rsidP="00252596">
      <w:pPr>
        <w:pBdr>
          <w:top w:val="nil"/>
          <w:left w:val="nil"/>
          <w:bottom w:val="nil"/>
          <w:right w:val="nil"/>
          <w:between w:val="nil"/>
        </w:pBdr>
        <w:spacing w:after="0" w:line="240" w:lineRule="auto"/>
        <w:ind w:left="3600" w:right="-360"/>
        <w:rPr>
          <w:color w:val="000000"/>
          <w:lang w:val="en-GB"/>
        </w:rPr>
      </w:pPr>
      <w:r w:rsidRPr="00252596">
        <w:rPr>
          <w:i/>
          <w:iCs/>
          <w:color w:val="000000"/>
          <w:lang w:val="en-GB"/>
        </w:rPr>
        <w:t>1280 Main Street West</w:t>
      </w:r>
    </w:p>
    <w:p w14:paraId="3CCE61B4" w14:textId="77777777" w:rsidR="00252596" w:rsidRPr="00252596" w:rsidRDefault="00252596" w:rsidP="00252596">
      <w:pPr>
        <w:pBdr>
          <w:top w:val="nil"/>
          <w:left w:val="nil"/>
          <w:bottom w:val="nil"/>
          <w:right w:val="nil"/>
          <w:between w:val="nil"/>
        </w:pBdr>
        <w:spacing w:after="0" w:line="240" w:lineRule="auto"/>
        <w:ind w:left="3600" w:right="-360"/>
        <w:rPr>
          <w:color w:val="000000"/>
          <w:lang w:val="en-GB"/>
        </w:rPr>
      </w:pPr>
      <w:r w:rsidRPr="00252596">
        <w:rPr>
          <w:i/>
          <w:iCs/>
          <w:color w:val="000000"/>
          <w:lang w:val="en-GB"/>
        </w:rPr>
        <w:t>Hamilton, ON L8S 4L8</w:t>
      </w:r>
    </w:p>
    <w:p w14:paraId="54870E6E" w14:textId="77777777" w:rsidR="00252596" w:rsidRDefault="00252596" w:rsidP="00252596">
      <w:pPr>
        <w:pBdr>
          <w:top w:val="nil"/>
          <w:left w:val="nil"/>
          <w:bottom w:val="nil"/>
          <w:right w:val="nil"/>
          <w:between w:val="nil"/>
        </w:pBdr>
        <w:spacing w:after="0" w:line="240" w:lineRule="auto"/>
        <w:ind w:left="3600" w:right="-360"/>
        <w:rPr>
          <w:i/>
          <w:iCs/>
          <w:color w:val="000000"/>
          <w:lang w:val="en-GB"/>
        </w:rPr>
      </w:pPr>
      <w:r w:rsidRPr="00252596">
        <w:rPr>
          <w:i/>
          <w:iCs/>
          <w:color w:val="000000"/>
          <w:lang w:val="en-GB"/>
        </w:rPr>
        <w:t>Tel: +1 289 407 1505</w:t>
      </w:r>
    </w:p>
    <w:p w14:paraId="20F44633" w14:textId="3C8E3DCF" w:rsidR="00252596" w:rsidRPr="00252596" w:rsidRDefault="00252596" w:rsidP="00252596">
      <w:pPr>
        <w:pBdr>
          <w:top w:val="nil"/>
          <w:left w:val="nil"/>
          <w:bottom w:val="nil"/>
          <w:right w:val="nil"/>
          <w:between w:val="nil"/>
        </w:pBdr>
        <w:spacing w:after="0" w:line="240" w:lineRule="auto"/>
        <w:ind w:left="3600" w:right="-360"/>
        <w:rPr>
          <w:color w:val="000000"/>
          <w:lang w:val="en-GB"/>
        </w:rPr>
      </w:pPr>
      <w:hyperlink r:id="rId8" w:history="1">
        <w:r w:rsidRPr="00732782">
          <w:rPr>
            <w:rStyle w:val="Hyperlink"/>
            <w:i/>
            <w:iCs/>
            <w:lang w:val="en-GB"/>
          </w:rPr>
          <w:t>santesna@mcmaster.ca</w:t>
        </w:r>
      </w:hyperlink>
      <w:r>
        <w:rPr>
          <w:i/>
          <w:iCs/>
          <w:color w:val="000000"/>
          <w:lang w:val="en-GB"/>
        </w:rPr>
        <w:t xml:space="preserve"> </w:t>
      </w:r>
    </w:p>
    <w:p w14:paraId="0000000B" w14:textId="3D5FF5EA" w:rsidR="00B55ED8" w:rsidRDefault="00252596" w:rsidP="00252596">
      <w:pPr>
        <w:pBdr>
          <w:top w:val="nil"/>
          <w:left w:val="nil"/>
          <w:bottom w:val="nil"/>
          <w:right w:val="nil"/>
          <w:between w:val="nil"/>
        </w:pBdr>
        <w:spacing w:after="0" w:line="240" w:lineRule="auto"/>
        <w:ind w:right="-360"/>
        <w:rPr>
          <w:color w:val="000000"/>
        </w:rPr>
      </w:pPr>
      <w:r>
        <w:rPr>
          <w:color w:val="000000"/>
        </w:rPr>
        <w:tab/>
      </w:r>
      <w:r>
        <w:rPr>
          <w:color w:val="000000"/>
        </w:rPr>
        <w:tab/>
      </w:r>
      <w:r>
        <w:rPr>
          <w:color w:val="000000"/>
        </w:rPr>
        <w:tab/>
      </w:r>
      <w:r>
        <w:rPr>
          <w:color w:val="000000"/>
        </w:rPr>
        <w:tab/>
      </w:r>
      <w:r>
        <w:rPr>
          <w:color w:val="000000"/>
        </w:rPr>
        <w:tab/>
        <w:t>Office hours: 5-6pm after classes</w:t>
      </w:r>
    </w:p>
    <w:p w14:paraId="0000000D" w14:textId="77777777" w:rsidR="00B55ED8" w:rsidRDefault="005559F3">
      <w:pPr>
        <w:pBdr>
          <w:top w:val="nil"/>
          <w:left w:val="nil"/>
          <w:bottom w:val="nil"/>
          <w:right w:val="nil"/>
          <w:between w:val="nil"/>
        </w:pBdr>
        <w:spacing w:after="0" w:line="240" w:lineRule="auto"/>
        <w:rPr>
          <w:color w:val="000000"/>
        </w:rPr>
      </w:pPr>
      <w:r>
        <w:rPr>
          <w:noProof/>
        </w:rPr>
        <w:pict w14:anchorId="2711CD62">
          <v:rect id="_x0000_i1025" alt="" style="width:451.3pt;height:.05pt;mso-width-percent:0;mso-height-percent:0;mso-width-percent:0;mso-height-percent:0" o:hralign="center" o:hrstd="t" o:hr="t" fillcolor="#a0a0a0" stroked="f"/>
        </w:pict>
      </w:r>
    </w:p>
    <w:p w14:paraId="0000000E" w14:textId="77777777" w:rsidR="00B55ED8" w:rsidRDefault="00B55ED8">
      <w:pPr>
        <w:pBdr>
          <w:top w:val="nil"/>
          <w:left w:val="nil"/>
          <w:bottom w:val="nil"/>
          <w:right w:val="nil"/>
          <w:between w:val="nil"/>
        </w:pBdr>
        <w:spacing w:after="0" w:line="240" w:lineRule="auto"/>
        <w:rPr>
          <w:b/>
          <w:color w:val="000000"/>
        </w:rPr>
      </w:pPr>
    </w:p>
    <w:p w14:paraId="0000000F" w14:textId="2E4D5C68" w:rsidR="00B55ED8" w:rsidRDefault="00000000">
      <w:pPr>
        <w:pBdr>
          <w:top w:val="nil"/>
          <w:left w:val="nil"/>
          <w:bottom w:val="nil"/>
          <w:right w:val="nil"/>
          <w:between w:val="nil"/>
        </w:pBdr>
        <w:spacing w:after="0" w:line="240" w:lineRule="auto"/>
        <w:ind w:left="2160" w:hanging="2160"/>
        <w:rPr>
          <w:b/>
          <w:color w:val="000000"/>
        </w:rPr>
      </w:pPr>
      <w:r>
        <w:rPr>
          <w:b/>
          <w:color w:val="000000"/>
        </w:rPr>
        <w:t>Course Description:</w:t>
      </w:r>
      <w:r>
        <w:rPr>
          <w:color w:val="000000"/>
        </w:rPr>
        <w:tab/>
      </w:r>
      <w:r w:rsidR="00252596">
        <w:rPr>
          <w:color w:val="000000"/>
        </w:rPr>
        <w:t>A systematic review is a synthesis of the available evidence to answer a question</w:t>
      </w:r>
      <w:r w:rsidR="00CE7703">
        <w:rPr>
          <w:color w:val="000000"/>
        </w:rPr>
        <w:t>, using a systematic approach</w:t>
      </w:r>
      <w:r w:rsidR="00252596">
        <w:rPr>
          <w:color w:val="000000"/>
        </w:rPr>
        <w:t xml:space="preserve">. </w:t>
      </w:r>
      <w:r w:rsidR="00CE7703">
        <w:rPr>
          <w:color w:val="000000"/>
        </w:rPr>
        <w:t>A systematic review</w:t>
      </w:r>
      <w:r w:rsidR="00252596">
        <w:rPr>
          <w:color w:val="000000"/>
        </w:rPr>
        <w:t xml:space="preserve"> can answer </w:t>
      </w:r>
      <w:r w:rsidR="00CE7703">
        <w:rPr>
          <w:color w:val="000000"/>
        </w:rPr>
        <w:t xml:space="preserve">a variety of </w:t>
      </w:r>
      <w:r w:rsidR="00252596">
        <w:rPr>
          <w:color w:val="000000"/>
        </w:rPr>
        <w:t>question</w:t>
      </w:r>
      <w:r w:rsidR="00CE7703">
        <w:rPr>
          <w:color w:val="000000"/>
        </w:rPr>
        <w:t>s such as W</w:t>
      </w:r>
      <w:r w:rsidR="00252596">
        <w:rPr>
          <w:color w:val="000000"/>
        </w:rPr>
        <w:t xml:space="preserve">hat are the effects of </w:t>
      </w:r>
      <w:r w:rsidR="00CE7703">
        <w:rPr>
          <w:color w:val="000000"/>
        </w:rPr>
        <w:t>an intervention?, What are people’s views about an intervention?, or What is the prevalence of a condition? This course will focus on how to conduct a review of the effects of an intervention and also cover approaches to systematic reviews of other questions. The course is designed to provide practical information about how to conduct a systematic review and provide opportunities to apply that information</w:t>
      </w:r>
      <w:r w:rsidR="00AF7C74">
        <w:rPr>
          <w:color w:val="000000"/>
        </w:rPr>
        <w:t xml:space="preserve"> through hands-on exercises during class and through assignments</w:t>
      </w:r>
      <w:r w:rsidR="00CE7703">
        <w:rPr>
          <w:color w:val="000000"/>
        </w:rPr>
        <w:t xml:space="preserve">. Students will </w:t>
      </w:r>
      <w:r w:rsidR="00AF7C74">
        <w:rPr>
          <w:color w:val="000000"/>
        </w:rPr>
        <w:t xml:space="preserve">learn about different types of reviews, search strategies, risk of bias tools, data for synthesis, statistical and non-statistical analyses for systematic reviews, GRADE to assess the certainty of evidence, and interpretation and presentation of findings. </w:t>
      </w:r>
    </w:p>
    <w:p w14:paraId="00000010" w14:textId="77777777" w:rsidR="00B55ED8" w:rsidRDefault="00B55ED8">
      <w:pPr>
        <w:pBdr>
          <w:top w:val="nil"/>
          <w:left w:val="nil"/>
          <w:bottom w:val="nil"/>
          <w:right w:val="nil"/>
          <w:between w:val="nil"/>
        </w:pBdr>
        <w:spacing w:after="0" w:line="240" w:lineRule="auto"/>
        <w:rPr>
          <w:b/>
          <w:color w:val="000000"/>
        </w:rPr>
      </w:pPr>
    </w:p>
    <w:p w14:paraId="00000011" w14:textId="360592FD" w:rsidR="00B55ED8" w:rsidRDefault="00000000">
      <w:pPr>
        <w:pBdr>
          <w:top w:val="nil"/>
          <w:left w:val="nil"/>
          <w:bottom w:val="nil"/>
          <w:right w:val="nil"/>
          <w:between w:val="nil"/>
        </w:pBdr>
        <w:spacing w:after="0" w:line="240" w:lineRule="auto"/>
        <w:rPr>
          <w:color w:val="000000"/>
        </w:rPr>
      </w:pPr>
      <w:r>
        <w:rPr>
          <w:b/>
          <w:color w:val="000000"/>
        </w:rPr>
        <w:t>Course Materials:</w:t>
      </w:r>
      <w:r>
        <w:rPr>
          <w:color w:val="000000"/>
        </w:rPr>
        <w:tab/>
        <w:t xml:space="preserve">Required materials </w:t>
      </w:r>
    </w:p>
    <w:p w14:paraId="7896C8DC" w14:textId="29FDD09E" w:rsidR="005D1729" w:rsidRDefault="005D1729" w:rsidP="005D1729">
      <w:pPr>
        <w:pBdr>
          <w:top w:val="nil"/>
          <w:left w:val="nil"/>
          <w:bottom w:val="nil"/>
          <w:right w:val="nil"/>
          <w:between w:val="nil"/>
        </w:pBdr>
        <w:spacing w:after="0" w:line="240" w:lineRule="auto"/>
        <w:ind w:left="2160"/>
        <w:rPr>
          <w:color w:val="000000"/>
        </w:rPr>
      </w:pPr>
      <w:r>
        <w:rPr>
          <w:color w:val="000000"/>
        </w:rPr>
        <w:t xml:space="preserve">Cochrane Handbook </w:t>
      </w:r>
      <w:hyperlink r:id="rId9" w:history="1">
        <w:r w:rsidRPr="00732782">
          <w:rPr>
            <w:rStyle w:val="Hyperlink"/>
          </w:rPr>
          <w:t>https://www.cochrane.org/authors/handbooks-and-manuals/handbook/current</w:t>
        </w:r>
      </w:hyperlink>
      <w:r>
        <w:rPr>
          <w:color w:val="000000"/>
        </w:rPr>
        <w:t xml:space="preserve"> </w:t>
      </w:r>
      <w:r w:rsidR="000A7FBC">
        <w:rPr>
          <w:color w:val="000000"/>
        </w:rPr>
        <w:t>(Sections indicated in Reading List)</w:t>
      </w:r>
    </w:p>
    <w:p w14:paraId="52747DF1" w14:textId="77777777" w:rsidR="005D1729" w:rsidRDefault="00000000">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p>
    <w:p w14:paraId="00000012" w14:textId="28E0C864" w:rsidR="00B55ED8" w:rsidRDefault="00000000" w:rsidP="005D1729">
      <w:pPr>
        <w:pBdr>
          <w:top w:val="nil"/>
          <w:left w:val="nil"/>
          <w:bottom w:val="nil"/>
          <w:right w:val="nil"/>
          <w:between w:val="nil"/>
        </w:pBdr>
        <w:spacing w:after="0" w:line="240" w:lineRule="auto"/>
        <w:ind w:left="1440" w:firstLine="720"/>
        <w:rPr>
          <w:color w:val="000000"/>
        </w:rPr>
      </w:pPr>
      <w:r>
        <w:rPr>
          <w:color w:val="000000"/>
        </w:rPr>
        <w:t>Optional materials</w:t>
      </w:r>
    </w:p>
    <w:p w14:paraId="59AD4C66" w14:textId="30EB1E7B" w:rsidR="005D1729" w:rsidRDefault="005D1729" w:rsidP="005D1729">
      <w:pPr>
        <w:pBdr>
          <w:top w:val="nil"/>
          <w:left w:val="nil"/>
          <w:bottom w:val="nil"/>
          <w:right w:val="nil"/>
          <w:between w:val="nil"/>
        </w:pBdr>
        <w:spacing w:after="0" w:line="240" w:lineRule="auto"/>
        <w:ind w:left="1440" w:firstLine="720"/>
        <w:rPr>
          <w:color w:val="000000"/>
        </w:rPr>
      </w:pPr>
      <w:r>
        <w:rPr>
          <w:color w:val="000000"/>
        </w:rPr>
        <w:t xml:space="preserve">GRADE book </w:t>
      </w:r>
      <w:hyperlink r:id="rId10" w:history="1">
        <w:r w:rsidRPr="00732782">
          <w:rPr>
            <w:rStyle w:val="Hyperlink"/>
          </w:rPr>
          <w:t>https://book.gradepro.org/</w:t>
        </w:r>
      </w:hyperlink>
      <w:r>
        <w:rPr>
          <w:color w:val="000000"/>
        </w:rPr>
        <w:t xml:space="preserve"> </w:t>
      </w:r>
    </w:p>
    <w:p w14:paraId="671A3D65" w14:textId="50822287" w:rsidR="005D1729" w:rsidRDefault="005D1729" w:rsidP="005D1729">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t xml:space="preserve">Risk of bias tools </w:t>
      </w:r>
      <w:hyperlink r:id="rId11" w:history="1">
        <w:r w:rsidRPr="00732782">
          <w:rPr>
            <w:rStyle w:val="Hyperlink"/>
          </w:rPr>
          <w:t>https://www.riskofbias.info/</w:t>
        </w:r>
      </w:hyperlink>
      <w:r>
        <w:rPr>
          <w:color w:val="000000"/>
        </w:rPr>
        <w:t xml:space="preserve"> </w:t>
      </w:r>
    </w:p>
    <w:p w14:paraId="252EB2EE" w14:textId="77777777" w:rsidR="005D1729" w:rsidRDefault="00000000">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p>
    <w:p w14:paraId="00000013" w14:textId="5D1C63D4" w:rsidR="00B55ED8" w:rsidRDefault="00000000" w:rsidP="005D1729">
      <w:pPr>
        <w:pBdr>
          <w:top w:val="nil"/>
          <w:left w:val="nil"/>
          <w:bottom w:val="nil"/>
          <w:right w:val="nil"/>
          <w:between w:val="nil"/>
        </w:pBdr>
        <w:spacing w:after="0" w:line="240" w:lineRule="auto"/>
        <w:ind w:left="1440" w:firstLine="720"/>
        <w:rPr>
          <w:color w:val="000000"/>
        </w:rPr>
      </w:pPr>
      <w:r>
        <w:rPr>
          <w:color w:val="000000"/>
        </w:rPr>
        <w:t>CTools website</w:t>
      </w:r>
    </w:p>
    <w:p w14:paraId="00000014" w14:textId="4CF19377" w:rsidR="00B55ED8" w:rsidRDefault="005D1729">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sidR="006731B3">
        <w:rPr>
          <w:color w:val="000000"/>
        </w:rPr>
        <w:t>TBD</w:t>
      </w:r>
    </w:p>
    <w:p w14:paraId="6FA27111" w14:textId="77777777" w:rsidR="005D1729" w:rsidRDefault="005D1729">
      <w:pPr>
        <w:pBdr>
          <w:top w:val="nil"/>
          <w:left w:val="nil"/>
          <w:bottom w:val="nil"/>
          <w:right w:val="nil"/>
          <w:between w:val="nil"/>
        </w:pBdr>
        <w:spacing w:after="0" w:line="240" w:lineRule="auto"/>
        <w:rPr>
          <w:color w:val="000000"/>
        </w:rPr>
      </w:pPr>
    </w:p>
    <w:p w14:paraId="00000015" w14:textId="735142FC" w:rsidR="00B55ED8" w:rsidRDefault="00000000">
      <w:pPr>
        <w:pBdr>
          <w:top w:val="nil"/>
          <w:left w:val="nil"/>
          <w:bottom w:val="nil"/>
          <w:right w:val="nil"/>
          <w:between w:val="nil"/>
        </w:pBdr>
        <w:spacing w:after="0" w:line="240" w:lineRule="auto"/>
        <w:ind w:left="2160" w:hanging="2160"/>
        <w:rPr>
          <w:color w:val="000000"/>
        </w:rPr>
      </w:pPr>
      <w:r>
        <w:rPr>
          <w:b/>
          <w:color w:val="000000"/>
        </w:rPr>
        <w:t>Prerequisites:</w:t>
      </w:r>
      <w:r>
        <w:rPr>
          <w:color w:val="000000"/>
        </w:rPr>
        <w:tab/>
      </w:r>
      <w:r w:rsidR="005D1729" w:rsidRPr="005D1729">
        <w:rPr>
          <w:color w:val="000000"/>
        </w:rPr>
        <w:t>Basic courses in epidemiology and biostatistics</w:t>
      </w:r>
    </w:p>
    <w:p w14:paraId="00000016" w14:textId="77777777" w:rsidR="00B55ED8" w:rsidRDefault="00B55ED8">
      <w:pPr>
        <w:pBdr>
          <w:top w:val="nil"/>
          <w:left w:val="nil"/>
          <w:bottom w:val="nil"/>
          <w:right w:val="nil"/>
          <w:between w:val="nil"/>
        </w:pBdr>
        <w:spacing w:after="0" w:line="240" w:lineRule="auto"/>
        <w:ind w:left="2160" w:hanging="2160"/>
        <w:rPr>
          <w:color w:val="000000"/>
        </w:rPr>
      </w:pPr>
    </w:p>
    <w:p w14:paraId="0B82ACAE" w14:textId="25F28748" w:rsidR="00211A8B" w:rsidRDefault="00000000" w:rsidP="005D1729">
      <w:pPr>
        <w:pBdr>
          <w:top w:val="nil"/>
          <w:left w:val="nil"/>
          <w:bottom w:val="nil"/>
          <w:right w:val="nil"/>
          <w:between w:val="nil"/>
        </w:pBdr>
        <w:spacing w:after="0" w:line="240" w:lineRule="auto"/>
        <w:ind w:left="2160" w:hanging="2160"/>
        <w:rPr>
          <w:i/>
          <w:color w:val="000000"/>
        </w:rPr>
      </w:pPr>
      <w:r>
        <w:rPr>
          <w:b/>
          <w:color w:val="000000"/>
        </w:rPr>
        <w:t>Course Goals:</w:t>
      </w:r>
      <w:r>
        <w:rPr>
          <w:color w:val="000000"/>
        </w:rPr>
        <w:t xml:space="preserve"> </w:t>
      </w:r>
      <w:r>
        <w:rPr>
          <w:color w:val="000000"/>
        </w:rPr>
        <w:tab/>
        <w:t xml:space="preserve"> </w:t>
      </w:r>
    </w:p>
    <w:p w14:paraId="5386721D" w14:textId="4EFADA0E" w:rsidR="00211A8B" w:rsidRPr="00211A8B" w:rsidRDefault="00211A8B" w:rsidP="00211A8B">
      <w:pPr>
        <w:pStyle w:val="ListParagraph"/>
        <w:numPr>
          <w:ilvl w:val="0"/>
          <w:numId w:val="5"/>
        </w:numPr>
        <w:pBdr>
          <w:top w:val="nil"/>
          <w:left w:val="nil"/>
          <w:bottom w:val="nil"/>
          <w:right w:val="nil"/>
          <w:between w:val="nil"/>
        </w:pBdr>
        <w:spacing w:after="0" w:line="240" w:lineRule="auto"/>
        <w:rPr>
          <w:color w:val="000000"/>
        </w:rPr>
      </w:pPr>
      <w:r>
        <w:rPr>
          <w:color w:val="000000"/>
        </w:rPr>
        <w:t>Understand and apply methods to conduct a systematic review of the effects of an intervention including how to develop a systematic review question, plan a search strategy, identify included studies, assess the risk of bias of studies, abstract data from studies, synthesise the results of studies and explore effects, assess the certainty of the evidence, and interpret and present results.</w:t>
      </w:r>
    </w:p>
    <w:p w14:paraId="7410AC41" w14:textId="77777777" w:rsidR="005D1729" w:rsidRDefault="005D1729">
      <w:pPr>
        <w:pBdr>
          <w:top w:val="nil"/>
          <w:left w:val="nil"/>
          <w:bottom w:val="nil"/>
          <w:right w:val="nil"/>
          <w:between w:val="nil"/>
        </w:pBdr>
        <w:spacing w:after="0" w:line="240" w:lineRule="auto"/>
        <w:ind w:left="2160" w:hanging="2160"/>
        <w:rPr>
          <w:b/>
          <w:color w:val="000000"/>
        </w:rPr>
      </w:pPr>
    </w:p>
    <w:p w14:paraId="00000018" w14:textId="77777777" w:rsidR="00B55ED8" w:rsidRDefault="00B55ED8">
      <w:pPr>
        <w:pBdr>
          <w:top w:val="nil"/>
          <w:left w:val="nil"/>
          <w:bottom w:val="nil"/>
          <w:right w:val="nil"/>
          <w:between w:val="nil"/>
        </w:pBdr>
        <w:spacing w:after="0" w:line="240" w:lineRule="auto"/>
        <w:ind w:left="2160" w:hanging="2160"/>
        <w:rPr>
          <w:color w:val="000000"/>
        </w:rPr>
      </w:pPr>
    </w:p>
    <w:p w14:paraId="7A1AE8B9" w14:textId="77777777" w:rsidR="00211A8B" w:rsidRDefault="00000000">
      <w:pPr>
        <w:pBdr>
          <w:top w:val="nil"/>
          <w:left w:val="nil"/>
          <w:bottom w:val="nil"/>
          <w:right w:val="nil"/>
          <w:between w:val="nil"/>
        </w:pBdr>
        <w:spacing w:after="0" w:line="240" w:lineRule="auto"/>
        <w:ind w:left="2160" w:hanging="2160"/>
        <w:rPr>
          <w:color w:val="000000"/>
        </w:rPr>
      </w:pPr>
      <w:r>
        <w:rPr>
          <w:b/>
          <w:color w:val="000000"/>
        </w:rPr>
        <w:t>Competencies:</w:t>
      </w:r>
      <w:r>
        <w:rPr>
          <w:color w:val="000000"/>
        </w:rPr>
        <w:t xml:space="preserve"> </w:t>
      </w:r>
      <w:r>
        <w:rPr>
          <w:color w:val="000000"/>
        </w:rPr>
        <w:tab/>
      </w:r>
    </w:p>
    <w:p w14:paraId="755F0095" w14:textId="77777777" w:rsidR="00211A8B" w:rsidRPr="00211A8B" w:rsidRDefault="00211A8B" w:rsidP="00211A8B">
      <w:pPr>
        <w:pStyle w:val="ListParagraph"/>
        <w:numPr>
          <w:ilvl w:val="0"/>
          <w:numId w:val="5"/>
        </w:numPr>
        <w:pBdr>
          <w:top w:val="nil"/>
          <w:left w:val="nil"/>
          <w:bottom w:val="nil"/>
          <w:right w:val="nil"/>
          <w:between w:val="nil"/>
        </w:pBdr>
        <w:spacing w:after="0" w:line="240" w:lineRule="auto"/>
        <w:rPr>
          <w:color w:val="000000"/>
        </w:rPr>
      </w:pPr>
      <w:r w:rsidRPr="00211A8B">
        <w:rPr>
          <w:color w:val="000000"/>
        </w:rPr>
        <w:t xml:space="preserve">Select quantitative and qualitative data collection methods appropriate for a given public health context </w:t>
      </w:r>
    </w:p>
    <w:p w14:paraId="58A64C3D" w14:textId="77777777" w:rsidR="00211A8B" w:rsidRDefault="00211A8B" w:rsidP="00211A8B">
      <w:pPr>
        <w:widowControl w:val="0"/>
        <w:numPr>
          <w:ilvl w:val="0"/>
          <w:numId w:val="5"/>
        </w:numPr>
        <w:pBdr>
          <w:between w:val="nil"/>
        </w:pBdr>
        <w:spacing w:after="0" w:line="240" w:lineRule="auto"/>
        <w:rPr>
          <w:color w:val="000000"/>
        </w:rPr>
      </w:pPr>
      <w:r>
        <w:rPr>
          <w:color w:val="000000"/>
        </w:rPr>
        <w:t xml:space="preserve">Analyze quantitative and qualitative data using biostatistics, informatics, computer-based programming and software, as appropriate </w:t>
      </w:r>
    </w:p>
    <w:p w14:paraId="7EC7A097" w14:textId="77777777" w:rsidR="00211A8B" w:rsidRDefault="00211A8B" w:rsidP="00211A8B">
      <w:pPr>
        <w:widowControl w:val="0"/>
        <w:numPr>
          <w:ilvl w:val="0"/>
          <w:numId w:val="5"/>
        </w:numPr>
        <w:pBdr>
          <w:between w:val="nil"/>
        </w:pBdr>
        <w:spacing w:after="0" w:line="240" w:lineRule="auto"/>
        <w:rPr>
          <w:color w:val="000000"/>
        </w:rPr>
      </w:pPr>
      <w:r>
        <w:rPr>
          <w:color w:val="000000"/>
        </w:rPr>
        <w:t xml:space="preserve">Interpret results of data analysis for public health research, policy or practice </w:t>
      </w:r>
    </w:p>
    <w:p w14:paraId="4B68B84A" w14:textId="77777777" w:rsidR="00211A8B" w:rsidRDefault="00211A8B" w:rsidP="00211A8B">
      <w:pPr>
        <w:widowControl w:val="0"/>
        <w:numPr>
          <w:ilvl w:val="0"/>
          <w:numId w:val="5"/>
        </w:numPr>
        <w:pBdr>
          <w:between w:val="nil"/>
        </w:pBdr>
        <w:spacing w:after="0" w:line="240" w:lineRule="auto"/>
        <w:rPr>
          <w:color w:val="000000"/>
        </w:rPr>
      </w:pPr>
      <w:r>
        <w:rPr>
          <w:color w:val="000000"/>
        </w:rPr>
        <w:t xml:space="preserve">Communicate audience-appropriate public health content, both in writing and through oral presentation </w:t>
      </w:r>
    </w:p>
    <w:p w14:paraId="00000019" w14:textId="3FDF71BB" w:rsidR="00B55ED8" w:rsidRDefault="00000000">
      <w:pPr>
        <w:pBdr>
          <w:top w:val="nil"/>
          <w:left w:val="nil"/>
          <w:bottom w:val="nil"/>
          <w:right w:val="nil"/>
          <w:between w:val="nil"/>
        </w:pBdr>
        <w:spacing w:after="0" w:line="240" w:lineRule="auto"/>
        <w:ind w:left="2160" w:hanging="2160"/>
        <w:rPr>
          <w:i/>
          <w:color w:val="000000"/>
        </w:rPr>
      </w:pPr>
      <w:r>
        <w:rPr>
          <w:color w:val="000000"/>
        </w:rPr>
        <w:t xml:space="preserve"> </w:t>
      </w:r>
    </w:p>
    <w:p w14:paraId="0000001A" w14:textId="77777777" w:rsidR="00B55ED8" w:rsidRDefault="00B55ED8">
      <w:pPr>
        <w:pBdr>
          <w:top w:val="nil"/>
          <w:left w:val="nil"/>
          <w:bottom w:val="nil"/>
          <w:right w:val="nil"/>
          <w:between w:val="nil"/>
        </w:pBdr>
        <w:spacing w:after="0" w:line="240" w:lineRule="auto"/>
        <w:ind w:left="2160" w:hanging="2160"/>
        <w:rPr>
          <w:color w:val="000000"/>
        </w:rPr>
      </w:pPr>
    </w:p>
    <w:p w14:paraId="0000001B" w14:textId="3259CACF" w:rsidR="00B55ED8" w:rsidRDefault="00000000">
      <w:pPr>
        <w:pBdr>
          <w:top w:val="nil"/>
          <w:left w:val="nil"/>
          <w:bottom w:val="nil"/>
          <w:right w:val="nil"/>
          <w:between w:val="nil"/>
        </w:pBdr>
        <w:spacing w:after="0" w:line="240" w:lineRule="auto"/>
        <w:ind w:left="2160" w:hanging="2160"/>
        <w:rPr>
          <w:color w:val="000000"/>
        </w:rPr>
      </w:pPr>
      <w:r>
        <w:rPr>
          <w:b/>
          <w:color w:val="000000"/>
        </w:rPr>
        <w:t>Course Requirements:</w:t>
      </w:r>
      <w:r>
        <w:rPr>
          <w:color w:val="000000"/>
        </w:rPr>
        <w:t xml:space="preserve"> </w:t>
      </w:r>
      <w:r>
        <w:rPr>
          <w:color w:val="000000"/>
        </w:rPr>
        <w:tab/>
      </w:r>
      <w:r w:rsidR="00724A8D">
        <w:rPr>
          <w:color w:val="000000"/>
        </w:rPr>
        <w:t>Students and required to complete five assignments for the</w:t>
      </w:r>
      <w:r>
        <w:rPr>
          <w:color w:val="000000"/>
        </w:rPr>
        <w:t xml:space="preserve"> course. </w:t>
      </w:r>
      <w:r w:rsidR="00724A8D">
        <w:rPr>
          <w:color w:val="000000"/>
        </w:rPr>
        <w:t xml:space="preserve">Assignment 1 is due before the second class, but all other assignments can be submitted </w:t>
      </w:r>
      <w:r w:rsidR="006376B1">
        <w:rPr>
          <w:color w:val="000000"/>
        </w:rPr>
        <w:t xml:space="preserve">one week after the final </w:t>
      </w:r>
      <w:r w:rsidR="006731B3">
        <w:rPr>
          <w:color w:val="000000"/>
        </w:rPr>
        <w:t xml:space="preserve">on 31 July 2025. Note that </w:t>
      </w:r>
      <w:r w:rsidR="006376B1">
        <w:rPr>
          <w:color w:val="000000"/>
        </w:rPr>
        <w:t>office hours are only up to and including the fifth day of the course</w:t>
      </w:r>
      <w:r>
        <w:rPr>
          <w:color w:val="000000"/>
        </w:rPr>
        <w:t xml:space="preserve">. </w:t>
      </w:r>
      <w:r w:rsidR="006376B1">
        <w:rPr>
          <w:color w:val="000000"/>
        </w:rPr>
        <w:t>Assignments 2-4 are meant to contribute to the final assignment which is the ‘final systematic review’.</w:t>
      </w:r>
    </w:p>
    <w:p w14:paraId="0000001C" w14:textId="77777777" w:rsidR="00B55ED8" w:rsidRDefault="00000000">
      <w:pPr>
        <w:pBdr>
          <w:top w:val="nil"/>
          <w:left w:val="nil"/>
          <w:bottom w:val="nil"/>
          <w:right w:val="nil"/>
          <w:between w:val="nil"/>
        </w:pBdr>
        <w:spacing w:after="0" w:line="240" w:lineRule="auto"/>
        <w:ind w:left="2160" w:hanging="2160"/>
        <w:rPr>
          <w:color w:val="000000"/>
        </w:rPr>
      </w:pPr>
      <w:r>
        <w:rPr>
          <w:color w:val="000000"/>
        </w:rPr>
        <w:tab/>
      </w:r>
    </w:p>
    <w:p w14:paraId="0323EF64" w14:textId="23FA3BEB" w:rsidR="00724A8D" w:rsidRDefault="00000000">
      <w:pPr>
        <w:pBdr>
          <w:top w:val="nil"/>
          <w:left w:val="nil"/>
          <w:bottom w:val="nil"/>
          <w:right w:val="nil"/>
          <w:between w:val="nil"/>
        </w:pBdr>
        <w:spacing w:after="0" w:line="240" w:lineRule="auto"/>
        <w:ind w:left="2160" w:hanging="2160"/>
        <w:rPr>
          <w:color w:val="000000"/>
        </w:rPr>
      </w:pPr>
      <w:r>
        <w:rPr>
          <w:color w:val="000000"/>
        </w:rPr>
        <w:tab/>
      </w:r>
      <w:r w:rsidR="00724A8D">
        <w:rPr>
          <w:color w:val="000000"/>
        </w:rPr>
        <w:t xml:space="preserve">1. Systematic review question </w:t>
      </w:r>
    </w:p>
    <w:p w14:paraId="0000001D" w14:textId="117F4BE9" w:rsidR="00B55ED8" w:rsidRDefault="00724A8D" w:rsidP="00724A8D">
      <w:pPr>
        <w:pBdr>
          <w:top w:val="nil"/>
          <w:left w:val="nil"/>
          <w:bottom w:val="nil"/>
          <w:right w:val="nil"/>
          <w:between w:val="nil"/>
        </w:pBdr>
        <w:spacing w:after="0" w:line="240" w:lineRule="auto"/>
        <w:ind w:left="2160" w:firstLine="720"/>
        <w:rPr>
          <w:color w:val="000000"/>
        </w:rPr>
      </w:pPr>
      <w:r>
        <w:rPr>
          <w:color w:val="000000"/>
        </w:rPr>
        <w:t>(</w:t>
      </w:r>
      <w:r w:rsidR="0042131C">
        <w:rPr>
          <w:color w:val="000000"/>
        </w:rPr>
        <w:t xml:space="preserve">with </w:t>
      </w:r>
      <w:r>
        <w:rPr>
          <w:color w:val="000000"/>
        </w:rPr>
        <w:t>inclusion and exclusion criteria)</w:t>
      </w:r>
      <w:r>
        <w:rPr>
          <w:color w:val="000000"/>
        </w:rPr>
        <w:tab/>
      </w:r>
      <w:r>
        <w:rPr>
          <w:color w:val="000000"/>
        </w:rPr>
        <w:tab/>
        <w:t>10%</w:t>
      </w:r>
    </w:p>
    <w:p w14:paraId="0000001E" w14:textId="761F7720" w:rsidR="00B55ED8" w:rsidRDefault="00000000">
      <w:pPr>
        <w:pBdr>
          <w:top w:val="nil"/>
          <w:left w:val="nil"/>
          <w:bottom w:val="nil"/>
          <w:right w:val="nil"/>
          <w:between w:val="nil"/>
        </w:pBdr>
        <w:spacing w:after="0" w:line="240" w:lineRule="auto"/>
        <w:ind w:left="2160" w:hanging="2160"/>
        <w:rPr>
          <w:color w:val="000000"/>
        </w:rPr>
      </w:pPr>
      <w:r>
        <w:rPr>
          <w:color w:val="000000"/>
        </w:rPr>
        <w:tab/>
      </w:r>
      <w:r w:rsidR="00724A8D">
        <w:rPr>
          <w:color w:val="000000"/>
        </w:rPr>
        <w:t>2. Risk of bias assessment of a study</w:t>
      </w:r>
      <w:r>
        <w:rPr>
          <w:color w:val="000000"/>
        </w:rPr>
        <w:tab/>
      </w:r>
      <w:r>
        <w:rPr>
          <w:color w:val="000000"/>
        </w:rPr>
        <w:tab/>
      </w:r>
      <w:r w:rsidR="00724A8D">
        <w:rPr>
          <w:color w:val="000000"/>
        </w:rPr>
        <w:tab/>
        <w:t>15</w:t>
      </w:r>
      <w:r>
        <w:rPr>
          <w:color w:val="000000"/>
        </w:rPr>
        <w:t>%</w:t>
      </w:r>
    </w:p>
    <w:p w14:paraId="0000001F" w14:textId="6CCF0801" w:rsidR="00B55ED8" w:rsidRDefault="00000000">
      <w:pPr>
        <w:pBdr>
          <w:top w:val="nil"/>
          <w:left w:val="nil"/>
          <w:bottom w:val="nil"/>
          <w:right w:val="nil"/>
          <w:between w:val="nil"/>
        </w:pBdr>
        <w:spacing w:after="0" w:line="240" w:lineRule="auto"/>
        <w:ind w:left="2160" w:hanging="2160"/>
        <w:rPr>
          <w:color w:val="000000"/>
        </w:rPr>
      </w:pPr>
      <w:r>
        <w:rPr>
          <w:color w:val="000000"/>
        </w:rPr>
        <w:tab/>
      </w:r>
      <w:r w:rsidR="00724A8D">
        <w:rPr>
          <w:color w:val="000000"/>
        </w:rPr>
        <w:t>3. Data abstraction of studies</w:t>
      </w:r>
      <w:r w:rsidR="00724A8D">
        <w:rPr>
          <w:color w:val="000000"/>
        </w:rPr>
        <w:tab/>
      </w:r>
      <w:r>
        <w:rPr>
          <w:color w:val="000000"/>
        </w:rPr>
        <w:tab/>
      </w:r>
      <w:r>
        <w:rPr>
          <w:color w:val="000000"/>
        </w:rPr>
        <w:tab/>
      </w:r>
      <w:r w:rsidR="00724A8D">
        <w:rPr>
          <w:color w:val="000000"/>
        </w:rPr>
        <w:tab/>
        <w:t>10</w:t>
      </w:r>
      <w:r>
        <w:rPr>
          <w:color w:val="000000"/>
        </w:rPr>
        <w:t>%</w:t>
      </w:r>
    </w:p>
    <w:p w14:paraId="00000021" w14:textId="77BC7421" w:rsidR="00B55ED8" w:rsidRDefault="00000000" w:rsidP="00724A8D">
      <w:pPr>
        <w:pBdr>
          <w:top w:val="nil"/>
          <w:left w:val="nil"/>
          <w:bottom w:val="nil"/>
          <w:right w:val="nil"/>
          <w:between w:val="nil"/>
        </w:pBdr>
        <w:spacing w:after="0" w:line="240" w:lineRule="auto"/>
        <w:ind w:left="2160" w:hanging="2160"/>
        <w:rPr>
          <w:color w:val="000000"/>
        </w:rPr>
      </w:pPr>
      <w:r>
        <w:rPr>
          <w:color w:val="000000"/>
        </w:rPr>
        <w:tab/>
      </w:r>
      <w:r w:rsidR="00724A8D">
        <w:rPr>
          <w:color w:val="000000"/>
        </w:rPr>
        <w:t>4. Synthesis, interpretation and presentation of results</w:t>
      </w:r>
      <w:r>
        <w:rPr>
          <w:color w:val="000000"/>
        </w:rPr>
        <w:tab/>
      </w:r>
      <w:r w:rsidR="00724A8D">
        <w:rPr>
          <w:color w:val="000000"/>
        </w:rPr>
        <w:t>25</w:t>
      </w:r>
      <w:r>
        <w:rPr>
          <w:color w:val="000000"/>
        </w:rPr>
        <w:t>%</w:t>
      </w:r>
    </w:p>
    <w:p w14:paraId="00000022" w14:textId="24D8BA63" w:rsidR="00B55ED8" w:rsidRDefault="00000000">
      <w:pPr>
        <w:pBdr>
          <w:top w:val="nil"/>
          <w:left w:val="nil"/>
          <w:bottom w:val="nil"/>
          <w:right w:val="nil"/>
          <w:between w:val="nil"/>
        </w:pBdr>
        <w:spacing w:after="0" w:line="240" w:lineRule="auto"/>
        <w:ind w:left="2160" w:hanging="2160"/>
        <w:rPr>
          <w:color w:val="000000"/>
        </w:rPr>
      </w:pPr>
      <w:r>
        <w:rPr>
          <w:color w:val="000000"/>
        </w:rPr>
        <w:tab/>
      </w:r>
      <w:r w:rsidR="00724A8D">
        <w:rPr>
          <w:color w:val="000000"/>
        </w:rPr>
        <w:t xml:space="preserve">5. </w:t>
      </w:r>
      <w:r>
        <w:rPr>
          <w:color w:val="000000"/>
        </w:rPr>
        <w:t xml:space="preserve">Final </w:t>
      </w:r>
      <w:r w:rsidR="00724A8D">
        <w:rPr>
          <w:color w:val="000000"/>
        </w:rPr>
        <w:t>systematic review</w:t>
      </w:r>
      <w:r w:rsidR="00724A8D">
        <w:rPr>
          <w:color w:val="000000"/>
        </w:rPr>
        <w:tab/>
      </w:r>
      <w:r w:rsidR="00724A8D">
        <w:rPr>
          <w:color w:val="000000"/>
        </w:rPr>
        <w:tab/>
        <w:t xml:space="preserve"> </w:t>
      </w:r>
      <w:r>
        <w:rPr>
          <w:color w:val="000000"/>
        </w:rPr>
        <w:tab/>
      </w:r>
      <w:r>
        <w:rPr>
          <w:color w:val="000000"/>
        </w:rPr>
        <w:tab/>
      </w:r>
      <w:r w:rsidR="00724A8D">
        <w:rPr>
          <w:color w:val="000000"/>
        </w:rPr>
        <w:t>2</w:t>
      </w:r>
      <w:r>
        <w:rPr>
          <w:color w:val="000000"/>
        </w:rPr>
        <w:t>0%</w:t>
      </w:r>
    </w:p>
    <w:p w14:paraId="00000023" w14:textId="007E4B06" w:rsidR="00B55ED8" w:rsidRDefault="00000000">
      <w:pPr>
        <w:pBdr>
          <w:top w:val="nil"/>
          <w:left w:val="nil"/>
          <w:bottom w:val="nil"/>
          <w:right w:val="nil"/>
          <w:between w:val="nil"/>
        </w:pBdr>
        <w:spacing w:after="0" w:line="240" w:lineRule="auto"/>
        <w:ind w:left="2160" w:hanging="2160"/>
        <w:rPr>
          <w:color w:val="000000"/>
          <w:u w:val="single"/>
        </w:rPr>
      </w:pPr>
      <w:r>
        <w:rPr>
          <w:color w:val="000000"/>
        </w:rPr>
        <w:tab/>
        <w:t xml:space="preserve">Class </w:t>
      </w:r>
      <w:r w:rsidR="00724A8D">
        <w:rPr>
          <w:color w:val="000000"/>
        </w:rPr>
        <w:t>attendance and p</w:t>
      </w:r>
      <w:r>
        <w:rPr>
          <w:color w:val="000000"/>
        </w:rPr>
        <w:t>articipation</w:t>
      </w:r>
      <w:r>
        <w:rPr>
          <w:color w:val="000000"/>
        </w:rPr>
        <w:tab/>
      </w:r>
      <w:r w:rsidR="00724A8D">
        <w:rPr>
          <w:color w:val="000000"/>
        </w:rPr>
        <w:tab/>
      </w:r>
      <w:r w:rsidR="00724A8D">
        <w:rPr>
          <w:color w:val="000000"/>
        </w:rPr>
        <w:tab/>
      </w:r>
      <w:r w:rsidR="00724A8D">
        <w:rPr>
          <w:color w:val="000000"/>
          <w:u w:val="single"/>
        </w:rPr>
        <w:t>20</w:t>
      </w:r>
      <w:r>
        <w:rPr>
          <w:color w:val="000000"/>
          <w:u w:val="single"/>
        </w:rPr>
        <w:t>%</w:t>
      </w:r>
    </w:p>
    <w:p w14:paraId="00000024" w14:textId="0810D01E" w:rsidR="00B55ED8" w:rsidRDefault="00000000">
      <w:pPr>
        <w:pBdr>
          <w:top w:val="nil"/>
          <w:left w:val="nil"/>
          <w:bottom w:val="nil"/>
          <w:right w:val="nil"/>
          <w:between w:val="nil"/>
        </w:pBdr>
        <w:spacing w:after="0" w:line="240" w:lineRule="auto"/>
        <w:ind w:left="2160" w:hanging="2160"/>
        <w:rPr>
          <w:color w:val="000000"/>
        </w:rPr>
      </w:pPr>
      <w:r>
        <w:rPr>
          <w:color w:val="000000"/>
        </w:rPr>
        <w:tab/>
      </w:r>
      <w:r>
        <w:rPr>
          <w:color w:val="000000"/>
        </w:rPr>
        <w:tab/>
      </w:r>
      <w:r>
        <w:rPr>
          <w:color w:val="000000"/>
        </w:rPr>
        <w:tab/>
      </w:r>
      <w:r>
        <w:rPr>
          <w:color w:val="000000"/>
        </w:rPr>
        <w:tab/>
      </w:r>
      <w:r w:rsidR="00724A8D">
        <w:rPr>
          <w:color w:val="000000"/>
        </w:rPr>
        <w:tab/>
      </w:r>
      <w:r w:rsidR="00724A8D">
        <w:rPr>
          <w:color w:val="000000"/>
        </w:rPr>
        <w:tab/>
      </w:r>
      <w:r w:rsidR="00724A8D">
        <w:rPr>
          <w:color w:val="000000"/>
        </w:rPr>
        <w:tab/>
      </w:r>
      <w:r w:rsidR="00724A8D">
        <w:rPr>
          <w:color w:val="000000"/>
        </w:rPr>
        <w:tab/>
      </w:r>
      <w:r>
        <w:rPr>
          <w:color w:val="000000"/>
        </w:rPr>
        <w:t>100%</w:t>
      </w:r>
    </w:p>
    <w:p w14:paraId="00000025" w14:textId="77777777" w:rsidR="00B55ED8" w:rsidRDefault="00B55ED8">
      <w:pPr>
        <w:pBdr>
          <w:top w:val="nil"/>
          <w:left w:val="nil"/>
          <w:bottom w:val="nil"/>
          <w:right w:val="nil"/>
          <w:between w:val="nil"/>
        </w:pBdr>
        <w:spacing w:after="0" w:line="240" w:lineRule="auto"/>
        <w:ind w:left="2160" w:hanging="2160"/>
        <w:rPr>
          <w:color w:val="000000"/>
        </w:rPr>
      </w:pPr>
    </w:p>
    <w:p w14:paraId="00000026" w14:textId="77777777" w:rsidR="00B55ED8" w:rsidRDefault="00000000">
      <w:pPr>
        <w:pBdr>
          <w:top w:val="nil"/>
          <w:left w:val="nil"/>
          <w:bottom w:val="nil"/>
          <w:right w:val="nil"/>
          <w:between w:val="nil"/>
        </w:pBdr>
        <w:spacing w:after="0" w:line="240" w:lineRule="auto"/>
        <w:ind w:left="2160" w:hanging="2160"/>
        <w:rPr>
          <w:b/>
          <w:color w:val="000000"/>
        </w:rPr>
      </w:pPr>
      <w:r>
        <w:rPr>
          <w:b/>
          <w:color w:val="000000"/>
        </w:rPr>
        <w:t xml:space="preserve">Classroom Expectations/Etiquette: </w:t>
      </w:r>
    </w:p>
    <w:p w14:paraId="00000027" w14:textId="4FB1B977" w:rsidR="00B55ED8" w:rsidRDefault="00000000">
      <w:pPr>
        <w:pBdr>
          <w:top w:val="nil"/>
          <w:left w:val="nil"/>
          <w:bottom w:val="nil"/>
          <w:right w:val="nil"/>
          <w:between w:val="nil"/>
        </w:pBdr>
        <w:spacing w:after="0" w:line="240" w:lineRule="auto"/>
        <w:ind w:left="720" w:hanging="2160"/>
        <w:rPr>
          <w:color w:val="000000"/>
        </w:rPr>
      </w:pPr>
      <w:r>
        <w:rPr>
          <w:color w:val="000000"/>
        </w:rPr>
        <w:tab/>
      </w:r>
      <w:r w:rsidR="0042131C">
        <w:rPr>
          <w:color w:val="000000"/>
        </w:rPr>
        <w:t>Students are expected to attend all classes and contribute to discussions. Students will also need to follow along with exercises and will be required to practice using the online programmes and statistical software that are freely available. Students can work together to complete assignments but will be required to submit their own work.</w:t>
      </w:r>
    </w:p>
    <w:p w14:paraId="00000028" w14:textId="77777777" w:rsidR="00B55ED8" w:rsidRDefault="00B55ED8">
      <w:pPr>
        <w:pBdr>
          <w:top w:val="nil"/>
          <w:left w:val="nil"/>
          <w:bottom w:val="nil"/>
          <w:right w:val="nil"/>
          <w:between w:val="nil"/>
        </w:pBdr>
        <w:spacing w:after="0" w:line="240" w:lineRule="auto"/>
        <w:ind w:left="2160" w:hanging="2160"/>
        <w:rPr>
          <w:color w:val="000000"/>
        </w:rPr>
      </w:pPr>
    </w:p>
    <w:p w14:paraId="00000029" w14:textId="5CDD3CB5" w:rsidR="00B55ED8" w:rsidRDefault="00000000">
      <w:pPr>
        <w:pBdr>
          <w:top w:val="nil"/>
          <w:left w:val="nil"/>
          <w:bottom w:val="nil"/>
          <w:right w:val="nil"/>
          <w:between w:val="nil"/>
        </w:pBdr>
        <w:spacing w:after="0" w:line="240" w:lineRule="auto"/>
        <w:ind w:left="2160" w:hanging="2160"/>
        <w:rPr>
          <w:b/>
          <w:color w:val="000000"/>
        </w:rPr>
      </w:pPr>
      <w:r>
        <w:rPr>
          <w:b/>
          <w:color w:val="000000"/>
        </w:rPr>
        <w:t>Diversity, Equity, and Inclusion:</w:t>
      </w:r>
      <w:r>
        <w:rPr>
          <w:b/>
          <w:color w:val="000000"/>
        </w:rPr>
        <w:tab/>
      </w:r>
    </w:p>
    <w:p w14:paraId="0000003A" w14:textId="77777777" w:rsidR="00B55ED8" w:rsidRDefault="00000000">
      <w:pPr>
        <w:ind w:left="360"/>
        <w:rPr>
          <w:color w:val="000000"/>
        </w:rPr>
      </w:pPr>
      <w:r>
        <w:rPr>
          <w:color w:val="000000"/>
        </w:rPr>
        <w:t>SPH is committed to creating classroom environments that are supportive of diversity, equity and inclusion.</w:t>
      </w:r>
    </w:p>
    <w:p w14:paraId="0000003B" w14:textId="77777777" w:rsidR="00B55ED8" w:rsidRDefault="00000000">
      <w:pPr>
        <w:pBdr>
          <w:top w:val="nil"/>
          <w:left w:val="nil"/>
          <w:bottom w:val="nil"/>
          <w:right w:val="nil"/>
          <w:between w:val="nil"/>
        </w:pBdr>
        <w:spacing w:after="0" w:line="240" w:lineRule="auto"/>
        <w:ind w:left="2160" w:hanging="2160"/>
        <w:rPr>
          <w:b/>
          <w:color w:val="000000"/>
        </w:rPr>
      </w:pPr>
      <w:r>
        <w:rPr>
          <w:b/>
          <w:color w:val="000000"/>
        </w:rPr>
        <w:t>Academic Integrity:</w:t>
      </w:r>
    </w:p>
    <w:p w14:paraId="0000003C" w14:textId="77777777" w:rsidR="00B55ED8" w:rsidRDefault="00000000">
      <w:pPr>
        <w:pBdr>
          <w:top w:val="nil"/>
          <w:left w:val="nil"/>
          <w:bottom w:val="nil"/>
          <w:right w:val="nil"/>
          <w:between w:val="nil"/>
        </w:pBdr>
        <w:spacing w:after="0" w:line="240" w:lineRule="auto"/>
        <w:ind w:left="720"/>
        <w:rPr>
          <w:color w:val="000000"/>
        </w:rPr>
      </w:pPr>
      <w:r>
        <w:rPr>
          <w:color w:val="000000"/>
        </w:rPr>
        <w:t>The faculty and staff of the School of Public Health believe that the conduct of a student registered or taking courses in the School should be consistent with that of a professional person. Courtesy, honesty, and respect should be shown by students toward faculty members, guest lecturers, administrative support staff, community partners, and fellow students.  Similarly, students should expect faculty to treat them fairly, showing respect for their ideas and opinions and striving to help them achieve maximum benefits from their experience in the School.</w:t>
      </w:r>
    </w:p>
    <w:p w14:paraId="0000003D" w14:textId="77777777" w:rsidR="00B55ED8" w:rsidRDefault="00B55ED8">
      <w:pPr>
        <w:pBdr>
          <w:top w:val="nil"/>
          <w:left w:val="nil"/>
          <w:bottom w:val="nil"/>
          <w:right w:val="nil"/>
          <w:between w:val="nil"/>
        </w:pBdr>
        <w:spacing w:after="0" w:line="240" w:lineRule="auto"/>
        <w:ind w:left="720"/>
        <w:rPr>
          <w:color w:val="000000"/>
        </w:rPr>
      </w:pPr>
    </w:p>
    <w:p w14:paraId="0000003E" w14:textId="77777777" w:rsidR="00B55ED8" w:rsidRDefault="00000000">
      <w:pPr>
        <w:pBdr>
          <w:top w:val="nil"/>
          <w:left w:val="nil"/>
          <w:bottom w:val="nil"/>
          <w:right w:val="nil"/>
          <w:between w:val="nil"/>
        </w:pBdr>
        <w:spacing w:after="0" w:line="240" w:lineRule="auto"/>
        <w:ind w:left="720"/>
        <w:rPr>
          <w:color w:val="000000"/>
        </w:rPr>
      </w:pPr>
      <w:r>
        <w:rPr>
          <w:color w:val="000000"/>
        </w:rPr>
        <w:t xml:space="preserve">Student academic misconduct refers to behavior that may include plagiarism, cheating, fabrication, falsification of records or official documents, intentional misuse of equipment or materials (including library materials), and aiding and abetting the perpetration of such acts.  </w:t>
      </w:r>
      <w:r>
        <w:rPr>
          <w:color w:val="000000"/>
        </w:rPr>
        <w:lastRenderedPageBreak/>
        <w:t xml:space="preserve">Please visit </w:t>
      </w:r>
      <w:hyperlink r:id="rId12">
        <w:r w:rsidR="00B55ED8">
          <w:rPr>
            <w:color w:val="0000FF"/>
            <w:u w:val="single"/>
          </w:rPr>
          <w:t>https://sph.umich.edu/student-resources/mph-mhsa.html</w:t>
        </w:r>
      </w:hyperlink>
      <w:r>
        <w:rPr>
          <w:color w:val="000000"/>
        </w:rPr>
        <w:t xml:space="preserve"> for the full Policy on Student Academic Conduct Standards and Procedures.</w:t>
      </w:r>
    </w:p>
    <w:p w14:paraId="0000003F" w14:textId="77777777" w:rsidR="00B55ED8" w:rsidRDefault="00B55ED8">
      <w:pPr>
        <w:pBdr>
          <w:top w:val="nil"/>
          <w:left w:val="nil"/>
          <w:bottom w:val="nil"/>
          <w:right w:val="nil"/>
          <w:between w:val="nil"/>
        </w:pBdr>
        <w:spacing w:after="0" w:line="240" w:lineRule="auto"/>
        <w:ind w:left="720"/>
        <w:rPr>
          <w:color w:val="000000"/>
        </w:rPr>
      </w:pPr>
    </w:p>
    <w:p w14:paraId="00000040" w14:textId="77777777" w:rsidR="00B55ED8" w:rsidRDefault="00000000">
      <w:pPr>
        <w:pBdr>
          <w:top w:val="nil"/>
          <w:left w:val="nil"/>
          <w:bottom w:val="nil"/>
          <w:right w:val="nil"/>
          <w:between w:val="nil"/>
        </w:pBdr>
        <w:spacing w:after="0" w:line="240" w:lineRule="auto"/>
        <w:ind w:left="720" w:hanging="720"/>
        <w:rPr>
          <w:b/>
          <w:color w:val="000000"/>
        </w:rPr>
      </w:pPr>
      <w:bookmarkStart w:id="0" w:name="_gjdgxs" w:colFirst="0" w:colLast="0"/>
      <w:bookmarkEnd w:id="0"/>
      <w:r>
        <w:rPr>
          <w:b/>
          <w:color w:val="000000"/>
        </w:rPr>
        <w:t>SPH Writing Lab:</w:t>
      </w:r>
    </w:p>
    <w:p w14:paraId="00000041" w14:textId="77777777" w:rsidR="00B55ED8" w:rsidRDefault="00000000">
      <w:pPr>
        <w:pBdr>
          <w:top w:val="nil"/>
          <w:left w:val="nil"/>
          <w:bottom w:val="nil"/>
          <w:right w:val="nil"/>
          <w:between w:val="nil"/>
        </w:pBdr>
        <w:spacing w:after="0" w:line="240" w:lineRule="auto"/>
        <w:ind w:left="720" w:hanging="720"/>
        <w:rPr>
          <w:color w:val="000000"/>
        </w:rPr>
      </w:pPr>
      <w:r>
        <w:rPr>
          <w:b/>
          <w:color w:val="000000"/>
        </w:rPr>
        <w:tab/>
      </w:r>
      <w:r>
        <w:rPr>
          <w:color w:val="000000"/>
        </w:rPr>
        <w:t xml:space="preserve">The SPH Writing Lab is located in 5025 SPH II and offers writing support to all SPH students for course papers, manuscripts, grant proposals, dissertations, personal statements, and all other academic writing tasks.  The Lab can also help answer questions on academic integrity. To learn more or make an appointment, please visit the SPH writing lab </w:t>
      </w:r>
      <w:hyperlink r:id="rId13">
        <w:r w:rsidR="00B55ED8">
          <w:rPr>
            <w:color w:val="0000FF"/>
            <w:u w:val="single"/>
          </w:rPr>
          <w:t>website</w:t>
        </w:r>
      </w:hyperlink>
      <w:r>
        <w:rPr>
          <w:color w:val="000000"/>
        </w:rPr>
        <w:t xml:space="preserve">.  </w:t>
      </w:r>
    </w:p>
    <w:p w14:paraId="00000042" w14:textId="77777777" w:rsidR="00B55ED8" w:rsidRDefault="00B55ED8">
      <w:pPr>
        <w:pBdr>
          <w:top w:val="nil"/>
          <w:left w:val="nil"/>
          <w:bottom w:val="nil"/>
          <w:right w:val="nil"/>
          <w:between w:val="nil"/>
        </w:pBdr>
        <w:spacing w:after="0" w:line="240" w:lineRule="auto"/>
        <w:ind w:left="720" w:hanging="720"/>
        <w:rPr>
          <w:b/>
          <w:color w:val="000000"/>
        </w:rPr>
      </w:pPr>
    </w:p>
    <w:p w14:paraId="00000043" w14:textId="77777777" w:rsidR="00B55ED8" w:rsidRDefault="00000000">
      <w:pPr>
        <w:pBdr>
          <w:top w:val="nil"/>
          <w:left w:val="nil"/>
          <w:bottom w:val="nil"/>
          <w:right w:val="nil"/>
          <w:between w:val="nil"/>
        </w:pBdr>
        <w:spacing w:after="0" w:line="240" w:lineRule="auto"/>
        <w:ind w:left="720" w:hanging="720"/>
        <w:rPr>
          <w:b/>
          <w:color w:val="000000"/>
        </w:rPr>
      </w:pPr>
      <w:r>
        <w:rPr>
          <w:b/>
          <w:color w:val="000000"/>
        </w:rPr>
        <w:t>Student Well-Being:</w:t>
      </w:r>
    </w:p>
    <w:p w14:paraId="00000044" w14:textId="77777777" w:rsidR="00B55ED8" w:rsidRDefault="00000000">
      <w:pPr>
        <w:pBdr>
          <w:top w:val="nil"/>
          <w:left w:val="nil"/>
          <w:bottom w:val="nil"/>
          <w:right w:val="nil"/>
          <w:between w:val="nil"/>
        </w:pBdr>
        <w:spacing w:after="0" w:line="240" w:lineRule="auto"/>
        <w:ind w:left="720"/>
        <w:rPr>
          <w:color w:val="000000"/>
        </w:rPr>
      </w:pPr>
      <w:r>
        <w:rPr>
          <w:color w:val="000000"/>
        </w:rPr>
        <w:t xml:space="preserve">SPH faculty and staff believe it is important to support the physical and emotional well-being of our students. If you have a physical or mental health issue that is affecting your performance or participation in any course, and/or if you need help connecting with University services, please contact the instructor or the SPH Office for Student Engagement and Practice. Please visit </w:t>
      </w:r>
      <w:hyperlink r:id="rId14">
        <w:r w:rsidR="00B55ED8">
          <w:rPr>
            <w:color w:val="0000FF"/>
            <w:u w:val="single"/>
          </w:rPr>
          <w:t>https://sph.umich.edu/student-life/wellness.html</w:t>
        </w:r>
      </w:hyperlink>
      <w:r>
        <w:rPr>
          <w:color w:val="000000"/>
        </w:rPr>
        <w:t xml:space="preserve"> for information on wellness resources available to you.</w:t>
      </w:r>
    </w:p>
    <w:p w14:paraId="00000045" w14:textId="77777777" w:rsidR="00B55ED8" w:rsidRDefault="00B55ED8">
      <w:pPr>
        <w:pBdr>
          <w:top w:val="nil"/>
          <w:left w:val="nil"/>
          <w:bottom w:val="nil"/>
          <w:right w:val="nil"/>
          <w:between w:val="nil"/>
        </w:pBdr>
        <w:spacing w:after="0" w:line="240" w:lineRule="auto"/>
        <w:ind w:left="720" w:hanging="720"/>
        <w:rPr>
          <w:color w:val="000000"/>
        </w:rPr>
      </w:pPr>
    </w:p>
    <w:p w14:paraId="00000046" w14:textId="77777777" w:rsidR="00B55ED8" w:rsidRDefault="00000000">
      <w:pPr>
        <w:pBdr>
          <w:top w:val="nil"/>
          <w:left w:val="nil"/>
          <w:bottom w:val="nil"/>
          <w:right w:val="nil"/>
          <w:between w:val="nil"/>
        </w:pBdr>
        <w:spacing w:after="0" w:line="240" w:lineRule="auto"/>
        <w:ind w:left="720" w:hanging="720"/>
        <w:rPr>
          <w:b/>
          <w:color w:val="000000"/>
        </w:rPr>
      </w:pPr>
      <w:r>
        <w:rPr>
          <w:b/>
          <w:color w:val="000000"/>
        </w:rPr>
        <w:t>Student Accommodations:</w:t>
      </w:r>
    </w:p>
    <w:p w14:paraId="00000047" w14:textId="77777777" w:rsidR="00B55ED8" w:rsidRDefault="00000000">
      <w:pPr>
        <w:pBdr>
          <w:top w:val="nil"/>
          <w:left w:val="nil"/>
          <w:bottom w:val="nil"/>
          <w:right w:val="nil"/>
          <w:between w:val="nil"/>
        </w:pBdr>
        <w:spacing w:after="0" w:line="240" w:lineRule="auto"/>
        <w:ind w:left="720"/>
        <w:rPr>
          <w:color w:val="000000"/>
          <w:highlight w:val="white"/>
        </w:rPr>
      </w:pPr>
      <w:r>
        <w:rPr>
          <w:color w:val="000000"/>
        </w:rPr>
        <w:t xml:space="preserve">Students should speak with their instructors before or during the first week of classes regarding any special needs. Students can also visit the SPH Office for Student Engagement and Practice for assistance in coordinating communications around accommodations. </w:t>
      </w:r>
      <w:r>
        <w:rPr>
          <w:color w:val="000000"/>
          <w:highlight w:val="white"/>
        </w:rPr>
        <w:t xml:space="preserve">Students seeking academic accommodations should register with Services for Students with Disabilities (SSD). SSD arranges reasonable and appropriate academic accommodations for students with disabilities. Please visit </w:t>
      </w:r>
      <w:hyperlink r:id="rId15">
        <w:r w:rsidR="00B55ED8">
          <w:rPr>
            <w:color w:val="0000FF"/>
            <w:highlight w:val="white"/>
            <w:u w:val="single"/>
          </w:rPr>
          <w:t>https://ssd.umich.edu/topic/our-services</w:t>
        </w:r>
      </w:hyperlink>
      <w:r>
        <w:rPr>
          <w:color w:val="000000"/>
          <w:highlight w:val="white"/>
        </w:rPr>
        <w:t xml:space="preserve"> for more information on student accommodations.</w:t>
      </w:r>
    </w:p>
    <w:p w14:paraId="00000048" w14:textId="77777777" w:rsidR="00B55ED8" w:rsidRDefault="00B55ED8">
      <w:pPr>
        <w:pBdr>
          <w:top w:val="nil"/>
          <w:left w:val="nil"/>
          <w:bottom w:val="nil"/>
          <w:right w:val="nil"/>
          <w:between w:val="nil"/>
        </w:pBdr>
        <w:spacing w:after="0" w:line="240" w:lineRule="auto"/>
        <w:ind w:left="720"/>
        <w:rPr>
          <w:color w:val="000000"/>
          <w:highlight w:val="white"/>
        </w:rPr>
      </w:pPr>
    </w:p>
    <w:p w14:paraId="00000049" w14:textId="77777777" w:rsidR="00B55ED8" w:rsidRDefault="00000000">
      <w:pPr>
        <w:pBdr>
          <w:top w:val="nil"/>
          <w:left w:val="nil"/>
          <w:bottom w:val="nil"/>
          <w:right w:val="nil"/>
          <w:between w:val="nil"/>
        </w:pBdr>
        <w:spacing w:after="0" w:line="240" w:lineRule="auto"/>
        <w:ind w:left="720"/>
        <w:rPr>
          <w:b/>
          <w:color w:val="000000"/>
        </w:rPr>
      </w:pPr>
      <w:r>
        <w:rPr>
          <w:color w:val="000000"/>
          <w:highlight w:val="white"/>
        </w:rPr>
        <w:t xml:space="preserve">Students who expect to miss classes, examinations, or other assignments as a consequence of their religious observance shall be provided with a reasonable alternative opportunity to complete such academic responsibilities. It is the obligation of students to provide faculty with reasonable notice of the dates of religious holidays on which they will be absent. Please visit </w:t>
      </w:r>
      <w:hyperlink r:id="rId16">
        <w:r w:rsidR="00B55ED8">
          <w:rPr>
            <w:color w:val="0000FF"/>
            <w:highlight w:val="white"/>
            <w:u w:val="single"/>
          </w:rPr>
          <w:t>http://www.provost.umich.edu/calendar/</w:t>
        </w:r>
      </w:hyperlink>
      <w:r>
        <w:rPr>
          <w:color w:val="000000"/>
          <w:highlight w:val="white"/>
        </w:rPr>
        <w:t xml:space="preserve"> for the complete University policy.</w:t>
      </w:r>
    </w:p>
    <w:p w14:paraId="0000004A" w14:textId="77777777" w:rsidR="00B55ED8" w:rsidRDefault="00B55ED8">
      <w:pPr>
        <w:pBdr>
          <w:top w:val="nil"/>
          <w:left w:val="nil"/>
          <w:bottom w:val="nil"/>
          <w:right w:val="nil"/>
          <w:between w:val="nil"/>
        </w:pBdr>
        <w:spacing w:after="0" w:line="240" w:lineRule="auto"/>
        <w:ind w:left="720" w:hanging="720"/>
        <w:rPr>
          <w:b/>
          <w:color w:val="000000"/>
        </w:rPr>
      </w:pPr>
    </w:p>
    <w:p w14:paraId="0000004B" w14:textId="77777777" w:rsidR="00B55ED8" w:rsidRDefault="00000000">
      <w:pPr>
        <w:pBdr>
          <w:top w:val="nil"/>
          <w:left w:val="nil"/>
          <w:bottom w:val="nil"/>
          <w:right w:val="nil"/>
          <w:between w:val="nil"/>
        </w:pBdr>
        <w:spacing w:after="0" w:line="240" w:lineRule="auto"/>
        <w:ind w:left="720" w:hanging="720"/>
        <w:rPr>
          <w:b/>
          <w:color w:val="000000"/>
        </w:rPr>
      </w:pPr>
      <w:r>
        <w:rPr>
          <w:b/>
          <w:color w:val="000000"/>
        </w:rPr>
        <w:t>Course Topics/Reading List:</w:t>
      </w:r>
    </w:p>
    <w:p w14:paraId="5259D7B1" w14:textId="77777777" w:rsidR="0042131C" w:rsidRDefault="0042131C" w:rsidP="00671E34">
      <w:pPr>
        <w:pBdr>
          <w:top w:val="nil"/>
          <w:left w:val="nil"/>
          <w:bottom w:val="nil"/>
          <w:right w:val="nil"/>
          <w:between w:val="nil"/>
        </w:pBdr>
        <w:spacing w:after="0" w:line="240" w:lineRule="auto"/>
        <w:rPr>
          <w:color w:val="000000"/>
        </w:rPr>
      </w:pPr>
    </w:p>
    <w:tbl>
      <w:tblPr>
        <w:tblStyle w:val="TableGrid"/>
        <w:tblW w:w="0" w:type="auto"/>
        <w:tblInd w:w="-5" w:type="dxa"/>
        <w:tblLook w:val="04A0" w:firstRow="1" w:lastRow="0" w:firstColumn="1" w:lastColumn="0" w:noHBand="0" w:noVBand="1"/>
      </w:tblPr>
      <w:tblGrid>
        <w:gridCol w:w="1985"/>
        <w:gridCol w:w="7370"/>
      </w:tblGrid>
      <w:tr w:rsidR="008C7230" w:rsidRPr="00F927FB" w14:paraId="426F7247" w14:textId="77777777" w:rsidTr="00F927FB">
        <w:tc>
          <w:tcPr>
            <w:tcW w:w="1985" w:type="dxa"/>
          </w:tcPr>
          <w:p w14:paraId="47FC74DD" w14:textId="1819B022" w:rsidR="008C7230" w:rsidRPr="00F927FB" w:rsidRDefault="008C7230">
            <w:pPr>
              <w:rPr>
                <w:color w:val="000000"/>
                <w:sz w:val="20"/>
                <w:szCs w:val="20"/>
              </w:rPr>
            </w:pPr>
            <w:r w:rsidRPr="00F927FB">
              <w:rPr>
                <w:color w:val="000000"/>
                <w:sz w:val="20"/>
                <w:szCs w:val="20"/>
              </w:rPr>
              <w:t>Topic</w:t>
            </w:r>
          </w:p>
        </w:tc>
        <w:tc>
          <w:tcPr>
            <w:tcW w:w="7370" w:type="dxa"/>
          </w:tcPr>
          <w:p w14:paraId="3B1C2976" w14:textId="38063B1D" w:rsidR="008C7230" w:rsidRPr="00F927FB" w:rsidRDefault="008C7230">
            <w:pPr>
              <w:rPr>
                <w:color w:val="000000"/>
                <w:sz w:val="20"/>
                <w:szCs w:val="20"/>
              </w:rPr>
            </w:pPr>
            <w:r w:rsidRPr="00F927FB">
              <w:rPr>
                <w:color w:val="000000"/>
                <w:sz w:val="20"/>
                <w:szCs w:val="20"/>
              </w:rPr>
              <w:t>Readings and assignment due date</w:t>
            </w:r>
          </w:p>
        </w:tc>
      </w:tr>
      <w:tr w:rsidR="008C7230" w:rsidRPr="00F927FB" w14:paraId="44CD19EA" w14:textId="77777777" w:rsidTr="00F927FB">
        <w:tc>
          <w:tcPr>
            <w:tcW w:w="9355" w:type="dxa"/>
            <w:gridSpan w:val="2"/>
            <w:shd w:val="clear" w:color="auto" w:fill="D9D9D9" w:themeFill="background1" w:themeFillShade="D9"/>
          </w:tcPr>
          <w:p w14:paraId="4AF8C5E7" w14:textId="7B6DF5FC" w:rsidR="008C7230" w:rsidRPr="00F927FB" w:rsidRDefault="008C7230" w:rsidP="008E2FA6">
            <w:pPr>
              <w:rPr>
                <w:color w:val="000000"/>
                <w:sz w:val="20"/>
                <w:szCs w:val="20"/>
              </w:rPr>
            </w:pPr>
            <w:r w:rsidRPr="00F927FB">
              <w:rPr>
                <w:color w:val="000000"/>
                <w:sz w:val="20"/>
                <w:szCs w:val="20"/>
              </w:rPr>
              <w:t>Monday</w:t>
            </w:r>
          </w:p>
        </w:tc>
      </w:tr>
      <w:tr w:rsidR="008C7230" w:rsidRPr="00F927FB" w14:paraId="4FE4040D" w14:textId="77777777" w:rsidTr="00F927FB">
        <w:tc>
          <w:tcPr>
            <w:tcW w:w="1985" w:type="dxa"/>
          </w:tcPr>
          <w:p w14:paraId="26A23B96" w14:textId="77777777" w:rsidR="008C7230" w:rsidRPr="00F927FB" w:rsidRDefault="008C7230">
            <w:pPr>
              <w:rPr>
                <w:color w:val="000000"/>
                <w:sz w:val="20"/>
                <w:szCs w:val="20"/>
              </w:rPr>
            </w:pPr>
            <w:r w:rsidRPr="00F927FB">
              <w:rPr>
                <w:color w:val="000000"/>
                <w:sz w:val="20"/>
                <w:szCs w:val="20"/>
              </w:rPr>
              <w:t>Systematic review types</w:t>
            </w:r>
          </w:p>
          <w:p w14:paraId="7AAF1315" w14:textId="77777777" w:rsidR="00671E34" w:rsidRDefault="00671E34">
            <w:pPr>
              <w:rPr>
                <w:color w:val="000000"/>
                <w:sz w:val="20"/>
                <w:szCs w:val="20"/>
              </w:rPr>
            </w:pPr>
          </w:p>
          <w:p w14:paraId="5036FCDE" w14:textId="45020CBA" w:rsidR="008C7230" w:rsidRPr="00F927FB" w:rsidRDefault="008C7230">
            <w:pPr>
              <w:rPr>
                <w:color w:val="000000"/>
                <w:sz w:val="20"/>
                <w:szCs w:val="20"/>
              </w:rPr>
            </w:pPr>
            <w:r w:rsidRPr="00F927FB">
              <w:rPr>
                <w:color w:val="000000"/>
                <w:sz w:val="20"/>
                <w:szCs w:val="20"/>
              </w:rPr>
              <w:t>Systematic review question</w:t>
            </w:r>
          </w:p>
          <w:p w14:paraId="3ECCBDC2" w14:textId="77777777" w:rsidR="00671E34" w:rsidRDefault="00671E34" w:rsidP="0000493E">
            <w:pPr>
              <w:rPr>
                <w:color w:val="000000"/>
                <w:sz w:val="20"/>
                <w:szCs w:val="20"/>
              </w:rPr>
            </w:pPr>
          </w:p>
          <w:p w14:paraId="4F7E803D" w14:textId="5B113936" w:rsidR="008C7230" w:rsidRPr="00F927FB" w:rsidRDefault="008C7230" w:rsidP="0000493E">
            <w:pPr>
              <w:rPr>
                <w:color w:val="000000"/>
                <w:sz w:val="20"/>
                <w:szCs w:val="20"/>
              </w:rPr>
            </w:pPr>
            <w:r w:rsidRPr="00F927FB">
              <w:rPr>
                <w:color w:val="000000"/>
                <w:sz w:val="20"/>
                <w:szCs w:val="20"/>
              </w:rPr>
              <w:t xml:space="preserve">Inclusion and exclusion criteria </w:t>
            </w:r>
          </w:p>
          <w:p w14:paraId="17EB0EC8" w14:textId="77777777" w:rsidR="00671E34" w:rsidRDefault="00671E34">
            <w:pPr>
              <w:rPr>
                <w:color w:val="000000"/>
                <w:sz w:val="20"/>
                <w:szCs w:val="20"/>
              </w:rPr>
            </w:pPr>
          </w:p>
          <w:p w14:paraId="6D228C51" w14:textId="297C12D4" w:rsidR="008C7230" w:rsidRPr="00F927FB" w:rsidRDefault="008C7230">
            <w:pPr>
              <w:rPr>
                <w:color w:val="000000"/>
                <w:sz w:val="20"/>
                <w:szCs w:val="20"/>
              </w:rPr>
            </w:pPr>
            <w:r w:rsidRPr="00F927FB">
              <w:rPr>
                <w:color w:val="000000"/>
                <w:sz w:val="20"/>
                <w:szCs w:val="20"/>
              </w:rPr>
              <w:t>Search strategies for studies</w:t>
            </w:r>
          </w:p>
        </w:tc>
        <w:tc>
          <w:tcPr>
            <w:tcW w:w="7370" w:type="dxa"/>
          </w:tcPr>
          <w:p w14:paraId="36AB86B6" w14:textId="77777777" w:rsidR="00F927FB" w:rsidRPr="00F927FB" w:rsidRDefault="00F927FB" w:rsidP="00F927FB">
            <w:pPr>
              <w:rPr>
                <w:color w:val="000000"/>
                <w:sz w:val="20"/>
                <w:szCs w:val="20"/>
              </w:rPr>
            </w:pPr>
            <w:r w:rsidRPr="00F927FB">
              <w:rPr>
                <w:color w:val="000000"/>
                <w:sz w:val="20"/>
                <w:szCs w:val="20"/>
              </w:rPr>
              <w:t>Munn, Z., Peters, M.D.J., Stern, C. et al. Systematic review or scoping review? Guidance for authors when choosing between a systematic or scoping review approach. BMC Med Res Methodol 18, 143 (2018).</w:t>
            </w:r>
          </w:p>
          <w:p w14:paraId="6BFBD1D9" w14:textId="6D5BBF7E" w:rsidR="008C7230" w:rsidRPr="00F927FB" w:rsidRDefault="00F927FB" w:rsidP="00F927FB">
            <w:pPr>
              <w:rPr>
                <w:color w:val="000000"/>
                <w:sz w:val="20"/>
                <w:szCs w:val="20"/>
              </w:rPr>
            </w:pPr>
            <w:hyperlink r:id="rId17" w:history="1">
              <w:r w:rsidRPr="00F927FB">
                <w:rPr>
                  <w:rStyle w:val="Hyperlink"/>
                  <w:sz w:val="20"/>
                  <w:szCs w:val="20"/>
                </w:rPr>
                <w:t>https://bmcmedresmethodol.biomedcentral.com/articles/10.1186/s12874-018-0611-x</w:t>
              </w:r>
            </w:hyperlink>
            <w:r w:rsidR="008C7230" w:rsidRPr="00F927FB">
              <w:rPr>
                <w:color w:val="000000"/>
                <w:sz w:val="20"/>
                <w:szCs w:val="20"/>
              </w:rPr>
              <w:t xml:space="preserve"> </w:t>
            </w:r>
          </w:p>
          <w:p w14:paraId="5896CBD9" w14:textId="77777777" w:rsidR="008C7230" w:rsidRPr="00F927FB" w:rsidRDefault="008C7230" w:rsidP="008E2FA6">
            <w:pPr>
              <w:rPr>
                <w:color w:val="000000"/>
                <w:sz w:val="20"/>
                <w:szCs w:val="20"/>
              </w:rPr>
            </w:pPr>
          </w:p>
          <w:p w14:paraId="616DE481" w14:textId="67556DA9" w:rsidR="008C7230" w:rsidRPr="00F927FB" w:rsidRDefault="008C7230" w:rsidP="008E2FA6">
            <w:pPr>
              <w:rPr>
                <w:color w:val="000000"/>
                <w:sz w:val="20"/>
                <w:szCs w:val="20"/>
              </w:rPr>
            </w:pPr>
            <w:r w:rsidRPr="00F927FB">
              <w:rPr>
                <w:color w:val="000000"/>
                <w:sz w:val="20"/>
                <w:szCs w:val="20"/>
              </w:rPr>
              <w:t>Thomas J</w:t>
            </w:r>
            <w:r w:rsidR="000F6AEF" w:rsidRPr="00F927FB">
              <w:rPr>
                <w:color w:val="000000"/>
                <w:sz w:val="20"/>
                <w:szCs w:val="20"/>
              </w:rPr>
              <w:t xml:space="preserve"> et al</w:t>
            </w:r>
            <w:r w:rsidRPr="00F927FB">
              <w:rPr>
                <w:color w:val="000000"/>
                <w:sz w:val="20"/>
                <w:szCs w:val="20"/>
              </w:rPr>
              <w:t xml:space="preserve">. </w:t>
            </w:r>
            <w:r w:rsidRPr="00F927FB">
              <w:rPr>
                <w:b/>
                <w:bCs/>
                <w:color w:val="000000"/>
                <w:sz w:val="20"/>
                <w:szCs w:val="20"/>
              </w:rPr>
              <w:t>Chapter 2: Determining the scope of the review and the questions it will address</w:t>
            </w:r>
            <w:r w:rsidRPr="00F927FB">
              <w:rPr>
                <w:color w:val="000000"/>
                <w:sz w:val="20"/>
                <w:szCs w:val="20"/>
              </w:rPr>
              <w:t>. In: Higgins JPT, Thomas J, Chandler J, Cumpston M, Li T, Page MJ, Welch VA (editors). </w:t>
            </w:r>
            <w:r w:rsidRPr="00F927FB">
              <w:rPr>
                <w:i/>
                <w:iCs/>
                <w:color w:val="000000"/>
                <w:sz w:val="20"/>
                <w:szCs w:val="20"/>
              </w:rPr>
              <w:t>Cochrane Handbook for Systematic Reviews of Interventions </w:t>
            </w:r>
            <w:r w:rsidRPr="00F927FB">
              <w:rPr>
                <w:color w:val="000000"/>
                <w:sz w:val="20"/>
                <w:szCs w:val="20"/>
              </w:rPr>
              <w:t>version 6.5. Cochrane, 2024.</w:t>
            </w:r>
            <w:r w:rsidR="000F6AEF" w:rsidRPr="00F927FB">
              <w:rPr>
                <w:color w:val="000000"/>
                <w:sz w:val="20"/>
                <w:szCs w:val="20"/>
              </w:rPr>
              <w:t xml:space="preserve"> </w:t>
            </w:r>
          </w:p>
        </w:tc>
      </w:tr>
      <w:tr w:rsidR="008C7230" w:rsidRPr="00F927FB" w14:paraId="6B6C4836" w14:textId="77777777" w:rsidTr="00F927FB">
        <w:tc>
          <w:tcPr>
            <w:tcW w:w="9355" w:type="dxa"/>
            <w:gridSpan w:val="2"/>
            <w:shd w:val="clear" w:color="auto" w:fill="D9D9D9" w:themeFill="background1" w:themeFillShade="D9"/>
          </w:tcPr>
          <w:p w14:paraId="2FD076DA" w14:textId="78C6FEDA" w:rsidR="008C7230" w:rsidRPr="00F927FB" w:rsidRDefault="008C7230">
            <w:pPr>
              <w:rPr>
                <w:color w:val="000000"/>
                <w:sz w:val="20"/>
                <w:szCs w:val="20"/>
              </w:rPr>
            </w:pPr>
            <w:r w:rsidRPr="00F927FB">
              <w:rPr>
                <w:color w:val="000000"/>
                <w:sz w:val="20"/>
                <w:szCs w:val="20"/>
              </w:rPr>
              <w:t>Tuesday</w:t>
            </w:r>
          </w:p>
        </w:tc>
      </w:tr>
      <w:tr w:rsidR="008C7230" w:rsidRPr="00F927FB" w14:paraId="1E62F42A" w14:textId="77777777" w:rsidTr="00F927FB">
        <w:tc>
          <w:tcPr>
            <w:tcW w:w="1985" w:type="dxa"/>
          </w:tcPr>
          <w:p w14:paraId="14FB2CC8" w14:textId="77777777" w:rsidR="008C7230" w:rsidRPr="00F927FB" w:rsidRDefault="008C7230" w:rsidP="0000493E">
            <w:pPr>
              <w:rPr>
                <w:color w:val="000000"/>
                <w:sz w:val="20"/>
                <w:szCs w:val="20"/>
              </w:rPr>
            </w:pPr>
            <w:r w:rsidRPr="00F927FB">
              <w:rPr>
                <w:color w:val="000000"/>
                <w:sz w:val="20"/>
                <w:szCs w:val="20"/>
              </w:rPr>
              <w:lastRenderedPageBreak/>
              <w:t xml:space="preserve">Selection of studies </w:t>
            </w:r>
          </w:p>
          <w:p w14:paraId="154E5DE0" w14:textId="77777777" w:rsidR="00671E34" w:rsidRDefault="00671E34">
            <w:pPr>
              <w:rPr>
                <w:color w:val="000000"/>
                <w:sz w:val="20"/>
                <w:szCs w:val="20"/>
              </w:rPr>
            </w:pPr>
          </w:p>
          <w:p w14:paraId="2F19023C" w14:textId="2FA2D83D" w:rsidR="008C7230" w:rsidRPr="00F927FB" w:rsidRDefault="008C7230">
            <w:pPr>
              <w:rPr>
                <w:color w:val="000000"/>
                <w:sz w:val="20"/>
                <w:szCs w:val="20"/>
              </w:rPr>
            </w:pPr>
            <w:r w:rsidRPr="00F927FB">
              <w:rPr>
                <w:color w:val="000000"/>
                <w:sz w:val="20"/>
                <w:szCs w:val="20"/>
              </w:rPr>
              <w:t>Data extraction</w:t>
            </w:r>
          </w:p>
        </w:tc>
        <w:tc>
          <w:tcPr>
            <w:tcW w:w="7370" w:type="dxa"/>
          </w:tcPr>
          <w:p w14:paraId="3025AB04" w14:textId="6153CFBD" w:rsidR="008C7230" w:rsidRPr="00F927FB" w:rsidRDefault="000F6AEF">
            <w:pPr>
              <w:rPr>
                <w:color w:val="000000"/>
                <w:sz w:val="20"/>
                <w:szCs w:val="20"/>
              </w:rPr>
            </w:pPr>
            <w:r w:rsidRPr="00F927FB">
              <w:rPr>
                <w:color w:val="000000"/>
                <w:sz w:val="20"/>
                <w:szCs w:val="20"/>
              </w:rPr>
              <w:t>Levebre C et al. Chapter 4: Searching for and selecting studies (</w:t>
            </w:r>
            <w:r w:rsidRPr="00F927FB">
              <w:rPr>
                <w:b/>
                <w:bCs/>
                <w:color w:val="000000"/>
                <w:sz w:val="20"/>
                <w:szCs w:val="20"/>
              </w:rPr>
              <w:t>Section 4.6 only</w:t>
            </w:r>
            <w:r w:rsidRPr="00F927FB">
              <w:rPr>
                <w:color w:val="000000"/>
                <w:sz w:val="20"/>
                <w:szCs w:val="20"/>
              </w:rPr>
              <w:t>). In: Higgins JPT, Thomas J, Chandler J, Cumpston M, Li T, Page MJ, Welch VA (editors). </w:t>
            </w:r>
            <w:r w:rsidRPr="00F927FB">
              <w:rPr>
                <w:i/>
                <w:iCs/>
                <w:color w:val="000000"/>
                <w:sz w:val="20"/>
                <w:szCs w:val="20"/>
              </w:rPr>
              <w:t>Cochrane Handbook for Systematic Reviews of Interventions </w:t>
            </w:r>
            <w:r w:rsidRPr="00F927FB">
              <w:rPr>
                <w:color w:val="000000"/>
                <w:sz w:val="20"/>
                <w:szCs w:val="20"/>
              </w:rPr>
              <w:t>version 6.5. Cochrane, 2024.</w:t>
            </w:r>
          </w:p>
          <w:p w14:paraId="29DA35B6" w14:textId="77777777" w:rsidR="000F6AEF" w:rsidRPr="00F927FB" w:rsidRDefault="000F6AEF">
            <w:pPr>
              <w:rPr>
                <w:color w:val="000000"/>
                <w:sz w:val="20"/>
                <w:szCs w:val="20"/>
              </w:rPr>
            </w:pPr>
            <w:hyperlink r:id="rId18" w:history="1">
              <w:r w:rsidRPr="00F927FB">
                <w:rPr>
                  <w:rStyle w:val="Hyperlink"/>
                  <w:sz w:val="20"/>
                  <w:szCs w:val="20"/>
                </w:rPr>
                <w:t>https://www.cochrane.org/authors/handbooks-and-manuals/handbook/current/chapter-04</w:t>
              </w:r>
            </w:hyperlink>
            <w:r w:rsidRPr="00F927FB">
              <w:rPr>
                <w:color w:val="000000"/>
                <w:sz w:val="20"/>
                <w:szCs w:val="20"/>
              </w:rPr>
              <w:t xml:space="preserve"> </w:t>
            </w:r>
          </w:p>
          <w:p w14:paraId="6B32C6F0" w14:textId="77777777" w:rsidR="000F6AEF" w:rsidRPr="00F927FB" w:rsidRDefault="000F6AEF">
            <w:pPr>
              <w:rPr>
                <w:color w:val="000000"/>
                <w:sz w:val="20"/>
                <w:szCs w:val="20"/>
              </w:rPr>
            </w:pPr>
          </w:p>
          <w:p w14:paraId="6D778CD7" w14:textId="5F87EACE" w:rsidR="000F6AEF" w:rsidRPr="00F927FB" w:rsidRDefault="000F6AEF" w:rsidP="000F6AEF">
            <w:pPr>
              <w:rPr>
                <w:color w:val="000000"/>
                <w:sz w:val="20"/>
                <w:szCs w:val="20"/>
              </w:rPr>
            </w:pPr>
            <w:r w:rsidRPr="00F927FB">
              <w:rPr>
                <w:color w:val="000000"/>
                <w:sz w:val="20"/>
                <w:szCs w:val="20"/>
              </w:rPr>
              <w:t>Due: Assignment 1: Systematic review question (with inclusion and exclusion criteria)</w:t>
            </w:r>
          </w:p>
        </w:tc>
      </w:tr>
      <w:tr w:rsidR="008C7230" w:rsidRPr="00F927FB" w14:paraId="4B405192" w14:textId="77777777" w:rsidTr="00F927FB">
        <w:tc>
          <w:tcPr>
            <w:tcW w:w="9355" w:type="dxa"/>
            <w:gridSpan w:val="2"/>
            <w:shd w:val="clear" w:color="auto" w:fill="D9D9D9" w:themeFill="background1" w:themeFillShade="D9"/>
          </w:tcPr>
          <w:p w14:paraId="5959207D" w14:textId="3AF33982" w:rsidR="008C7230" w:rsidRPr="00F927FB" w:rsidRDefault="008C7230">
            <w:pPr>
              <w:rPr>
                <w:color w:val="000000"/>
                <w:sz w:val="20"/>
                <w:szCs w:val="20"/>
              </w:rPr>
            </w:pPr>
            <w:r w:rsidRPr="00F927FB">
              <w:rPr>
                <w:color w:val="000000"/>
                <w:sz w:val="20"/>
                <w:szCs w:val="20"/>
              </w:rPr>
              <w:t>Wednesday</w:t>
            </w:r>
          </w:p>
        </w:tc>
      </w:tr>
      <w:tr w:rsidR="008C7230" w:rsidRPr="00F927FB" w14:paraId="4A3AC2E5" w14:textId="77777777" w:rsidTr="00F927FB">
        <w:tc>
          <w:tcPr>
            <w:tcW w:w="1985" w:type="dxa"/>
          </w:tcPr>
          <w:p w14:paraId="3D8F5ECF" w14:textId="705E34E0" w:rsidR="008C7230" w:rsidRPr="00F927FB" w:rsidRDefault="008C7230">
            <w:pPr>
              <w:rPr>
                <w:color w:val="000000"/>
                <w:sz w:val="20"/>
                <w:szCs w:val="20"/>
              </w:rPr>
            </w:pPr>
            <w:r w:rsidRPr="00F927FB">
              <w:rPr>
                <w:color w:val="000000"/>
                <w:sz w:val="20"/>
                <w:szCs w:val="20"/>
              </w:rPr>
              <w:t>Risk of bias of studies</w:t>
            </w:r>
          </w:p>
        </w:tc>
        <w:tc>
          <w:tcPr>
            <w:tcW w:w="7370" w:type="dxa"/>
          </w:tcPr>
          <w:p w14:paraId="1B217C02" w14:textId="77777777" w:rsidR="008C7230" w:rsidRPr="00F927FB" w:rsidRDefault="000F6AEF" w:rsidP="000F6AEF">
            <w:pPr>
              <w:rPr>
                <w:color w:val="000000"/>
                <w:sz w:val="20"/>
                <w:szCs w:val="20"/>
              </w:rPr>
            </w:pPr>
            <w:r w:rsidRPr="00F927FB">
              <w:rPr>
                <w:color w:val="000000"/>
                <w:sz w:val="20"/>
                <w:szCs w:val="20"/>
              </w:rPr>
              <w:t xml:space="preserve">Risk of Bias 2.0 tool: </w:t>
            </w:r>
            <w:hyperlink r:id="rId19" w:history="1">
              <w:r w:rsidRPr="00F927FB">
                <w:rPr>
                  <w:rStyle w:val="Hyperlink"/>
                  <w:sz w:val="20"/>
                  <w:szCs w:val="20"/>
                </w:rPr>
                <w:t>https://www.riskofbias.info/welcome/rob-2-0-tool</w:t>
              </w:r>
            </w:hyperlink>
            <w:r w:rsidRPr="00F927FB">
              <w:rPr>
                <w:color w:val="000000"/>
                <w:sz w:val="20"/>
                <w:szCs w:val="20"/>
              </w:rPr>
              <w:t xml:space="preserve">  See the Cribsheet and guidance</w:t>
            </w:r>
          </w:p>
          <w:p w14:paraId="6B2D4450" w14:textId="77777777" w:rsidR="000F6AEF" w:rsidRPr="00F927FB" w:rsidRDefault="000F6AEF" w:rsidP="000F6AEF">
            <w:pPr>
              <w:rPr>
                <w:color w:val="000000"/>
                <w:sz w:val="20"/>
                <w:szCs w:val="20"/>
              </w:rPr>
            </w:pPr>
          </w:p>
          <w:p w14:paraId="4290713D" w14:textId="77777777" w:rsidR="000F6AEF" w:rsidRPr="00F927FB" w:rsidRDefault="000F6AEF" w:rsidP="000F6AEF">
            <w:pPr>
              <w:rPr>
                <w:color w:val="000000"/>
                <w:sz w:val="20"/>
                <w:szCs w:val="20"/>
              </w:rPr>
            </w:pPr>
            <w:r w:rsidRPr="00F927FB">
              <w:rPr>
                <w:color w:val="000000"/>
                <w:sz w:val="20"/>
                <w:szCs w:val="20"/>
              </w:rPr>
              <w:t>The ROBINS-I 2024 editable tool.</w:t>
            </w:r>
          </w:p>
          <w:p w14:paraId="4034F228" w14:textId="798E916B" w:rsidR="000F6AEF" w:rsidRPr="00F927FB" w:rsidRDefault="000F6AEF" w:rsidP="000F6AEF">
            <w:pPr>
              <w:rPr>
                <w:color w:val="000000"/>
                <w:sz w:val="20"/>
                <w:szCs w:val="20"/>
              </w:rPr>
            </w:pPr>
            <w:hyperlink r:id="rId20" w:history="1">
              <w:r w:rsidRPr="00F927FB">
                <w:rPr>
                  <w:rStyle w:val="Hyperlink"/>
                  <w:sz w:val="20"/>
                  <w:szCs w:val="20"/>
                </w:rPr>
                <w:t>https://docs.google.com/document/d/1u9CiAQZ8OBFW29RLVdMsQnzy6qSsCZUG/ed</w:t>
              </w:r>
            </w:hyperlink>
            <w:r w:rsidRPr="00F927FB">
              <w:rPr>
                <w:color w:val="000000"/>
                <w:sz w:val="20"/>
                <w:szCs w:val="20"/>
              </w:rPr>
              <w:t xml:space="preserve"> </w:t>
            </w:r>
          </w:p>
        </w:tc>
      </w:tr>
      <w:tr w:rsidR="008C7230" w:rsidRPr="00F927FB" w14:paraId="60EFACD2" w14:textId="77777777" w:rsidTr="00F927FB">
        <w:tc>
          <w:tcPr>
            <w:tcW w:w="9355" w:type="dxa"/>
            <w:gridSpan w:val="2"/>
            <w:shd w:val="clear" w:color="auto" w:fill="D9D9D9" w:themeFill="background1" w:themeFillShade="D9"/>
          </w:tcPr>
          <w:p w14:paraId="2CD776A7" w14:textId="4C0A4531" w:rsidR="008C7230" w:rsidRPr="00F927FB" w:rsidRDefault="008C7230">
            <w:pPr>
              <w:rPr>
                <w:color w:val="000000"/>
                <w:sz w:val="20"/>
                <w:szCs w:val="20"/>
              </w:rPr>
            </w:pPr>
            <w:r w:rsidRPr="00F927FB">
              <w:rPr>
                <w:color w:val="000000"/>
                <w:sz w:val="20"/>
                <w:szCs w:val="20"/>
              </w:rPr>
              <w:t>Thursday</w:t>
            </w:r>
          </w:p>
        </w:tc>
      </w:tr>
      <w:tr w:rsidR="008C7230" w:rsidRPr="00F927FB" w14:paraId="70471AD6" w14:textId="77777777" w:rsidTr="00F927FB">
        <w:tc>
          <w:tcPr>
            <w:tcW w:w="1985" w:type="dxa"/>
          </w:tcPr>
          <w:p w14:paraId="634531B2" w14:textId="4DC77AE9" w:rsidR="008C7230" w:rsidRPr="00F927FB" w:rsidRDefault="008C7230">
            <w:pPr>
              <w:rPr>
                <w:color w:val="000000"/>
                <w:sz w:val="20"/>
                <w:szCs w:val="20"/>
              </w:rPr>
            </w:pPr>
            <w:r w:rsidRPr="00F927FB">
              <w:rPr>
                <w:color w:val="000000"/>
                <w:sz w:val="20"/>
                <w:szCs w:val="20"/>
              </w:rPr>
              <w:t>Synthesis of studies (meta-analysis and exploration)</w:t>
            </w:r>
          </w:p>
        </w:tc>
        <w:tc>
          <w:tcPr>
            <w:tcW w:w="7370" w:type="dxa"/>
          </w:tcPr>
          <w:p w14:paraId="2AE1375A" w14:textId="03FCB305" w:rsidR="00335431" w:rsidRPr="00F927FB" w:rsidRDefault="00335431" w:rsidP="00335431">
            <w:pPr>
              <w:rPr>
                <w:color w:val="000000"/>
                <w:sz w:val="20"/>
                <w:szCs w:val="20"/>
                <w:lang w:val="en-GB"/>
              </w:rPr>
            </w:pPr>
            <w:r w:rsidRPr="00F927FB">
              <w:rPr>
                <w:color w:val="000000"/>
                <w:sz w:val="20"/>
                <w:szCs w:val="20"/>
              </w:rPr>
              <w:t xml:space="preserve">Deeks et al. Chapter 10: Analysing data and undertaking meta-analysis </w:t>
            </w:r>
            <w:r w:rsidRPr="00F927FB">
              <w:rPr>
                <w:b/>
                <w:bCs/>
                <w:color w:val="000000"/>
                <w:sz w:val="20"/>
                <w:szCs w:val="20"/>
              </w:rPr>
              <w:t xml:space="preserve">(10.1 to 10.5, and 10.10 to </w:t>
            </w:r>
            <w:r w:rsidRPr="00F927FB">
              <w:rPr>
                <w:b/>
                <w:bCs/>
                <w:color w:val="000000"/>
                <w:sz w:val="20"/>
                <w:szCs w:val="20"/>
                <w:lang w:val="en-GB"/>
              </w:rPr>
              <w:t xml:space="preserve">10.11.3.1 only). </w:t>
            </w:r>
            <w:r w:rsidRPr="00F927FB">
              <w:rPr>
                <w:color w:val="000000"/>
                <w:sz w:val="20"/>
                <w:szCs w:val="20"/>
              </w:rPr>
              <w:t>In: Higgins JPT, Thomas J, Chandler J, Cumpston M, Li T, Page MJ, Welch VA (editors). </w:t>
            </w:r>
            <w:r w:rsidRPr="00F927FB">
              <w:rPr>
                <w:i/>
                <w:iCs/>
                <w:color w:val="000000"/>
                <w:sz w:val="20"/>
                <w:szCs w:val="20"/>
              </w:rPr>
              <w:t>Cochrane Handbook for Systematic Reviews of Interventions </w:t>
            </w:r>
            <w:r w:rsidRPr="00F927FB">
              <w:rPr>
                <w:color w:val="000000"/>
                <w:sz w:val="20"/>
                <w:szCs w:val="20"/>
              </w:rPr>
              <w:t>version 6.5. Cochrane, 2024.</w:t>
            </w:r>
          </w:p>
          <w:p w14:paraId="709070DF" w14:textId="600A29CB" w:rsidR="008C7230" w:rsidRPr="00F927FB" w:rsidRDefault="00335431" w:rsidP="00335431">
            <w:pPr>
              <w:rPr>
                <w:color w:val="000000"/>
                <w:sz w:val="20"/>
                <w:szCs w:val="20"/>
              </w:rPr>
            </w:pPr>
            <w:hyperlink r:id="rId21" w:anchor="section-10-2" w:history="1">
              <w:r w:rsidRPr="00F927FB">
                <w:rPr>
                  <w:rStyle w:val="Hyperlink"/>
                  <w:sz w:val="20"/>
                  <w:szCs w:val="20"/>
                </w:rPr>
                <w:t>https://www.cochrane.org/authors/handbooks-and-manuals/handbook/current/chapter-10#section-10-2</w:t>
              </w:r>
            </w:hyperlink>
            <w:r w:rsidRPr="00F927FB">
              <w:rPr>
                <w:color w:val="000000"/>
                <w:sz w:val="20"/>
                <w:szCs w:val="20"/>
              </w:rPr>
              <w:t xml:space="preserve"> </w:t>
            </w:r>
          </w:p>
        </w:tc>
      </w:tr>
      <w:tr w:rsidR="008C7230" w:rsidRPr="00F927FB" w14:paraId="59988F92" w14:textId="77777777" w:rsidTr="00F927FB">
        <w:tc>
          <w:tcPr>
            <w:tcW w:w="9355" w:type="dxa"/>
            <w:gridSpan w:val="2"/>
            <w:shd w:val="clear" w:color="auto" w:fill="D9D9D9" w:themeFill="background1" w:themeFillShade="D9"/>
          </w:tcPr>
          <w:p w14:paraId="058EFD50" w14:textId="4E834C93" w:rsidR="008C7230" w:rsidRPr="00F927FB" w:rsidRDefault="008C7230">
            <w:pPr>
              <w:rPr>
                <w:color w:val="000000"/>
                <w:sz w:val="20"/>
                <w:szCs w:val="20"/>
              </w:rPr>
            </w:pPr>
            <w:r w:rsidRPr="00F927FB">
              <w:rPr>
                <w:color w:val="000000"/>
                <w:sz w:val="20"/>
                <w:szCs w:val="20"/>
              </w:rPr>
              <w:t>Friday</w:t>
            </w:r>
          </w:p>
        </w:tc>
      </w:tr>
      <w:tr w:rsidR="008C7230" w:rsidRPr="00F927FB" w14:paraId="5DD9BC84" w14:textId="77777777" w:rsidTr="00F927FB">
        <w:tc>
          <w:tcPr>
            <w:tcW w:w="1985" w:type="dxa"/>
          </w:tcPr>
          <w:p w14:paraId="42E7B4F4" w14:textId="60931C60" w:rsidR="008C7230" w:rsidRPr="00F927FB" w:rsidRDefault="008C7230">
            <w:pPr>
              <w:rPr>
                <w:color w:val="000000"/>
                <w:sz w:val="20"/>
                <w:szCs w:val="20"/>
              </w:rPr>
            </w:pPr>
            <w:r w:rsidRPr="00F927FB">
              <w:rPr>
                <w:color w:val="000000"/>
                <w:sz w:val="20"/>
                <w:szCs w:val="20"/>
              </w:rPr>
              <w:t>Synthesis of studies (without meta-analysis)</w:t>
            </w:r>
          </w:p>
          <w:p w14:paraId="52FC0214" w14:textId="77777777" w:rsidR="00671E34" w:rsidRDefault="00671E34">
            <w:pPr>
              <w:rPr>
                <w:color w:val="000000"/>
                <w:sz w:val="20"/>
                <w:szCs w:val="20"/>
              </w:rPr>
            </w:pPr>
          </w:p>
          <w:p w14:paraId="366974AE" w14:textId="7A741950" w:rsidR="008C7230" w:rsidRPr="00F927FB" w:rsidRDefault="008C7230">
            <w:pPr>
              <w:rPr>
                <w:color w:val="000000"/>
                <w:sz w:val="20"/>
                <w:szCs w:val="20"/>
              </w:rPr>
            </w:pPr>
            <w:r w:rsidRPr="00F927FB">
              <w:rPr>
                <w:color w:val="000000"/>
                <w:sz w:val="20"/>
                <w:szCs w:val="20"/>
              </w:rPr>
              <w:t>Intepretation and presentation of findings</w:t>
            </w:r>
          </w:p>
        </w:tc>
        <w:tc>
          <w:tcPr>
            <w:tcW w:w="7370" w:type="dxa"/>
          </w:tcPr>
          <w:p w14:paraId="57ADB346" w14:textId="77777777" w:rsidR="008C7230" w:rsidRPr="00F927FB" w:rsidRDefault="00335431">
            <w:pPr>
              <w:rPr>
                <w:color w:val="000000"/>
                <w:sz w:val="20"/>
                <w:szCs w:val="20"/>
              </w:rPr>
            </w:pPr>
            <w:r w:rsidRPr="00F927FB">
              <w:rPr>
                <w:color w:val="000000"/>
                <w:sz w:val="20"/>
                <w:szCs w:val="20"/>
              </w:rPr>
              <w:t xml:space="preserve">McKenzie JE, Brennan SE. </w:t>
            </w:r>
            <w:r w:rsidRPr="00F927FB">
              <w:rPr>
                <w:b/>
                <w:bCs/>
                <w:color w:val="000000"/>
                <w:sz w:val="20"/>
                <w:szCs w:val="20"/>
              </w:rPr>
              <w:t>Chapter 12:</w:t>
            </w:r>
            <w:r w:rsidRPr="00F927FB">
              <w:rPr>
                <w:color w:val="000000"/>
                <w:sz w:val="20"/>
                <w:szCs w:val="20"/>
              </w:rPr>
              <w:t xml:space="preserve"> Synthesizing and presenting findings using other methods [last updated October 2019]. In: Higgins JPT, Thomas J, Chandler J, Cumpston M, Li T, Page MJ, Welch VA (editors). </w:t>
            </w:r>
            <w:r w:rsidRPr="00F927FB">
              <w:rPr>
                <w:i/>
                <w:iCs/>
                <w:color w:val="000000"/>
                <w:sz w:val="20"/>
                <w:szCs w:val="20"/>
              </w:rPr>
              <w:t>Cochrane Handbook for Systematic Reviews of Interventions</w:t>
            </w:r>
            <w:r w:rsidRPr="00F927FB">
              <w:rPr>
                <w:color w:val="000000"/>
                <w:sz w:val="20"/>
                <w:szCs w:val="20"/>
              </w:rPr>
              <w:t> version 6.5. Cochrane, 2024. </w:t>
            </w:r>
            <w:hyperlink r:id="rId22" w:history="1">
              <w:r w:rsidRPr="00F927FB">
                <w:rPr>
                  <w:rStyle w:val="Hyperlink"/>
                  <w:sz w:val="20"/>
                  <w:szCs w:val="20"/>
                </w:rPr>
                <w:t>https://www.cochrane.org/authors/handbooks-and-manuals/handbook/current/chapter-12</w:t>
              </w:r>
            </w:hyperlink>
            <w:r w:rsidRPr="00F927FB">
              <w:rPr>
                <w:color w:val="000000"/>
                <w:sz w:val="20"/>
                <w:szCs w:val="20"/>
              </w:rPr>
              <w:t xml:space="preserve"> </w:t>
            </w:r>
          </w:p>
          <w:p w14:paraId="0B26CD31" w14:textId="77777777" w:rsidR="00335431" w:rsidRPr="00F927FB" w:rsidRDefault="00335431">
            <w:pPr>
              <w:rPr>
                <w:color w:val="000000"/>
                <w:sz w:val="20"/>
                <w:szCs w:val="20"/>
              </w:rPr>
            </w:pPr>
          </w:p>
          <w:p w14:paraId="045B5BAF" w14:textId="6601DEEA" w:rsidR="00F927FB" w:rsidRPr="00F927FB" w:rsidRDefault="00F927FB">
            <w:pPr>
              <w:rPr>
                <w:color w:val="000000"/>
                <w:sz w:val="20"/>
                <w:szCs w:val="20"/>
              </w:rPr>
            </w:pPr>
            <w:r w:rsidRPr="00F927FB">
              <w:rPr>
                <w:color w:val="000000"/>
                <w:sz w:val="20"/>
                <w:szCs w:val="20"/>
              </w:rPr>
              <w:t>Schunemann et al. Chapter 14: Completing ‘Summary of findings’ tables and grading the certainty of the evidence (</w:t>
            </w:r>
            <w:r w:rsidRPr="00F927FB">
              <w:rPr>
                <w:b/>
                <w:bCs/>
                <w:color w:val="000000"/>
                <w:sz w:val="20"/>
                <w:szCs w:val="20"/>
              </w:rPr>
              <w:t>14.2 to 14.3 only</w:t>
            </w:r>
            <w:r w:rsidRPr="00F927FB">
              <w:rPr>
                <w:color w:val="000000"/>
                <w:sz w:val="20"/>
                <w:szCs w:val="20"/>
              </w:rPr>
              <w:t>). In: Higgins JPT, Thomas J, Chandler J, Cumpston M, Li T, Page MJ, Welch VA (editors). </w:t>
            </w:r>
            <w:r w:rsidRPr="00F927FB">
              <w:rPr>
                <w:i/>
                <w:iCs/>
                <w:color w:val="000000"/>
                <w:sz w:val="20"/>
                <w:szCs w:val="20"/>
              </w:rPr>
              <w:t>Cochrane Handbook for Systematic Reviews of Interventions </w:t>
            </w:r>
            <w:r w:rsidRPr="00F927FB">
              <w:rPr>
                <w:color w:val="000000"/>
                <w:sz w:val="20"/>
                <w:szCs w:val="20"/>
              </w:rPr>
              <w:t>version 6.5. Cochrane, 2024. </w:t>
            </w:r>
          </w:p>
          <w:p w14:paraId="33B71A9B" w14:textId="77777777" w:rsidR="00335431" w:rsidRPr="00F927FB" w:rsidRDefault="00F927FB">
            <w:pPr>
              <w:rPr>
                <w:color w:val="000000"/>
                <w:sz w:val="20"/>
                <w:szCs w:val="20"/>
              </w:rPr>
            </w:pPr>
            <w:hyperlink r:id="rId23" w:history="1">
              <w:r w:rsidRPr="00F927FB">
                <w:rPr>
                  <w:rStyle w:val="Hyperlink"/>
                  <w:sz w:val="20"/>
                  <w:szCs w:val="20"/>
                </w:rPr>
                <w:t>https://www.cochrane.org/authors/handbooks-and-manuals/handbook/current/chapter-14</w:t>
              </w:r>
            </w:hyperlink>
            <w:r w:rsidRPr="00F927FB">
              <w:rPr>
                <w:color w:val="000000"/>
                <w:sz w:val="20"/>
                <w:szCs w:val="20"/>
              </w:rPr>
              <w:t xml:space="preserve"> </w:t>
            </w:r>
          </w:p>
          <w:p w14:paraId="01B66A7F" w14:textId="77777777" w:rsidR="00F927FB" w:rsidRPr="00F927FB" w:rsidRDefault="00F927FB">
            <w:pPr>
              <w:rPr>
                <w:color w:val="000000"/>
                <w:sz w:val="20"/>
                <w:szCs w:val="20"/>
              </w:rPr>
            </w:pPr>
          </w:p>
          <w:p w14:paraId="60E82860" w14:textId="77777777" w:rsidR="00F927FB" w:rsidRPr="00F927FB" w:rsidRDefault="00F927FB" w:rsidP="00F927FB">
            <w:pPr>
              <w:rPr>
                <w:color w:val="000000"/>
                <w:sz w:val="20"/>
                <w:szCs w:val="20"/>
              </w:rPr>
            </w:pPr>
            <w:r w:rsidRPr="00F927FB">
              <w:rPr>
                <w:color w:val="000000"/>
                <w:sz w:val="20"/>
                <w:szCs w:val="20"/>
              </w:rPr>
              <w:t xml:space="preserve">Amrhein V, Greenland S, McShane B. Scientists rise up against statistical significance. Nature. 2019;567(7748):305-307. </w:t>
            </w:r>
            <w:hyperlink r:id="rId24" w:history="1">
              <w:r w:rsidRPr="00F927FB">
                <w:rPr>
                  <w:rStyle w:val="Hyperlink"/>
                  <w:sz w:val="20"/>
                  <w:szCs w:val="20"/>
                </w:rPr>
                <w:t>https://www-nature-com.libaccess.lib.mcmaster.ca/articles/d41586-019-00857-9</w:t>
              </w:r>
            </w:hyperlink>
            <w:r w:rsidRPr="00F927FB">
              <w:rPr>
                <w:color w:val="000000"/>
                <w:sz w:val="20"/>
                <w:szCs w:val="20"/>
              </w:rPr>
              <w:t xml:space="preserve"> </w:t>
            </w:r>
          </w:p>
          <w:p w14:paraId="55D52ED8" w14:textId="77777777" w:rsidR="00F927FB" w:rsidRPr="00F927FB" w:rsidRDefault="00F927FB" w:rsidP="00F927FB">
            <w:pPr>
              <w:rPr>
                <w:color w:val="000000"/>
                <w:sz w:val="20"/>
                <w:szCs w:val="20"/>
              </w:rPr>
            </w:pPr>
          </w:p>
          <w:p w14:paraId="06AE0A9C" w14:textId="61441CC6" w:rsidR="00F927FB" w:rsidRPr="00F927FB" w:rsidRDefault="00F927FB" w:rsidP="00F927FB">
            <w:pPr>
              <w:rPr>
                <w:color w:val="000000"/>
                <w:sz w:val="20"/>
                <w:szCs w:val="20"/>
              </w:rPr>
            </w:pPr>
            <w:r w:rsidRPr="00F927FB">
              <w:rPr>
                <w:color w:val="000000"/>
                <w:sz w:val="20"/>
                <w:szCs w:val="20"/>
              </w:rPr>
              <w:t xml:space="preserve">PRISMA statement for reporting a systematic review </w:t>
            </w:r>
            <w:hyperlink r:id="rId25" w:history="1">
              <w:r w:rsidRPr="00F927FB">
                <w:rPr>
                  <w:rStyle w:val="Hyperlink"/>
                  <w:sz w:val="20"/>
                  <w:szCs w:val="20"/>
                </w:rPr>
                <w:t>https://www.prisma-statement.org/</w:t>
              </w:r>
            </w:hyperlink>
            <w:r w:rsidRPr="00F927FB">
              <w:rPr>
                <w:color w:val="000000"/>
                <w:sz w:val="20"/>
                <w:szCs w:val="20"/>
              </w:rPr>
              <w:t xml:space="preserve"> </w:t>
            </w:r>
          </w:p>
        </w:tc>
      </w:tr>
      <w:tr w:rsidR="006731B3" w:rsidRPr="00F927FB" w14:paraId="313CE404" w14:textId="77777777" w:rsidTr="00F927FB">
        <w:tc>
          <w:tcPr>
            <w:tcW w:w="1985" w:type="dxa"/>
          </w:tcPr>
          <w:p w14:paraId="50B2AD16" w14:textId="4256F78F" w:rsidR="006731B3" w:rsidRPr="00F927FB" w:rsidRDefault="006731B3">
            <w:pPr>
              <w:rPr>
                <w:color w:val="000000"/>
                <w:sz w:val="20"/>
                <w:szCs w:val="20"/>
              </w:rPr>
            </w:pPr>
            <w:r>
              <w:rPr>
                <w:color w:val="000000"/>
                <w:sz w:val="20"/>
                <w:szCs w:val="20"/>
              </w:rPr>
              <w:t>Friday (following week)</w:t>
            </w:r>
          </w:p>
        </w:tc>
        <w:tc>
          <w:tcPr>
            <w:tcW w:w="7370" w:type="dxa"/>
          </w:tcPr>
          <w:p w14:paraId="71A710D0" w14:textId="3BD85C62" w:rsidR="006731B3" w:rsidRPr="00F927FB" w:rsidRDefault="006731B3">
            <w:pPr>
              <w:rPr>
                <w:color w:val="000000"/>
                <w:sz w:val="20"/>
                <w:szCs w:val="20"/>
              </w:rPr>
            </w:pPr>
            <w:r>
              <w:rPr>
                <w:color w:val="000000"/>
                <w:sz w:val="20"/>
                <w:szCs w:val="20"/>
              </w:rPr>
              <w:t>Due Date: Assignments 2-5</w:t>
            </w:r>
          </w:p>
        </w:tc>
      </w:tr>
    </w:tbl>
    <w:p w14:paraId="3A7EF9E6" w14:textId="77777777" w:rsidR="0042131C" w:rsidRDefault="0042131C">
      <w:pPr>
        <w:pBdr>
          <w:top w:val="nil"/>
          <w:left w:val="nil"/>
          <w:bottom w:val="nil"/>
          <w:right w:val="nil"/>
          <w:between w:val="nil"/>
        </w:pBdr>
        <w:spacing w:after="0" w:line="240" w:lineRule="auto"/>
        <w:ind w:left="720" w:hanging="720"/>
        <w:rPr>
          <w:color w:val="000000"/>
        </w:rPr>
      </w:pPr>
    </w:p>
    <w:p w14:paraId="00000050" w14:textId="77777777" w:rsidR="00B55ED8" w:rsidRDefault="00B55ED8">
      <w:pPr>
        <w:pBdr>
          <w:top w:val="nil"/>
          <w:left w:val="nil"/>
          <w:bottom w:val="single" w:sz="6" w:space="1" w:color="000000"/>
          <w:right w:val="nil"/>
          <w:between w:val="nil"/>
        </w:pBdr>
        <w:spacing w:after="0" w:line="240" w:lineRule="auto"/>
        <w:ind w:left="720" w:hanging="720"/>
        <w:rPr>
          <w:color w:val="000000"/>
        </w:rPr>
      </w:pPr>
    </w:p>
    <w:p w14:paraId="00000088" w14:textId="126EAF3A" w:rsidR="00B55ED8" w:rsidRDefault="00B55ED8" w:rsidP="0042131C">
      <w:pPr>
        <w:pBdr>
          <w:top w:val="nil"/>
          <w:left w:val="nil"/>
          <w:bottom w:val="nil"/>
          <w:right w:val="nil"/>
          <w:between w:val="nil"/>
        </w:pBdr>
        <w:spacing w:after="0" w:line="240" w:lineRule="auto"/>
      </w:pPr>
    </w:p>
    <w:sectPr w:rsidR="00B55E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6CD7" w14:textId="77777777" w:rsidR="005559F3" w:rsidRDefault="005559F3">
      <w:pPr>
        <w:spacing w:after="0" w:line="240" w:lineRule="auto"/>
      </w:pPr>
      <w:r>
        <w:separator/>
      </w:r>
    </w:p>
  </w:endnote>
  <w:endnote w:type="continuationSeparator" w:id="0">
    <w:p w14:paraId="0B2046A1" w14:textId="77777777" w:rsidR="005559F3" w:rsidRDefault="0055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E17F274" w:rsidR="00B55ED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2596">
      <w:rPr>
        <w:noProof/>
        <w:color w:val="000000"/>
      </w:rPr>
      <w:t>1</w:t>
    </w:r>
    <w:r>
      <w:rPr>
        <w:color w:val="000000"/>
      </w:rPr>
      <w:fldChar w:fldCharType="end"/>
    </w:r>
  </w:p>
  <w:p w14:paraId="0000008A" w14:textId="77777777" w:rsidR="00B55ED8" w:rsidRDefault="00B55E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5C39" w14:textId="77777777" w:rsidR="005559F3" w:rsidRDefault="005559F3">
      <w:pPr>
        <w:spacing w:after="0" w:line="240" w:lineRule="auto"/>
      </w:pPr>
      <w:r>
        <w:separator/>
      </w:r>
    </w:p>
  </w:footnote>
  <w:footnote w:type="continuationSeparator" w:id="0">
    <w:p w14:paraId="376BF60D" w14:textId="77777777" w:rsidR="005559F3" w:rsidRDefault="00555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6511B"/>
    <w:multiLevelType w:val="multilevel"/>
    <w:tmpl w:val="5B36A11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C44137C"/>
    <w:multiLevelType w:val="multilevel"/>
    <w:tmpl w:val="FADA403A"/>
    <w:lvl w:ilvl="0">
      <w:start w:val="4"/>
      <w:numFmt w:val="bullet"/>
      <w:lvlText w:val="-"/>
      <w:lvlJc w:val="left"/>
      <w:pPr>
        <w:ind w:left="1080" w:hanging="360"/>
      </w:pPr>
      <w:rPr>
        <w:rFonts w:ascii="Aptos" w:eastAsiaTheme="minorHAnsi" w:hAnsi="Aptos"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EBE5198"/>
    <w:multiLevelType w:val="multilevel"/>
    <w:tmpl w:val="33D4B33A"/>
    <w:lvl w:ilvl="0">
      <w:start w:val="1"/>
      <w:numFmt w:val="bullet"/>
      <w:lvlText w:val="•"/>
      <w:lvlJc w:val="left"/>
      <w:pPr>
        <w:ind w:left="2160" w:hanging="360"/>
      </w:pPr>
      <w:rPr>
        <w:rFonts w:ascii="Arial" w:hAnsi="Arial"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71CA1FF0"/>
    <w:multiLevelType w:val="multilevel"/>
    <w:tmpl w:val="FEF8F8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3E4436E"/>
    <w:multiLevelType w:val="multilevel"/>
    <w:tmpl w:val="080E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6324627">
    <w:abstractNumId w:val="0"/>
  </w:num>
  <w:num w:numId="2" w16cid:durableId="284895938">
    <w:abstractNumId w:val="3"/>
  </w:num>
  <w:num w:numId="3" w16cid:durableId="1857226955">
    <w:abstractNumId w:val="4"/>
  </w:num>
  <w:num w:numId="4" w16cid:durableId="846136262">
    <w:abstractNumId w:val="1"/>
  </w:num>
  <w:num w:numId="5" w16cid:durableId="204964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D8"/>
    <w:rsid w:val="0000493E"/>
    <w:rsid w:val="000A7FBC"/>
    <w:rsid w:val="000F6AEF"/>
    <w:rsid w:val="00211A8B"/>
    <w:rsid w:val="00252596"/>
    <w:rsid w:val="00335431"/>
    <w:rsid w:val="0042131C"/>
    <w:rsid w:val="004B4A10"/>
    <w:rsid w:val="005559F3"/>
    <w:rsid w:val="005D1729"/>
    <w:rsid w:val="006376B1"/>
    <w:rsid w:val="0066155A"/>
    <w:rsid w:val="00671E34"/>
    <w:rsid w:val="006731B3"/>
    <w:rsid w:val="00724A8D"/>
    <w:rsid w:val="008C7230"/>
    <w:rsid w:val="008E2FA6"/>
    <w:rsid w:val="00AF7C74"/>
    <w:rsid w:val="00B55ED8"/>
    <w:rsid w:val="00CE7703"/>
    <w:rsid w:val="00D73FB7"/>
    <w:rsid w:val="00F9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407B"/>
  <w15:docId w15:val="{70E042CF-AE4F-044E-8511-A3AE8448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52596"/>
    <w:rPr>
      <w:color w:val="0000FF" w:themeColor="hyperlink"/>
      <w:u w:val="single"/>
    </w:rPr>
  </w:style>
  <w:style w:type="character" w:styleId="UnresolvedMention">
    <w:name w:val="Unresolved Mention"/>
    <w:basedOn w:val="DefaultParagraphFont"/>
    <w:uiPriority w:val="99"/>
    <w:semiHidden/>
    <w:unhideWhenUsed/>
    <w:rsid w:val="00252596"/>
    <w:rPr>
      <w:color w:val="605E5C"/>
      <w:shd w:val="clear" w:color="auto" w:fill="E1DFDD"/>
    </w:rPr>
  </w:style>
  <w:style w:type="character" w:styleId="FollowedHyperlink">
    <w:name w:val="FollowedHyperlink"/>
    <w:basedOn w:val="DefaultParagraphFont"/>
    <w:uiPriority w:val="99"/>
    <w:semiHidden/>
    <w:unhideWhenUsed/>
    <w:rsid w:val="005D1729"/>
    <w:rPr>
      <w:color w:val="800080" w:themeColor="followedHyperlink"/>
      <w:u w:val="single"/>
    </w:rPr>
  </w:style>
  <w:style w:type="paragraph" w:styleId="ListParagraph">
    <w:name w:val="List Paragraph"/>
    <w:basedOn w:val="Normal"/>
    <w:uiPriority w:val="34"/>
    <w:qFormat/>
    <w:rsid w:val="00211A8B"/>
    <w:pPr>
      <w:ind w:left="720"/>
      <w:contextualSpacing/>
    </w:pPr>
  </w:style>
  <w:style w:type="table" w:styleId="TableGrid">
    <w:name w:val="Table Grid"/>
    <w:basedOn w:val="TableNormal"/>
    <w:uiPriority w:val="39"/>
    <w:rsid w:val="00421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3543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tesna@mcmaster.ca" TargetMode="External"/><Relationship Id="rId13" Type="http://schemas.openxmlformats.org/officeDocument/2006/relationships/hyperlink" Target="https://sites.google.com/a/umich.edu/sph-writing-lab/home" TargetMode="External"/><Relationship Id="rId18" Type="http://schemas.openxmlformats.org/officeDocument/2006/relationships/hyperlink" Target="https://www.cochrane.org/authors/handbooks-and-manuals/handbook/current/chapter-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ochrane.org/authors/handbooks-and-manuals/handbook/current/chapter-10" TargetMode="External"/><Relationship Id="rId7" Type="http://schemas.openxmlformats.org/officeDocument/2006/relationships/footer" Target="footer1.xml"/><Relationship Id="rId12" Type="http://schemas.openxmlformats.org/officeDocument/2006/relationships/hyperlink" Target="https://sph.umich.edu/student-resources/mph-mhsa.html%20" TargetMode="External"/><Relationship Id="rId17" Type="http://schemas.openxmlformats.org/officeDocument/2006/relationships/hyperlink" Target="https://bmcmedresmethodol.biomedcentral.com/articles/10.1186/s12874-018-0611-x" TargetMode="External"/><Relationship Id="rId25" Type="http://schemas.openxmlformats.org/officeDocument/2006/relationships/hyperlink" Target="https://www.prisma-statement.org/" TargetMode="External"/><Relationship Id="rId2" Type="http://schemas.openxmlformats.org/officeDocument/2006/relationships/styles" Target="styles.xml"/><Relationship Id="rId16" Type="http://schemas.openxmlformats.org/officeDocument/2006/relationships/hyperlink" Target="http://www.provost.umich.edu/calendar/" TargetMode="External"/><Relationship Id="rId20" Type="http://schemas.openxmlformats.org/officeDocument/2006/relationships/hyperlink" Target="https://docs.google.com/document/d/1u9CiAQZ8OBFW29RLVdMsQnzy6qSsCZUG/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skofbias.info/" TargetMode="External"/><Relationship Id="rId24" Type="http://schemas.openxmlformats.org/officeDocument/2006/relationships/hyperlink" Target="https://www-nature-com.libaccess.lib.mcmaster.ca/articles/d41586-019-00857-9" TargetMode="External"/><Relationship Id="rId5" Type="http://schemas.openxmlformats.org/officeDocument/2006/relationships/footnotes" Target="footnotes.xml"/><Relationship Id="rId15" Type="http://schemas.openxmlformats.org/officeDocument/2006/relationships/hyperlink" Target="https://ssd.umich.edu/topic/our-services" TargetMode="External"/><Relationship Id="rId23" Type="http://schemas.openxmlformats.org/officeDocument/2006/relationships/hyperlink" Target="https://www.cochrane.org/authors/handbooks-and-manuals/handbook/current/chapter-14" TargetMode="External"/><Relationship Id="rId10" Type="http://schemas.openxmlformats.org/officeDocument/2006/relationships/hyperlink" Target="https://book.gradepro.org/" TargetMode="External"/><Relationship Id="rId19" Type="http://schemas.openxmlformats.org/officeDocument/2006/relationships/hyperlink" Target="https://www.riskofbias.info/welcome/rob-2-0-tool" TargetMode="External"/><Relationship Id="rId4" Type="http://schemas.openxmlformats.org/officeDocument/2006/relationships/webSettings" Target="webSettings.xml"/><Relationship Id="rId9" Type="http://schemas.openxmlformats.org/officeDocument/2006/relationships/hyperlink" Target="https://www.cochrane.org/authors/handbooks-and-manuals/handbook/current" TargetMode="External"/><Relationship Id="rId14" Type="http://schemas.openxmlformats.org/officeDocument/2006/relationships/hyperlink" Target="https://sph.umich.edu/student-life/wellness.html" TargetMode="External"/><Relationship Id="rId22" Type="http://schemas.openxmlformats.org/officeDocument/2006/relationships/hyperlink" Target="https://www.cochrane.org/authors/handbooks-and-manuals/handbook/current/chapter-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Santesso, Nancy</cp:lastModifiedBy>
  <cp:revision>2</cp:revision>
  <dcterms:created xsi:type="dcterms:W3CDTF">2025-11-19T02:54:00Z</dcterms:created>
  <dcterms:modified xsi:type="dcterms:W3CDTF">2025-11-19T02:54:00Z</dcterms:modified>
</cp:coreProperties>
</file>