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D907" w14:textId="6BFBFE3E" w:rsidR="00D1017B" w:rsidRDefault="00D1017B" w:rsidP="0070323D">
      <w:pPr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 w:rsidRPr="00215F15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1A3454" wp14:editId="30832ADD">
            <wp:simplePos x="0" y="0"/>
            <wp:positionH relativeFrom="column">
              <wp:posOffset>-22861</wp:posOffset>
            </wp:positionH>
            <wp:positionV relativeFrom="paragraph">
              <wp:posOffset>60960</wp:posOffset>
            </wp:positionV>
            <wp:extent cx="1071337" cy="670560"/>
            <wp:effectExtent l="0" t="0" r="0" b="0"/>
            <wp:wrapNone/>
            <wp:docPr id="2118794554" name="Picture 1" descr="About Wattlab - ZE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Wattlab - ZEST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29" cy="67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8FFD387" wp14:editId="3F0B5330">
            <wp:simplePos x="0" y="0"/>
            <wp:positionH relativeFrom="column">
              <wp:posOffset>1226820</wp:posOffset>
            </wp:positionH>
            <wp:positionV relativeFrom="paragraph">
              <wp:posOffset>60960</wp:posOffset>
            </wp:positionV>
            <wp:extent cx="3053715" cy="827405"/>
            <wp:effectExtent l="0" t="0" r="0" b="0"/>
            <wp:wrapNone/>
            <wp:docPr id="1122578249" name="Picture 2" descr="Co-Funded-By-the-EU | European Heart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-Funded-By-the-EU | European Heart Networ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D8AF6D4" wp14:editId="0A959E8A">
            <wp:simplePos x="0" y="0"/>
            <wp:positionH relativeFrom="column">
              <wp:posOffset>4267200</wp:posOffset>
            </wp:positionH>
            <wp:positionV relativeFrom="paragraph">
              <wp:posOffset>198755</wp:posOffset>
            </wp:positionV>
            <wp:extent cx="1424940" cy="493203"/>
            <wp:effectExtent l="0" t="0" r="3810" b="2540"/>
            <wp:wrapNone/>
            <wp:docPr id="14319291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9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3CAC8" w14:textId="635F0801" w:rsidR="00D1017B" w:rsidRDefault="00D1017B" w:rsidP="0070323D">
      <w:pPr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</w:p>
    <w:p w14:paraId="0BF6217A" w14:textId="40E9A6C5" w:rsidR="00D1017B" w:rsidRDefault="00D1017B" w:rsidP="0070323D">
      <w:pPr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</w:p>
    <w:p w14:paraId="6A6F6398" w14:textId="5259A90B" w:rsidR="00215F15" w:rsidRPr="00215F15" w:rsidRDefault="00215F15" w:rsidP="0070323D">
      <w:pPr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</w:p>
    <w:p w14:paraId="1C5B4715" w14:textId="77777777" w:rsidR="00D1017B" w:rsidRPr="00407F0F" w:rsidRDefault="0070323D" w:rsidP="00D1017B">
      <w:pPr>
        <w:rPr>
          <w:rFonts w:asciiTheme="minorHAnsi" w:hAnsiTheme="minorHAnsi" w:cstheme="minorHAnsi"/>
          <w:b/>
          <w:bCs/>
          <w:i/>
          <w:iCs/>
          <w:sz w:val="32"/>
          <w:szCs w:val="32"/>
          <w:lang w:val="en-GB"/>
        </w:rPr>
      </w:pPr>
      <w:r w:rsidRPr="00407F0F">
        <w:rPr>
          <w:rFonts w:asciiTheme="minorHAnsi" w:hAnsiTheme="minorHAnsi" w:cstheme="minorHAnsi"/>
          <w:b/>
          <w:bCs/>
          <w:i/>
          <w:iCs/>
          <w:sz w:val="32"/>
          <w:szCs w:val="32"/>
          <w:lang w:val="en-GB"/>
        </w:rPr>
        <w:t>PRESS RELEASE</w:t>
      </w:r>
      <w:r w:rsidR="00D1017B" w:rsidRPr="00407F0F">
        <w:rPr>
          <w:rFonts w:asciiTheme="minorHAnsi" w:hAnsiTheme="minorHAnsi" w:cstheme="minorHAnsi"/>
          <w:b/>
          <w:bCs/>
          <w:i/>
          <w:iCs/>
          <w:sz w:val="32"/>
          <w:szCs w:val="32"/>
          <w:lang w:val="en-GB"/>
        </w:rPr>
        <w:tab/>
      </w:r>
      <w:r w:rsidR="00D1017B" w:rsidRPr="00407F0F">
        <w:rPr>
          <w:rFonts w:asciiTheme="minorHAnsi" w:hAnsiTheme="minorHAnsi" w:cstheme="minorHAnsi"/>
          <w:b/>
          <w:bCs/>
          <w:i/>
          <w:iCs/>
          <w:sz w:val="32"/>
          <w:szCs w:val="32"/>
          <w:lang w:val="en-GB"/>
        </w:rPr>
        <w:tab/>
      </w:r>
      <w:r w:rsidR="00D1017B" w:rsidRPr="00407F0F">
        <w:rPr>
          <w:rFonts w:asciiTheme="minorHAnsi" w:hAnsiTheme="minorHAnsi" w:cstheme="minorHAnsi"/>
          <w:b/>
          <w:bCs/>
          <w:i/>
          <w:iCs/>
          <w:sz w:val="32"/>
          <w:szCs w:val="32"/>
          <w:lang w:val="en-GB"/>
        </w:rPr>
        <w:tab/>
      </w:r>
      <w:r w:rsidR="00D1017B" w:rsidRPr="00407F0F">
        <w:rPr>
          <w:rFonts w:asciiTheme="minorHAnsi" w:hAnsiTheme="minorHAnsi" w:cstheme="minorHAnsi"/>
          <w:b/>
          <w:bCs/>
          <w:i/>
          <w:iCs/>
          <w:sz w:val="32"/>
          <w:szCs w:val="32"/>
          <w:lang w:val="en-GB"/>
        </w:rPr>
        <w:tab/>
      </w:r>
      <w:r w:rsidR="00D1017B" w:rsidRPr="00407F0F">
        <w:rPr>
          <w:rFonts w:asciiTheme="minorHAnsi" w:hAnsiTheme="minorHAnsi" w:cstheme="minorHAnsi"/>
          <w:b/>
          <w:bCs/>
          <w:i/>
          <w:iCs/>
          <w:sz w:val="32"/>
          <w:szCs w:val="32"/>
          <w:lang w:val="en-GB"/>
        </w:rPr>
        <w:tab/>
      </w:r>
      <w:r w:rsidR="00D1017B" w:rsidRPr="00407F0F">
        <w:rPr>
          <w:rFonts w:asciiTheme="minorHAnsi" w:hAnsiTheme="minorHAnsi" w:cstheme="minorHAnsi"/>
          <w:b/>
          <w:bCs/>
          <w:i/>
          <w:iCs/>
          <w:sz w:val="32"/>
          <w:szCs w:val="32"/>
          <w:lang w:val="en-GB"/>
        </w:rPr>
        <w:tab/>
      </w:r>
      <w:r w:rsidR="00D1017B" w:rsidRPr="00407F0F">
        <w:rPr>
          <w:rFonts w:asciiTheme="minorHAnsi" w:hAnsiTheme="minorHAnsi" w:cstheme="minorHAnsi"/>
          <w:b/>
          <w:bCs/>
          <w:i/>
          <w:iCs/>
          <w:sz w:val="32"/>
          <w:szCs w:val="32"/>
          <w:lang w:val="en-GB"/>
        </w:rPr>
        <w:tab/>
      </w:r>
      <w:r w:rsidR="00D1017B" w:rsidRPr="00407F0F">
        <w:rPr>
          <w:rFonts w:asciiTheme="minorHAnsi" w:hAnsiTheme="minorHAnsi" w:cstheme="minorHAnsi"/>
          <w:b/>
          <w:bCs/>
          <w:i/>
          <w:iCs/>
          <w:sz w:val="32"/>
          <w:szCs w:val="32"/>
          <w:lang w:val="en-GB"/>
        </w:rPr>
        <w:tab/>
      </w:r>
      <w:r w:rsidR="00D1017B" w:rsidRPr="00407F0F">
        <w:rPr>
          <w:rFonts w:asciiTheme="minorHAnsi" w:hAnsiTheme="minorHAnsi" w:cstheme="minorHAnsi"/>
          <w:b/>
          <w:bCs/>
          <w:i/>
          <w:iCs/>
          <w:sz w:val="32"/>
          <w:szCs w:val="32"/>
          <w:lang w:val="en-GB"/>
        </w:rPr>
        <w:tab/>
      </w:r>
    </w:p>
    <w:p w14:paraId="0B31FC96" w14:textId="6A2CD0D5" w:rsidR="00984309" w:rsidRPr="00407F0F" w:rsidRDefault="00215F15" w:rsidP="00785729">
      <w:pPr>
        <w:pBdr>
          <w:bottom w:val="double" w:sz="6" w:space="1" w:color="auto"/>
        </w:pBdr>
        <w:rPr>
          <w:rFonts w:asciiTheme="minorHAnsi" w:hAnsiTheme="minorHAnsi" w:cstheme="minorHAnsi"/>
          <w:i/>
          <w:iCs/>
          <w:lang w:val="en-GB"/>
        </w:rPr>
      </w:pPr>
      <w:r w:rsidRPr="00407F0F">
        <w:rPr>
          <w:rFonts w:asciiTheme="minorHAnsi" w:hAnsiTheme="minorHAnsi" w:cstheme="minorHAnsi"/>
          <w:i/>
          <w:iCs/>
          <w:lang w:val="en-GB"/>
        </w:rPr>
        <w:t>30 April 2025</w:t>
      </w:r>
    </w:p>
    <w:p w14:paraId="03286084" w14:textId="77777777" w:rsidR="00D1017B" w:rsidRPr="00785729" w:rsidRDefault="00D1017B" w:rsidP="0078572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456C7CD" w14:textId="138F9672" w:rsidR="00785729" w:rsidRPr="006A6A4C" w:rsidRDefault="00785729" w:rsidP="0070323D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proofErr w:type="spellStart"/>
      <w:r w:rsidRPr="006A6A4C">
        <w:rPr>
          <w:rFonts w:asciiTheme="minorHAnsi" w:hAnsiTheme="minorHAnsi" w:cstheme="minorHAnsi"/>
          <w:b/>
          <w:bCs/>
          <w:sz w:val="32"/>
          <w:szCs w:val="32"/>
          <w:lang w:val="en-GB"/>
        </w:rPr>
        <w:t>Wattlab</w:t>
      </w:r>
      <w:proofErr w:type="spellEnd"/>
      <w:r w:rsidRPr="006A6A4C">
        <w:rPr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 launches </w:t>
      </w:r>
      <w:proofErr w:type="spellStart"/>
      <w:r w:rsidRPr="006A6A4C">
        <w:rPr>
          <w:rFonts w:asciiTheme="minorHAnsi" w:hAnsiTheme="minorHAnsi" w:cstheme="minorHAnsi"/>
          <w:b/>
          <w:bCs/>
          <w:sz w:val="32"/>
          <w:szCs w:val="32"/>
          <w:lang w:val="en-GB"/>
        </w:rPr>
        <w:t>SolarDeck</w:t>
      </w:r>
      <w:proofErr w:type="spellEnd"/>
      <w:r w:rsidRPr="006A6A4C">
        <w:rPr>
          <w:rFonts w:asciiTheme="minorHAnsi" w:hAnsiTheme="minorHAnsi" w:cstheme="minorHAnsi"/>
          <w:b/>
          <w:bCs/>
          <w:sz w:val="32"/>
          <w:szCs w:val="32"/>
          <w:lang w:val="en-GB"/>
        </w:rPr>
        <w:t>: plug-and-play solar power for seagoing shipping</w:t>
      </w:r>
    </w:p>
    <w:p w14:paraId="55BF9FB3" w14:textId="77777777" w:rsidR="00785729" w:rsidRPr="00785729" w:rsidRDefault="00785729" w:rsidP="0078572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1648920" w14:textId="55C65E11" w:rsidR="00495237" w:rsidRDefault="00785729" w:rsidP="00785729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785729">
        <w:rPr>
          <w:rFonts w:asciiTheme="minorHAnsi" w:hAnsiTheme="minorHAnsi" w:cstheme="minorHAnsi"/>
          <w:b/>
          <w:bCs/>
          <w:sz w:val="22"/>
          <w:szCs w:val="22"/>
          <w:lang w:val="en-GB"/>
        </w:rPr>
        <w:t>Wattlab</w:t>
      </w:r>
      <w:proofErr w:type="spellEnd"/>
      <w:r w:rsidRPr="0078572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, the Netherlands-based maritime solar specialist, is proud to introduce its </w:t>
      </w:r>
      <w:proofErr w:type="spellStart"/>
      <w:r w:rsidRPr="00785729">
        <w:rPr>
          <w:rFonts w:asciiTheme="minorHAnsi" w:hAnsiTheme="minorHAnsi" w:cstheme="minorHAnsi"/>
          <w:b/>
          <w:bCs/>
          <w:sz w:val="22"/>
          <w:szCs w:val="22"/>
          <w:lang w:val="en-GB"/>
        </w:rPr>
        <w:t>SolarDeck</w:t>
      </w:r>
      <w:proofErr w:type="spellEnd"/>
      <w:r w:rsidRPr="0078572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to the seagoing shipping industry. </w:t>
      </w:r>
      <w:proofErr w:type="spellStart"/>
      <w:r w:rsidRPr="00785729">
        <w:rPr>
          <w:rFonts w:asciiTheme="minorHAnsi" w:hAnsiTheme="minorHAnsi" w:cstheme="minorHAnsi"/>
          <w:b/>
          <w:bCs/>
          <w:sz w:val="22"/>
          <w:szCs w:val="22"/>
          <w:lang w:val="en-GB"/>
        </w:rPr>
        <w:t>SolarDeck</w:t>
      </w:r>
      <w:proofErr w:type="spellEnd"/>
      <w:r w:rsidRPr="0078572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is a modular and scalable system of deck-mounted solar panels that </w:t>
      </w:r>
      <w:r w:rsidR="00AB36D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yield </w:t>
      </w:r>
      <w:r w:rsidR="00977B3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significant reductions in </w:t>
      </w:r>
      <w:r w:rsidRPr="0078572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fuel </w:t>
      </w:r>
      <w:r w:rsidR="00977B3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consumption </w:t>
      </w:r>
      <w:r w:rsidRPr="00785729">
        <w:rPr>
          <w:rFonts w:asciiTheme="minorHAnsi" w:hAnsiTheme="minorHAnsi" w:cstheme="minorHAnsi"/>
          <w:b/>
          <w:bCs/>
          <w:sz w:val="22"/>
          <w:szCs w:val="22"/>
          <w:lang w:val="en-GB"/>
        </w:rPr>
        <w:t>and CO2 emission</w:t>
      </w:r>
      <w:r w:rsidR="00977B3A">
        <w:rPr>
          <w:rFonts w:asciiTheme="minorHAnsi" w:hAnsiTheme="minorHAnsi" w:cstheme="minorHAnsi"/>
          <w:b/>
          <w:bCs/>
          <w:sz w:val="22"/>
          <w:szCs w:val="22"/>
          <w:lang w:val="en-GB"/>
        </w:rPr>
        <w:t>s.</w:t>
      </w:r>
      <w:r w:rsidR="0049523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Moreover, b</w:t>
      </w:r>
      <w:r w:rsidR="00977B3A" w:rsidRPr="00977B3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ased on installation </w:t>
      </w:r>
      <w:r w:rsidR="00977B3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on </w:t>
      </w:r>
      <w:r w:rsidR="00977B3A" w:rsidRPr="00977B3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 </w:t>
      </w:r>
      <w:r w:rsidR="0049523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seagoing </w:t>
      </w:r>
      <w:r w:rsidR="00977B3A" w:rsidRPr="00977B3A">
        <w:rPr>
          <w:rFonts w:asciiTheme="minorHAnsi" w:hAnsiTheme="minorHAnsi" w:cstheme="minorHAnsi"/>
          <w:b/>
          <w:bCs/>
          <w:sz w:val="22"/>
          <w:szCs w:val="22"/>
          <w:lang w:val="en-GB"/>
        </w:rPr>
        <w:t>general cargo vessel</w:t>
      </w:r>
      <w:r w:rsidR="00977B3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, </w:t>
      </w:r>
      <w:proofErr w:type="spellStart"/>
      <w:r w:rsidR="00495237">
        <w:rPr>
          <w:rFonts w:asciiTheme="minorHAnsi" w:hAnsiTheme="minorHAnsi" w:cstheme="minorHAnsi"/>
          <w:b/>
          <w:bCs/>
          <w:sz w:val="22"/>
          <w:szCs w:val="22"/>
          <w:lang w:val="en-GB"/>
        </w:rPr>
        <w:t>SolarDeck</w:t>
      </w:r>
      <w:proofErr w:type="spellEnd"/>
      <w:r w:rsidR="0049523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combines</w:t>
      </w:r>
      <w:r w:rsidR="00495237" w:rsidRPr="0078572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substantial savings via Fuel EU Maritime and EU ETS regulations</w:t>
      </w:r>
      <w:r w:rsidR="0049523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and a</w:t>
      </w:r>
      <w:r w:rsidR="00977B3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n </w:t>
      </w:r>
      <w:r w:rsidRPr="0078572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expected return on investment of </w:t>
      </w:r>
      <w:r w:rsidR="00293792">
        <w:rPr>
          <w:rFonts w:asciiTheme="minorHAnsi" w:hAnsiTheme="minorHAnsi" w:cstheme="minorHAnsi"/>
          <w:b/>
          <w:bCs/>
          <w:sz w:val="22"/>
          <w:szCs w:val="22"/>
          <w:lang w:val="en-GB"/>
        </w:rPr>
        <w:t>3</w:t>
      </w:r>
      <w:r w:rsidRPr="00785729">
        <w:rPr>
          <w:rFonts w:asciiTheme="minorHAnsi" w:hAnsiTheme="minorHAnsi" w:cstheme="minorHAnsi"/>
          <w:b/>
          <w:bCs/>
          <w:sz w:val="22"/>
          <w:szCs w:val="22"/>
          <w:lang w:val="en-GB"/>
        </w:rPr>
        <w:t>-5 years</w:t>
      </w:r>
      <w:r w:rsidR="00495237">
        <w:rPr>
          <w:rFonts w:asciiTheme="minorHAnsi" w:hAnsiTheme="minorHAnsi" w:cstheme="minorHAnsi"/>
          <w:b/>
          <w:bCs/>
          <w:sz w:val="22"/>
          <w:szCs w:val="22"/>
          <w:lang w:val="en-GB"/>
        </w:rPr>
        <w:t>.</w:t>
      </w:r>
    </w:p>
    <w:p w14:paraId="11D0AB5E" w14:textId="77777777" w:rsidR="00785729" w:rsidRPr="00785729" w:rsidRDefault="00785729" w:rsidP="00785729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4F4661EB" w14:textId="46BF8E5C" w:rsidR="0081104D" w:rsidRPr="0079457E" w:rsidRDefault="0081104D" w:rsidP="0081104D">
      <w:pPr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Hlk196818669"/>
      <w:r>
        <w:rPr>
          <w:rFonts w:asciiTheme="minorHAnsi" w:hAnsiTheme="minorHAnsi" w:cstheme="minorHAnsi"/>
          <w:sz w:val="22"/>
          <w:szCs w:val="22"/>
          <w:lang w:val="en-GB"/>
        </w:rPr>
        <w:t xml:space="preserve">Established in 2017,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Wattlab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has spent its first years of operations focusing on the inland shipping sector</w:t>
      </w:r>
      <w:r w:rsidR="00977B3A">
        <w:rPr>
          <w:rFonts w:asciiTheme="minorHAnsi" w:hAnsiTheme="minorHAnsi" w:cstheme="minorHAnsi"/>
          <w:sz w:val="22"/>
          <w:szCs w:val="22"/>
          <w:lang w:val="en-GB"/>
        </w:rPr>
        <w:t xml:space="preserve"> with its </w:t>
      </w:r>
      <w:r w:rsidRPr="0079457E">
        <w:rPr>
          <w:rFonts w:asciiTheme="minorHAnsi" w:hAnsiTheme="minorHAnsi" w:cstheme="minorHAnsi"/>
          <w:sz w:val="22"/>
          <w:szCs w:val="22"/>
          <w:lang w:val="en-GB"/>
        </w:rPr>
        <w:t xml:space="preserve">Solar </w:t>
      </w:r>
      <w:proofErr w:type="spellStart"/>
      <w:r w:rsidRPr="0079457E">
        <w:rPr>
          <w:rFonts w:asciiTheme="minorHAnsi" w:hAnsiTheme="minorHAnsi" w:cstheme="minorHAnsi"/>
          <w:sz w:val="22"/>
          <w:szCs w:val="22"/>
          <w:lang w:val="en-GB"/>
        </w:rPr>
        <w:t>Flatrack</w:t>
      </w:r>
      <w:proofErr w:type="spellEnd"/>
      <w:r w:rsidR="00977B3A" w:rsidRPr="0079457E">
        <w:rPr>
          <w:rFonts w:asciiTheme="minorHAnsi" w:hAnsiTheme="minorHAnsi" w:cstheme="minorHAnsi"/>
          <w:sz w:val="22"/>
          <w:szCs w:val="22"/>
          <w:lang w:val="en-GB"/>
        </w:rPr>
        <w:t xml:space="preserve">. This is </w:t>
      </w:r>
      <w:r w:rsidRPr="0079457E">
        <w:rPr>
          <w:rFonts w:asciiTheme="minorHAnsi" w:hAnsiTheme="minorHAnsi" w:cstheme="minorHAnsi"/>
          <w:sz w:val="22"/>
          <w:szCs w:val="22"/>
          <w:lang w:val="en-GB"/>
        </w:rPr>
        <w:t>a modular solar energy system</w:t>
      </w:r>
      <w:r w:rsidR="00977B3A" w:rsidRPr="0079457E">
        <w:rPr>
          <w:rFonts w:asciiTheme="minorHAnsi" w:hAnsiTheme="minorHAnsi" w:cstheme="minorHAnsi"/>
          <w:sz w:val="22"/>
          <w:szCs w:val="22"/>
          <w:lang w:val="en-GB"/>
        </w:rPr>
        <w:t xml:space="preserve"> consisting of </w:t>
      </w:r>
      <w:r w:rsidRPr="0079457E">
        <w:rPr>
          <w:rFonts w:asciiTheme="minorHAnsi" w:hAnsiTheme="minorHAnsi" w:cstheme="minorHAnsi"/>
          <w:sz w:val="22"/>
          <w:szCs w:val="22"/>
          <w:lang w:val="en-GB"/>
        </w:rPr>
        <w:t>movable</w:t>
      </w:r>
      <w:r w:rsidR="00977B3A" w:rsidRPr="0079457E">
        <w:rPr>
          <w:rFonts w:asciiTheme="minorHAnsi" w:hAnsiTheme="minorHAnsi" w:cstheme="minorHAnsi"/>
          <w:sz w:val="22"/>
          <w:szCs w:val="22"/>
          <w:lang w:val="en-GB"/>
        </w:rPr>
        <w:t xml:space="preserve"> and</w:t>
      </w:r>
      <w:r w:rsidRPr="0079457E">
        <w:rPr>
          <w:rFonts w:asciiTheme="minorHAnsi" w:hAnsiTheme="minorHAnsi" w:cstheme="minorHAnsi"/>
          <w:sz w:val="22"/>
          <w:szCs w:val="22"/>
          <w:lang w:val="en-GB"/>
        </w:rPr>
        <w:t xml:space="preserve"> stackable</w:t>
      </w:r>
      <w:r w:rsidR="00977B3A" w:rsidRPr="0079457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79457E">
        <w:rPr>
          <w:rFonts w:asciiTheme="minorHAnsi" w:hAnsiTheme="minorHAnsi" w:cstheme="minorHAnsi"/>
          <w:sz w:val="22"/>
          <w:szCs w:val="22"/>
          <w:lang w:val="en-GB"/>
        </w:rPr>
        <w:t xml:space="preserve">integrated solar panels and inverters. To date, </w:t>
      </w:r>
      <w:proofErr w:type="spellStart"/>
      <w:r w:rsidRPr="0079457E">
        <w:rPr>
          <w:rFonts w:asciiTheme="minorHAnsi" w:hAnsiTheme="minorHAnsi" w:cstheme="minorHAnsi"/>
          <w:sz w:val="22"/>
          <w:szCs w:val="22"/>
          <w:lang w:val="en-GB"/>
        </w:rPr>
        <w:t>Wattlab’s</w:t>
      </w:r>
      <w:proofErr w:type="spellEnd"/>
      <w:r w:rsidRPr="0079457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79457E">
        <w:rPr>
          <w:rFonts w:asciiTheme="minorHAnsi" w:hAnsiTheme="minorHAnsi" w:cstheme="minorHAnsi"/>
          <w:sz w:val="22"/>
          <w:szCs w:val="22"/>
          <w:lang w:val="en-GB"/>
        </w:rPr>
        <w:t>Solar</w:t>
      </w:r>
      <w:r w:rsidR="00293792" w:rsidRPr="0079457E">
        <w:rPr>
          <w:rFonts w:asciiTheme="minorHAnsi" w:hAnsiTheme="minorHAnsi" w:cstheme="minorHAnsi"/>
          <w:sz w:val="22"/>
          <w:szCs w:val="22"/>
          <w:lang w:val="en-GB"/>
        </w:rPr>
        <w:t>Hatches</w:t>
      </w:r>
      <w:proofErr w:type="spellEnd"/>
      <w:r w:rsidR="00293792" w:rsidRPr="0079457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79457E">
        <w:rPr>
          <w:rFonts w:asciiTheme="minorHAnsi" w:hAnsiTheme="minorHAnsi" w:cstheme="minorHAnsi"/>
          <w:sz w:val="22"/>
          <w:szCs w:val="22"/>
          <w:lang w:val="en-GB"/>
        </w:rPr>
        <w:t xml:space="preserve">have been installed on more than </w:t>
      </w:r>
      <w:r w:rsidR="00293792" w:rsidRPr="0079457E">
        <w:rPr>
          <w:rFonts w:asciiTheme="minorHAnsi" w:hAnsiTheme="minorHAnsi" w:cstheme="minorHAnsi"/>
          <w:sz w:val="22"/>
          <w:szCs w:val="22"/>
          <w:lang w:val="en-GB"/>
        </w:rPr>
        <w:t xml:space="preserve">25 </w:t>
      </w:r>
      <w:r w:rsidRPr="0079457E">
        <w:rPr>
          <w:rFonts w:asciiTheme="minorHAnsi" w:hAnsiTheme="minorHAnsi" w:cstheme="minorHAnsi"/>
          <w:sz w:val="22"/>
          <w:szCs w:val="22"/>
          <w:lang w:val="en-GB"/>
        </w:rPr>
        <w:t>inland shipping vessels.</w:t>
      </w:r>
    </w:p>
    <w:bookmarkEnd w:id="0"/>
    <w:p w14:paraId="24DC50D5" w14:textId="77777777" w:rsidR="0081104D" w:rsidRPr="0079457E" w:rsidRDefault="0081104D" w:rsidP="0081104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BD472C7" w14:textId="6A840639" w:rsidR="00A32AC9" w:rsidRDefault="00495237" w:rsidP="0031442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9457E">
        <w:rPr>
          <w:rFonts w:asciiTheme="minorHAnsi" w:hAnsiTheme="minorHAnsi" w:cstheme="minorHAnsi"/>
          <w:sz w:val="22"/>
          <w:szCs w:val="22"/>
          <w:lang w:val="en-GB"/>
        </w:rPr>
        <w:t xml:space="preserve">With the aim to reduce fuel costs for seagoing shipowners and facilitate </w:t>
      </w:r>
      <w:r w:rsidRPr="00495237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>
        <w:rPr>
          <w:rFonts w:asciiTheme="minorHAnsi" w:hAnsiTheme="minorHAnsi" w:cstheme="minorHAnsi"/>
          <w:sz w:val="22"/>
          <w:szCs w:val="22"/>
          <w:lang w:val="en-GB"/>
        </w:rPr>
        <w:t>continued</w:t>
      </w:r>
      <w:r w:rsidRPr="00495237">
        <w:rPr>
          <w:rFonts w:asciiTheme="minorHAnsi" w:hAnsiTheme="minorHAnsi" w:cstheme="minorHAnsi"/>
          <w:sz w:val="22"/>
          <w:szCs w:val="22"/>
          <w:lang w:val="en-GB"/>
        </w:rPr>
        <w:t xml:space="preserve"> decarbonisation of the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maritime sector,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Wattlab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14424">
        <w:rPr>
          <w:rFonts w:asciiTheme="minorHAnsi" w:hAnsiTheme="minorHAnsi" w:cstheme="minorHAnsi"/>
          <w:sz w:val="22"/>
          <w:szCs w:val="22"/>
          <w:lang w:val="en-GB"/>
        </w:rPr>
        <w:t xml:space="preserve">is now expanding into the seagoing shipping industry with </w:t>
      </w:r>
      <w:proofErr w:type="spellStart"/>
      <w:r w:rsidR="00314424">
        <w:rPr>
          <w:rFonts w:asciiTheme="minorHAnsi" w:hAnsiTheme="minorHAnsi" w:cstheme="minorHAnsi"/>
          <w:sz w:val="22"/>
          <w:szCs w:val="22"/>
          <w:lang w:val="en-GB"/>
        </w:rPr>
        <w:t>SolarDeck</w:t>
      </w:r>
      <w:proofErr w:type="spellEnd"/>
      <w:r w:rsidR="00314424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752DACD" w14:textId="77777777" w:rsidR="001A7077" w:rsidRDefault="001A7077" w:rsidP="0031442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37E4EC5" w14:textId="5487CE99" w:rsidR="001A7077" w:rsidRPr="00A31719" w:rsidRDefault="001A7077" w:rsidP="001A7077">
      <w:pPr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</w:pPr>
      <w:r w:rsidRPr="00A31719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 xml:space="preserve">“At all times during the design of </w:t>
      </w:r>
      <w:proofErr w:type="spellStart"/>
      <w:r w:rsidRPr="00A31719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>SolarDeck</w:t>
      </w:r>
      <w:proofErr w:type="spellEnd"/>
      <w:r w:rsidRPr="00A31719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 xml:space="preserve">, we prioritised the shipowner’s requirements. </w:t>
      </w:r>
      <w:r w:rsidR="00AB36DA" w:rsidRPr="00A31719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>W</w:t>
      </w:r>
      <w:r w:rsidRPr="00A31719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 xml:space="preserve">e know that ‘time is money’. That’s why the </w:t>
      </w:r>
      <w:proofErr w:type="spellStart"/>
      <w:r w:rsidRPr="00A31719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>SolarDeck</w:t>
      </w:r>
      <w:proofErr w:type="spellEnd"/>
      <w:r w:rsidRPr="00A31719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 xml:space="preserve"> can be installed in a minimum amount of time using container twist lock fittings. It also does not impact </w:t>
      </w:r>
      <w:r w:rsidRPr="00A31719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normal loading and unloading procedures,”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says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Wattlab’s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14424">
        <w:rPr>
          <w:rFonts w:asciiTheme="minorHAnsi" w:hAnsiTheme="minorHAnsi" w:cstheme="minorHAnsi"/>
          <w:sz w:val="22"/>
          <w:szCs w:val="22"/>
          <w:lang w:val="en-GB"/>
        </w:rPr>
        <w:t>CEO Bo Salet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A31719">
        <w:rPr>
          <w:rFonts w:asciiTheme="minorHAnsi" w:hAnsiTheme="minorHAnsi" w:cstheme="minorHAnsi"/>
          <w:i/>
          <w:iCs/>
          <w:sz w:val="22"/>
          <w:szCs w:val="22"/>
          <w:lang w:val="en-GB"/>
        </w:rPr>
        <w:t>“However, w</w:t>
      </w:r>
      <w:r w:rsidRPr="00A31719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 xml:space="preserve">e also know – for cargo shipowners especially – that ‘space is money’. In the event of a deck load such as offshore wind blades, the ship’s crew can store the </w:t>
      </w:r>
      <w:proofErr w:type="spellStart"/>
      <w:r w:rsidRPr="00A31719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>SolarDeck</w:t>
      </w:r>
      <w:proofErr w:type="spellEnd"/>
      <w:r w:rsidRPr="00A31719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 xml:space="preserve"> inside</w:t>
      </w:r>
      <w:r w:rsidR="00293792" w:rsidRPr="00A31719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 xml:space="preserve"> the volume of</w:t>
      </w:r>
      <w:r w:rsidRPr="00A31719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 xml:space="preserve"> a 20-foot container</w:t>
      </w:r>
      <w:r w:rsidR="00AB36DA" w:rsidRPr="00A31719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>, thus freeing up the deck for cargo</w:t>
      </w:r>
      <w:r w:rsidRPr="00A31719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>.”</w:t>
      </w:r>
    </w:p>
    <w:p w14:paraId="34CCDFE6" w14:textId="77777777" w:rsidR="006D04CE" w:rsidRDefault="006D04CE" w:rsidP="0031442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493EA72" w14:textId="79FEDE3A" w:rsidR="00D1017B" w:rsidRPr="00D1017B" w:rsidRDefault="00D1017B" w:rsidP="00314424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D</w:t>
      </w:r>
      <w:r w:rsidRPr="00D1017B">
        <w:rPr>
          <w:rFonts w:asciiTheme="minorHAnsi" w:hAnsiTheme="minorHAnsi" w:cstheme="minorHAnsi"/>
          <w:b/>
          <w:bCs/>
          <w:sz w:val="22"/>
          <w:szCs w:val="22"/>
          <w:lang w:val="en-GB"/>
        </w:rPr>
        <w:t>evelop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ing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SolarDeck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D1017B">
        <w:rPr>
          <w:rFonts w:asciiTheme="minorHAnsi" w:hAnsiTheme="minorHAnsi" w:cstheme="minorHAnsi"/>
          <w:b/>
          <w:bCs/>
          <w:sz w:val="22"/>
          <w:szCs w:val="22"/>
          <w:lang w:val="en-GB"/>
        </w:rPr>
        <w:t>with Vertom and TNO</w:t>
      </w:r>
    </w:p>
    <w:p w14:paraId="51C42188" w14:textId="7372CF03" w:rsidR="001A7077" w:rsidRDefault="00BC6A04" w:rsidP="004C502A">
      <w:pPr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SolarDeck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has proven credentials: </w:t>
      </w:r>
      <w:r w:rsidR="00A32AC9">
        <w:rPr>
          <w:rFonts w:asciiTheme="minorHAnsi" w:hAnsiTheme="minorHAnsi" w:cstheme="minorHAnsi"/>
          <w:sz w:val="22"/>
          <w:szCs w:val="22"/>
          <w:lang w:val="en-GB"/>
        </w:rPr>
        <w:t xml:space="preserve">in collaboration with </w:t>
      </w:r>
      <w:r w:rsidR="00A32AC9" w:rsidRPr="00AC233F">
        <w:rPr>
          <w:rFonts w:asciiTheme="minorHAnsi" w:hAnsiTheme="minorHAnsi" w:cstheme="minorHAnsi"/>
          <w:sz w:val="22"/>
          <w:szCs w:val="22"/>
          <w:lang w:val="en-GB"/>
        </w:rPr>
        <w:t>the Dutch Organisation for Applied Scientific Research TNO and international shipping company Vertom</w:t>
      </w:r>
      <w:r w:rsidR="00A32AC9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A32AC9">
        <w:rPr>
          <w:rFonts w:asciiTheme="minorHAnsi" w:hAnsiTheme="minorHAnsi" w:cstheme="minorHAnsi"/>
          <w:sz w:val="22"/>
          <w:szCs w:val="22"/>
          <w:lang w:val="en-GB"/>
        </w:rPr>
        <w:t>Wattlab</w:t>
      </w:r>
      <w:proofErr w:type="spellEnd"/>
      <w:r w:rsidR="00A32AC9">
        <w:rPr>
          <w:rFonts w:asciiTheme="minorHAnsi" w:hAnsiTheme="minorHAnsi" w:cstheme="minorHAnsi"/>
          <w:sz w:val="22"/>
          <w:szCs w:val="22"/>
          <w:lang w:val="en-GB"/>
        </w:rPr>
        <w:t xml:space="preserve"> has spent the previous </w:t>
      </w:r>
      <w:r w:rsidR="00A32AC9" w:rsidRPr="001A7077">
        <w:rPr>
          <w:rFonts w:asciiTheme="minorHAnsi" w:hAnsiTheme="minorHAnsi" w:cstheme="minorHAnsi"/>
          <w:sz w:val="22"/>
          <w:szCs w:val="22"/>
          <w:lang w:val="en-GB"/>
        </w:rPr>
        <w:t>18 months developing and testing</w:t>
      </w:r>
      <w:r w:rsidR="00A32AC9">
        <w:rPr>
          <w:rFonts w:asciiTheme="minorHAnsi" w:hAnsiTheme="minorHAnsi" w:cstheme="minorHAnsi"/>
          <w:sz w:val="22"/>
          <w:szCs w:val="22"/>
          <w:lang w:val="en-GB"/>
        </w:rPr>
        <w:t xml:space="preserve"> the new system on board Vertom’s </w:t>
      </w:r>
      <w:r w:rsidR="00A32AC9" w:rsidRPr="00314424">
        <w:rPr>
          <w:rFonts w:asciiTheme="minorHAnsi" w:hAnsiTheme="minorHAnsi" w:cstheme="minorHAnsi"/>
          <w:sz w:val="22"/>
          <w:szCs w:val="22"/>
          <w:lang w:val="en-GB"/>
        </w:rPr>
        <w:t>7,280dwt general purpose dry cargo vessel Anette</w:t>
      </w:r>
      <w:r w:rsidR="00C546EE">
        <w:rPr>
          <w:rFonts w:asciiTheme="minorHAnsi" w:hAnsiTheme="minorHAnsi" w:cstheme="minorHAnsi"/>
          <w:sz w:val="22"/>
          <w:szCs w:val="22"/>
          <w:lang w:val="en-GB"/>
        </w:rPr>
        <w:t>, in a project c</w:t>
      </w:r>
      <w:r w:rsidR="00C546EE" w:rsidRPr="00C546EE">
        <w:rPr>
          <w:rFonts w:asciiTheme="minorHAnsi" w:hAnsiTheme="minorHAnsi" w:cstheme="minorHAnsi"/>
          <w:sz w:val="22"/>
          <w:szCs w:val="22"/>
          <w:lang w:val="en-GB"/>
        </w:rPr>
        <w:t>o-financed by the European Union’s Just Transition Fund</w:t>
      </w:r>
      <w:r w:rsidR="00C546EE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A32AC9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>
        <w:rPr>
          <w:rFonts w:asciiTheme="minorHAnsi" w:hAnsiTheme="minorHAnsi" w:cstheme="minorHAnsi"/>
          <w:sz w:val="22"/>
          <w:szCs w:val="22"/>
          <w:lang w:val="en-GB"/>
        </w:rPr>
        <w:t>results from the testing phase are positive</w:t>
      </w:r>
      <w:r w:rsidR="001A7077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03FAB26A" w14:textId="77777777" w:rsidR="001A7077" w:rsidRDefault="001A7077" w:rsidP="004C502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3097E63" w14:textId="597279E9" w:rsidR="004C502A" w:rsidRPr="00D1017B" w:rsidRDefault="004C502A" w:rsidP="004C502A">
      <w:pPr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D1017B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“The test results show that </w:t>
      </w:r>
      <w:proofErr w:type="spellStart"/>
      <w:r w:rsidRPr="00D1017B">
        <w:rPr>
          <w:rFonts w:asciiTheme="minorHAnsi" w:hAnsiTheme="minorHAnsi" w:cstheme="minorHAnsi"/>
          <w:i/>
          <w:iCs/>
          <w:sz w:val="22"/>
          <w:szCs w:val="22"/>
          <w:lang w:val="en-GB"/>
        </w:rPr>
        <w:t>SolarDeck</w:t>
      </w:r>
      <w:proofErr w:type="spellEnd"/>
      <w:r w:rsidRPr="00D1017B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performs well in the tougher environment – in terms of salinity and rougher sea states – of coastal shipping.</w:t>
      </w:r>
      <w:r w:rsidR="006D04CE" w:rsidRPr="00D1017B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D1017B">
        <w:rPr>
          <w:rFonts w:asciiTheme="minorHAnsi" w:hAnsiTheme="minorHAnsi" w:cstheme="minorHAnsi"/>
          <w:i/>
          <w:iCs/>
          <w:sz w:val="22"/>
          <w:szCs w:val="22"/>
          <w:lang w:val="en-GB"/>
        </w:rPr>
        <w:t>Because s</w:t>
      </w:r>
      <w:r w:rsidRPr="00D1017B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 xml:space="preserve">alt water can drain freely from the solar panels, there’s no chance of a salt crust forming. As such, </w:t>
      </w:r>
      <w:proofErr w:type="spellStart"/>
      <w:r w:rsidRPr="00D1017B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>SolarDeck</w:t>
      </w:r>
      <w:proofErr w:type="spellEnd"/>
      <w:r w:rsidRPr="00D1017B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 xml:space="preserve"> generates </w:t>
      </w:r>
      <w:r w:rsidR="006D04CE" w:rsidRPr="00D1017B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>the expected</w:t>
      </w:r>
      <w:r w:rsidRPr="00D1017B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power output levels</w:t>
      </w:r>
      <w:r w:rsidR="001A7077" w:rsidRPr="00D1017B">
        <w:rPr>
          <w:rFonts w:asciiTheme="minorHAnsi" w:hAnsiTheme="minorHAnsi" w:cstheme="minorHAnsi"/>
          <w:i/>
          <w:iCs/>
          <w:sz w:val="22"/>
          <w:szCs w:val="22"/>
          <w:lang w:val="en-GB"/>
        </w:rPr>
        <w:t>,”</w:t>
      </w:r>
      <w:r w:rsidR="001A7077">
        <w:rPr>
          <w:rFonts w:asciiTheme="minorHAnsi" w:hAnsiTheme="minorHAnsi" w:cstheme="minorHAnsi"/>
          <w:sz w:val="22"/>
          <w:szCs w:val="22"/>
          <w:lang w:val="en-GB"/>
        </w:rPr>
        <w:t xml:space="preserve"> Salet explains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6D04C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A7077" w:rsidRPr="00D1017B">
        <w:rPr>
          <w:rFonts w:asciiTheme="minorHAnsi" w:hAnsiTheme="minorHAnsi" w:cstheme="minorHAnsi"/>
          <w:i/>
          <w:iCs/>
          <w:sz w:val="22"/>
          <w:szCs w:val="22"/>
          <w:lang w:val="en-GB"/>
        </w:rPr>
        <w:t>“</w:t>
      </w:r>
      <w:r w:rsidR="006D04CE" w:rsidRPr="00D1017B">
        <w:rPr>
          <w:rFonts w:asciiTheme="minorHAnsi" w:hAnsiTheme="minorHAnsi" w:cstheme="minorHAnsi"/>
          <w:i/>
          <w:iCs/>
          <w:sz w:val="22"/>
          <w:szCs w:val="22"/>
          <w:lang w:val="en-GB"/>
        </w:rPr>
        <w:t>Furthermore, the system is robust enough to withstand storms as well as the usual day-to-day activities on board a seagoing cargo ship – while staying safe at all times.”</w:t>
      </w:r>
    </w:p>
    <w:p w14:paraId="3DD856A3" w14:textId="77777777" w:rsidR="00AB36DA" w:rsidRDefault="00AB36DA" w:rsidP="00BC6A04">
      <w:pPr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14:paraId="17899A1D" w14:textId="77777777" w:rsidR="0079457E" w:rsidRPr="0079457E" w:rsidRDefault="0079457E" w:rsidP="0079457E">
      <w:pPr>
        <w:rPr>
          <w:rFonts w:asciiTheme="minorHAnsi" w:eastAsia="Calibri" w:hAnsiTheme="minorHAnsi" w:cstheme="minorHAnsi"/>
          <w:b/>
          <w:bCs/>
          <w:sz w:val="22"/>
          <w:szCs w:val="22"/>
          <w:lang w:val="en-GB"/>
        </w:rPr>
      </w:pPr>
      <w:r w:rsidRPr="0079457E">
        <w:rPr>
          <w:rFonts w:asciiTheme="minorHAnsi" w:eastAsia="Calibri" w:hAnsiTheme="minorHAnsi" w:cstheme="minorHAnsi"/>
          <w:b/>
          <w:bCs/>
          <w:sz w:val="22"/>
          <w:szCs w:val="22"/>
          <w:lang w:val="en-GB"/>
        </w:rPr>
        <w:t>Fuel and emission reductions</w:t>
      </w:r>
    </w:p>
    <w:p w14:paraId="14EA1A56" w14:textId="77777777" w:rsidR="0079457E" w:rsidRPr="0079457E" w:rsidRDefault="0079457E" w:rsidP="0079457E">
      <w:pPr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79457E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Based on the test results (Vertom’s Anette is 119 metres long and 14 metres wide), </w:t>
      </w:r>
      <w:proofErr w:type="spellStart"/>
      <w:r w:rsidRPr="0079457E">
        <w:rPr>
          <w:rFonts w:asciiTheme="minorHAnsi" w:eastAsia="Calibri" w:hAnsiTheme="minorHAnsi" w:cstheme="minorHAnsi"/>
          <w:sz w:val="22"/>
          <w:szCs w:val="22"/>
          <w:lang w:val="en-GB"/>
        </w:rPr>
        <w:t>Wattlab</w:t>
      </w:r>
      <w:proofErr w:type="spellEnd"/>
      <w:r w:rsidRPr="0079457E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predicts reductions of 20 MT fuel and 68 MT CO₂ emissions per year for this coaster-type. Such numbers are substantial enough to have a significant impact on a shipowner’s EEXI and CII scores in addition to </w:t>
      </w:r>
      <w:r w:rsidRPr="0079457E">
        <w:rPr>
          <w:rFonts w:asciiTheme="minorHAnsi" w:eastAsia="Calibri" w:hAnsiTheme="minorHAnsi" w:cstheme="minorHAnsi"/>
          <w:sz w:val="22"/>
          <w:szCs w:val="22"/>
          <w:lang w:val="en-GB"/>
        </w:rPr>
        <w:lastRenderedPageBreak/>
        <w:t>potential savings via Fuel EU Maritime and EU ETS regulations. Note that for larger vessels, the efficiency gains are also (much) larger.</w:t>
      </w:r>
    </w:p>
    <w:p w14:paraId="68279F44" w14:textId="067D0289" w:rsidR="00917815" w:rsidRDefault="00917815" w:rsidP="00785729">
      <w:pPr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14:paraId="3B42C965" w14:textId="015C7CA0" w:rsidR="00EE2B27" w:rsidRDefault="00ED38E6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D1017B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 xml:space="preserve">“We are excited to introduce </w:t>
      </w:r>
      <w:proofErr w:type="spellStart"/>
      <w:r w:rsidRPr="00D1017B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>SolarDeck</w:t>
      </w:r>
      <w:proofErr w:type="spellEnd"/>
      <w:r w:rsidRPr="00D1017B">
        <w:rPr>
          <w:rFonts w:asciiTheme="minorHAnsi" w:eastAsia="Calibri" w:hAnsiTheme="minorHAnsi" w:cstheme="minorHAnsi"/>
          <w:i/>
          <w:iCs/>
          <w:sz w:val="22"/>
          <w:szCs w:val="22"/>
          <w:lang w:val="en-GB"/>
        </w:rPr>
        <w:t xml:space="preserve"> to the seagoing shipping industry – to show shipowners what this system can mean to their operations,”</w:t>
      </w:r>
      <w:r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Salet concludes. “</w:t>
      </w:r>
      <w:proofErr w:type="spellStart"/>
      <w:r w:rsidRPr="00785729">
        <w:rPr>
          <w:rFonts w:asciiTheme="minorHAnsi" w:hAnsiTheme="minorHAnsi" w:cstheme="minorHAnsi"/>
          <w:sz w:val="22"/>
          <w:szCs w:val="22"/>
          <w:lang w:val="en-GB"/>
        </w:rPr>
        <w:t>SolarDeck</w:t>
      </w:r>
      <w:proofErr w:type="spellEnd"/>
      <w:r w:rsidRPr="00785729">
        <w:rPr>
          <w:rFonts w:asciiTheme="minorHAnsi" w:hAnsiTheme="minorHAnsi" w:cstheme="minorHAnsi"/>
          <w:sz w:val="22"/>
          <w:szCs w:val="22"/>
          <w:lang w:val="en-GB"/>
        </w:rPr>
        <w:t xml:space="preserve"> isn’t just a green upgrade. </w:t>
      </w:r>
      <w:r>
        <w:rPr>
          <w:rFonts w:asciiTheme="minorHAnsi" w:hAnsiTheme="minorHAnsi" w:cstheme="minorHAnsi"/>
          <w:sz w:val="22"/>
          <w:szCs w:val="22"/>
          <w:lang w:val="en-GB"/>
        </w:rPr>
        <w:t>Wit</w:t>
      </w:r>
      <w:r w:rsidRPr="00785729">
        <w:rPr>
          <w:rFonts w:asciiTheme="minorHAnsi" w:hAnsiTheme="minorHAnsi" w:cstheme="minorHAnsi"/>
          <w:sz w:val="22"/>
          <w:szCs w:val="22"/>
          <w:lang w:val="en-GB"/>
        </w:rPr>
        <w:t>h a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return on investment </w:t>
      </w:r>
      <w:r w:rsidRPr="00785729">
        <w:rPr>
          <w:rFonts w:asciiTheme="minorHAnsi" w:hAnsiTheme="minorHAnsi" w:cstheme="minorHAnsi"/>
          <w:sz w:val="22"/>
          <w:szCs w:val="22"/>
          <w:lang w:val="en-GB"/>
        </w:rPr>
        <w:t xml:space="preserve">of </w:t>
      </w:r>
      <w:r w:rsidR="00293792">
        <w:rPr>
          <w:rFonts w:asciiTheme="minorHAnsi" w:hAnsiTheme="minorHAnsi" w:cstheme="minorHAnsi"/>
          <w:sz w:val="22"/>
          <w:szCs w:val="22"/>
          <w:lang w:val="en-GB"/>
        </w:rPr>
        <w:t>3</w:t>
      </w:r>
      <w:r w:rsidR="00293792" w:rsidRPr="0078572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785729">
        <w:rPr>
          <w:rFonts w:asciiTheme="minorHAnsi" w:hAnsiTheme="minorHAnsi" w:cstheme="minorHAnsi"/>
          <w:sz w:val="22"/>
          <w:szCs w:val="22"/>
          <w:lang w:val="en-GB"/>
        </w:rPr>
        <w:t>to 5 years</w:t>
      </w:r>
      <w:r>
        <w:rPr>
          <w:rFonts w:asciiTheme="minorHAnsi" w:hAnsiTheme="minorHAnsi" w:cstheme="minorHAnsi"/>
          <w:sz w:val="22"/>
          <w:szCs w:val="22"/>
          <w:lang w:val="en-GB"/>
        </w:rPr>
        <w:t>, i</w:t>
      </w:r>
      <w:r w:rsidRPr="00785729">
        <w:rPr>
          <w:rFonts w:asciiTheme="minorHAnsi" w:hAnsiTheme="minorHAnsi" w:cstheme="minorHAnsi"/>
          <w:sz w:val="22"/>
          <w:szCs w:val="22"/>
          <w:lang w:val="en-GB"/>
        </w:rPr>
        <w:t>t’s a smart investment</w:t>
      </w:r>
      <w:r>
        <w:rPr>
          <w:rFonts w:asciiTheme="minorHAnsi" w:hAnsiTheme="minorHAnsi" w:cstheme="minorHAnsi"/>
          <w:sz w:val="22"/>
          <w:szCs w:val="22"/>
          <w:lang w:val="en-GB"/>
        </w:rPr>
        <w:t>.”</w:t>
      </w:r>
    </w:p>
    <w:p w14:paraId="1F3C35DC" w14:textId="77777777" w:rsidR="00FF6237" w:rsidRDefault="00FF623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D380859" w14:textId="469F18AF" w:rsidR="006A6A4C" w:rsidRDefault="006A6A4C" w:rsidP="00FF6237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JTF Fund</w:t>
      </w:r>
    </w:p>
    <w:p w14:paraId="47D90EAE" w14:textId="44E4810F" w:rsidR="000F4ABF" w:rsidRPr="006A6A4C" w:rsidRDefault="00FF6237" w:rsidP="00FF6237">
      <w:pPr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proofErr w:type="spellStart"/>
      <w:r w:rsidRPr="006A6A4C">
        <w:rPr>
          <w:rFonts w:asciiTheme="minorHAnsi" w:hAnsiTheme="minorHAnsi" w:cstheme="minorHAnsi"/>
          <w:i/>
          <w:iCs/>
          <w:sz w:val="22"/>
          <w:szCs w:val="22"/>
          <w:lang w:val="en-GB"/>
        </w:rPr>
        <w:t>Wattlab’s</w:t>
      </w:r>
      <w:proofErr w:type="spellEnd"/>
      <w:r w:rsidRPr="006A6A4C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Pr="006A6A4C">
        <w:rPr>
          <w:rFonts w:asciiTheme="minorHAnsi" w:hAnsiTheme="minorHAnsi" w:cstheme="minorHAnsi"/>
          <w:i/>
          <w:iCs/>
          <w:sz w:val="22"/>
          <w:szCs w:val="22"/>
          <w:lang w:val="en-GB"/>
        </w:rPr>
        <w:t>SolarDeck</w:t>
      </w:r>
      <w:proofErr w:type="spellEnd"/>
      <w:r w:rsidRPr="006A6A4C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pilot project has been co-financed by the European Unio</w:t>
      </w:r>
      <w:r w:rsidR="000F4ABF" w:rsidRPr="006A6A4C">
        <w:rPr>
          <w:rFonts w:asciiTheme="minorHAnsi" w:hAnsiTheme="minorHAnsi" w:cstheme="minorHAnsi"/>
          <w:i/>
          <w:iCs/>
          <w:sz w:val="22"/>
          <w:szCs w:val="22"/>
          <w:lang w:val="en-GB"/>
        </w:rPr>
        <w:t>n’s J</w:t>
      </w:r>
      <w:r w:rsidRPr="006A6A4C">
        <w:rPr>
          <w:rFonts w:asciiTheme="minorHAnsi" w:hAnsiTheme="minorHAnsi" w:cstheme="minorHAnsi"/>
          <w:i/>
          <w:iCs/>
          <w:sz w:val="22"/>
          <w:szCs w:val="22"/>
          <w:lang w:val="en-GB"/>
        </w:rPr>
        <w:t>ust</w:t>
      </w:r>
      <w:r w:rsidR="000F4ABF" w:rsidRPr="006A6A4C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6A6A4C">
        <w:rPr>
          <w:rFonts w:asciiTheme="minorHAnsi" w:hAnsiTheme="minorHAnsi" w:cstheme="minorHAnsi"/>
          <w:i/>
          <w:iCs/>
          <w:sz w:val="22"/>
          <w:szCs w:val="22"/>
          <w:lang w:val="en-GB"/>
        </w:rPr>
        <w:t>Transition Fund (JTF)</w:t>
      </w:r>
      <w:r w:rsidR="000F4ABF" w:rsidRPr="006A6A4C">
        <w:rPr>
          <w:rFonts w:asciiTheme="minorHAnsi" w:hAnsiTheme="minorHAnsi" w:cstheme="minorHAnsi"/>
          <w:i/>
          <w:iCs/>
          <w:sz w:val="22"/>
          <w:szCs w:val="22"/>
          <w:lang w:val="en-GB"/>
        </w:rPr>
        <w:t>.</w:t>
      </w:r>
      <w:r w:rsidR="008B4B53" w:rsidRPr="006A6A4C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The JTF is a new instrument of the Cohesion Policy 2021-2027, as the first pillar of the Just Transition Mechanism in the context of the European Green Deal aiming at achieving EU climate-neutrality by 2050.</w:t>
      </w:r>
    </w:p>
    <w:p w14:paraId="59D53EE3" w14:textId="77777777" w:rsidR="000F4ABF" w:rsidRDefault="000F4ABF" w:rsidP="00FF623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7F36B5A" w14:textId="5BB064B9" w:rsidR="00FF6237" w:rsidRDefault="00215F15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--------------------------------------------------------------------------------------------------------------------------------------</w:t>
      </w:r>
    </w:p>
    <w:p w14:paraId="2B72F7DB" w14:textId="77777777" w:rsidR="00215F15" w:rsidRPr="00215F15" w:rsidRDefault="00215F15" w:rsidP="00215F15">
      <w:pPr>
        <w:rPr>
          <w:rFonts w:asciiTheme="minorHAnsi" w:hAnsiTheme="minorHAnsi" w:cstheme="minorHAnsi"/>
          <w:b/>
          <w:bCs/>
          <w:sz w:val="18"/>
          <w:szCs w:val="18"/>
          <w:lang w:val="en-GB"/>
        </w:rPr>
      </w:pPr>
    </w:p>
    <w:p w14:paraId="4015801A" w14:textId="69819661" w:rsidR="00215F15" w:rsidRPr="00215F15" w:rsidRDefault="00215F15" w:rsidP="00215F15">
      <w:pPr>
        <w:rPr>
          <w:rFonts w:asciiTheme="minorHAnsi" w:hAnsiTheme="minorHAnsi" w:cstheme="minorHAnsi"/>
          <w:b/>
          <w:bCs/>
          <w:sz w:val="18"/>
          <w:szCs w:val="18"/>
          <w:lang w:val="en-GB"/>
        </w:rPr>
      </w:pPr>
      <w:r w:rsidRPr="00215F15">
        <w:rPr>
          <w:rFonts w:asciiTheme="minorHAnsi" w:hAnsiTheme="minorHAnsi" w:cstheme="minorHAnsi"/>
          <w:b/>
          <w:bCs/>
          <w:sz w:val="18"/>
          <w:szCs w:val="18"/>
          <w:lang w:val="en-GB"/>
        </w:rPr>
        <w:t>For more information, please contact:</w:t>
      </w:r>
    </w:p>
    <w:p w14:paraId="13E0383E" w14:textId="77777777" w:rsidR="00215F15" w:rsidRPr="00215F15" w:rsidRDefault="00215F15" w:rsidP="00215F15">
      <w:pPr>
        <w:rPr>
          <w:rFonts w:asciiTheme="minorHAnsi" w:hAnsiTheme="minorHAnsi" w:cstheme="minorHAnsi"/>
          <w:sz w:val="18"/>
          <w:szCs w:val="18"/>
          <w:lang w:val="en-GB"/>
        </w:rPr>
      </w:pPr>
      <w:r w:rsidRPr="00215F15">
        <w:rPr>
          <w:rFonts w:asciiTheme="minorHAnsi" w:hAnsiTheme="minorHAnsi" w:cstheme="minorHAnsi"/>
          <w:sz w:val="18"/>
          <w:szCs w:val="18"/>
          <w:lang w:val="en-GB"/>
        </w:rPr>
        <w:t>Bo Salet</w:t>
      </w:r>
    </w:p>
    <w:p w14:paraId="765A7FE6" w14:textId="77777777" w:rsidR="00215F15" w:rsidRPr="00215F15" w:rsidRDefault="00215F15" w:rsidP="00215F15">
      <w:pPr>
        <w:rPr>
          <w:rFonts w:asciiTheme="minorHAnsi" w:hAnsiTheme="minorHAnsi" w:cstheme="minorHAnsi"/>
          <w:sz w:val="18"/>
          <w:szCs w:val="18"/>
          <w:lang w:val="en-GB"/>
        </w:rPr>
      </w:pPr>
      <w:r w:rsidRPr="00215F15">
        <w:rPr>
          <w:rFonts w:asciiTheme="minorHAnsi" w:hAnsiTheme="minorHAnsi" w:cstheme="minorHAnsi"/>
          <w:sz w:val="18"/>
          <w:szCs w:val="18"/>
          <w:lang w:val="en-GB"/>
        </w:rPr>
        <w:t>CEO, Co-founder</w:t>
      </w:r>
      <w:r w:rsidRPr="00215F15">
        <w:rPr>
          <w:rFonts w:asciiTheme="minorHAnsi" w:hAnsiTheme="minorHAnsi" w:cstheme="minorHAnsi"/>
          <w:sz w:val="18"/>
          <w:szCs w:val="18"/>
          <w:lang w:val="en-GB"/>
        </w:rPr>
        <w:br/>
        <w:t>+316 19 88 17 85 </w:t>
      </w:r>
    </w:p>
    <w:p w14:paraId="08E9973D" w14:textId="77777777" w:rsidR="00215F15" w:rsidRPr="0079457E" w:rsidRDefault="00215F15" w:rsidP="00215F15">
      <w:pPr>
        <w:pStyle w:val="NoSpacing"/>
        <w:rPr>
          <w:lang w:val="en-GB"/>
        </w:rPr>
      </w:pPr>
      <w:r w:rsidRPr="0079457E">
        <w:rPr>
          <w:lang w:val="en-GB"/>
        </w:rPr>
        <w:t>+31 (0)8 50 04 32 75</w:t>
      </w:r>
    </w:p>
    <w:p w14:paraId="1BDA715A" w14:textId="045BBC3B" w:rsidR="00215F15" w:rsidRPr="00215F15" w:rsidRDefault="00215F15" w:rsidP="00215F15">
      <w:pPr>
        <w:rPr>
          <w:rFonts w:asciiTheme="minorHAnsi" w:hAnsiTheme="minorHAnsi" w:cstheme="minorHAnsi"/>
          <w:sz w:val="18"/>
          <w:szCs w:val="18"/>
          <w:lang w:val="en-GB"/>
        </w:rPr>
      </w:pPr>
      <w:hyperlink r:id="rId12" w:history="1">
        <w:r w:rsidRPr="00215F15">
          <w:rPr>
            <w:rStyle w:val="Hyperlink"/>
            <w:rFonts w:asciiTheme="minorHAnsi" w:hAnsiTheme="minorHAnsi" w:cstheme="minorHAnsi"/>
            <w:sz w:val="18"/>
            <w:szCs w:val="18"/>
            <w:lang w:val="en-GB"/>
          </w:rPr>
          <w:t>bo@wattlab.nl</w:t>
        </w:r>
      </w:hyperlink>
      <w:r w:rsidRPr="00215F15">
        <w:rPr>
          <w:rFonts w:asciiTheme="minorHAnsi" w:hAnsiTheme="minorHAnsi" w:cstheme="minorHAnsi"/>
          <w:sz w:val="18"/>
          <w:szCs w:val="18"/>
          <w:lang w:val="en-GB"/>
        </w:rPr>
        <w:t> </w:t>
      </w:r>
    </w:p>
    <w:p w14:paraId="263B4078" w14:textId="77777777" w:rsidR="00215F15" w:rsidRPr="0079457E" w:rsidRDefault="00215F15" w:rsidP="00215F15">
      <w:pPr>
        <w:rPr>
          <w:rFonts w:asciiTheme="minorHAnsi" w:hAnsiTheme="minorHAnsi" w:cstheme="minorHAnsi"/>
          <w:sz w:val="18"/>
          <w:szCs w:val="18"/>
          <w:lang w:val="en-GB"/>
        </w:rPr>
      </w:pPr>
      <w:hyperlink r:id="rId13" w:tgtFrame="_blank" w:history="1">
        <w:r w:rsidRPr="0079457E">
          <w:rPr>
            <w:rStyle w:val="Hyperlink"/>
            <w:rFonts w:asciiTheme="minorHAnsi" w:hAnsiTheme="minorHAnsi" w:cstheme="minorHAnsi"/>
            <w:sz w:val="18"/>
            <w:szCs w:val="18"/>
            <w:lang w:val="en-GB"/>
          </w:rPr>
          <w:t>www.wattlab.nl</w:t>
        </w:r>
      </w:hyperlink>
    </w:p>
    <w:p w14:paraId="6B4EE1F7" w14:textId="77777777" w:rsidR="00215F15" w:rsidRPr="0079457E" w:rsidRDefault="00215F15" w:rsidP="00215F15">
      <w:pPr>
        <w:pStyle w:val="NoSpacing"/>
        <w:rPr>
          <w:lang w:val="en-GB"/>
        </w:rPr>
      </w:pPr>
      <w:hyperlink r:id="rId14" w:history="1">
        <w:r w:rsidRPr="0079457E">
          <w:rPr>
            <w:rStyle w:val="Hyperlink"/>
            <w:rFonts w:asciiTheme="minorHAnsi" w:hAnsiTheme="minorHAnsi" w:cstheme="minorHAnsi"/>
            <w:lang w:val="en-GB"/>
          </w:rPr>
          <w:t>https://wattlab.nl/en/solarhatch</w:t>
        </w:r>
      </w:hyperlink>
    </w:p>
    <w:p w14:paraId="4C3FC25B" w14:textId="77777777" w:rsidR="00215F15" w:rsidRPr="0079457E" w:rsidRDefault="00215F15" w:rsidP="00215F15">
      <w:pPr>
        <w:pStyle w:val="NoSpacing"/>
        <w:rPr>
          <w:lang w:val="en-GB"/>
        </w:rPr>
      </w:pPr>
      <w:hyperlink r:id="rId15" w:history="1">
        <w:r w:rsidRPr="0079457E">
          <w:rPr>
            <w:rStyle w:val="Hyperlink"/>
            <w:rFonts w:asciiTheme="minorHAnsi" w:hAnsiTheme="minorHAnsi" w:cstheme="minorHAnsi"/>
            <w:lang w:val="en-GB"/>
          </w:rPr>
          <w:t>https://wattlab.nl/en/solardeck</w:t>
        </w:r>
      </w:hyperlink>
    </w:p>
    <w:p w14:paraId="4A250CF7" w14:textId="5023173B" w:rsidR="00215F15" w:rsidRPr="00215F15" w:rsidRDefault="00215F15" w:rsidP="00215F15">
      <w:pPr>
        <w:rPr>
          <w:rFonts w:asciiTheme="minorHAnsi" w:hAnsiTheme="minorHAnsi" w:cstheme="minorHAnsi"/>
          <w:sz w:val="18"/>
          <w:szCs w:val="18"/>
        </w:rPr>
      </w:pPr>
      <w:r w:rsidRPr="00215F15">
        <w:rPr>
          <w:rFonts w:asciiTheme="minorHAnsi" w:hAnsiTheme="minorHAnsi" w:cstheme="minorHAnsi"/>
          <w:sz w:val="18"/>
          <w:szCs w:val="18"/>
        </w:rPr>
        <w:t>De Kroon, Schiemond 20</w:t>
      </w:r>
    </w:p>
    <w:p w14:paraId="0A6F439D" w14:textId="77777777" w:rsidR="00215F15" w:rsidRPr="00215F15" w:rsidRDefault="00215F15" w:rsidP="00215F15">
      <w:pPr>
        <w:rPr>
          <w:rFonts w:asciiTheme="minorHAnsi" w:hAnsiTheme="minorHAnsi" w:cstheme="minorHAnsi"/>
          <w:sz w:val="18"/>
          <w:szCs w:val="18"/>
        </w:rPr>
      </w:pPr>
      <w:r w:rsidRPr="00215F15">
        <w:rPr>
          <w:rFonts w:asciiTheme="minorHAnsi" w:hAnsiTheme="minorHAnsi" w:cstheme="minorHAnsi"/>
          <w:sz w:val="18"/>
          <w:szCs w:val="18"/>
        </w:rPr>
        <w:t>3024 EE Rotterdam</w:t>
      </w:r>
    </w:p>
    <w:p w14:paraId="25CAC354" w14:textId="77777777" w:rsidR="00215F15" w:rsidRPr="00215F15" w:rsidRDefault="00215F15" w:rsidP="00215F15">
      <w:pPr>
        <w:pStyle w:val="NoSpacing"/>
      </w:pPr>
      <w:r w:rsidRPr="00215F15">
        <w:t>The Netherlands</w:t>
      </w:r>
    </w:p>
    <w:p w14:paraId="4811AC59" w14:textId="77777777" w:rsidR="00215F15" w:rsidRPr="00215F15" w:rsidRDefault="00215F15">
      <w:pPr>
        <w:rPr>
          <w:rFonts w:asciiTheme="minorHAnsi" w:hAnsiTheme="minorHAnsi" w:cstheme="minorHAnsi"/>
          <w:sz w:val="18"/>
          <w:szCs w:val="18"/>
        </w:rPr>
      </w:pPr>
    </w:p>
    <w:p w14:paraId="09C653B8" w14:textId="37AF036C" w:rsidR="00215F15" w:rsidRPr="00215F15" w:rsidRDefault="00215F15" w:rsidP="00215F15">
      <w:pPr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t>-----------------------------</w:t>
      </w:r>
      <w:r w:rsidRPr="00215F15">
        <w:rPr>
          <w:rFonts w:asciiTheme="minorHAnsi" w:hAnsiTheme="minorHAnsi" w:cstheme="minorHAnsi"/>
          <w:sz w:val="18"/>
          <w:szCs w:val="18"/>
          <w:lang w:val="en-GB"/>
        </w:rPr>
        <w:t>--------------------------------------------------------------------------------------------------------------------------------------</w:t>
      </w:r>
    </w:p>
    <w:p w14:paraId="2368E282" w14:textId="77777777" w:rsidR="00215F15" w:rsidRPr="00215F15" w:rsidRDefault="00215F15">
      <w:pPr>
        <w:rPr>
          <w:rFonts w:asciiTheme="minorHAnsi" w:hAnsiTheme="minorHAnsi" w:cstheme="minorHAnsi"/>
          <w:sz w:val="18"/>
          <w:szCs w:val="18"/>
          <w:lang w:val="en-GB"/>
        </w:rPr>
      </w:pPr>
    </w:p>
    <w:sectPr w:rsidR="00215F15" w:rsidRPr="00215F15" w:rsidSect="00215F15">
      <w:pgSz w:w="11906" w:h="16838"/>
      <w:pgMar w:top="851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1E6"/>
    <w:multiLevelType w:val="multilevel"/>
    <w:tmpl w:val="E4BC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302FA"/>
    <w:multiLevelType w:val="hybridMultilevel"/>
    <w:tmpl w:val="BD04CC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6BE4"/>
    <w:multiLevelType w:val="hybridMultilevel"/>
    <w:tmpl w:val="9490C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94AF9"/>
    <w:multiLevelType w:val="hybridMultilevel"/>
    <w:tmpl w:val="CBC84BDA"/>
    <w:lvl w:ilvl="0" w:tplc="69D0EC08">
      <w:start w:val="1"/>
      <w:numFmt w:val="bullet"/>
      <w:lvlText w:val="●"/>
      <w:lvlJc w:val="left"/>
      <w:pPr>
        <w:ind w:left="720" w:hanging="360"/>
      </w:pPr>
    </w:lvl>
    <w:lvl w:ilvl="1" w:tplc="9F1A312C">
      <w:start w:val="1"/>
      <w:numFmt w:val="bullet"/>
      <w:lvlText w:val="○"/>
      <w:lvlJc w:val="left"/>
      <w:pPr>
        <w:ind w:left="1440" w:hanging="360"/>
      </w:pPr>
    </w:lvl>
    <w:lvl w:ilvl="2" w:tplc="C35ADCB0">
      <w:start w:val="1"/>
      <w:numFmt w:val="bullet"/>
      <w:lvlText w:val="■"/>
      <w:lvlJc w:val="left"/>
      <w:pPr>
        <w:ind w:left="2160" w:hanging="360"/>
      </w:pPr>
    </w:lvl>
    <w:lvl w:ilvl="3" w:tplc="D5E8B4D2">
      <w:start w:val="1"/>
      <w:numFmt w:val="bullet"/>
      <w:lvlText w:val="●"/>
      <w:lvlJc w:val="left"/>
      <w:pPr>
        <w:ind w:left="2880" w:hanging="360"/>
      </w:pPr>
    </w:lvl>
    <w:lvl w:ilvl="4" w:tplc="58AC34DA">
      <w:start w:val="1"/>
      <w:numFmt w:val="bullet"/>
      <w:lvlText w:val="○"/>
      <w:lvlJc w:val="left"/>
      <w:pPr>
        <w:ind w:left="3600" w:hanging="360"/>
      </w:pPr>
    </w:lvl>
    <w:lvl w:ilvl="5" w:tplc="F4563B52">
      <w:start w:val="1"/>
      <w:numFmt w:val="bullet"/>
      <w:lvlText w:val="■"/>
      <w:lvlJc w:val="left"/>
      <w:pPr>
        <w:ind w:left="4320" w:hanging="360"/>
      </w:pPr>
    </w:lvl>
    <w:lvl w:ilvl="6" w:tplc="2D1E2DBA">
      <w:start w:val="1"/>
      <w:numFmt w:val="bullet"/>
      <w:lvlText w:val="●"/>
      <w:lvlJc w:val="left"/>
      <w:pPr>
        <w:ind w:left="5040" w:hanging="360"/>
      </w:pPr>
    </w:lvl>
    <w:lvl w:ilvl="7" w:tplc="893EAEF6">
      <w:start w:val="1"/>
      <w:numFmt w:val="bullet"/>
      <w:lvlText w:val="●"/>
      <w:lvlJc w:val="left"/>
      <w:pPr>
        <w:ind w:left="5760" w:hanging="360"/>
      </w:pPr>
    </w:lvl>
    <w:lvl w:ilvl="8" w:tplc="8D38161A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5BE11110"/>
    <w:multiLevelType w:val="multilevel"/>
    <w:tmpl w:val="8938D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3E6E91"/>
    <w:multiLevelType w:val="multilevel"/>
    <w:tmpl w:val="DBF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353034">
    <w:abstractNumId w:val="3"/>
    <w:lvlOverride w:ilvl="0">
      <w:startOverride w:val="1"/>
    </w:lvlOverride>
  </w:num>
  <w:num w:numId="2" w16cid:durableId="1396316364">
    <w:abstractNumId w:val="4"/>
  </w:num>
  <w:num w:numId="3" w16cid:durableId="1687823099">
    <w:abstractNumId w:val="2"/>
  </w:num>
  <w:num w:numId="4" w16cid:durableId="449907005">
    <w:abstractNumId w:val="1"/>
  </w:num>
  <w:num w:numId="5" w16cid:durableId="526069260">
    <w:abstractNumId w:val="0"/>
  </w:num>
  <w:num w:numId="6" w16cid:durableId="588004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EB2"/>
    <w:rsid w:val="00005B85"/>
    <w:rsid w:val="0002105F"/>
    <w:rsid w:val="000E1816"/>
    <w:rsid w:val="000F4ABF"/>
    <w:rsid w:val="00136DE2"/>
    <w:rsid w:val="0016668C"/>
    <w:rsid w:val="001A7077"/>
    <w:rsid w:val="00215F15"/>
    <w:rsid w:val="00251771"/>
    <w:rsid w:val="00256BAD"/>
    <w:rsid w:val="0027171F"/>
    <w:rsid w:val="00293792"/>
    <w:rsid w:val="002D2C6F"/>
    <w:rsid w:val="00314424"/>
    <w:rsid w:val="003A0DB4"/>
    <w:rsid w:val="00407F0F"/>
    <w:rsid w:val="004266C9"/>
    <w:rsid w:val="004876A9"/>
    <w:rsid w:val="00495237"/>
    <w:rsid w:val="004A31F1"/>
    <w:rsid w:val="004C502A"/>
    <w:rsid w:val="005038F4"/>
    <w:rsid w:val="005413B2"/>
    <w:rsid w:val="005F0FF3"/>
    <w:rsid w:val="00614890"/>
    <w:rsid w:val="006170D9"/>
    <w:rsid w:val="00642D01"/>
    <w:rsid w:val="00677A70"/>
    <w:rsid w:val="00696E56"/>
    <w:rsid w:val="006A6A4C"/>
    <w:rsid w:val="006C1F39"/>
    <w:rsid w:val="006D04CE"/>
    <w:rsid w:val="006F684E"/>
    <w:rsid w:val="0070323D"/>
    <w:rsid w:val="00785729"/>
    <w:rsid w:val="0079457E"/>
    <w:rsid w:val="007D0220"/>
    <w:rsid w:val="0081104D"/>
    <w:rsid w:val="00896252"/>
    <w:rsid w:val="008B4B53"/>
    <w:rsid w:val="008E280B"/>
    <w:rsid w:val="00917815"/>
    <w:rsid w:val="009531B7"/>
    <w:rsid w:val="00955425"/>
    <w:rsid w:val="00955EB2"/>
    <w:rsid w:val="009746E6"/>
    <w:rsid w:val="009747EB"/>
    <w:rsid w:val="00977B3A"/>
    <w:rsid w:val="00984309"/>
    <w:rsid w:val="009C0CAB"/>
    <w:rsid w:val="00A31719"/>
    <w:rsid w:val="00A32AC9"/>
    <w:rsid w:val="00A7395B"/>
    <w:rsid w:val="00A838C6"/>
    <w:rsid w:val="00AB36DA"/>
    <w:rsid w:val="00AC233F"/>
    <w:rsid w:val="00AD20F9"/>
    <w:rsid w:val="00B039D5"/>
    <w:rsid w:val="00B15E3E"/>
    <w:rsid w:val="00BC6A04"/>
    <w:rsid w:val="00C546EE"/>
    <w:rsid w:val="00D1017B"/>
    <w:rsid w:val="00D13C2A"/>
    <w:rsid w:val="00D62660"/>
    <w:rsid w:val="00DC598B"/>
    <w:rsid w:val="00E81C4C"/>
    <w:rsid w:val="00ED38E6"/>
    <w:rsid w:val="00EE2B27"/>
    <w:rsid w:val="00EE4301"/>
    <w:rsid w:val="00F23E10"/>
    <w:rsid w:val="00F46FE7"/>
    <w:rsid w:val="00F7142E"/>
    <w:rsid w:val="00FC2729"/>
    <w:rsid w:val="00FD1E4C"/>
    <w:rsid w:val="00FE2E68"/>
    <w:rsid w:val="00FF3DA6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7D62A"/>
  <w15:docId w15:val="{7C83C233-E0F7-4E70-AB76-1500FFD7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5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B8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B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B8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05B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76A9"/>
  </w:style>
  <w:style w:type="paragraph" w:styleId="NoSpacing">
    <w:name w:val="No Spacing"/>
    <w:autoRedefine/>
    <w:uiPriority w:val="1"/>
    <w:qFormat/>
    <w:rsid w:val="00215F15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attlab.n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o@wattlab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3c542e31-1544-48a1-a5c1-619604c3b637" TargetMode="External"/><Relationship Id="rId5" Type="http://schemas.openxmlformats.org/officeDocument/2006/relationships/styles" Target="styles.xml"/><Relationship Id="rId15" Type="http://schemas.openxmlformats.org/officeDocument/2006/relationships/hyperlink" Target="https://wattlab.nl/en/solardeck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attlab.nl/en/solarha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ac54fd-d7f6-45b5-abb6-3311d73a4cd6">
      <Terms xmlns="http://schemas.microsoft.com/office/infopath/2007/PartnerControls"/>
    </lcf76f155ced4ddcb4097134ff3c332f>
    <TaxCatchAll xmlns="93f65047-73f6-4f0d-88bc-f6d4be4660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C044EFD9AC545A83587AA7B969477" ma:contentTypeVersion="13" ma:contentTypeDescription="Een nieuw document maken." ma:contentTypeScope="" ma:versionID="349a5ba7b0a6d3d5e8a31f136cdab4d2">
  <xsd:schema xmlns:xsd="http://www.w3.org/2001/XMLSchema" xmlns:xs="http://www.w3.org/2001/XMLSchema" xmlns:p="http://schemas.microsoft.com/office/2006/metadata/properties" xmlns:ns2="f7ac54fd-d7f6-45b5-abb6-3311d73a4cd6" xmlns:ns3="93f65047-73f6-4f0d-88bc-f6d4be4660bc" targetNamespace="http://schemas.microsoft.com/office/2006/metadata/properties" ma:root="true" ma:fieldsID="59cafd0a36b9cc8b469524f256be03c5" ns2:_="" ns3:_="">
    <xsd:import namespace="f7ac54fd-d7f6-45b5-abb6-3311d73a4cd6"/>
    <xsd:import namespace="93f65047-73f6-4f0d-88bc-f6d4be466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c54fd-d7f6-45b5-abb6-3311d73a4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896bd99-9f3f-4c58-a247-d0b625429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65047-73f6-4f0d-88bc-f6d4be4660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be0886-cfe1-4632-ac63-199f0366be12}" ma:internalName="TaxCatchAll" ma:showField="CatchAllData" ma:web="93f65047-73f6-4f0d-88bc-f6d4be466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76B7C-4B1A-4810-B215-8FC847B4108A}">
  <ds:schemaRefs>
    <ds:schemaRef ds:uri="http://schemas.microsoft.com/office/2006/metadata/properties"/>
    <ds:schemaRef ds:uri="http://schemas.microsoft.com/office/infopath/2007/PartnerControls"/>
    <ds:schemaRef ds:uri="f7ac54fd-d7f6-45b5-abb6-3311d73a4cd6"/>
    <ds:schemaRef ds:uri="93f65047-73f6-4f0d-88bc-f6d4be4660bc"/>
  </ds:schemaRefs>
</ds:datastoreItem>
</file>

<file path=customXml/itemProps2.xml><?xml version="1.0" encoding="utf-8"?>
<ds:datastoreItem xmlns:ds="http://schemas.openxmlformats.org/officeDocument/2006/customXml" ds:itemID="{08142F98-7CDE-479B-B19F-2913FAFD0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E2AA7-3DCC-4037-A513-1F768E768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c54fd-d7f6-45b5-abb6-3311d73a4cd6"/>
    <ds:schemaRef ds:uri="93f65047-73f6-4f0d-88bc-f6d4be466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Bo1</vt:lpstr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Bo1</dc:title>
  <dc:creator>TurboScribe.ai</dc:creator>
  <cp:lastModifiedBy>Jan-Hein Reeringh | Maritime Marketeer</cp:lastModifiedBy>
  <cp:revision>3</cp:revision>
  <dcterms:created xsi:type="dcterms:W3CDTF">2025-04-29T09:53:00Z</dcterms:created>
  <dcterms:modified xsi:type="dcterms:W3CDTF">2025-04-29T13:59:00Z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0x01010013AC044EFD9AC545A83587AA7B969477</vt:lpwstr>
  </property>
  <property fmtid="{D5CDD505-2E9C-101B-9397-08002B2CF9AE}" pid="3" name="MediaServiceImageTags">
    <vt:lpwstr/>
  </property>
</Properties>
</file>