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2563EB"/>
          <w:sz w:val="18"/>
          <w:szCs w:val="18"/>
        </w:rPr>
        <w:t xml:space="preserve">PM GROWTH LAB — FREE TEMPLATE</w:t>
      </w:r>
    </w:p>
    <w:p>
      <w:pPr>
        <w:pStyle w:val="Heading1"/>
        <w:spacing w:after="80"/>
      </w:pPr>
      <w:r>
        <w:rPr>
          <w:b/>
          <w:bCs/>
          <w:color w:val="0F172A"/>
        </w:rPr>
        <w:t xml:space="preserve">Stakeholder Matrix</w:t>
      </w:r>
    </w:p>
    <w:p>
      <w:pPr>
        <w:pBdr>
          <w:bottom w:val="single" w:color="CBD5E1" w:sz="6" w:space="8"/>
        </w:pBdr>
        <w:spacing w:after="200"/>
      </w:pPr>
      <w:r>
        <w:rPr>
          <w:i/>
          <w:iCs/>
          <w:color w:val="475569"/>
          <w:sz w:val="22"/>
          <w:szCs w:val="22"/>
        </w:rPr>
        <w:t xml:space="preserve">Map power vs. interest to prioritize communication with the right people, at the right frequency.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Power / Interest Quadrants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High Power / High Interest — Manage closely, involve in decisions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High Power / Low Interest — Keep satisfied, brief on major changes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Low Power / High Interest — Keep informed, use as champions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Low Power / Low Interest — Monitor, minimal effort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Stakeholder Analysis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1400"/>
        <w:gridCol w:w="1100"/>
        <w:gridCol w:w="800"/>
        <w:gridCol w:w="800"/>
        <w:gridCol w:w="1400"/>
        <w:gridCol w:w="2260"/>
        <w:gridCol w:w="800"/>
      </w:tblGrid>
      <w:tr>
        <w:trPr>
          <w:tblHeader/>
        </w:trPr>
        <w:tc>
          <w:tcPr>
            <w:tcW w:type="dxa" w:w="14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Stakeholder</w:t>
            </w:r>
          </w:p>
        </w:tc>
        <w:tc>
          <w:tcPr>
            <w:tcW w:type="dxa" w:w="11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8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Power</w:t>
            </w:r>
          </w:p>
        </w:tc>
        <w:tc>
          <w:tcPr>
            <w:tcW w:type="dxa" w:w="8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Interest</w:t>
            </w:r>
          </w:p>
        </w:tc>
        <w:tc>
          <w:tcPr>
            <w:tcW w:type="dxa" w:w="14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Quadrant</w:t>
            </w:r>
          </w:p>
        </w:tc>
        <w:tc>
          <w:tcPr>
            <w:tcW w:type="dxa" w:w="226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Engagement Strategy</w:t>
            </w:r>
          </w:p>
        </w:tc>
        <w:tc>
          <w:tcPr>
            <w:tcW w:type="dxa" w:w="8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Comm. Frequency</w:t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Bdr>
          <w:top w:val="single" w:color="CBD5E1" w:sz="6" w:space="8"/>
        </w:pBdr>
        <w:spacing w:before="300"/>
      </w:pPr>
      <w:r>
        <w:rPr>
          <w:i/>
          <w:iCs/>
          <w:color w:val="94A3B8"/>
          <w:sz w:val="18"/>
          <w:szCs w:val="18"/>
        </w:rPr>
        <w:t xml:space="preserve">Free template by Anzhela Ayvazyan, PMP — PM Growth Lab. Not for resale. pmgrowthlab.com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2026-07-16T12:17:49.028Z</dcterms:created>
  <dcterms:modified xsi:type="dcterms:W3CDTF">2026-07-16T12:17:49.028Z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