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Arial" w:cs="Arial" w:eastAsia="Arial" w:hAnsi="Arial"/>
          <w:b/>
          <w:bCs/>
          <w:color w:val="0F2D71"/>
          <w:sz w:val="28"/>
          <w:szCs w:val="28"/>
        </w:rPr>
        <w:t xml:space="preserve">İŞLETME DEVİR VE TESLİM TUTANAĞI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İşbu İşletme Devir ve Teslim Tutanağı (“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Tutanak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”),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tarihli İşletme Devir Sözleşmesi (“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Devir Sözleşmesi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”) kapsamında, aşağıda bilgileri bulunan Satıcı ile Alıcı arasında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tarihinde düzenlenmiştir.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TARAFLAR</w:t>
      </w:r>
    </w:p>
    <w:p>
      <w:pPr>
        <w:keepNext/>
        <w:spacing w:after="100" w:before="18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SATICI / DEVREDEN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Adı Soyadı / Ticaret Unvanı: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T.C. Kimlik No / Vergi No: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Yetkili: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/>
        <w:spacing w:after="100" w:before="18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ALICI / DEVRALAN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Adı Soyadı / Ticaret Unvanı: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T.C. Kimlik No / Vergi No: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Yetkili: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İŞLETME BİLGİLERİ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İşletme / Marka Adı: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İşletme Adresi: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Faaliyet Konusu: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Teslim Tarihi: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Taraflar, yukarıda belirtilen işletmenin Devir Sözleşmesi uyarınca fiilî teslimini işbu Tutanak ile kayıt altına almaktadır.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İŞLETMENİN FİİLÎ TESLİMİ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3.1. Satıcı, işletmeyi Devir Sözleşmesi’nde belirlenen kapsamda Alıcı’ya teslim etmiş; Alıcı da aşağıda belirtilen kayıt, açıklama ve çekinceler saklı kalmak üzere işletmenin fiilî teslimini kabul etmiştir.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3.2. Teslim anı itibarıyla işletmenin genel fiziki durumu:</w:t>
      </w:r>
    </w:p>
    <w:p>
      <w:pPr>
        <w:pBdr>
          <w:bottom w:val="single" w:color="9CA3AF" w:sz="4" w:space="1"/>
        </w:pBdr>
        <w:spacing w:after="4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CA3AF" w:sz="4" w:space="1"/>
        </w:pBdr>
        <w:spacing w:after="40" w:before="200"/>
      </w:pPr>
      <w:r>
        <w:rPr>
          <w:rFonts w:ascii="Arial" w:cs="Arial" w:eastAsia="Arial" w:hAnsi="Arial"/>
        </w:rPr>
        <w:t xml:space="preserve"> 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3.3. Teslim sırasında tespit edilen hasar, eksiklik veya ayıplar: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Bulunmamaktadır.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Aşağıdaki hususlar tespit edilmiştir:</w:t>
      </w:r>
    </w:p>
    <w:p>
      <w:pPr>
        <w:pBdr>
          <w:bottom w:val="single" w:color="9CA3AF" w:sz="4" w:space="1"/>
        </w:pBdr>
        <w:spacing w:after="40" w:before="200"/>
        <w:ind w:left="85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CA3AF" w:sz="4" w:space="1"/>
        </w:pBdr>
        <w:spacing w:after="40" w:before="200"/>
        <w:ind w:left="85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CA3AF" w:sz="4" w:space="1"/>
        </w:pBdr>
        <w:spacing w:after="40" w:before="200"/>
        <w:ind w:left="850"/>
      </w:pPr>
      <w:r>
        <w:rPr>
          <w:rFonts w:ascii="Arial" w:cs="Arial" w:eastAsia="Arial" w:hAnsi="Arial"/>
        </w:rPr>
        <w:t xml:space="preserve"> 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3.4. Tespit edilen eksikliklerin giderilmesine ilişkin mutabakat:</w:t>
      </w:r>
    </w:p>
    <w:p>
      <w:pPr>
        <w:pBdr>
          <w:bottom w:val="single" w:color="9CA3AF" w:sz="4" w:space="1"/>
        </w:pBdr>
        <w:spacing w:after="4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CA3AF" w:sz="4" w:space="1"/>
        </w:pBdr>
        <w:spacing w:after="40" w:before="200"/>
      </w:pPr>
      <w:r>
        <w:rPr>
          <w:rFonts w:ascii="Arial" w:cs="Arial" w:eastAsia="Arial" w:hAnsi="Arial"/>
        </w:rPr>
        <w:t xml:space="preserve"> 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ANAHTAR VE FİZİKİ ERİŞİM ARAÇLARI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edilen anahtar ve erişim araçları: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31"/>
        <w:gridCol w:w="2453"/>
        <w:gridCol w:w="2453"/>
      </w:tblGrid>
      <w:tr>
        <w:trPr>
          <w:tblHeader/>
        </w:trPr>
        <w:tc>
          <w:tcPr>
            <w:tcW w:type="dxa" w:w="473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Teslim Edilen</w:t>
            </w: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Adet</w:t>
            </w: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Açıklama</w:t>
            </w:r>
          </w:p>
        </w:tc>
      </w:tr>
      <w:tr>
        <w:trPr>
          <w:trHeight w:val="420" w:hRule="atLeast"/>
        </w:trPr>
        <w:tc>
          <w:tcPr>
            <w:tcW w:type="dxa" w:w="473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İşletme giriş anahtarı</w:t>
            </w: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73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Kepenk / güvenlik anahtarı</w:t>
            </w: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73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Depo anahtarı</w:t>
            </w: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73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Kasa anahtarı</w:t>
            </w: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73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Otopark / bariyer kumandası</w:t>
            </w: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73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Alarm kumandası / kartı</w:t>
            </w: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73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Personel giriş kartları</w:t>
            </w: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73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Diğer</w:t>
            </w: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45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</w:tbl>
    <w:p>
      <w:pPr>
        <w:spacing w:after="100"/>
      </w:pP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Taraflar, yukarıdaki anahtar ve erişim araçlarının Alıcı’ya teslim edildiğini kabul eder.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DEMİRBAŞ VE EKİPMANLAR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5.1. Devir Sözleşmesi’nin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Ek-1 Devir Kapsamındaki Demirbaş ve Ekipman Listesi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'nde yer alan demirbaşlar taraflarca birlikte kontrol edilmiştir.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5.2. Demirbaşlar bakımından: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Ek-1’de yer alan demirbaşların tamamı eksiksiz olarak teslim edilmiştir.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Aşağıdaki demirbaşlar eksik veya farklı durumdadır: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8"/>
        <w:gridCol w:w="2248"/>
        <w:gridCol w:w="2248"/>
      </w:tblGrid>
      <w:tr>
        <w:trPr>
          <w:tblHeader/>
        </w:trPr>
        <w:tc>
          <w:tcPr>
            <w:tcW w:type="dxa" w:w="2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Demirbaş / Ekipman</w:t>
            </w: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Beklenen Durum</w:t>
            </w: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Teslim Durumu</w:t>
            </w: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Açıklama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4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</w:tbl>
    <w:p>
      <w:pPr>
        <w:spacing w:after="100"/>
      </w:pP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5.3. Leasing, kiralama, konsinye veya benzeri sebeplerle üçüncü kişilere ait ekipmanlar: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Bulunmamaktadır.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Aşağıdaki ekipmanlar üçüncü kişilere aittir:</w:t>
      </w:r>
    </w:p>
    <w:p>
      <w:pPr>
        <w:pBdr>
          <w:bottom w:val="single" w:color="9CA3AF" w:sz="4" w:space="1"/>
        </w:pBdr>
        <w:spacing w:after="40" w:before="200"/>
        <w:ind w:left="425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CA3AF" w:sz="4" w:space="1"/>
        </w:pBdr>
        <w:spacing w:after="40" w:before="200"/>
        <w:ind w:left="425"/>
      </w:pPr>
      <w:r>
        <w:rPr>
          <w:rFonts w:ascii="Arial" w:cs="Arial" w:eastAsia="Arial" w:hAnsi="Arial"/>
        </w:rPr>
        <w:t xml:space="preserve"> 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STOKLAR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6.1. Teslim tarihinde işletmede bulunan ve devir kapsamına dâhil olan stoklar taraflarca kontrol edilmiştir.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Stoklar Devir Sözleşmesi’nde belirlenen bedelin içerisindedir.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Stoklar ayrıca sayılmış ve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 TL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olarak değerlenmiştir.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C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Stoklar devir kapsamına dâhil değildir.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6.2. Bozuk, son kullanma tarihi geçmiş, kullanılamaz veya devir kapsamı dışında kalan stoklar:</w:t>
      </w:r>
    </w:p>
    <w:p>
      <w:pPr>
        <w:pBdr>
          <w:bottom w:val="single" w:color="9CA3AF" w:sz="4" w:space="1"/>
        </w:pBdr>
        <w:spacing w:after="4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CA3AF" w:sz="4" w:space="1"/>
        </w:pBdr>
        <w:spacing w:after="40" w:before="200"/>
      </w:pPr>
      <w:r>
        <w:rPr>
          <w:rFonts w:ascii="Arial" w:cs="Arial" w:eastAsia="Arial" w:hAnsi="Arial"/>
        </w:rPr>
        <w:t xml:space="preserve"> 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KASA, POS VE MALİ CİHAZLAR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durumu: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Kasa Mevcudu: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Kasa Mevcudunun Ait Olduğu Taraf: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Satıcı / Alıcı / Diğer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POS Cihazı Sayısı: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POS Bankası/Banka Bilgisi: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Ödeme Kaydedici Cihaz / Yazar Kasa: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Seri No: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Diğer Mali Cihazlar: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7.1. Satıcı’ya ait banka hesabı, POS üye işyeri ilişkisi veya ödeme kuruluşu hesabı, ilgili banka/ödeme kuruluşunun ayrıca onayı veya yeni sözleşmesi olmaksızın Alıcı’ya devredilmiş sayılmaz.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7.2. Tarafların birbirlerine ait banka, ödeme ve finans kuruluşu hesaplarını mevzuata veya ilgili hizmet şartlarına aykırı biçimde kullanmaları mümkün değildir.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SAYAÇ VE ABONELİK BİLGİLERİ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tarihinde sayaç değerleri aşağıdaki gibidir: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2909"/>
        <w:gridCol w:w="2545"/>
        <w:gridCol w:w="2545"/>
      </w:tblGrid>
      <w:tr>
        <w:trPr>
          <w:tblHeader/>
        </w:trPr>
        <w:tc>
          <w:tcPr>
            <w:tcW w:type="dxa" w:w="163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Abonelik</w:t>
            </w:r>
          </w:p>
        </w:tc>
        <w:tc>
          <w:tcPr>
            <w:tcW w:type="dxa" w:w="290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Abone / Sayaç No</w:t>
            </w:r>
          </w:p>
        </w:tc>
        <w:tc>
          <w:tcPr>
            <w:tcW w:type="dxa" w:w="25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Son Endeks</w:t>
            </w:r>
          </w:p>
        </w:tc>
        <w:tc>
          <w:tcPr>
            <w:tcW w:type="dxa" w:w="25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Tarih</w:t>
            </w:r>
          </w:p>
        </w:tc>
      </w:tr>
      <w:tr>
        <w:trPr>
          <w:trHeight w:val="420" w:hRule="atLeast"/>
        </w:trPr>
        <w:tc>
          <w:tcPr>
            <w:tcW w:type="dxa" w:w="163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Elektrik</w:t>
            </w:r>
          </w:p>
        </w:tc>
        <w:tc>
          <w:tcPr>
            <w:tcW w:type="dxa" w:w="290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5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5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163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Su</w:t>
            </w:r>
          </w:p>
        </w:tc>
        <w:tc>
          <w:tcPr>
            <w:tcW w:type="dxa" w:w="290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5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5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163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Doğal Gaz</w:t>
            </w:r>
          </w:p>
        </w:tc>
        <w:tc>
          <w:tcPr>
            <w:tcW w:type="dxa" w:w="290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5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5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163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Diğer</w:t>
            </w:r>
          </w:p>
        </w:tc>
        <w:tc>
          <w:tcPr>
            <w:tcW w:type="dxa" w:w="290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5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54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</w:tbl>
    <w:p>
      <w:pPr>
        <w:spacing w:after="100"/>
      </w:pP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Mevcut internet / telefon abonelikleri: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Aboneliklerin devri veya kapatılması konusunda kararlaştırılan yöntem:</w:t>
      </w:r>
    </w:p>
    <w:p>
      <w:pPr>
        <w:pBdr>
          <w:bottom w:val="single" w:color="9CA3AF" w:sz="4" w:space="1"/>
        </w:pBdr>
        <w:spacing w:after="4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CA3AF" w:sz="4" w:space="1"/>
        </w:pBdr>
        <w:spacing w:after="40" w:before="200"/>
      </w:pPr>
      <w:r>
        <w:rPr>
          <w:rFonts w:ascii="Arial" w:cs="Arial" w:eastAsia="Arial" w:hAnsi="Arial"/>
        </w:rPr>
        <w:t xml:space="preserve"> 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tarihinden önceki kullanıma ilişkin tüketim bedellerinin ekonomik sorumluluğu Satıcı’ya; teslim tarihinden sonraki kullanıma ilişkin bedeller ise Alıcı’ya aittir. Kanundan veya ilgili hizmet sağlayıcıyla olan sözleşmeden doğan üçüncü kişilere karşı sorumluluklar saklıdır.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KİRA İLİŞKİSİ VE KİRALANAN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9.1. İşletmenin bulunduğu taşınmaz: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Satıcı’nın mülkiyetindedir.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Kiralıktır.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9.2. Kiralık olması hâlinde: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Kiraya Veren: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 Bedeli: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TL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Depozito: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Kiraya Veren Yazılı Onay Tarihi: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RUHSAT, İZİN VE BELGELER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Aşağıdaki belgelerin asılları/kopyaları Alıcı’ya teslim edilmiştir: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64"/>
        <w:gridCol w:w="2286"/>
        <w:gridCol w:w="2286"/>
      </w:tblGrid>
      <w:tr>
        <w:trPr>
          <w:tblHeader/>
        </w:trPr>
        <w:tc>
          <w:tcPr>
            <w:tcW w:type="dxa" w:w="506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Belge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Teslim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Açıklama</w:t>
            </w:r>
          </w:p>
        </w:tc>
      </w:tr>
      <w:tr>
        <w:trPr>
          <w:trHeight w:val="420" w:hRule="atLeast"/>
        </w:trPr>
        <w:tc>
          <w:tcPr>
            <w:tcW w:type="dxa" w:w="506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İşyeri Açma ve Çalışma Ruhsatı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506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Vergi Levhası / ilgili kayıtlar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506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Faaliyet izinleri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506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Yangın / itfaiye belgeleri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506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Hijyen / gıda belgeleri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506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Franchise / bayilik belgeleri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506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Garanti / servis belgeleri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506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Teknik dokümanlar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506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Diğer</w:t>
            </w: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8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</w:tbl>
    <w:p>
      <w:pPr>
        <w:spacing w:after="100"/>
      </w:pP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10.1. Niteliği gereği kişiye veya tüzel kişiye bağlı olan ve doğrudan devredilemeyen ruhsat veya izinlerin teslim edilmiş olması, ilgili ruhsat veya iznin hukuken Alıcı’ya geçtiği anlamına gelmez.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11. DİJİTAL VARLIKLAR VE ELEKTRONİK ERİŞİMLER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Taraflar aşağıdaki dijital varlıkların Devir Sözleşmesi kapsamında teslim/devir durumunu kontrol etmiştir: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24"/>
        <w:gridCol w:w="3002"/>
        <w:gridCol w:w="2212"/>
      </w:tblGrid>
      <w:tr>
        <w:trPr>
          <w:tblHeader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Dijital Varlık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Teslim/Devir Durumu</w:t>
            </w: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Açıklama</w:t>
            </w: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Alan adı / Domain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İnternet sitesi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Instagram hesabı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Facebook hesabı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TikTok hesabı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Google İşletme Profili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WhatsApp Business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İşletme e-posta hesapları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Yemek / sipariş platformları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Rezervasyon sistemleri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Yazılım / SaaS hesapları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442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</w:rPr>
              <w:t xml:space="preserve">Diğer</w:t>
            </w:r>
          </w:p>
        </w:tc>
        <w:tc>
          <w:tcPr>
            <w:tcW w:type="dxa" w:w="300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21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</w:tbl>
    <w:p>
      <w:pPr>
        <w:spacing w:after="100"/>
      </w:pP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11.1. Hesap şifreleri ve iki faktörlü doğrulama kodlarının doğrudan işbu Tutanak üzerine yazılması yerine, güvenli yöntemle Alıcı’ya aktarılması esastır.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11.2. Taraflar;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gerekli yönetici/sahiplik erişimlerinin Alıcı’ya aktarıldığını,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erişim devrinin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tarihine kadar tamamlanacağını: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kabul eder.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11.3. Satıcı, devir tamamlandıktan sonra Alıcı’ya devredilen hesaplara ilişkin kendi yönetici erişimlerini, hesapların teknik güvenliği için gerekli süreç tamamlandıktan sonra kaldıracaktır.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12. MARKA VE FİKRÎ MÜLKİYET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Devir kapsamında bulunan fikrî mülkiyet unsurları: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Marka: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Marka Tescil No: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Logo: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Alan Adı: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Telif konusu içerikler: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Diğer: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İlgili sicil devir işlemleri tamamlanmıştır.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İlgili sicil devir işlemleri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tarihine kadar tamamlanacaktır.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13. ÇALIŞANLAR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tarihinde işletmede çalışan kişi sayısı: </w:t>
      </w:r>
      <w:r>
        <w:rPr>
          <w:rFonts w:ascii="Arial" w:cs="Arial" w:eastAsia="Arial" w:hAnsi="Arial"/>
          <w:color w:val="6B7280"/>
        </w:rPr>
        <w:t xml:space="preserve">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Devir Sözleşmesi’nin Ek-8 Çalışan Listesi: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Günceldir.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Aşağıdaki değişiklikler meydana gelmiştir:</w:t>
      </w:r>
    </w:p>
    <w:p>
      <w:pPr>
        <w:pBdr>
          <w:bottom w:val="single" w:color="9CA3AF" w:sz="4" w:space="1"/>
        </w:pBdr>
        <w:spacing w:after="40" w:before="200"/>
        <w:ind w:left="425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CA3AF" w:sz="4" w:space="1"/>
        </w:pBdr>
        <w:spacing w:after="40" w:before="200"/>
        <w:ind w:left="425"/>
      </w:pPr>
      <w:r>
        <w:rPr>
          <w:rFonts w:ascii="Arial" w:cs="Arial" w:eastAsia="Arial" w:hAnsi="Arial"/>
        </w:rPr>
        <w:t xml:space="preserve"> 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tarihine kadar tahakkuk etmiş ücret, fazla çalışma, yıllık izin, prim, SGK ve sair çalışan yükümlülüklerine ilişkin taraflar arasındaki ekonomik sorumluluk Devir Sözleşmesi hükümlerine tabidir.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İşbu Tutanak, çalışanların emredici mevzuattan doğan haklarını sınırlandırmaz.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14. DEVAM EDEN SİPARİŞ, REZERVASYON VE MÜŞTERİ YÜKÜMLÜLÜKLERİ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tarihi itibarıyla henüz tamamlanmamış; siparişler, rezervasyonlar, ön ödemeli satışlar, hediye çekleri, üyelikler, abonelikler, kaporalar, müşteri iadeleri aşağıdaki gibidir: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23"/>
        <w:gridCol w:w="2344"/>
        <w:gridCol w:w="1823"/>
        <w:gridCol w:w="1823"/>
        <w:gridCol w:w="1823"/>
      </w:tblGrid>
      <w:tr>
        <w:trPr>
          <w:tblHeader/>
        </w:trPr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İşlem</w:t>
            </w:r>
          </w:p>
        </w:tc>
        <w:tc>
          <w:tcPr>
            <w:tcW w:type="dxa" w:w="23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Müşteri / Referans</w:t>
            </w:r>
          </w:p>
        </w:tc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Tutar</w:t>
            </w:r>
          </w:p>
        </w:tc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İfa Yükümlüsü</w:t>
            </w:r>
          </w:p>
        </w:tc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Açıklama</w:t>
            </w:r>
          </w:p>
        </w:tc>
      </w:tr>
      <w:tr>
        <w:trPr>
          <w:trHeight w:val="420" w:hRule="atLeast"/>
        </w:trPr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3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3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1823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</w:tbl>
    <w:p>
      <w:pPr>
        <w:spacing w:after="100"/>
      </w:pP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14.1. Kişisel veri içeren müşteri bilgilerinin aktarımı, yalnızca ilgili kişisel veri mevzuatının izin verdiği ölçüde gerçekleştirilecektir.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15. TEDARİKÇİ VE DEVAM EDEN SÖZLEŞMELER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Devredilmesi planlanan sözleşmeler bakımından son durum: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9"/>
        <w:gridCol w:w="2176"/>
        <w:gridCol w:w="2176"/>
        <w:gridCol w:w="2176"/>
      </w:tblGrid>
      <w:tr>
        <w:trPr>
          <w:tblHeader/>
        </w:trPr>
        <w:tc>
          <w:tcPr>
            <w:tcW w:type="dxa" w:w="310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Sözleşme / Tedarikçi</w:t>
            </w:r>
          </w:p>
        </w:tc>
        <w:tc>
          <w:tcPr>
            <w:tcW w:type="dxa" w:w="217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Devir Onayı</w:t>
            </w:r>
          </w:p>
        </w:tc>
        <w:tc>
          <w:tcPr>
            <w:tcW w:type="dxa" w:w="217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Durum</w:t>
            </w:r>
          </w:p>
        </w:tc>
        <w:tc>
          <w:tcPr>
            <w:tcW w:type="dxa" w:w="217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Açıklama</w:t>
            </w:r>
          </w:p>
        </w:tc>
      </w:tr>
      <w:tr>
        <w:trPr>
          <w:trHeight w:val="420" w:hRule="atLeast"/>
        </w:trPr>
        <w:tc>
          <w:tcPr>
            <w:tcW w:type="dxa" w:w="310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17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17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17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310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17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17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217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</w:tbl>
    <w:p>
      <w:pPr>
        <w:spacing w:after="100"/>
      </w:pP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Üçüncü kişinin iznine tabi sözleşmeler, gerekli izin alınmadığı sürece yalnızca bu Tutanağın imzalanması nedeniyle Alıcı’ya devredilmiş sayılmaz.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16. BORÇ VE ALACAK DURUMU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16.1. Taraflar, Devir Sözleşmesi’nde yer alan borç ve alacak listelerinin teslim tarihi itibarıyla;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değişmediğini,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aşağıdaki şekilde güncellendiğini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kabul eder:</w:t>
      </w:r>
    </w:p>
    <w:p>
      <w:pPr>
        <w:pBdr>
          <w:bottom w:val="single" w:color="9CA3AF" w:sz="4" w:space="1"/>
        </w:pBdr>
        <w:spacing w:after="4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CA3AF" w:sz="4" w:space="1"/>
        </w:pBdr>
        <w:spacing w:after="40" w:before="200"/>
      </w:pPr>
      <w:r>
        <w:rPr>
          <w:rFonts w:ascii="Arial" w:cs="Arial" w:eastAsia="Arial" w:hAnsi="Arial"/>
        </w:rPr>
        <w:t xml:space="preserve"> 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16.2. Satıcı’nın teslim tarihinden önceki dönemden kaynaklanan ve Devir Sözleşmesi uyarınca kendisine ait bulunan borçlara ilişkin sorumluluğu devam eder.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16.3. İşbu Tutanak’ın imzalanması, Alıcı tarafından teslim tarihinde bilinmeyen veya Satıcı tarafından açıklanmamış borç, ayıp, takyidat, üçüncü kişi hakkı ya da yükümlülüklerin kabul edildiği anlamına gelmez.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17. EKSİKLİKLER VE TESLİM SONRASI TAMAMLANACAK İŞLER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Taraflar aşağıdaki iş ve belgelerin teslim tarihinde tamamlanmadığını ve belirtilen tarihe kadar tamamlanacağını kabul eder: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4"/>
        <w:gridCol w:w="3066"/>
        <w:gridCol w:w="3066"/>
      </w:tblGrid>
      <w:tr>
        <w:trPr>
          <w:tblHeader/>
        </w:trPr>
        <w:tc>
          <w:tcPr>
            <w:tcW w:type="dxa" w:w="350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Eksik İş / Belge</w:t>
            </w:r>
          </w:p>
        </w:tc>
        <w:tc>
          <w:tcPr>
            <w:tcW w:type="dxa" w:w="306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Sorumlu Taraf</w:t>
            </w:r>
          </w:p>
        </w:tc>
        <w:tc>
          <w:tcPr>
            <w:tcW w:type="dxa" w:w="306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F3F4F6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</w:rPr>
              <w:t xml:space="preserve">Son Tarih</w:t>
            </w:r>
          </w:p>
        </w:tc>
      </w:tr>
      <w:tr>
        <w:trPr>
          <w:trHeight w:val="420" w:hRule="atLeast"/>
        </w:trPr>
        <w:tc>
          <w:tcPr>
            <w:tcW w:type="dxa" w:w="350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306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306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  <w:tr>
        <w:trPr>
          <w:trHeight w:val="420" w:hRule="atLeast"/>
        </w:trPr>
        <w:tc>
          <w:tcPr>
            <w:tcW w:type="dxa" w:w="350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306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  <w:tc>
          <w:tcPr>
            <w:tcW w:type="dxa" w:w="306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pPr>
              <w:spacing w:after="40" w:before="40"/>
            </w:pPr>
          </w:p>
        </w:tc>
      </w:tr>
    </w:tbl>
    <w:p>
      <w:pPr>
        <w:spacing w:after="100"/>
      </w:pP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18. SON BEYAN VE TESLİM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18.1. Satıcı, işbu Tutanak’ta belirtilen işletme, varlık, belge, anahtar ve erişimleri belirtilen durumlarıyla Alıcı’ya teslim ettiğini beyan eder.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18.2. Alıcı, işbu Tutanak’ta açıkça belirtilen eksiklik ve çekinceler saklı olmak üzere işletmenin fiilî teslimini aldığını kabul eder.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18.3. İşbu Tutanak’ın imzalanması;</w:t>
      </w:r>
    </w:p>
    <w:p>
      <w:pPr>
        <w:keepNext w:val="false"/>
        <w:tabs>
          <w:tab w:val="left" w:pos="850"/>
        </w:tabs>
        <w:spacing w:after="100"/>
        <w:ind w:left="850" w:hanging="425"/>
        <w:jc w:val="both"/>
      </w:pPr>
      <w:r>
        <w:rPr>
          <w:rFonts w:ascii="Arial" w:cs="Arial" w:eastAsia="Arial" w:hAnsi="Arial"/>
        </w:rPr>
        <w:t xml:space="preserve">•	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Satıcı’nın Devir Sözleşmesi kapsamındaki beyan ve tekeffüllerini,</w:t>
      </w:r>
    </w:p>
    <w:p>
      <w:pPr>
        <w:keepNext w:val="false"/>
        <w:tabs>
          <w:tab w:val="left" w:pos="850"/>
        </w:tabs>
        <w:spacing w:after="100"/>
        <w:ind w:left="850" w:hanging="425"/>
        <w:jc w:val="both"/>
      </w:pPr>
      <w:r>
        <w:rPr>
          <w:rFonts w:ascii="Arial" w:cs="Arial" w:eastAsia="Arial" w:hAnsi="Arial"/>
        </w:rPr>
        <w:t xml:space="preserve">•	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açıklanmamış borçlara ilişkin sorumluluğunu,</w:t>
      </w:r>
    </w:p>
    <w:p>
      <w:pPr>
        <w:keepNext w:val="false"/>
        <w:tabs>
          <w:tab w:val="left" w:pos="850"/>
        </w:tabs>
        <w:spacing w:after="100"/>
        <w:ind w:left="850" w:hanging="425"/>
        <w:jc w:val="both"/>
      </w:pPr>
      <w:r>
        <w:rPr>
          <w:rFonts w:ascii="Arial" w:cs="Arial" w:eastAsia="Arial" w:hAnsi="Arial"/>
        </w:rPr>
        <w:t xml:space="preserve">•	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gizli ayıp ve hukuki ayıplara ilişkin sorumluluklarını,</w:t>
      </w:r>
    </w:p>
    <w:p>
      <w:pPr>
        <w:keepNext w:val="false"/>
        <w:tabs>
          <w:tab w:val="left" w:pos="850"/>
        </w:tabs>
        <w:spacing w:after="100"/>
        <w:ind w:left="850" w:hanging="425"/>
        <w:jc w:val="both"/>
      </w:pPr>
      <w:r>
        <w:rPr>
          <w:rFonts w:ascii="Arial" w:cs="Arial" w:eastAsia="Arial" w:hAnsi="Arial"/>
        </w:rPr>
        <w:t xml:space="preserve">•	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henüz yerine getirilmemiş devir ve tescil yükümlülüklerini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ortadan kaldırmaz.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18.4. İşbu Tutanak, Devir Sözleşmesi’nin eki ve ayrılmaz parçasıdır. Devir Sözleşmesi ile Tutanak arasında çelişki bulunması hâlinde, yalnızca fiilî teslim durumunun tespiti bakımından işbu Tutanak; hukuki hak ve yükümlülüklerin belirlenmesi bakımından Devir Sözleşmesi esas alınır.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18.5. İşbu Tutanak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 tarihinde,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2 nüsha olarak düzenlenmiş ve Taraflarca imzalanmıştır.</w:t>
      </w:r>
    </w:p>
    <w:p>
      <w:pPr>
        <w:spacing w:before="24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rFonts w:ascii="Arial" w:cs="Arial" w:eastAsia="Arial" w:hAnsi="Arial"/>
                <w:b/>
                <w:bCs/>
              </w:rPr>
              <w:t xml:space="preserve">SATICI / DEVREDEN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Adı Soyadı / Ticaret Unvanı: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Yetkili: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Tarih: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İmza: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rFonts w:ascii="Arial" w:cs="Arial" w:eastAsia="Arial" w:hAnsi="Arial"/>
                <w:b/>
                <w:bCs/>
              </w:rPr>
              <w:t xml:space="preserve">ALICI / DEVRALAN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Adı Soyadı / Ticaret Unvanı: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Yetkili: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Tarih: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İmza: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18" w:right="1134" w:bottom="1418" w:left="1134" w:header="567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CA3AF" w:sz="4" w:space="4"/>
      </w:pBdr>
    </w:pPr>
    <w:r>
      <w:rPr>
        <w:rFonts w:ascii="Arial" w:cs="Arial" w:eastAsia="Arial" w:hAnsi="Arial"/>
        <w:color w:val="6B7280"/>
        <w:sz w:val="15"/>
        <w:szCs w:val="15"/>
      </w:rPr>
      <w:t xml:space="preserve">Bu örnek metin genel bilgilendirme amaçlıdır, hukuki danışmanlık değildir. Devredin, taraflar arasındaki işlemin tarafı veya garantörü değildir.</w:t>
    </w:r>
  </w:p>
  <w:p>
    <w:pPr>
      <w:jc w:val="right"/>
    </w:pPr>
    <w:r>
      <w:rPr>
        <w:rFonts w:ascii="Arial" w:cs="Arial" w:eastAsia="Arial" w:hAnsi="Arial"/>
        <w:color w:val="6B7280"/>
        <w:sz w:val="15"/>
        <w:szCs w:val="15"/>
      </w:rPr>
      <w:t xml:space="preserve">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CA3AF" w:sz="4" w:space="4"/>
      </w:pBdr>
      <w:tabs>
        <w:tab w:val="right" w:pos="9638"/>
      </w:tabs>
    </w:pPr>
    <w:r>
      <w:drawing>
        <wp:anchor distT="0" distB="0" distL="0" distR="0" simplePos="0" allowOverlap="1" behindDoc="1" locked="0" layoutInCell="1" relativeHeight="495300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53000" cy="4953000"/>
          <wp:effectExtent t="0" r="0" b="0" l="0"/>
          <wp:wrapNone/>
          <wp:docPr id="5" name="watermark" descr="Örnek sözleşmedir" title="Örnek sözleşmed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0" cy="495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inline distT="0" distB="0" distL="0" distR="0">
          <wp:extent cx="1028700" cy="209550"/>
          <wp:effectExtent t="0" r="0" b="0" l="0"/>
          <wp:docPr id="6" name="Devredin" descr="Devredin" title="Devr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B7280"/>
        <w:sz w:val="17"/>
        <w:szCs w:val="17"/>
      </w:rPr>
      <w:t xml:space="preserve">	devredin.com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e3e5e813a3691e38d672d33ff1297b2011e3535.png"/><Relationship Id="rId1" Type="http://schemas.openxmlformats.org/officeDocument/2006/relationships/image" Target="media/5c10b65af4e66aeea42c551664422b19e3f6980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İşletme Devir ve Teslim Tutanağı</dc:title>
  <dc:creator>Devredin</dc:creator>
  <dc:description>Örnek sözleşmedir</dc:description>
  <cp:lastModifiedBy>Un-named</cp:lastModifiedBy>
  <cp:revision>1</cp:revision>
  <dcterms:created xsi:type="dcterms:W3CDTF">2026-10-07T16:31:10.420Z</dcterms:created>
  <dcterms:modified xsi:type="dcterms:W3CDTF">2026-10-07T16:31:10.420Z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