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A023B" w14:textId="77777777" w:rsidR="008C6FA7" w:rsidRDefault="008C6FA7" w:rsidP="00CD6365"/>
    <w:p w14:paraId="49D06DE2" w14:textId="77777777" w:rsidR="00627813" w:rsidRDefault="00627813" w:rsidP="00CD6365"/>
    <w:p w14:paraId="2295BF54" w14:textId="072FA4C2" w:rsidR="008C6FA7" w:rsidRDefault="00627813" w:rsidP="00CD6365">
      <w:pPr>
        <w:rPr>
          <w:b/>
          <w:bCs/>
        </w:rPr>
      </w:pPr>
      <w:r w:rsidRPr="00627813">
        <w:rPr>
          <w:b/>
          <w:bCs/>
        </w:rPr>
        <w:t>14 August 2026</w:t>
      </w:r>
    </w:p>
    <w:p w14:paraId="3DEDF068" w14:textId="77777777" w:rsidR="00627813" w:rsidRDefault="00627813" w:rsidP="00627813"/>
    <w:p w14:paraId="1D7FBFED" w14:textId="5771A5AE" w:rsidR="00627813" w:rsidRDefault="00627813" w:rsidP="00627813">
      <w:proofErr w:type="spellStart"/>
      <w:r w:rsidRPr="00627813">
        <w:t>Tēnā</w:t>
      </w:r>
      <w:proofErr w:type="spellEnd"/>
      <w:r w:rsidRPr="00627813">
        <w:t xml:space="preserve"> </w:t>
      </w:r>
      <w:proofErr w:type="spellStart"/>
      <w:r w:rsidRPr="00627813">
        <w:t>koe</w:t>
      </w:r>
      <w:proofErr w:type="spellEnd"/>
      <w:r w:rsidRPr="00627813">
        <w:t xml:space="preserve"> Mayor Tapsell,</w:t>
      </w:r>
    </w:p>
    <w:p w14:paraId="48F2B818" w14:textId="77777777" w:rsidR="00627813" w:rsidRPr="00627813" w:rsidRDefault="00627813" w:rsidP="00627813">
      <w:r w:rsidRPr="00627813">
        <w:t>I write on behalf of Museums Aotearoa, the professional body for museums and galleries across Aotearoa New Zealand.</w:t>
      </w:r>
    </w:p>
    <w:p w14:paraId="228D581F" w14:textId="77777777" w:rsidR="00627813" w:rsidRPr="00627813" w:rsidRDefault="00627813" w:rsidP="00627813">
      <w:r w:rsidRPr="00627813">
        <w:t>We welcomed your recent engagement with the challenges surrounding the stewardship of public collections and share your view that "</w:t>
      </w:r>
      <w:r w:rsidRPr="00627813">
        <w:rPr>
          <w:i/>
          <w:iCs/>
        </w:rPr>
        <w:t>we should protect our history</w:t>
      </w:r>
      <w:r w:rsidRPr="00627813">
        <w:t>" while ensuring significant works are accessible to the communities they serve.</w:t>
      </w:r>
    </w:p>
    <w:p w14:paraId="237A6A37" w14:textId="77777777" w:rsidR="00627813" w:rsidRPr="00627813" w:rsidRDefault="00627813" w:rsidP="00627813">
      <w:r w:rsidRPr="00627813">
        <w:t>As you have rightly recognised, Rotorua's collections are far more than assets on a balance sheet or liabilities to be maintained. They are </w:t>
      </w:r>
      <w:r w:rsidRPr="00627813">
        <w:rPr>
          <w:i/>
          <w:iCs/>
        </w:rPr>
        <w:t xml:space="preserve">taonga </w:t>
      </w:r>
      <w:proofErr w:type="spellStart"/>
      <w:r w:rsidRPr="00627813">
        <w:rPr>
          <w:i/>
          <w:iCs/>
        </w:rPr>
        <w:t>tuku</w:t>
      </w:r>
      <w:proofErr w:type="spellEnd"/>
      <w:r w:rsidRPr="00627813">
        <w:rPr>
          <w:i/>
          <w:iCs/>
        </w:rPr>
        <w:t xml:space="preserve"> </w:t>
      </w:r>
      <w:proofErr w:type="spellStart"/>
      <w:r w:rsidRPr="00627813">
        <w:rPr>
          <w:i/>
          <w:iCs/>
        </w:rPr>
        <w:t>iho</w:t>
      </w:r>
      <w:proofErr w:type="spellEnd"/>
      <w:r w:rsidRPr="00627813">
        <w:t xml:space="preserve">, carrying the stories, whakapapa and identity of </w:t>
      </w:r>
      <w:proofErr w:type="spellStart"/>
      <w:r w:rsidRPr="00627813">
        <w:t>Te</w:t>
      </w:r>
      <w:proofErr w:type="spellEnd"/>
      <w:r w:rsidRPr="00627813">
        <w:t xml:space="preserve"> Arawa and the wider region. Collections that include nationally significant Goldie portraits of </w:t>
      </w:r>
      <w:proofErr w:type="spellStart"/>
      <w:r w:rsidRPr="00627813">
        <w:t>tīpuna</w:t>
      </w:r>
      <w:proofErr w:type="spellEnd"/>
      <w:r w:rsidRPr="00627813">
        <w:t xml:space="preserve"> belong in Rotorua, where they can continue to connect communities with their history and contribute to the city's unique cultural tourism offering.</w:t>
      </w:r>
    </w:p>
    <w:p w14:paraId="2A49885D" w14:textId="77777777" w:rsidR="00627813" w:rsidRPr="00627813" w:rsidRDefault="00627813" w:rsidP="00627813">
      <w:r w:rsidRPr="00627813">
        <w:t>What is often overlooked is the extraordinary investment that has already been made to keep these treasures where they belong. Through the foresight of Rotorua Trust, iwi, local government, central government and community leaders, millions of dollars have been committed to protecting and sharing Rotorua's heritage. The significant collection holdings of Rotorua, together with the forthcoming reopening of Rotorua Museum, are powerful examples of that shared vision.</w:t>
      </w:r>
    </w:p>
    <w:p w14:paraId="62011D18" w14:textId="77777777" w:rsidR="00627813" w:rsidRPr="00627813" w:rsidRDefault="00627813" w:rsidP="00627813">
      <w:r w:rsidRPr="00627813">
        <w:t>That investment should not be taken for granted, nor jeopardised.</w:t>
      </w:r>
    </w:p>
    <w:p w14:paraId="5FC5FC3B" w14:textId="77777777" w:rsidR="00627813" w:rsidRPr="00627813" w:rsidRDefault="00627813" w:rsidP="00627813">
      <w:r w:rsidRPr="00627813">
        <w:t>Trusts, philanthropists and public funders invest because they have confidence that collections will be protected, showcased and used to deliver long-term public benefit. That confidence unlocks future investment. It also creates future economic value through tourism, education, cultural vitality and regional development.</w:t>
      </w:r>
    </w:p>
    <w:p w14:paraId="496A4D75" w14:textId="77777777" w:rsidR="00627813" w:rsidRPr="00627813" w:rsidRDefault="00627813" w:rsidP="00627813">
      <w:r w:rsidRPr="00627813">
        <w:t>At the same time, your comments highlight a very real challenge faced by councils throughout New Zealand. If communities expect nationally significant collections to be protected, stored to appropriate standards, conserved and made accessible, then how are those responsibilities to be funded over the long term? Storage facilities, conservation expertise, security, insurance and public access all carry real and increasing costs. These are not responsibilities that can reasonably fall on ratepayers alone.</w:t>
      </w:r>
    </w:p>
    <w:p w14:paraId="0E2A5C2C" w14:textId="77777777" w:rsidR="00627813" w:rsidRPr="00627813" w:rsidRDefault="00627813" w:rsidP="00627813">
      <w:r w:rsidRPr="00627813">
        <w:lastRenderedPageBreak/>
        <w:t>Your question about how collections can better serve communities is therefore exactly the right one. The challenge is not whether these taonga should be protected and shared. The challenge is how councils, iwi, trusts and central government can work together to realise their full cultural, social and economic potential.</w:t>
      </w:r>
    </w:p>
    <w:p w14:paraId="0A1EAF39" w14:textId="77777777" w:rsidR="00627813" w:rsidRPr="00627813" w:rsidRDefault="00627813" w:rsidP="00627813">
      <w:r w:rsidRPr="00627813">
        <w:t>The value of these collections will only be realised through continued investment, access and partnership. They create wealth not simply through ownership, but through the experiences, learning opportunities, cultural connections and visitor spending they generate when they are cared for and shared. The investments made in Rotorua's collections and museum infrastructure today will continue delivering returns for Rotorua and New Zealand for generations to come.</w:t>
      </w:r>
    </w:p>
    <w:p w14:paraId="5634C9C4" w14:textId="77777777" w:rsidR="00627813" w:rsidRPr="00627813" w:rsidRDefault="00627813" w:rsidP="00627813">
      <w:r w:rsidRPr="00627813">
        <w:t>It is therefore encouraging that proposed changes to section 11A of the Local Government Act continue to recognise museums and galleries as core local government services. That recognition reflects the reality that cultural infrastructure is a powerful contributor to community wellbeing, education, identity, tourism and economic development.</w:t>
      </w:r>
    </w:p>
    <w:p w14:paraId="422D368D" w14:textId="77777777" w:rsidR="00627813" w:rsidRPr="00627813" w:rsidRDefault="00627813" w:rsidP="00627813">
      <w:r w:rsidRPr="00627813">
        <w:t>Recognition, however, must be matched by partnership.</w:t>
      </w:r>
    </w:p>
    <w:p w14:paraId="5B928A99" w14:textId="77777777" w:rsidR="00627813" w:rsidRPr="00627813" w:rsidRDefault="00627813" w:rsidP="00627813">
      <w:r w:rsidRPr="00627813">
        <w:t>Rotorua has already demonstrated what can be achieved when trusts, iwi, local government, central government and communities work together behind a shared vision. The significant investments already made have secured important taonga for future generations and positioned Rotorua to generate lasting cultural and economic value.</w:t>
      </w:r>
    </w:p>
    <w:p w14:paraId="1FDC0572" w14:textId="77777777" w:rsidR="00627813" w:rsidRPr="00627813" w:rsidRDefault="00627813" w:rsidP="00627813">
      <w:r w:rsidRPr="00627813">
        <w:t>As you correctly point out, the next challenge is finding a sustainable solution with central government. If councils are expected to continue acting as kaitiaki of collections that generate regional and national benefits, then central government must remain an active partner in supporting the infrastructure, expertise and facilities required to care for them and unlock their full potential.</w:t>
      </w:r>
    </w:p>
    <w:p w14:paraId="56C9B58A" w14:textId="77777777" w:rsidR="00627813" w:rsidRPr="00627813" w:rsidRDefault="00627813" w:rsidP="00627813">
      <w:r w:rsidRPr="00627813">
        <w:t>Museums Aotearoa would welcome the opportunity to work alongside you in advocating for that partnership. Together, we can make the case that investing in culture and heritage is not simply about protecting the past. It is about unlocking future cultural, social and economic wealth for Rotorua and for New Zealand.</w:t>
      </w:r>
    </w:p>
    <w:p w14:paraId="134641C8" w14:textId="77777777" w:rsidR="00627813" w:rsidRDefault="00627813" w:rsidP="00627813">
      <w:proofErr w:type="spellStart"/>
      <w:r w:rsidRPr="00627813">
        <w:t>Ngā</w:t>
      </w:r>
      <w:proofErr w:type="spellEnd"/>
      <w:r w:rsidRPr="00627813">
        <w:t xml:space="preserve"> mihi </w:t>
      </w:r>
      <w:proofErr w:type="spellStart"/>
      <w:r w:rsidRPr="00627813">
        <w:t>nui</w:t>
      </w:r>
      <w:proofErr w:type="spellEnd"/>
      <w:r w:rsidRPr="00627813">
        <w:t>,</w:t>
      </w:r>
    </w:p>
    <w:p w14:paraId="22115F04" w14:textId="77777777" w:rsidR="00627813" w:rsidRDefault="00627813" w:rsidP="00627813"/>
    <w:p w14:paraId="43D7CA30" w14:textId="38CA660E" w:rsidR="00627813" w:rsidRPr="00627813" w:rsidRDefault="00627813" w:rsidP="00627813">
      <w:r w:rsidRPr="00627813">
        <w:drawing>
          <wp:inline distT="0" distB="0" distL="0" distR="0" wp14:anchorId="1CB416B4" wp14:editId="0F76EBF5">
            <wp:extent cx="577850" cy="396009"/>
            <wp:effectExtent l="0" t="0" r="0" b="4445"/>
            <wp:docPr id="14006556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667" cy="402051"/>
                    </a:xfrm>
                    <a:prstGeom prst="rect">
                      <a:avLst/>
                    </a:prstGeom>
                    <a:noFill/>
                    <a:ln>
                      <a:noFill/>
                    </a:ln>
                  </pic:spPr>
                </pic:pic>
              </a:graphicData>
            </a:graphic>
          </wp:inline>
        </w:drawing>
      </w:r>
    </w:p>
    <w:p w14:paraId="60B32E8A" w14:textId="06ADCDC4" w:rsidR="008B072E" w:rsidRDefault="00627813" w:rsidP="00CD6365">
      <w:proofErr w:type="spellStart"/>
      <w:r w:rsidRPr="00627813">
        <w:rPr>
          <w:b/>
          <w:bCs/>
        </w:rPr>
        <w:t>Jaenine</w:t>
      </w:r>
      <w:proofErr w:type="spellEnd"/>
      <w:r w:rsidRPr="00627813">
        <w:rPr>
          <w:b/>
          <w:bCs/>
        </w:rPr>
        <w:t xml:space="preserve"> Parkinson</w:t>
      </w:r>
      <w:r w:rsidRPr="00627813">
        <w:t> (she/her)</w:t>
      </w:r>
      <w:r>
        <w:br/>
      </w:r>
      <w:r w:rsidRPr="00627813">
        <w:t xml:space="preserve">Chief Executive Tumu </w:t>
      </w:r>
      <w:proofErr w:type="spellStart"/>
      <w:r w:rsidRPr="00627813">
        <w:t>Whakarae</w:t>
      </w:r>
      <w:proofErr w:type="spellEnd"/>
      <w:r>
        <w:t xml:space="preserve"> | </w:t>
      </w:r>
      <w:r w:rsidRPr="00627813">
        <w:rPr>
          <w:b/>
          <w:bCs/>
        </w:rPr>
        <w:t xml:space="preserve">Museums Aotearoa </w:t>
      </w:r>
      <w:proofErr w:type="spellStart"/>
      <w:r w:rsidRPr="00627813">
        <w:rPr>
          <w:b/>
          <w:bCs/>
        </w:rPr>
        <w:t>Te</w:t>
      </w:r>
      <w:proofErr w:type="spellEnd"/>
      <w:r w:rsidRPr="00627813">
        <w:rPr>
          <w:b/>
          <w:bCs/>
        </w:rPr>
        <w:t xml:space="preserve"> Tari o </w:t>
      </w:r>
      <w:proofErr w:type="spellStart"/>
      <w:r w:rsidRPr="00627813">
        <w:rPr>
          <w:b/>
          <w:bCs/>
        </w:rPr>
        <w:t>Ngā</w:t>
      </w:r>
      <w:proofErr w:type="spellEnd"/>
      <w:r w:rsidRPr="00627813">
        <w:rPr>
          <w:b/>
          <w:bCs/>
        </w:rPr>
        <w:t xml:space="preserve"> Whare Taonga</w:t>
      </w:r>
    </w:p>
    <w:p w14:paraId="411825EB" w14:textId="77777777" w:rsidR="008B072E" w:rsidRDefault="008B072E" w:rsidP="00CD6365"/>
    <w:sectPr w:rsidR="008B072E" w:rsidSect="00E0349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D9D7D" w14:textId="77777777" w:rsidR="00DE4C95" w:rsidRDefault="00DE4C95" w:rsidP="00CD6365">
      <w:pPr>
        <w:spacing w:after="0" w:line="240" w:lineRule="auto"/>
      </w:pPr>
      <w:r>
        <w:separator/>
      </w:r>
    </w:p>
  </w:endnote>
  <w:endnote w:type="continuationSeparator" w:id="0">
    <w:p w14:paraId="467041EF" w14:textId="77777777" w:rsidR="00DE4C95" w:rsidRDefault="00DE4C95" w:rsidP="00CD6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95989" w14:textId="77777777" w:rsidR="0021670B" w:rsidRDefault="00216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800413"/>
      <w:docPartObj>
        <w:docPartGallery w:val="Page Numbers (Bottom of Page)"/>
        <w:docPartUnique/>
      </w:docPartObj>
    </w:sdtPr>
    <w:sdtEndPr>
      <w:rPr>
        <w:noProof/>
        <w:sz w:val="22"/>
        <w:szCs w:val="22"/>
      </w:rPr>
    </w:sdtEndPr>
    <w:sdtContent>
      <w:p w14:paraId="7F81280C" w14:textId="103D908E" w:rsidR="000C5E0B" w:rsidRPr="0021670B" w:rsidRDefault="000C5E0B">
        <w:pPr>
          <w:pStyle w:val="Footer"/>
          <w:jc w:val="center"/>
          <w:rPr>
            <w:sz w:val="22"/>
            <w:szCs w:val="22"/>
          </w:rPr>
        </w:pPr>
        <w:r w:rsidRPr="0021670B">
          <w:rPr>
            <w:noProof/>
            <w:sz w:val="22"/>
            <w:szCs w:val="22"/>
          </w:rPr>
          <w:drawing>
            <wp:anchor distT="0" distB="0" distL="114300" distR="114300" simplePos="0" relativeHeight="251662336" behindDoc="1" locked="0" layoutInCell="1" allowOverlap="1" wp14:anchorId="4E4AA6D4" wp14:editId="28EDB697">
              <wp:simplePos x="0" y="0"/>
              <wp:positionH relativeFrom="margin">
                <wp:posOffset>-126365</wp:posOffset>
              </wp:positionH>
              <wp:positionV relativeFrom="paragraph">
                <wp:posOffset>-288925</wp:posOffset>
              </wp:positionV>
              <wp:extent cx="2009775" cy="542925"/>
              <wp:effectExtent l="0" t="0" r="9525" b="9525"/>
              <wp:wrapNone/>
              <wp:docPr id="1693700080" name="Picture 1" descr="Museums Aotearo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00080" name="Picture 1" descr="Museums Aotearoa&#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09775" cy="542925"/>
                      </a:xfrm>
                      <a:prstGeom prst="rect">
                        <a:avLst/>
                      </a:prstGeom>
                    </pic:spPr>
                  </pic:pic>
                </a:graphicData>
              </a:graphic>
              <wp14:sizeRelH relativeFrom="margin">
                <wp14:pctWidth>0</wp14:pctWidth>
              </wp14:sizeRelH>
              <wp14:sizeRelV relativeFrom="margin">
                <wp14:pctHeight>0</wp14:pctHeight>
              </wp14:sizeRelV>
            </wp:anchor>
          </w:drawing>
        </w:r>
        <w:r w:rsidRPr="0021670B">
          <w:rPr>
            <w:sz w:val="22"/>
            <w:szCs w:val="22"/>
          </w:rPr>
          <w:fldChar w:fldCharType="begin"/>
        </w:r>
        <w:r w:rsidRPr="0021670B">
          <w:rPr>
            <w:sz w:val="22"/>
            <w:szCs w:val="22"/>
          </w:rPr>
          <w:instrText xml:space="preserve"> PAGE   \* MERGEFORMAT </w:instrText>
        </w:r>
        <w:r w:rsidRPr="0021670B">
          <w:rPr>
            <w:sz w:val="22"/>
            <w:szCs w:val="22"/>
          </w:rPr>
          <w:fldChar w:fldCharType="separate"/>
        </w:r>
        <w:r w:rsidRPr="0021670B">
          <w:rPr>
            <w:noProof/>
            <w:sz w:val="22"/>
            <w:szCs w:val="22"/>
          </w:rPr>
          <w:t>2</w:t>
        </w:r>
        <w:r w:rsidRPr="0021670B">
          <w:rPr>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7D3FC" w14:textId="7DD1E78E" w:rsidR="00913AB4" w:rsidRDefault="00913AB4" w:rsidP="005F06FB">
    <w:pPr>
      <w:pStyle w:val="Footer"/>
      <w:jc w:val="center"/>
    </w:pPr>
  </w:p>
  <w:p w14:paraId="57909097" w14:textId="26D61823" w:rsidR="00913AB4" w:rsidRPr="009163A7" w:rsidRDefault="0006303E" w:rsidP="00EF7B59">
    <w:pPr>
      <w:pStyle w:val="Footer"/>
      <w:pBdr>
        <w:top w:val="single" w:sz="4" w:space="1" w:color="auto"/>
      </w:pBdr>
      <w:jc w:val="center"/>
      <w:rPr>
        <w:sz w:val="22"/>
        <w:szCs w:val="22"/>
      </w:rPr>
    </w:pPr>
    <w:r w:rsidRPr="009163A7">
      <w:rPr>
        <w:sz w:val="22"/>
        <w:szCs w:val="22"/>
      </w:rPr>
      <w:t xml:space="preserve">169 Tory St | </w:t>
    </w:r>
    <w:r w:rsidR="00F45DC3" w:rsidRPr="009163A7">
      <w:rPr>
        <w:sz w:val="22"/>
        <w:szCs w:val="22"/>
      </w:rPr>
      <w:t xml:space="preserve">PO Box </w:t>
    </w:r>
    <w:r w:rsidRPr="009163A7">
      <w:rPr>
        <w:sz w:val="22"/>
        <w:szCs w:val="22"/>
      </w:rPr>
      <w:t>467, Wellington</w:t>
    </w:r>
    <w:r w:rsidR="00BB2C37" w:rsidRPr="009163A7">
      <w:rPr>
        <w:sz w:val="22"/>
        <w:szCs w:val="22"/>
      </w:rPr>
      <w:t xml:space="preserve">, New Zealand | </w:t>
    </w:r>
    <w:r w:rsidR="00CF184F" w:rsidRPr="00017DDB">
      <w:t>museumsaotearoa.org.nz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73DB1" w14:textId="77777777" w:rsidR="00DE4C95" w:rsidRDefault="00DE4C95" w:rsidP="00CD6365">
      <w:pPr>
        <w:spacing w:after="0" w:line="240" w:lineRule="auto"/>
      </w:pPr>
      <w:r>
        <w:separator/>
      </w:r>
    </w:p>
  </w:footnote>
  <w:footnote w:type="continuationSeparator" w:id="0">
    <w:p w14:paraId="3D2801E7" w14:textId="77777777" w:rsidR="00DE4C95" w:rsidRDefault="00DE4C95" w:rsidP="00CD6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57AFC" w14:textId="77777777" w:rsidR="0021670B" w:rsidRDefault="002167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B3D7" w14:textId="77777777" w:rsidR="0021670B" w:rsidRDefault="002167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D0019" w14:textId="75490C89" w:rsidR="00CD6365" w:rsidRDefault="00E0349A">
    <w:pPr>
      <w:pStyle w:val="Header"/>
    </w:pPr>
    <w:r>
      <w:rPr>
        <w:noProof/>
      </w:rPr>
      <w:drawing>
        <wp:anchor distT="0" distB="0" distL="114300" distR="114300" simplePos="0" relativeHeight="251660288" behindDoc="0" locked="0" layoutInCell="1" allowOverlap="1" wp14:anchorId="0E72E76C" wp14:editId="4F0D0798">
          <wp:simplePos x="0" y="0"/>
          <wp:positionH relativeFrom="margin">
            <wp:posOffset>-213995</wp:posOffset>
          </wp:positionH>
          <wp:positionV relativeFrom="paragraph">
            <wp:posOffset>-259080</wp:posOffset>
          </wp:positionV>
          <wp:extent cx="3380740" cy="914400"/>
          <wp:effectExtent l="0" t="0" r="0" b="0"/>
          <wp:wrapSquare wrapText="bothSides"/>
          <wp:docPr id="230809320" name="Picture 1" descr="Museums Aotearo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00080" name="Picture 1" descr="Museums Aotearoa&#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80740"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65"/>
    <w:rsid w:val="00017DDB"/>
    <w:rsid w:val="0004092D"/>
    <w:rsid w:val="0006303E"/>
    <w:rsid w:val="000C5E0B"/>
    <w:rsid w:val="00111053"/>
    <w:rsid w:val="00186620"/>
    <w:rsid w:val="001D3D59"/>
    <w:rsid w:val="0021670B"/>
    <w:rsid w:val="0023547D"/>
    <w:rsid w:val="002918D4"/>
    <w:rsid w:val="00360522"/>
    <w:rsid w:val="003634A1"/>
    <w:rsid w:val="00372FBD"/>
    <w:rsid w:val="003B0FA1"/>
    <w:rsid w:val="003F5AD6"/>
    <w:rsid w:val="004E687E"/>
    <w:rsid w:val="004F13C8"/>
    <w:rsid w:val="00561BD2"/>
    <w:rsid w:val="005F06FB"/>
    <w:rsid w:val="00627813"/>
    <w:rsid w:val="00664EED"/>
    <w:rsid w:val="006A44C8"/>
    <w:rsid w:val="006F6F2C"/>
    <w:rsid w:val="0073174D"/>
    <w:rsid w:val="00734C82"/>
    <w:rsid w:val="00764768"/>
    <w:rsid w:val="00801BF9"/>
    <w:rsid w:val="008B072E"/>
    <w:rsid w:val="008B7DDC"/>
    <w:rsid w:val="008C6FA7"/>
    <w:rsid w:val="008F05F6"/>
    <w:rsid w:val="00913AB4"/>
    <w:rsid w:val="009163A7"/>
    <w:rsid w:val="00932743"/>
    <w:rsid w:val="009528DB"/>
    <w:rsid w:val="00953861"/>
    <w:rsid w:val="00A53EB8"/>
    <w:rsid w:val="00A610AE"/>
    <w:rsid w:val="00B52B04"/>
    <w:rsid w:val="00BB2C37"/>
    <w:rsid w:val="00BC1043"/>
    <w:rsid w:val="00C238F7"/>
    <w:rsid w:val="00C61560"/>
    <w:rsid w:val="00C81E11"/>
    <w:rsid w:val="00CA6671"/>
    <w:rsid w:val="00CD6365"/>
    <w:rsid w:val="00CD643F"/>
    <w:rsid w:val="00CF184F"/>
    <w:rsid w:val="00D4190E"/>
    <w:rsid w:val="00D65BC7"/>
    <w:rsid w:val="00D66413"/>
    <w:rsid w:val="00DE4C95"/>
    <w:rsid w:val="00E0349A"/>
    <w:rsid w:val="00E16206"/>
    <w:rsid w:val="00E51E79"/>
    <w:rsid w:val="00E570F8"/>
    <w:rsid w:val="00EA11EC"/>
    <w:rsid w:val="00EC3AE9"/>
    <w:rsid w:val="00EF7B59"/>
    <w:rsid w:val="00F45DC3"/>
    <w:rsid w:val="00F7188A"/>
    <w:rsid w:val="00FC40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6A977"/>
  <w15:chartTrackingRefBased/>
  <w15:docId w15:val="{B5822D18-D6E0-469A-B9BB-493435C1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3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3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3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3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3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3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3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3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3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3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3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3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3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3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365"/>
    <w:rPr>
      <w:rFonts w:eastAsiaTheme="majorEastAsia" w:cstheme="majorBidi"/>
      <w:color w:val="272727" w:themeColor="text1" w:themeTint="D8"/>
    </w:rPr>
  </w:style>
  <w:style w:type="paragraph" w:styleId="Title">
    <w:name w:val="Title"/>
    <w:basedOn w:val="Normal"/>
    <w:next w:val="Normal"/>
    <w:link w:val="TitleChar"/>
    <w:uiPriority w:val="10"/>
    <w:qFormat/>
    <w:rsid w:val="00CD6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365"/>
    <w:pPr>
      <w:spacing w:before="160"/>
      <w:jc w:val="center"/>
    </w:pPr>
    <w:rPr>
      <w:i/>
      <w:iCs/>
      <w:color w:val="404040" w:themeColor="text1" w:themeTint="BF"/>
    </w:rPr>
  </w:style>
  <w:style w:type="character" w:customStyle="1" w:styleId="QuoteChar">
    <w:name w:val="Quote Char"/>
    <w:basedOn w:val="DefaultParagraphFont"/>
    <w:link w:val="Quote"/>
    <w:uiPriority w:val="29"/>
    <w:rsid w:val="00CD6365"/>
    <w:rPr>
      <w:i/>
      <w:iCs/>
      <w:color w:val="404040" w:themeColor="text1" w:themeTint="BF"/>
    </w:rPr>
  </w:style>
  <w:style w:type="paragraph" w:styleId="ListParagraph">
    <w:name w:val="List Paragraph"/>
    <w:basedOn w:val="Normal"/>
    <w:uiPriority w:val="34"/>
    <w:qFormat/>
    <w:rsid w:val="00CD6365"/>
    <w:pPr>
      <w:ind w:left="720"/>
      <w:contextualSpacing/>
    </w:pPr>
  </w:style>
  <w:style w:type="character" w:styleId="IntenseEmphasis">
    <w:name w:val="Intense Emphasis"/>
    <w:basedOn w:val="DefaultParagraphFont"/>
    <w:uiPriority w:val="21"/>
    <w:qFormat/>
    <w:rsid w:val="00CD6365"/>
    <w:rPr>
      <w:i/>
      <w:iCs/>
      <w:color w:val="0F4761" w:themeColor="accent1" w:themeShade="BF"/>
    </w:rPr>
  </w:style>
  <w:style w:type="paragraph" w:styleId="IntenseQuote">
    <w:name w:val="Intense Quote"/>
    <w:basedOn w:val="Normal"/>
    <w:next w:val="Normal"/>
    <w:link w:val="IntenseQuoteChar"/>
    <w:uiPriority w:val="30"/>
    <w:qFormat/>
    <w:rsid w:val="00CD6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365"/>
    <w:rPr>
      <w:i/>
      <w:iCs/>
      <w:color w:val="0F4761" w:themeColor="accent1" w:themeShade="BF"/>
    </w:rPr>
  </w:style>
  <w:style w:type="character" w:styleId="IntenseReference">
    <w:name w:val="Intense Reference"/>
    <w:basedOn w:val="DefaultParagraphFont"/>
    <w:uiPriority w:val="32"/>
    <w:qFormat/>
    <w:rsid w:val="00CD6365"/>
    <w:rPr>
      <w:b/>
      <w:bCs/>
      <w:smallCaps/>
      <w:color w:val="0F4761" w:themeColor="accent1" w:themeShade="BF"/>
      <w:spacing w:val="5"/>
    </w:rPr>
  </w:style>
  <w:style w:type="paragraph" w:styleId="Header">
    <w:name w:val="header"/>
    <w:basedOn w:val="Normal"/>
    <w:link w:val="HeaderChar"/>
    <w:uiPriority w:val="99"/>
    <w:unhideWhenUsed/>
    <w:rsid w:val="00CD63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365"/>
  </w:style>
  <w:style w:type="paragraph" w:styleId="Footer">
    <w:name w:val="footer"/>
    <w:basedOn w:val="Normal"/>
    <w:link w:val="FooterChar"/>
    <w:uiPriority w:val="99"/>
    <w:unhideWhenUsed/>
    <w:rsid w:val="00CD6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365"/>
  </w:style>
  <w:style w:type="paragraph" w:styleId="Revision">
    <w:name w:val="Revision"/>
    <w:hidden/>
    <w:uiPriority w:val="99"/>
    <w:semiHidden/>
    <w:rsid w:val="00734C82"/>
    <w:pPr>
      <w:spacing w:after="0" w:line="240" w:lineRule="auto"/>
    </w:pPr>
  </w:style>
  <w:style w:type="character" w:styleId="Hyperlink">
    <w:name w:val="Hyperlink"/>
    <w:basedOn w:val="DefaultParagraphFont"/>
    <w:uiPriority w:val="99"/>
    <w:unhideWhenUsed/>
    <w:rsid w:val="00627813"/>
    <w:rPr>
      <w:color w:val="467886" w:themeColor="hyperlink"/>
      <w:u w:val="single"/>
    </w:rPr>
  </w:style>
  <w:style w:type="character" w:styleId="UnresolvedMention">
    <w:name w:val="Unresolved Mention"/>
    <w:basedOn w:val="DefaultParagraphFont"/>
    <w:uiPriority w:val="99"/>
    <w:semiHidden/>
    <w:unhideWhenUsed/>
    <w:rsid w:val="00627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EA824-1DC5-451B-BB81-32F2E857F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682</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Jaenine Parkinson</dc:creator>
  <cp:keywords/>
  <dc:description/>
  <cp:lastModifiedBy>Holly Erwin</cp:lastModifiedBy>
  <cp:revision>2</cp:revision>
  <cp:lastPrinted>2026-06-22T00:11:00Z</cp:lastPrinted>
  <dcterms:created xsi:type="dcterms:W3CDTF">2026-08-25T03:31:00Z</dcterms:created>
  <dcterms:modified xsi:type="dcterms:W3CDTF">2026-08-25T03:31:00Z</dcterms:modified>
</cp:coreProperties>
</file>