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0"/>
          <w:sz w:val="32"/>
          <w:szCs w:val="32"/>
          <w:vertAlign w:val="baseline"/>
        </w:rPr>
      </w:pPr>
      <w:r w:rsidDel="00000000" w:rsidR="00000000" w:rsidRPr="00000000">
        <w:rPr>
          <w:rFonts w:ascii="Calibri" w:cs="Calibri" w:eastAsia="Calibri" w:hAnsi="Calibri"/>
          <w:b w:val="1"/>
          <w:sz w:val="32"/>
          <w:szCs w:val="32"/>
          <w:vertAlign w:val="baseline"/>
          <w:rtl w:val="0"/>
        </w:rPr>
        <w:t xml:space="preserve">EXPENDITURE &amp; RECEIPT POLICY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sz w:val="22"/>
          <w:szCs w:val="22"/>
          <w:u w:val="single"/>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1. Authorisation</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The Batman Park Kindergarten Committee </w:t>
      </w:r>
      <w:r w:rsidDel="00000000" w:rsidR="00000000" w:rsidRPr="00000000">
        <w:rPr>
          <w:rFonts w:ascii="Calibri" w:cs="Calibri" w:eastAsia="Calibri" w:hAnsi="Calibri"/>
          <w:sz w:val="22"/>
          <w:szCs w:val="22"/>
          <w:rtl w:val="0"/>
        </w:rPr>
        <w:t xml:space="preserve">accepted this policy after review</w:t>
      </w:r>
      <w:r w:rsidDel="00000000" w:rsidR="00000000" w:rsidRPr="00000000">
        <w:rPr>
          <w:rFonts w:ascii="Calibri" w:cs="Calibri" w:eastAsia="Calibri" w:hAnsi="Calibri"/>
          <w:sz w:val="22"/>
          <w:szCs w:val="22"/>
          <w:vertAlign w:val="baseline"/>
          <w:rtl w:val="0"/>
        </w:rPr>
        <w:t xml:space="preserve">  in </w:t>
      </w:r>
      <w:r w:rsidDel="00000000" w:rsidR="00000000" w:rsidRPr="00000000">
        <w:rPr>
          <w:rFonts w:ascii="Calibri" w:cs="Calibri" w:eastAsia="Calibri" w:hAnsi="Calibri"/>
          <w:sz w:val="22"/>
          <w:szCs w:val="22"/>
          <w:highlight w:val="yellow"/>
          <w:vertAlign w:val="baseline"/>
          <w:rtl w:val="0"/>
        </w:rPr>
        <w:t xml:space="preserve">September 20</w:t>
      </w:r>
      <w:r w:rsidDel="00000000" w:rsidR="00000000" w:rsidRPr="00000000">
        <w:rPr>
          <w:rFonts w:ascii="Calibri" w:cs="Calibri" w:eastAsia="Calibri" w:hAnsi="Calibri"/>
          <w:sz w:val="22"/>
          <w:szCs w:val="22"/>
          <w:highlight w:val="yellow"/>
          <w:rtl w:val="0"/>
        </w:rPr>
        <w:t xml:space="preserve">22</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2.  Review Date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This policy shall be reviewed by September 20</w:t>
      </w:r>
      <w:r w:rsidDel="00000000" w:rsidR="00000000" w:rsidRPr="00000000">
        <w:rPr>
          <w:rFonts w:ascii="Calibri" w:cs="Calibri" w:eastAsia="Calibri" w:hAnsi="Calibri"/>
          <w:sz w:val="22"/>
          <w:szCs w:val="22"/>
          <w:rtl w:val="0"/>
        </w:rPr>
        <w:t xml:space="preserve">25 or updated as needed.</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3.  Scope</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This policy applies to teaching staff, assistants, Committee members and others generally.</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4. Objective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This policy outlines:</w:t>
      </w:r>
      <w:r w:rsidDel="00000000" w:rsidR="00000000" w:rsidRPr="00000000">
        <w:rPr>
          <w:rtl w:val="0"/>
        </w:rPr>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The persons whom are authorised to make purchases or incur debts on behalf of BPK </w:t>
      </w:r>
      <w:r w:rsidDel="00000000" w:rsidR="00000000" w:rsidRPr="00000000">
        <w:rPr>
          <w:rtl w:val="0"/>
        </w:rPr>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The types of expenditure that authorised persons are permitted to incur</w:t>
      </w:r>
      <w:r w:rsidDel="00000000" w:rsidR="00000000" w:rsidRPr="00000000">
        <w:rPr>
          <w:rtl w:val="0"/>
        </w:rPr>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The constraints placed upon such expenditure transactions</w:t>
      </w: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The procedure for recording and banking cash and cheque receipts to the kindergarten.</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5. Procedures</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EXPENDITURE - Debts are incurred by BPK in four major ways:</w:t>
      </w:r>
      <w:r w:rsidDel="00000000" w:rsidR="00000000" w:rsidRPr="00000000">
        <w:rPr>
          <w:rtl w:val="0"/>
        </w:rPr>
      </w:r>
    </w:p>
    <w:p w:rsidR="00000000" w:rsidDel="00000000" w:rsidP="00000000" w:rsidRDefault="00000000" w:rsidRPr="00000000" w14:paraId="00000016">
      <w:pPr>
        <w:pageBreakBefore w:val="0"/>
        <w:numPr>
          <w:ilvl w:val="0"/>
          <w:numId w:val="3"/>
        </w:numPr>
        <w:pBdr>
          <w:top w:space="0" w:sz="0" w:val="nil"/>
          <w:left w:space="0" w:sz="0" w:val="nil"/>
          <w:bottom w:space="0" w:sz="0" w:val="nil"/>
          <w:right w:space="0" w:sz="0" w:val="nil"/>
          <w:between w:space="0" w:sz="0" w:val="nil"/>
        </w:pBdr>
        <w:shd w:fill="auto" w:val="clear"/>
        <w:spacing w:after="40" w:before="80" w:lineRule="auto"/>
        <w:ind w:left="426" w:hanging="426"/>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Coles account card</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 single employee of BPK is allocated a Coles card against which everyday supplies (such as milk, coffee, tea, sugar and other small-valued items) can be charged.  The current employee nominated to undertake the shopping on behalf of BPK is Chris Nowara.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This expenditure is budgeted for on a yearly basis.  Each receipt from shopping at Coles shall be provided to the Treasurer, who then reconciles it to the monthly invoice received for payment.  The treasurer should be aware that some cleaning products and some items are bought for children’s activities, and the expenditure should be allocated accordingly.  Should the yearly budgeted amount be exceeded, the Committee of Management (COM) is to be informed.  The COM will then consider the approval of supplementary funding, taking into account the overall financial position and performance of BPK.</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sz w:val="22"/>
          <w:szCs w:val="22"/>
          <w:vertAlign w:val="baseline"/>
          <w:rtl w:val="0"/>
        </w:rPr>
        <w:t xml:space="preserve">he Treasurer</w:t>
      </w:r>
      <w:r w:rsidDel="00000000" w:rsidR="00000000" w:rsidRPr="00000000">
        <w:rPr>
          <w:rFonts w:ascii="Calibri" w:cs="Calibri" w:eastAsia="Calibri" w:hAnsi="Calibri"/>
          <w:sz w:val="22"/>
          <w:szCs w:val="22"/>
          <w:rtl w:val="0"/>
        </w:rPr>
        <w:t xml:space="preserve"> wi</w:t>
      </w:r>
      <w:r w:rsidDel="00000000" w:rsidR="00000000" w:rsidRPr="00000000">
        <w:rPr>
          <w:rFonts w:ascii="Calibri" w:cs="Calibri" w:eastAsia="Calibri" w:hAnsi="Calibri"/>
          <w:sz w:val="22"/>
          <w:szCs w:val="22"/>
          <w:vertAlign w:val="baseline"/>
          <w:rtl w:val="0"/>
        </w:rPr>
        <w:t xml:space="preserve">ll provide a monthly report to the Director, compar</w:t>
      </w:r>
      <w:r w:rsidDel="00000000" w:rsidR="00000000" w:rsidRPr="00000000">
        <w:rPr>
          <w:rFonts w:ascii="Calibri" w:cs="Calibri" w:eastAsia="Calibri" w:hAnsi="Calibri"/>
          <w:sz w:val="22"/>
          <w:szCs w:val="22"/>
          <w:rtl w:val="0"/>
        </w:rPr>
        <w:t xml:space="preserve">ing</w:t>
      </w:r>
      <w:r w:rsidDel="00000000" w:rsidR="00000000" w:rsidRPr="00000000">
        <w:rPr>
          <w:rFonts w:ascii="Calibri" w:cs="Calibri" w:eastAsia="Calibri" w:hAnsi="Calibri"/>
          <w:sz w:val="22"/>
          <w:szCs w:val="22"/>
          <w:vertAlign w:val="baseline"/>
          <w:rtl w:val="0"/>
        </w:rPr>
        <w:t xml:space="preserve"> actual to budgeted expenditure.  This report can be the monthly Profit &amp; Loss budget comparison from MYOB.</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40" w:before="80" w:lineRule="auto"/>
        <w:ind w:left="36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1B">
      <w:pPr>
        <w:pageBreakBefore w:val="0"/>
        <w:numPr>
          <w:ilvl w:val="0"/>
          <w:numId w:val="3"/>
        </w:numPr>
        <w:pBdr>
          <w:top w:space="0" w:sz="0" w:val="nil"/>
          <w:left w:space="0" w:sz="0" w:val="nil"/>
          <w:bottom w:space="0" w:sz="0" w:val="nil"/>
          <w:right w:space="0" w:sz="0" w:val="nil"/>
          <w:between w:space="0" w:sz="0" w:val="nil"/>
        </w:pBdr>
        <w:shd w:fill="auto" w:val="clear"/>
        <w:spacing w:after="40" w:before="80" w:lineRule="auto"/>
        <w:ind w:left="426" w:hanging="426"/>
        <w:rPr>
          <w:rFonts w:ascii="Calibri" w:cs="Calibri" w:eastAsia="Calibri" w:hAnsi="Calibri"/>
          <w:b w:val="0"/>
          <w:sz w:val="22"/>
          <w:szCs w:val="22"/>
        </w:rPr>
      </w:pPr>
      <w:r w:rsidDel="00000000" w:rsidR="00000000" w:rsidRPr="00000000">
        <w:rPr>
          <w:rFonts w:ascii="Calibri" w:cs="Calibri" w:eastAsia="Calibri" w:hAnsi="Calibri"/>
          <w:b w:val="1"/>
          <w:sz w:val="22"/>
          <w:szCs w:val="22"/>
          <w:rtl w:val="0"/>
        </w:rPr>
        <w:t xml:space="preserve">Debit card</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40" w:before="80" w:lineRule="auto"/>
        <w:ind w:left="720" w:firstLine="0"/>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The admin officer and executive CoM members have access to the debit card to cover expenses such as professional development fees and relevant professional memberships, maintenance and general kinder expenses. </w:t>
      </w:r>
      <w:r w:rsidDel="00000000" w:rsidR="00000000" w:rsidRPr="00000000">
        <w:rPr>
          <w:rFonts w:ascii="Calibri" w:cs="Calibri" w:eastAsia="Calibri" w:hAnsi="Calibri"/>
          <w:sz w:val="22"/>
          <w:szCs w:val="22"/>
          <w:highlight w:val="yellow"/>
          <w:rtl w:val="0"/>
        </w:rPr>
        <w:t xml:space="preserve">What are limits on amount before approval required and usage?</w:t>
      </w:r>
    </w:p>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hd w:fill="auto" w:val="clear"/>
        <w:spacing w:after="40" w:before="80" w:lineRule="auto"/>
        <w:ind w:left="426" w:hanging="426"/>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Suppliers on account</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BPK has several suppliers on account.  The teachers have delegated authority to order directly from these suppliers.  An amount is budgeted for each category of expenditure.  Once the budget is exceeded against a particular category no further expenditure should be incurred; COM approval is required to increase the budget for that category.  When considering supplementary funding, the COM will take into account the overall financial position and performance of BPK, as well as the following specific factors (to be supplied by the teachers):</w:t>
      </w:r>
      <w:r w:rsidDel="00000000" w:rsidR="00000000" w:rsidRPr="00000000">
        <w:rPr>
          <w:rtl w:val="0"/>
        </w:rPr>
      </w:r>
    </w:p>
    <w:p w:rsidR="00000000" w:rsidDel="00000000" w:rsidP="00000000" w:rsidRDefault="00000000" w:rsidRPr="00000000" w14:paraId="0000001F">
      <w:pPr>
        <w:pageBreakBefore w:val="0"/>
        <w:numPr>
          <w:ilvl w:val="0"/>
          <w:numId w:val="2"/>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What the item(s) is/are;</w:t>
      </w:r>
      <w:r w:rsidDel="00000000" w:rsidR="00000000" w:rsidRPr="00000000">
        <w:rPr>
          <w:rtl w:val="0"/>
        </w:rPr>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The objective/reason for the need to procure the item(s); and,</w:t>
      </w:r>
      <w:r w:rsidDel="00000000" w:rsidR="00000000" w:rsidRPr="00000000">
        <w:rPr>
          <w:rtl w:val="0"/>
        </w:rPr>
      </w:r>
    </w:p>
    <w:p w:rsidR="00000000" w:rsidDel="00000000" w:rsidP="00000000" w:rsidRDefault="00000000" w:rsidRPr="00000000" w14:paraId="00000021">
      <w:pPr>
        <w:pageBreakBefore w:val="0"/>
        <w:numPr>
          <w:ilvl w:val="0"/>
          <w:numId w:val="2"/>
        </w:numPr>
        <w:pBdr>
          <w:top w:space="0" w:sz="0" w:val="nil"/>
          <w:left w:space="0" w:sz="0" w:val="nil"/>
          <w:bottom w:space="0" w:sz="0" w:val="nil"/>
          <w:right w:space="0" w:sz="0" w:val="nil"/>
          <w:between w:space="0" w:sz="0" w:val="nil"/>
        </w:pBdr>
        <w:shd w:fill="auto" w:val="clear"/>
        <w:spacing w:after="40" w:before="80" w:lineRule="auto"/>
        <w:ind w:left="987" w:hanging="360"/>
        <w:rPr>
          <w:b w:val="0"/>
          <w:sz w:val="22"/>
          <w:szCs w:val="22"/>
        </w:rPr>
      </w:pPr>
      <w:r w:rsidDel="00000000" w:rsidR="00000000" w:rsidRPr="00000000">
        <w:rPr>
          <w:rFonts w:ascii="Calibri" w:cs="Calibri" w:eastAsia="Calibri" w:hAnsi="Calibri"/>
          <w:sz w:val="22"/>
          <w:szCs w:val="22"/>
          <w:vertAlign w:val="baseline"/>
          <w:rtl w:val="0"/>
        </w:rPr>
        <w:t xml:space="preserve">The cost of the item(s).</w:t>
      </w:r>
      <w:r w:rsidDel="00000000" w:rsidR="00000000" w:rsidRPr="00000000">
        <w:rPr>
          <w:rtl w:val="0"/>
        </w:rPr>
      </w:r>
    </w:p>
    <w:p w:rsidR="00000000" w:rsidDel="00000000" w:rsidP="00000000" w:rsidRDefault="00000000" w:rsidRPr="00000000" w14:paraId="00000022">
      <w:pP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rtl w:val="0"/>
        </w:rPr>
        <w:t xml:space="preserve">The Treasurer will provide a monthly report to the Director, comparing actual to budgeted expenditure.  This report can be the monthly Profit &amp; Loss budget comparison from MYOB.</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40" w:before="80" w:lineRule="auto"/>
        <w:ind w:left="36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4">
      <w:pPr>
        <w:pageBreakBefore w:val="0"/>
        <w:numPr>
          <w:ilvl w:val="0"/>
          <w:numId w:val="3"/>
        </w:numPr>
        <w:pBdr>
          <w:top w:space="0" w:sz="0" w:val="nil"/>
          <w:left w:space="0" w:sz="0" w:val="nil"/>
          <w:bottom w:space="0" w:sz="0" w:val="nil"/>
          <w:right w:space="0" w:sz="0" w:val="nil"/>
          <w:between w:space="0" w:sz="0" w:val="nil"/>
        </w:pBdr>
        <w:shd w:fill="auto" w:val="clear"/>
        <w:spacing w:after="40" w:before="80" w:lineRule="auto"/>
        <w:ind w:left="426" w:hanging="426"/>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Door</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sz w:val="22"/>
          <w:szCs w:val="22"/>
          <w:vertAlign w:val="baseline"/>
          <w:rtl w:val="0"/>
        </w:rPr>
        <w:t xml:space="preserve">to</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sz w:val="22"/>
          <w:szCs w:val="22"/>
          <w:vertAlign w:val="baseline"/>
          <w:rtl w:val="0"/>
        </w:rPr>
        <w:t xml:space="preserve">door vendors</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Teachers are approved to purchase materials from </w:t>
      </w:r>
      <w:r w:rsidDel="00000000" w:rsidR="00000000" w:rsidRPr="00000000">
        <w:rPr>
          <w:rFonts w:ascii="Calibri" w:cs="Calibri" w:eastAsia="Calibri" w:hAnsi="Calibri"/>
          <w:sz w:val="22"/>
          <w:szCs w:val="22"/>
          <w:rtl w:val="0"/>
        </w:rPr>
        <w:t xml:space="preserve">door-to-door</w:t>
      </w:r>
      <w:r w:rsidDel="00000000" w:rsidR="00000000" w:rsidRPr="00000000">
        <w:rPr>
          <w:rFonts w:ascii="Calibri" w:cs="Calibri" w:eastAsia="Calibri" w:hAnsi="Calibri"/>
          <w:sz w:val="22"/>
          <w:szCs w:val="22"/>
          <w:vertAlign w:val="baseline"/>
          <w:rtl w:val="0"/>
        </w:rPr>
        <w:t xml:space="preserve"> salespeople on the basis that the expenditure is within the </w:t>
      </w:r>
      <w:r w:rsidDel="00000000" w:rsidR="00000000" w:rsidRPr="00000000">
        <w:rPr>
          <w:rFonts w:ascii="Calibri" w:cs="Calibri" w:eastAsia="Calibri" w:hAnsi="Calibri"/>
          <w:sz w:val="22"/>
          <w:szCs w:val="22"/>
          <w:rtl w:val="0"/>
        </w:rPr>
        <w:t xml:space="preserve">kinder</w:t>
      </w:r>
      <w:r w:rsidDel="00000000" w:rsidR="00000000" w:rsidRPr="00000000">
        <w:rPr>
          <w:rFonts w:ascii="Calibri" w:cs="Calibri" w:eastAsia="Calibri" w:hAnsi="Calibri"/>
          <w:sz w:val="22"/>
          <w:szCs w:val="22"/>
          <w:vertAlign w:val="baseline"/>
          <w:rtl w:val="0"/>
        </w:rPr>
        <w:t xml:space="preserve"> materials budget or specific authorisation has been granted from the Treasurer based on BPK’s financial position.</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40" w:before="80" w:lineRule="auto"/>
        <w:ind w:left="36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7">
      <w:pPr>
        <w:pageBreakBefore w:val="0"/>
        <w:numPr>
          <w:ilvl w:val="0"/>
          <w:numId w:val="3"/>
        </w:numPr>
        <w:pBdr>
          <w:top w:space="0" w:sz="0" w:val="nil"/>
          <w:left w:space="0" w:sz="0" w:val="nil"/>
          <w:bottom w:space="0" w:sz="0" w:val="nil"/>
          <w:right w:space="0" w:sz="0" w:val="nil"/>
          <w:between w:space="0" w:sz="0" w:val="nil"/>
        </w:pBdr>
        <w:shd w:fill="auto" w:val="clear"/>
        <w:spacing w:after="40" w:before="80" w:lineRule="auto"/>
        <w:ind w:left="426" w:hanging="426"/>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Procurement undertaken on behalf of BPK</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Any</w:t>
      </w:r>
      <w:r w:rsidDel="00000000" w:rsidR="00000000" w:rsidRPr="00000000">
        <w:rPr>
          <w:rFonts w:ascii="Calibri" w:cs="Calibri" w:eastAsia="Calibri" w:hAnsi="Calibri"/>
          <w:sz w:val="22"/>
          <w:szCs w:val="22"/>
          <w:rtl w:val="0"/>
        </w:rPr>
        <w:t xml:space="preserve">one </w:t>
      </w:r>
      <w:r w:rsidDel="00000000" w:rsidR="00000000" w:rsidRPr="00000000">
        <w:rPr>
          <w:rFonts w:ascii="Calibri" w:cs="Calibri" w:eastAsia="Calibri" w:hAnsi="Calibri"/>
          <w:sz w:val="22"/>
          <w:szCs w:val="22"/>
          <w:vertAlign w:val="baseline"/>
          <w:rtl w:val="0"/>
        </w:rPr>
        <w:t xml:space="preserve">who incurs an expense on behalf of BPK should be entitled to a refund of that expenditure.  This applies primarily to COM members who may incur costs such as postage, paper and printing as a consequence of their duties.  These expenses should not exceed $100 without prior approval from the Treasurer or executive COM.</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Equally, BPK staff that purchase items on behalf of BPK will be reimbursed up to a limit of $100 per transaction.  BPK staff will also be allocated a monthly budget for the purchase of </w:t>
      </w:r>
      <w:r w:rsidDel="00000000" w:rsidR="00000000" w:rsidRPr="00000000">
        <w:rPr>
          <w:rFonts w:ascii="Calibri" w:cs="Calibri" w:eastAsia="Calibri" w:hAnsi="Calibri"/>
          <w:sz w:val="22"/>
          <w:szCs w:val="22"/>
          <w:rtl w:val="0"/>
        </w:rPr>
        <w:t xml:space="preserve">kinder</w:t>
      </w:r>
      <w:r w:rsidDel="00000000" w:rsidR="00000000" w:rsidRPr="00000000">
        <w:rPr>
          <w:rFonts w:ascii="Calibri" w:cs="Calibri" w:eastAsia="Calibri" w:hAnsi="Calibri"/>
          <w:sz w:val="22"/>
          <w:szCs w:val="22"/>
          <w:vertAlign w:val="baseline"/>
          <w:rtl w:val="0"/>
        </w:rPr>
        <w:t xml:space="preserve"> supplies.  Prior executive COM approval will need to be obtained for purchases that will either exceed the transaction limit or result in exceeding the monthly budget.  </w:t>
      </w:r>
      <w:r w:rsidDel="00000000" w:rsidR="00000000" w:rsidRPr="00000000">
        <w:rPr>
          <w:rFonts w:ascii="Calibri" w:cs="Calibri" w:eastAsia="Calibri" w:hAnsi="Calibri"/>
          <w:b w:val="1"/>
          <w:sz w:val="22"/>
          <w:szCs w:val="22"/>
          <w:vertAlign w:val="baseline"/>
          <w:rtl w:val="0"/>
        </w:rPr>
        <w:t xml:space="preserve">Any unauthorised purchases may not be reimbursed</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2A">
      <w:pPr>
        <w:spacing w:after="40" w:before="80" w:lineRule="auto"/>
        <w:ind w:left="708.6614173228347" w:firstLine="0"/>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rtl w:val="0"/>
        </w:rPr>
        <w:t xml:space="preserve">The Treasurer will provide a monthly report to the Director, comparing actual to budgeted expenditure.  This report can be the monthly Profit &amp; Loss budget comparison from MYOB.</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40" w:before="80" w:lineRule="auto"/>
        <w:ind w:left="36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RECEIPTS - Receipts by cash </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Rule="auto"/>
        <w:rPr>
          <w:rFonts w:ascii="Calibri" w:cs="Calibri" w:eastAsia="Calibri" w:hAnsi="Calibri"/>
          <w:b w:val="0"/>
          <w:sz w:val="22"/>
          <w:szCs w:val="22"/>
          <w:vertAlign w:val="baseline"/>
        </w:rPr>
      </w:pPr>
      <w:r w:rsidDel="00000000" w:rsidR="00000000" w:rsidRPr="00000000">
        <w:rPr>
          <w:rFonts w:ascii="Calibri" w:cs="Calibri" w:eastAsia="Calibri" w:hAnsi="Calibri"/>
          <w:b w:val="0"/>
          <w:sz w:val="22"/>
          <w:szCs w:val="22"/>
          <w:vertAlign w:val="baseline"/>
          <w:rtl w:val="0"/>
        </w:rPr>
        <w:t xml:space="preserve">Cash </w:t>
      </w:r>
      <w:r w:rsidDel="00000000" w:rsidR="00000000" w:rsidRPr="00000000">
        <w:rPr>
          <w:rFonts w:ascii="Calibri" w:cs="Calibri" w:eastAsia="Calibri" w:hAnsi="Calibri"/>
          <w:b w:val="0"/>
          <w:sz w:val="22"/>
          <w:szCs w:val="22"/>
          <w:vertAlign w:val="baseline"/>
          <w:rtl w:val="0"/>
        </w:rPr>
        <w:t xml:space="preserve">and cheques</w:t>
      </w:r>
      <w:r w:rsidDel="00000000" w:rsidR="00000000" w:rsidRPr="00000000">
        <w:rPr>
          <w:rFonts w:ascii="Calibri" w:cs="Calibri" w:eastAsia="Calibri" w:hAnsi="Calibri"/>
          <w:b w:val="0"/>
          <w:sz w:val="22"/>
          <w:szCs w:val="22"/>
          <w:vertAlign w:val="baseline"/>
          <w:rtl w:val="0"/>
        </w:rPr>
        <w:t xml:space="preserve"> must be locked in the safe until ready to be counted with 2 people and then deposited by Admin/Executive. Counted receipts must be logged on a  “Money Count Sheet” and must be counted by two people with at least one committee member.  The Admin staff member, the treasurer or another member of the executive is then to bank the money at a </w:t>
      </w:r>
      <w:r w:rsidDel="00000000" w:rsidR="00000000" w:rsidRPr="00000000">
        <w:rPr>
          <w:rFonts w:ascii="Calibri" w:cs="Calibri" w:eastAsia="Calibri" w:hAnsi="Calibri"/>
          <w:b w:val="0"/>
          <w:sz w:val="22"/>
          <w:szCs w:val="22"/>
          <w:vertAlign w:val="baseline"/>
          <w:rtl w:val="0"/>
        </w:rPr>
        <w:t xml:space="preserve">CBA branch</w:t>
      </w:r>
      <w:r w:rsidDel="00000000" w:rsidR="00000000" w:rsidRPr="00000000">
        <w:rPr>
          <w:rFonts w:ascii="Calibri" w:cs="Calibri" w:eastAsia="Calibri" w:hAnsi="Calibri"/>
          <w:b w:val="0"/>
          <w:sz w:val="22"/>
          <w:szCs w:val="22"/>
          <w:vertAlign w:val="baseline"/>
          <w:rtl w:val="0"/>
        </w:rPr>
        <w:t xml:space="preserve"> using the deposit book provided.  The treasurer is then to reconcile the bank statements to the “Money Count Sheet”.  This is to minimise the risk of fraud.</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sz w:val="22"/>
          <w:szCs w:val="22"/>
          <w:vertAlign w:val="baseline"/>
        </w:rPr>
      </w:pPr>
      <w:r w:rsidDel="00000000" w:rsidR="00000000" w:rsidRPr="00000000">
        <w:rPr>
          <w:vertAlign w:val="baseline"/>
          <w:rtl w:val="0"/>
        </w:rPr>
        <w:t xml:space="preserve">Completed Money count sheets go in Accounts folder &amp; Admin does bank reconciliation monthly.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40" w:before="80" w:lineRule="auto"/>
        <w:ind w:left="360" w:firstLine="0"/>
        <w:rPr>
          <w:rFonts w:ascii="Calibri" w:cs="Calibri" w:eastAsia="Calibri" w:hAnsi="Calibri"/>
          <w:b w:val="0"/>
          <w:sz w:val="22"/>
          <w:szCs w:val="22"/>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u w:val="single"/>
          <w:vertAlign w:val="baseline"/>
        </w:rPr>
      </w:pPr>
      <w:r w:rsidDel="00000000" w:rsidR="00000000" w:rsidRPr="00000000">
        <w:rPr>
          <w:rFonts w:ascii="Calibri" w:cs="Calibri" w:eastAsia="Calibri" w:hAnsi="Calibri"/>
          <w:b w:val="1"/>
          <w:sz w:val="22"/>
          <w:szCs w:val="22"/>
          <w:u w:val="single"/>
          <w:vertAlign w:val="baseline"/>
          <w:rtl w:val="0"/>
        </w:rPr>
        <w:t xml:space="preserve">NOTE: Petty Cash</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BPK is not to operate a petty cash float or maintain any petty cash on the premises.  The above avenues provide sufficient means by which purchases can be made.  A petty cash system requires onerous administration and inherently poses a greater level of risk for fraudulent or negligent activity.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4"/>
          <w:szCs w:val="24"/>
          <w:vertAlign w:val="baseline"/>
        </w:rPr>
      </w:pPr>
      <w:r w:rsidDel="00000000" w:rsidR="00000000" w:rsidRPr="00000000">
        <w:rPr>
          <w:rFonts w:ascii="Calibri" w:cs="Calibri" w:eastAsia="Calibri" w:hAnsi="Calibri"/>
          <w:b w:val="1"/>
          <w:vertAlign w:val="baseline"/>
          <w:rtl w:val="0"/>
        </w:rPr>
        <w:t xml:space="preserve">6.  Circulation Plan</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40" w:before="80" w:lineRule="auto"/>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Copies of this Policy will be circulated to all staff members, all new Committee members and a copy kept in the Kindergarten’s Policy File.</w:t>
      </w:r>
      <w:r w:rsidDel="00000000" w:rsidR="00000000" w:rsidRPr="00000000">
        <w:rPr>
          <w:rFonts w:ascii="Calibri" w:cs="Calibri" w:eastAsia="Calibri" w:hAnsi="Calibri"/>
          <w:b w:val="1"/>
          <w:sz w:val="22"/>
          <w:szCs w:val="22"/>
          <w:vertAlign w:val="baseline"/>
          <w:rtl w:val="0"/>
        </w:rPr>
        <w:t xml:space="preserve"> </w:t>
      </w:r>
      <w:r w:rsidDel="00000000" w:rsidR="00000000" w:rsidRPr="00000000">
        <w:rPr>
          <w:rtl w:val="0"/>
        </w:rPr>
      </w:r>
    </w:p>
    <w:sectPr>
      <w:headerReference r:id="rId6" w:type="default"/>
      <w:footerReference r:id="rId7" w:type="default"/>
      <w:pgSz w:h="16838" w:w="11906" w:orient="portrait"/>
      <w:pgMar w:bottom="1440" w:top="144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Calibri" w:cs="Calibri" w:eastAsia="Calibri" w:hAnsi="Calibri"/>
        <w:b w:val="0"/>
        <w:sz w:val="22"/>
        <w:szCs w:val="22"/>
        <w:vertAlign w:val="baseline"/>
      </w:rPr>
    </w:pPr>
    <w:r w:rsidDel="00000000" w:rsidR="00000000" w:rsidRPr="00000000">
      <w:rPr>
        <w:rFonts w:ascii="Calibri" w:cs="Calibri" w:eastAsia="Calibri" w:hAnsi="Calibri"/>
        <w:b w:val="0"/>
        <w:sz w:val="22"/>
        <w:szCs w:val="22"/>
        <w:vertAlign w:val="baseline"/>
        <w:rtl w:val="0"/>
      </w:rPr>
      <w:t xml:space="preserve">Page </w:t>
    </w:r>
    <w:r w:rsidDel="00000000" w:rsidR="00000000" w:rsidRPr="00000000">
      <w:rPr>
        <w:rFonts w:ascii="Calibri" w:cs="Calibri" w:eastAsia="Calibri" w:hAnsi="Calibri"/>
        <w:b w:val="1"/>
        <w:sz w:val="22"/>
        <w:szCs w:val="22"/>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sz w:val="22"/>
        <w:szCs w:val="22"/>
        <w:vertAlign w:val="baseline"/>
        <w:rtl w:val="0"/>
      </w:rPr>
      <w:t xml:space="preserve"> of </w:t>
    </w:r>
    <w:r w:rsidDel="00000000" w:rsidR="00000000" w:rsidRPr="00000000">
      <w:rPr>
        <w:rFonts w:ascii="Calibri" w:cs="Calibri" w:eastAsia="Calibri" w:hAnsi="Calibri"/>
        <w:b w:val="1"/>
        <w:sz w:val="22"/>
        <w:szCs w:val="22"/>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tl w:val="0"/>
      </w:rPr>
      <w:t xml:space="preserve">Updated August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tabs>
        <w:tab w:val="center" w:leader="none" w:pos="4853"/>
        <w:tab w:val="right" w:leader="none" w:pos="9706"/>
      </w:tabs>
      <w:spacing w:after="0" w:before="708" w:line="240" w:lineRule="auto"/>
      <w:rPr>
        <w:rFonts w:ascii="Calibri" w:cs="Calibri" w:eastAsia="Calibri" w:hAnsi="Calibri"/>
        <w:b w:val="0"/>
        <w:smallCaps w:val="0"/>
        <w:color w:val="000000"/>
        <w:sz w:val="22"/>
        <w:szCs w:val="22"/>
        <w:vertAlign w:val="baseline"/>
      </w:rPr>
    </w:pPr>
    <w:r w:rsidDel="00000000" w:rsidR="00000000" w:rsidRPr="00000000">
      <w:rPr>
        <w:rFonts w:ascii="Calibri" w:cs="Calibri" w:eastAsia="Calibri" w:hAnsi="Calibri"/>
        <w:b w:val="0"/>
        <w:smallCaps w:val="1"/>
        <w:color w:val="000000"/>
        <w:sz w:val="22"/>
        <w:szCs w:val="22"/>
        <w:vertAlign w:val="baseline"/>
        <w:rtl w:val="0"/>
      </w:rPr>
      <w:t xml:space="preserve">BATMAN PARK KINDERGARTEN</w:t>
      <w:tab/>
      <w:tab/>
      <w:t xml:space="preserve">EXPENDITURE &amp; RECEIPT POLICY</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87" w:hanging="360"/>
      </w:pPr>
      <w:rPr>
        <w:rFonts w:ascii="Arial" w:cs="Arial" w:eastAsia="Arial" w:hAnsi="Arial"/>
        <w:vertAlign w:val="baseline"/>
      </w:rPr>
    </w:lvl>
    <w:lvl w:ilvl="1">
      <w:start w:val="1"/>
      <w:numFmt w:val="bullet"/>
      <w:lvlText w:val="o"/>
      <w:lvlJc w:val="left"/>
      <w:pPr>
        <w:ind w:left="1500" w:hanging="360"/>
      </w:pPr>
      <w:rPr>
        <w:rFonts w:ascii="Arial" w:cs="Arial" w:eastAsia="Arial" w:hAnsi="Arial"/>
        <w:vertAlign w:val="baseline"/>
      </w:rPr>
    </w:lvl>
    <w:lvl w:ilvl="2">
      <w:start w:val="1"/>
      <w:numFmt w:val="bullet"/>
      <w:lvlText w:val="▪"/>
      <w:lvlJc w:val="left"/>
      <w:pPr>
        <w:ind w:left="2220" w:hanging="360"/>
      </w:pPr>
      <w:rPr>
        <w:rFonts w:ascii="Arial" w:cs="Arial" w:eastAsia="Arial" w:hAnsi="Arial"/>
        <w:vertAlign w:val="baseline"/>
      </w:rPr>
    </w:lvl>
    <w:lvl w:ilvl="3">
      <w:start w:val="1"/>
      <w:numFmt w:val="bullet"/>
      <w:lvlText w:val="●"/>
      <w:lvlJc w:val="left"/>
      <w:pPr>
        <w:ind w:left="2940" w:hanging="360"/>
      </w:pPr>
      <w:rPr>
        <w:rFonts w:ascii="Arial" w:cs="Arial" w:eastAsia="Arial" w:hAnsi="Arial"/>
        <w:vertAlign w:val="baseline"/>
      </w:rPr>
    </w:lvl>
    <w:lvl w:ilvl="4">
      <w:start w:val="1"/>
      <w:numFmt w:val="bullet"/>
      <w:lvlText w:val="o"/>
      <w:lvlJc w:val="left"/>
      <w:pPr>
        <w:ind w:left="3660" w:hanging="360"/>
      </w:pPr>
      <w:rPr>
        <w:rFonts w:ascii="Arial" w:cs="Arial" w:eastAsia="Arial" w:hAnsi="Arial"/>
        <w:vertAlign w:val="baseline"/>
      </w:rPr>
    </w:lvl>
    <w:lvl w:ilvl="5">
      <w:start w:val="1"/>
      <w:numFmt w:val="bullet"/>
      <w:lvlText w:val="▪"/>
      <w:lvlJc w:val="left"/>
      <w:pPr>
        <w:ind w:left="4380" w:hanging="360"/>
      </w:pPr>
      <w:rPr>
        <w:rFonts w:ascii="Arial" w:cs="Arial" w:eastAsia="Arial" w:hAnsi="Arial"/>
        <w:vertAlign w:val="baseline"/>
      </w:rPr>
    </w:lvl>
    <w:lvl w:ilvl="6">
      <w:start w:val="1"/>
      <w:numFmt w:val="bullet"/>
      <w:lvlText w:val="●"/>
      <w:lvlJc w:val="left"/>
      <w:pPr>
        <w:ind w:left="5100" w:hanging="360"/>
      </w:pPr>
      <w:rPr>
        <w:rFonts w:ascii="Arial" w:cs="Arial" w:eastAsia="Arial" w:hAnsi="Arial"/>
        <w:vertAlign w:val="baseline"/>
      </w:rPr>
    </w:lvl>
    <w:lvl w:ilvl="7">
      <w:start w:val="1"/>
      <w:numFmt w:val="bullet"/>
      <w:lvlText w:val="o"/>
      <w:lvlJc w:val="left"/>
      <w:pPr>
        <w:ind w:left="5820" w:hanging="360"/>
      </w:pPr>
      <w:rPr>
        <w:rFonts w:ascii="Arial" w:cs="Arial" w:eastAsia="Arial" w:hAnsi="Arial"/>
        <w:vertAlign w:val="baseline"/>
      </w:rPr>
    </w:lvl>
    <w:lvl w:ilvl="8">
      <w:start w:val="1"/>
      <w:numFmt w:val="bullet"/>
      <w:lvlText w:val="▪"/>
      <w:lvlJc w:val="left"/>
      <w:pPr>
        <w:ind w:left="6540" w:hanging="360"/>
      </w:pPr>
      <w:rPr>
        <w:rFonts w:ascii="Arial" w:cs="Arial" w:eastAsia="Arial" w:hAnsi="Arial"/>
        <w:vertAlign w:val="baseline"/>
      </w:rPr>
    </w:lvl>
  </w:abstractNum>
  <w:abstractNum w:abstractNumId="2">
    <w:lvl w:ilvl="0">
      <w:start w:val="1"/>
      <w:numFmt w:val="bullet"/>
      <w:lvlText w:val="●"/>
      <w:lvlJc w:val="left"/>
      <w:pPr>
        <w:ind w:left="987" w:hanging="360"/>
      </w:pPr>
      <w:rPr>
        <w:rFonts w:ascii="Arial" w:cs="Arial" w:eastAsia="Arial" w:hAnsi="Arial"/>
        <w:vertAlign w:val="baseline"/>
      </w:rPr>
    </w:lvl>
    <w:lvl w:ilvl="1">
      <w:start w:val="1"/>
      <w:numFmt w:val="bullet"/>
      <w:lvlText w:val="o"/>
      <w:lvlJc w:val="left"/>
      <w:pPr>
        <w:ind w:left="1500" w:hanging="360"/>
      </w:pPr>
      <w:rPr>
        <w:rFonts w:ascii="Arial" w:cs="Arial" w:eastAsia="Arial" w:hAnsi="Arial"/>
        <w:vertAlign w:val="baseline"/>
      </w:rPr>
    </w:lvl>
    <w:lvl w:ilvl="2">
      <w:start w:val="1"/>
      <w:numFmt w:val="bullet"/>
      <w:lvlText w:val="▪"/>
      <w:lvlJc w:val="left"/>
      <w:pPr>
        <w:ind w:left="2220" w:hanging="360"/>
      </w:pPr>
      <w:rPr>
        <w:rFonts w:ascii="Arial" w:cs="Arial" w:eastAsia="Arial" w:hAnsi="Arial"/>
        <w:vertAlign w:val="baseline"/>
      </w:rPr>
    </w:lvl>
    <w:lvl w:ilvl="3">
      <w:start w:val="1"/>
      <w:numFmt w:val="bullet"/>
      <w:lvlText w:val="●"/>
      <w:lvlJc w:val="left"/>
      <w:pPr>
        <w:ind w:left="2940" w:hanging="360"/>
      </w:pPr>
      <w:rPr>
        <w:rFonts w:ascii="Arial" w:cs="Arial" w:eastAsia="Arial" w:hAnsi="Arial"/>
        <w:vertAlign w:val="baseline"/>
      </w:rPr>
    </w:lvl>
    <w:lvl w:ilvl="4">
      <w:start w:val="1"/>
      <w:numFmt w:val="bullet"/>
      <w:lvlText w:val="o"/>
      <w:lvlJc w:val="left"/>
      <w:pPr>
        <w:ind w:left="3660" w:hanging="360"/>
      </w:pPr>
      <w:rPr>
        <w:rFonts w:ascii="Arial" w:cs="Arial" w:eastAsia="Arial" w:hAnsi="Arial"/>
        <w:vertAlign w:val="baseline"/>
      </w:rPr>
    </w:lvl>
    <w:lvl w:ilvl="5">
      <w:start w:val="1"/>
      <w:numFmt w:val="bullet"/>
      <w:lvlText w:val="▪"/>
      <w:lvlJc w:val="left"/>
      <w:pPr>
        <w:ind w:left="4380" w:hanging="360"/>
      </w:pPr>
      <w:rPr>
        <w:rFonts w:ascii="Arial" w:cs="Arial" w:eastAsia="Arial" w:hAnsi="Arial"/>
        <w:vertAlign w:val="baseline"/>
      </w:rPr>
    </w:lvl>
    <w:lvl w:ilvl="6">
      <w:start w:val="1"/>
      <w:numFmt w:val="bullet"/>
      <w:lvlText w:val="●"/>
      <w:lvlJc w:val="left"/>
      <w:pPr>
        <w:ind w:left="5100" w:hanging="360"/>
      </w:pPr>
      <w:rPr>
        <w:rFonts w:ascii="Arial" w:cs="Arial" w:eastAsia="Arial" w:hAnsi="Arial"/>
        <w:vertAlign w:val="baseline"/>
      </w:rPr>
    </w:lvl>
    <w:lvl w:ilvl="7">
      <w:start w:val="1"/>
      <w:numFmt w:val="bullet"/>
      <w:lvlText w:val="o"/>
      <w:lvlJc w:val="left"/>
      <w:pPr>
        <w:ind w:left="5820" w:hanging="360"/>
      </w:pPr>
      <w:rPr>
        <w:rFonts w:ascii="Arial" w:cs="Arial" w:eastAsia="Arial" w:hAnsi="Arial"/>
        <w:vertAlign w:val="baseline"/>
      </w:rPr>
    </w:lvl>
    <w:lvl w:ilvl="8">
      <w:start w:val="1"/>
      <w:numFmt w:val="bullet"/>
      <w:lvlText w:val="▪"/>
      <w:lvlJc w:val="left"/>
      <w:pPr>
        <w:ind w:left="6540" w:hanging="360"/>
      </w:pPr>
      <w:rPr>
        <w:rFonts w:ascii="Arial" w:cs="Arial" w:eastAsia="Arial" w:hAnsi="Arial"/>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