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rFonts w:ascii="Arial" w:cs="Arial" w:eastAsia="Arial" w:hAnsi="Arial"/>
          <w:b/>
          <w:bCs/>
          <w:sz w:val="22"/>
          <w:szCs w:val="22"/>
        </w:rPr>
        <w:t xml:space="preserve">POLLING MEMORANDUM &amp; ELECTORAL BRIEF</w:t>
      </w:r>
    </w:p>
    <w:p>
      <w:pPr>
        <w:spacing w:after="160"/>
      </w:pPr>
      <w:r>
        <w:rPr>
          <w:rFonts w:ascii="Arial" w:cs="Arial" w:eastAsia="Arial" w:hAnsi="Arial"/>
          <w:b/>
          <w:bCs/>
          <w:sz w:val="22"/>
          <w:szCs w:val="22"/>
        </w:rPr>
        <w:t xml:space="preserve">TO: </w:t>
      </w:r>
      <w:r>
        <w:rPr>
          <w:rFonts w:ascii="Arial" w:cs="Arial" w:eastAsia="Arial" w:hAnsi="Arial"/>
          <w:sz w:val="22"/>
          <w:szCs w:val="22"/>
        </w:rPr>
        <w:t xml:space="preserve">Strategy &amp; Campaign Leadership</w:t>
      </w:r>
    </w:p>
    <w:p>
      <w:pPr>
        <w:spacing w:after="160"/>
      </w:pPr>
      <w:r>
        <w:rPr>
          <w:rFonts w:ascii="Arial" w:cs="Arial" w:eastAsia="Arial" w:hAnsi="Arial"/>
          <w:b/>
          <w:bCs/>
          <w:sz w:val="22"/>
          <w:szCs w:val="22"/>
        </w:rPr>
        <w:t xml:space="preserve">FROM: </w:t>
      </w:r>
      <w:r>
        <w:rPr>
          <w:rFonts w:ascii="Arial" w:cs="Arial" w:eastAsia="Arial" w:hAnsi="Arial"/>
          <w:sz w:val="22"/>
          <w:szCs w:val="22"/>
        </w:rPr>
        <w:t xml:space="preserve">Brett Loyd, Bullfinch Group</w:t>
      </w:r>
    </w:p>
    <w:p>
      <w:pPr>
        <w:spacing w:after="160"/>
      </w:pPr>
      <w:r>
        <w:rPr>
          <w:rFonts w:ascii="Arial" w:cs="Arial" w:eastAsia="Arial" w:hAnsi="Arial"/>
          <w:b/>
          <w:bCs/>
          <w:sz w:val="22"/>
          <w:szCs w:val="22"/>
        </w:rPr>
        <w:t xml:space="preserve">DATE: </w:t>
      </w:r>
      <w:r>
        <w:rPr>
          <w:rFonts w:ascii="Arial" w:cs="Arial" w:eastAsia="Arial" w:hAnsi="Arial"/>
          <w:sz w:val="22"/>
          <w:szCs w:val="22"/>
        </w:rPr>
        <w:t xml:space="preserve">July 24, 2026</w:t>
      </w:r>
    </w:p>
    <w:p>
      <w:pPr>
        <w:pBdr>
          <w:bottom w:val="single" w:color="000000" w:sz="6" w:space="8"/>
        </w:pBdr>
        <w:spacing w:after="240"/>
      </w:pPr>
      <w:r>
        <w:rPr>
          <w:rFonts w:ascii="Arial" w:cs="Arial" w:eastAsia="Arial" w:hAnsi="Arial"/>
          <w:b/>
          <w:bCs/>
          <w:sz w:val="22"/>
          <w:szCs w:val="22"/>
        </w:rPr>
        <w:t xml:space="preserve">SUBJECT: </w:t>
      </w:r>
      <w:r>
        <w:rPr>
          <w:rFonts w:ascii="Arial" w:cs="Arial" w:eastAsia="Arial" w:hAnsi="Arial"/>
          <w:sz w:val="22"/>
          <w:szCs w:val="22"/>
        </w:rPr>
        <w:t xml:space="preserve">Multi-District Survey Analysis: The Emerging Independent Mandate in the 2026 Midterms</w:t>
      </w:r>
    </w:p>
    <w:p>
      <w:pPr>
        <w:spacing w:after="160"/>
      </w:pPr>
      <w:r>
        <w:rPr>
          <w:rFonts w:ascii="Arial" w:cs="Arial" w:eastAsia="Arial" w:hAnsi="Arial"/>
          <w:b/>
          <w:bCs/>
          <w:sz w:val="22"/>
          <w:szCs w:val="22"/>
        </w:rPr>
        <w:t xml:space="preserve">Executive Summary &amp; Survey Methodology</w:t>
      </w:r>
    </w:p>
    <w:p>
      <w:pPr>
        <w:spacing w:after="160"/>
      </w:pPr>
      <w:r>
        <w:rPr>
          <w:rFonts w:ascii="Arial" w:cs="Arial" w:eastAsia="Arial" w:hAnsi="Arial"/>
          <w:sz w:val="22"/>
          <w:szCs w:val="22"/>
        </w:rPr>
        <w:t xml:space="preserve">This study utilizes a multi-frame, probability-based sampling design combining live telephone calls and Short Message Service (SMS) outreach. To correct for non-response bias, the final sample was adjusted against U.S. Census Bureau and national voter databases to ensure accurate representation across core demographics, specifically gender, geographic region, age, race and ethnicity, political affiliation, educational attainment, household income, and population density, ensuring statistically valid generalizability.</w:t>
      </w:r>
    </w:p>
    <w:p>
      <w:pPr>
        <w:spacing w:after="160"/>
      </w:pPr>
      <w:r>
        <w:rPr>
          <w:rFonts w:ascii="Arial" w:cs="Arial" w:eastAsia="Arial" w:hAnsi="Arial"/>
          <w:sz w:val="22"/>
          <w:szCs w:val="22"/>
        </w:rPr>
        <w:t xml:space="preserve">All field operations were conducted simultaneously between July 13 and July 16, 2026.</w:t>
      </w:r>
    </w:p>
    <w:p>
      <w:pPr>
        <w:spacing w:after="160"/>
      </w:pPr>
      <w:r>
        <w:rPr>
          <w:rFonts w:ascii="Arial" w:cs="Arial" w:eastAsia="Arial" w:hAnsi="Arial"/>
          <w:b/>
          <w:bCs/>
          <w:sz w:val="22"/>
          <w:szCs w:val="22"/>
        </w:rPr>
        <w:t xml:space="preserve">Methodology &amp; Sample Overview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1900"/>
        <w:gridCol w:w="1500"/>
        <w:gridCol w:w="1300"/>
        <w:gridCol w:w="2260"/>
      </w:tblGrid>
      <w:tr>
        <w:trPr>
          <w:tblHeader/>
        </w:trPr>
        <w:tc>
          <w:tcPr>
            <w:tcW w:type="dxa" w:w="2400"/>
            <w:tcMar>
              <w:top w:type="dxa" w:w="100"/>
              <w:left w:type="dxa" w:w="120"/>
              <w:bottom w:type="dxa" w:w="100"/>
              <w:right w:type="dxa" w:w="120"/>
            </w:tcMar>
          </w:tcPr>
          <w:p>
            <w:r>
              <w:rPr>
                <w:rFonts w:ascii="Arial" w:cs="Arial" w:eastAsia="Arial" w:hAnsi="Arial"/>
                <w:b/>
                <w:bCs/>
                <w:sz w:val="20"/>
                <w:szCs w:val="20"/>
              </w:rPr>
              <w:t xml:space="preserve">District / Statewide Universe</w:t>
            </w:r>
          </w:p>
        </w:tc>
        <w:tc>
          <w:tcPr>
            <w:tcW w:type="dxa" w:w="1900"/>
            <w:tcMar>
              <w:top w:type="dxa" w:w="100"/>
              <w:left w:type="dxa" w:w="120"/>
              <w:bottom w:type="dxa" w:w="100"/>
              <w:right w:type="dxa" w:w="120"/>
            </w:tcMar>
          </w:tcPr>
          <w:p>
            <w:r>
              <w:rPr>
                <w:rFonts w:ascii="Arial" w:cs="Arial" w:eastAsia="Arial" w:hAnsi="Arial"/>
                <w:b/>
                <w:bCs/>
                <w:sz w:val="20"/>
                <w:szCs w:val="20"/>
              </w:rPr>
              <w:t xml:space="preserve">Target Sample</w:t>
            </w:r>
          </w:p>
        </w:tc>
        <w:tc>
          <w:tcPr>
            <w:tcW w:type="dxa" w:w="1500"/>
            <w:tcMar>
              <w:top w:type="dxa" w:w="100"/>
              <w:left w:type="dxa" w:w="120"/>
              <w:bottom w:type="dxa" w:w="100"/>
              <w:right w:type="dxa" w:w="120"/>
            </w:tcMar>
          </w:tcPr>
          <w:p>
            <w:r>
              <w:rPr>
                <w:rFonts w:ascii="Arial" w:cs="Arial" w:eastAsia="Arial" w:hAnsi="Arial"/>
                <w:b/>
                <w:bCs/>
                <w:sz w:val="20"/>
                <w:szCs w:val="20"/>
              </w:rPr>
              <w:t xml:space="preserve">Completed Sample (N)</w:t>
            </w:r>
          </w:p>
        </w:tc>
        <w:tc>
          <w:tcPr>
            <w:tcW w:type="dxa" w:w="1300"/>
            <w:tcMar>
              <w:top w:type="dxa" w:w="100"/>
              <w:left w:type="dxa" w:w="120"/>
              <w:bottom w:type="dxa" w:w="100"/>
              <w:right w:type="dxa" w:w="120"/>
            </w:tcMar>
          </w:tcPr>
          <w:p>
            <w:r>
              <w:rPr>
                <w:rFonts w:ascii="Arial" w:cs="Arial" w:eastAsia="Arial" w:hAnsi="Arial"/>
                <w:b/>
                <w:bCs/>
                <w:sz w:val="20"/>
                <w:szCs w:val="20"/>
              </w:rPr>
              <w:t xml:space="preserve">Margin of Error</w:t>
            </w:r>
          </w:p>
        </w:tc>
        <w:tc>
          <w:tcPr>
            <w:tcW w:type="dxa" w:w="2260"/>
            <w:tcMar>
              <w:top w:type="dxa" w:w="100"/>
              <w:left w:type="dxa" w:w="120"/>
              <w:bottom w:type="dxa" w:w="100"/>
              <w:right w:type="dxa" w:w="120"/>
            </w:tcMar>
          </w:tcPr>
          <w:p>
            <w:r>
              <w:rPr>
                <w:rFonts w:ascii="Arial" w:cs="Arial" w:eastAsia="Arial" w:hAnsi="Arial"/>
                <w:b/>
                <w:bCs/>
                <w:sz w:val="20"/>
                <w:szCs w:val="20"/>
              </w:rPr>
              <w:t xml:space="preserve">Primary Data Collection Modes</w:t>
            </w:r>
          </w:p>
        </w:tc>
      </w:tr>
      <w:tr>
        <w:tc>
          <w:tcPr>
            <w:tcW w:type="dxa" w:w="2400"/>
            <w:tcMar>
              <w:top w:type="dxa" w:w="100"/>
              <w:left w:type="dxa" w:w="120"/>
              <w:bottom w:type="dxa" w:w="100"/>
              <w:right w:type="dxa" w:w="120"/>
            </w:tcMar>
          </w:tcPr>
          <w:p>
            <w:r>
              <w:rPr>
                <w:rFonts w:ascii="Arial" w:cs="Arial" w:eastAsia="Arial" w:hAnsi="Arial"/>
                <w:b/>
                <w:bCs/>
                <w:sz w:val="20"/>
                <w:szCs w:val="20"/>
              </w:rPr>
              <w:t xml:space="preserve">Montana Statewide (Senate)</w:t>
            </w:r>
          </w:p>
        </w:tc>
        <w:tc>
          <w:tcPr>
            <w:tcW w:type="dxa" w:w="1900"/>
            <w:tcMar>
              <w:top w:type="dxa" w:w="100"/>
              <w:left w:type="dxa" w:w="120"/>
              <w:bottom w:type="dxa" w:w="100"/>
              <w:right w:type="dxa" w:w="120"/>
            </w:tcMar>
          </w:tcPr>
          <w:p>
            <w:r>
              <w:rPr>
                <w:rFonts w:ascii="Arial" w:cs="Arial" w:eastAsia="Arial" w:hAnsi="Arial"/>
                <w:b w:val="false"/>
                <w:bCs w:val="false"/>
                <w:sz w:val="20"/>
                <w:szCs w:val="20"/>
              </w:rPr>
              <w:t xml:space="preserve">Likely 2026 General Voters</w:t>
            </w:r>
          </w:p>
        </w:tc>
        <w:tc>
          <w:tcPr>
            <w:tcW w:type="dxa" w:w="1500"/>
            <w:tcMar>
              <w:top w:type="dxa" w:w="100"/>
              <w:left w:type="dxa" w:w="120"/>
              <w:bottom w:type="dxa" w:w="100"/>
              <w:right w:type="dxa" w:w="120"/>
            </w:tcMar>
          </w:tcPr>
          <w:p>
            <w:r>
              <w:rPr>
                <w:rFonts w:ascii="Arial" w:cs="Arial" w:eastAsia="Arial" w:hAnsi="Arial"/>
                <w:b w:val="false"/>
                <w:bCs w:val="false"/>
                <w:sz w:val="20"/>
                <w:szCs w:val="20"/>
              </w:rPr>
              <w:t xml:space="preserve">793</w:t>
            </w:r>
          </w:p>
        </w:tc>
        <w:tc>
          <w:tcPr>
            <w:tcW w:type="dxa" w:w="1300"/>
            <w:tcMar>
              <w:top w:type="dxa" w:w="100"/>
              <w:left w:type="dxa" w:w="120"/>
              <w:bottom w:type="dxa" w:w="100"/>
              <w:right w:type="dxa" w:w="120"/>
            </w:tcMar>
          </w:tcPr>
          <w:p>
            <w:r>
              <w:rPr>
                <w:rFonts w:ascii="Arial" w:cs="Arial" w:eastAsia="Arial" w:hAnsi="Arial"/>
                <w:b w:val="false"/>
                <w:bCs w:val="false"/>
                <w:sz w:val="20"/>
                <w:szCs w:val="20"/>
              </w:rPr>
              <w:t xml:space="preserve">±3.48%</w:t>
            </w:r>
          </w:p>
        </w:tc>
        <w:tc>
          <w:tcPr>
            <w:tcW w:type="dxa" w:w="2260"/>
            <w:tcMar>
              <w:top w:type="dxa" w:w="100"/>
              <w:left w:type="dxa" w:w="120"/>
              <w:bottom w:type="dxa" w:w="100"/>
              <w:right w:type="dxa" w:w="120"/>
            </w:tcMar>
          </w:tcPr>
          <w:p>
            <w:r>
              <w:rPr>
                <w:rFonts w:ascii="Arial" w:cs="Arial" w:eastAsia="Arial" w:hAnsi="Arial"/>
                <w:b w:val="false"/>
                <w:bCs w:val="false"/>
                <w:sz w:val="20"/>
                <w:szCs w:val="20"/>
              </w:rPr>
              <w:t xml:space="preserve">Live Calls + SMS-to-Web</w:t>
            </w:r>
          </w:p>
        </w:tc>
      </w:tr>
      <w:tr>
        <w:tc>
          <w:tcPr>
            <w:tcW w:type="dxa" w:w="2400"/>
            <w:tcMar>
              <w:top w:type="dxa" w:w="100"/>
              <w:left w:type="dxa" w:w="120"/>
              <w:bottom w:type="dxa" w:w="100"/>
              <w:right w:type="dxa" w:w="120"/>
            </w:tcMar>
          </w:tcPr>
          <w:p>
            <w:r>
              <w:rPr>
                <w:rFonts w:ascii="Arial" w:cs="Arial" w:eastAsia="Arial" w:hAnsi="Arial"/>
                <w:b/>
                <w:bCs/>
                <w:sz w:val="20"/>
                <w:szCs w:val="20"/>
              </w:rPr>
              <w:t xml:space="preserve">Alaska Statewide (At-Large)</w:t>
            </w:r>
          </w:p>
        </w:tc>
        <w:tc>
          <w:tcPr>
            <w:tcW w:type="dxa" w:w="1900"/>
            <w:tcMar>
              <w:top w:type="dxa" w:w="100"/>
              <w:left w:type="dxa" w:w="120"/>
              <w:bottom w:type="dxa" w:w="100"/>
              <w:right w:type="dxa" w:w="120"/>
            </w:tcMar>
          </w:tcPr>
          <w:p>
            <w:r>
              <w:rPr>
                <w:rFonts w:ascii="Arial" w:cs="Arial" w:eastAsia="Arial" w:hAnsi="Arial"/>
                <w:b w:val="false"/>
                <w:bCs w:val="false"/>
                <w:sz w:val="20"/>
                <w:szCs w:val="20"/>
              </w:rPr>
              <w:t xml:space="preserve">Likely 2026 General Voters</w:t>
            </w:r>
          </w:p>
        </w:tc>
        <w:tc>
          <w:tcPr>
            <w:tcW w:type="dxa" w:w="1500"/>
            <w:tcMar>
              <w:top w:type="dxa" w:w="100"/>
              <w:left w:type="dxa" w:w="120"/>
              <w:bottom w:type="dxa" w:w="100"/>
              <w:right w:type="dxa" w:w="120"/>
            </w:tcMar>
          </w:tcPr>
          <w:p>
            <w:r>
              <w:rPr>
                <w:rFonts w:ascii="Arial" w:cs="Arial" w:eastAsia="Arial" w:hAnsi="Arial"/>
                <w:b w:val="false"/>
                <w:bCs w:val="false"/>
                <w:sz w:val="20"/>
                <w:szCs w:val="20"/>
              </w:rPr>
              <w:t xml:space="preserve">546</w:t>
            </w:r>
          </w:p>
        </w:tc>
        <w:tc>
          <w:tcPr>
            <w:tcW w:type="dxa" w:w="1300"/>
            <w:tcMar>
              <w:top w:type="dxa" w:w="100"/>
              <w:left w:type="dxa" w:w="120"/>
              <w:bottom w:type="dxa" w:w="100"/>
              <w:right w:type="dxa" w:w="120"/>
            </w:tcMar>
          </w:tcPr>
          <w:p>
            <w:r>
              <w:rPr>
                <w:rFonts w:ascii="Arial" w:cs="Arial" w:eastAsia="Arial" w:hAnsi="Arial"/>
                <w:b w:val="false"/>
                <w:bCs w:val="false"/>
                <w:sz w:val="20"/>
                <w:szCs w:val="20"/>
              </w:rPr>
              <w:t xml:space="preserve">±4.19%</w:t>
            </w:r>
          </w:p>
        </w:tc>
        <w:tc>
          <w:tcPr>
            <w:tcW w:type="dxa" w:w="2260"/>
            <w:tcMar>
              <w:top w:type="dxa" w:w="100"/>
              <w:left w:type="dxa" w:w="120"/>
              <w:bottom w:type="dxa" w:w="100"/>
              <w:right w:type="dxa" w:w="120"/>
            </w:tcMar>
          </w:tcPr>
          <w:p>
            <w:r>
              <w:rPr>
                <w:rFonts w:ascii="Arial" w:cs="Arial" w:eastAsia="Arial" w:hAnsi="Arial"/>
                <w:b w:val="false"/>
                <w:bCs w:val="false"/>
                <w:sz w:val="20"/>
                <w:szCs w:val="20"/>
              </w:rPr>
              <w:t xml:space="preserve">Live Calls + SMS-to-Web</w:t>
            </w:r>
          </w:p>
        </w:tc>
      </w:tr>
      <w:tr>
        <w:tc>
          <w:tcPr>
            <w:tcW w:type="dxa" w:w="2400"/>
            <w:tcMar>
              <w:top w:type="dxa" w:w="100"/>
              <w:left w:type="dxa" w:w="120"/>
              <w:bottom w:type="dxa" w:w="100"/>
              <w:right w:type="dxa" w:w="120"/>
            </w:tcMar>
          </w:tcPr>
          <w:p>
            <w:r>
              <w:rPr>
                <w:rFonts w:ascii="Arial" w:cs="Arial" w:eastAsia="Arial" w:hAnsi="Arial"/>
                <w:b/>
                <w:bCs/>
                <w:sz w:val="20"/>
                <w:szCs w:val="20"/>
              </w:rPr>
              <w:t xml:space="preserve">California 6th Congressional District</w:t>
            </w:r>
          </w:p>
        </w:tc>
        <w:tc>
          <w:tcPr>
            <w:tcW w:type="dxa" w:w="1900"/>
            <w:tcMar>
              <w:top w:type="dxa" w:w="100"/>
              <w:left w:type="dxa" w:w="120"/>
              <w:bottom w:type="dxa" w:w="100"/>
              <w:right w:type="dxa" w:w="120"/>
            </w:tcMar>
          </w:tcPr>
          <w:p>
            <w:r>
              <w:rPr>
                <w:rFonts w:ascii="Arial" w:cs="Arial" w:eastAsia="Arial" w:hAnsi="Arial"/>
                <w:b w:val="false"/>
                <w:bCs w:val="false"/>
                <w:sz w:val="20"/>
                <w:szCs w:val="20"/>
              </w:rPr>
              <w:t xml:space="preserve">Likely 2026 General Voters</w:t>
            </w:r>
          </w:p>
        </w:tc>
        <w:tc>
          <w:tcPr>
            <w:tcW w:type="dxa" w:w="1500"/>
            <w:tcMar>
              <w:top w:type="dxa" w:w="100"/>
              <w:left w:type="dxa" w:w="120"/>
              <w:bottom w:type="dxa" w:w="100"/>
              <w:right w:type="dxa" w:w="120"/>
            </w:tcMar>
          </w:tcPr>
          <w:p>
            <w:r>
              <w:rPr>
                <w:rFonts w:ascii="Arial" w:cs="Arial" w:eastAsia="Arial" w:hAnsi="Arial"/>
                <w:b w:val="false"/>
                <w:bCs w:val="false"/>
                <w:sz w:val="20"/>
                <w:szCs w:val="20"/>
              </w:rPr>
              <w:t xml:space="preserve">741</w:t>
            </w:r>
          </w:p>
        </w:tc>
        <w:tc>
          <w:tcPr>
            <w:tcW w:type="dxa" w:w="1300"/>
            <w:tcMar>
              <w:top w:type="dxa" w:w="100"/>
              <w:left w:type="dxa" w:w="120"/>
              <w:bottom w:type="dxa" w:w="100"/>
              <w:right w:type="dxa" w:w="120"/>
            </w:tcMar>
          </w:tcPr>
          <w:p>
            <w:r>
              <w:rPr>
                <w:rFonts w:ascii="Arial" w:cs="Arial" w:eastAsia="Arial" w:hAnsi="Arial"/>
                <w:b w:val="false"/>
                <w:bCs w:val="false"/>
                <w:sz w:val="20"/>
                <w:szCs w:val="20"/>
              </w:rPr>
              <w:t xml:space="preserve">±3.59%</w:t>
            </w:r>
          </w:p>
        </w:tc>
        <w:tc>
          <w:tcPr>
            <w:tcW w:type="dxa" w:w="2260"/>
            <w:tcMar>
              <w:top w:type="dxa" w:w="100"/>
              <w:left w:type="dxa" w:w="120"/>
              <w:bottom w:type="dxa" w:w="100"/>
              <w:right w:type="dxa" w:w="120"/>
            </w:tcMar>
          </w:tcPr>
          <w:p>
            <w:r>
              <w:rPr>
                <w:rFonts w:ascii="Arial" w:cs="Arial" w:eastAsia="Arial" w:hAnsi="Arial"/>
                <w:b w:val="false"/>
                <w:bCs w:val="false"/>
                <w:sz w:val="20"/>
                <w:szCs w:val="20"/>
              </w:rPr>
              <w:t xml:space="preserve">Live Calls + SMS-to-Web</w:t>
            </w:r>
          </w:p>
        </w:tc>
      </w:tr>
      <w:tr>
        <w:tc>
          <w:tcPr>
            <w:tcW w:type="dxa" w:w="2400"/>
            <w:tcMar>
              <w:top w:type="dxa" w:w="100"/>
              <w:left w:type="dxa" w:w="120"/>
              <w:bottom w:type="dxa" w:w="100"/>
              <w:right w:type="dxa" w:w="120"/>
            </w:tcMar>
          </w:tcPr>
          <w:p>
            <w:r>
              <w:rPr>
                <w:rFonts w:ascii="Arial" w:cs="Arial" w:eastAsia="Arial" w:hAnsi="Arial"/>
                <w:b/>
                <w:bCs/>
                <w:sz w:val="20"/>
                <w:szCs w:val="20"/>
              </w:rPr>
              <w:t xml:space="preserve">Iowa 1st Congressional District</w:t>
            </w:r>
          </w:p>
        </w:tc>
        <w:tc>
          <w:tcPr>
            <w:tcW w:type="dxa" w:w="1900"/>
            <w:tcMar>
              <w:top w:type="dxa" w:w="100"/>
              <w:left w:type="dxa" w:w="120"/>
              <w:bottom w:type="dxa" w:w="100"/>
              <w:right w:type="dxa" w:w="120"/>
            </w:tcMar>
          </w:tcPr>
          <w:p>
            <w:r>
              <w:rPr>
                <w:rFonts w:ascii="Arial" w:cs="Arial" w:eastAsia="Arial" w:hAnsi="Arial"/>
                <w:b w:val="false"/>
                <w:bCs w:val="false"/>
                <w:sz w:val="20"/>
                <w:szCs w:val="20"/>
              </w:rPr>
              <w:t xml:space="preserve">Likely 2026 General Voters</w:t>
            </w:r>
          </w:p>
        </w:tc>
        <w:tc>
          <w:tcPr>
            <w:tcW w:type="dxa" w:w="1500"/>
            <w:tcMar>
              <w:top w:type="dxa" w:w="100"/>
              <w:left w:type="dxa" w:w="120"/>
              <w:bottom w:type="dxa" w:w="100"/>
              <w:right w:type="dxa" w:w="120"/>
            </w:tcMar>
          </w:tcPr>
          <w:p>
            <w:r>
              <w:rPr>
                <w:rFonts w:ascii="Arial" w:cs="Arial" w:eastAsia="Arial" w:hAnsi="Arial"/>
                <w:b w:val="false"/>
                <w:bCs w:val="false"/>
                <w:sz w:val="20"/>
                <w:szCs w:val="20"/>
              </w:rPr>
              <w:t xml:space="preserve">705</w:t>
            </w:r>
          </w:p>
        </w:tc>
        <w:tc>
          <w:tcPr>
            <w:tcW w:type="dxa" w:w="1300"/>
            <w:tcMar>
              <w:top w:type="dxa" w:w="100"/>
              <w:left w:type="dxa" w:w="120"/>
              <w:bottom w:type="dxa" w:w="100"/>
              <w:right w:type="dxa" w:w="120"/>
            </w:tcMar>
          </w:tcPr>
          <w:p>
            <w:r>
              <w:rPr>
                <w:rFonts w:ascii="Arial" w:cs="Arial" w:eastAsia="Arial" w:hAnsi="Arial"/>
                <w:b w:val="false"/>
                <w:bCs w:val="false"/>
                <w:sz w:val="20"/>
                <w:szCs w:val="20"/>
              </w:rPr>
              <w:t xml:space="preserve">±3.69%</w:t>
            </w:r>
          </w:p>
        </w:tc>
        <w:tc>
          <w:tcPr>
            <w:tcW w:type="dxa" w:w="2260"/>
            <w:tcMar>
              <w:top w:type="dxa" w:w="100"/>
              <w:left w:type="dxa" w:w="120"/>
              <w:bottom w:type="dxa" w:w="100"/>
              <w:right w:type="dxa" w:w="120"/>
            </w:tcMar>
          </w:tcPr>
          <w:p>
            <w:r>
              <w:rPr>
                <w:rFonts w:ascii="Arial" w:cs="Arial" w:eastAsia="Arial" w:hAnsi="Arial"/>
                <w:b w:val="false"/>
                <w:bCs w:val="false"/>
                <w:sz w:val="20"/>
                <w:szCs w:val="20"/>
              </w:rPr>
              <w:t xml:space="preserve">Live Calls + SMS-to-Web</w:t>
            </w:r>
          </w:p>
        </w:tc>
      </w:tr>
      <w:tr>
        <w:tc>
          <w:tcPr>
            <w:tcW w:type="dxa" w:w="2400"/>
            <w:tcMar>
              <w:top w:type="dxa" w:w="100"/>
              <w:left w:type="dxa" w:w="120"/>
              <w:bottom w:type="dxa" w:w="100"/>
              <w:right w:type="dxa" w:w="120"/>
            </w:tcMar>
          </w:tcPr>
          <w:p>
            <w:r>
              <w:rPr>
                <w:rFonts w:ascii="Arial" w:cs="Arial" w:eastAsia="Arial" w:hAnsi="Arial"/>
                <w:b/>
                <w:bCs/>
                <w:sz w:val="20"/>
                <w:szCs w:val="20"/>
              </w:rPr>
              <w:t xml:space="preserve">Washington 1st Congressional District</w:t>
            </w:r>
          </w:p>
        </w:tc>
        <w:tc>
          <w:tcPr>
            <w:tcW w:type="dxa" w:w="1900"/>
            <w:tcMar>
              <w:top w:type="dxa" w:w="100"/>
              <w:left w:type="dxa" w:w="120"/>
              <w:bottom w:type="dxa" w:w="100"/>
              <w:right w:type="dxa" w:w="120"/>
            </w:tcMar>
          </w:tcPr>
          <w:p>
            <w:r>
              <w:rPr>
                <w:rFonts w:ascii="Arial" w:cs="Arial" w:eastAsia="Arial" w:hAnsi="Arial"/>
                <w:b w:val="false"/>
                <w:bCs w:val="false"/>
                <w:sz w:val="20"/>
                <w:szCs w:val="20"/>
              </w:rPr>
              <w:t xml:space="preserve">Likely 2026 General Voters</w:t>
            </w:r>
          </w:p>
        </w:tc>
        <w:tc>
          <w:tcPr>
            <w:tcW w:type="dxa" w:w="1500"/>
            <w:tcMar>
              <w:top w:type="dxa" w:w="100"/>
              <w:left w:type="dxa" w:w="120"/>
              <w:bottom w:type="dxa" w:w="100"/>
              <w:right w:type="dxa" w:w="120"/>
            </w:tcMar>
          </w:tcPr>
          <w:p>
            <w:r>
              <w:rPr>
                <w:rFonts w:ascii="Arial" w:cs="Arial" w:eastAsia="Arial" w:hAnsi="Arial"/>
                <w:b w:val="false"/>
                <w:bCs w:val="false"/>
                <w:sz w:val="20"/>
                <w:szCs w:val="20"/>
              </w:rPr>
              <w:t xml:space="preserve">777</w:t>
            </w:r>
          </w:p>
        </w:tc>
        <w:tc>
          <w:tcPr>
            <w:tcW w:type="dxa" w:w="1300"/>
            <w:tcMar>
              <w:top w:type="dxa" w:w="100"/>
              <w:left w:type="dxa" w:w="120"/>
              <w:bottom w:type="dxa" w:w="100"/>
              <w:right w:type="dxa" w:w="120"/>
            </w:tcMar>
          </w:tcPr>
          <w:p>
            <w:r>
              <w:rPr>
                <w:rFonts w:ascii="Arial" w:cs="Arial" w:eastAsia="Arial" w:hAnsi="Arial"/>
                <w:b w:val="false"/>
                <w:bCs w:val="false"/>
                <w:sz w:val="20"/>
                <w:szCs w:val="20"/>
              </w:rPr>
              <w:t xml:space="preserve">±3.52%</w:t>
            </w:r>
          </w:p>
        </w:tc>
        <w:tc>
          <w:tcPr>
            <w:tcW w:type="dxa" w:w="2260"/>
            <w:tcMar>
              <w:top w:type="dxa" w:w="100"/>
              <w:left w:type="dxa" w:w="120"/>
              <w:bottom w:type="dxa" w:w="100"/>
              <w:right w:type="dxa" w:w="120"/>
            </w:tcMar>
          </w:tcPr>
          <w:p>
            <w:r>
              <w:rPr>
                <w:rFonts w:ascii="Arial" w:cs="Arial" w:eastAsia="Arial" w:hAnsi="Arial"/>
                <w:b w:val="false"/>
                <w:bCs w:val="false"/>
                <w:sz w:val="20"/>
                <w:szCs w:val="20"/>
              </w:rPr>
              <w:t xml:space="preserve">Live Calls + SMS-to-Web</w:t>
            </w:r>
          </w:p>
        </w:tc>
      </w:tr>
    </w:tbl>
    <w:p>
      <w:r>
        <w:br w:type="page"/>
      </w:r>
    </w:p>
    <w:p>
      <w:pPr>
        <w:spacing w:after="160"/>
      </w:pPr>
      <w:r>
        <w:rPr>
          <w:rFonts w:ascii="Arial" w:cs="Arial" w:eastAsia="Arial" w:hAnsi="Arial"/>
          <w:b/>
          <w:bCs/>
          <w:sz w:val="22"/>
          <w:szCs w:val="22"/>
        </w:rPr>
        <w:t xml:space="preserve">The Electoral Environment</w:t>
      </w:r>
    </w:p>
    <w:p>
      <w:pPr>
        <w:spacing w:after="160"/>
      </w:pPr>
      <w:r>
        <w:rPr>
          <w:rFonts w:ascii="Arial" w:cs="Arial" w:eastAsia="Arial" w:hAnsi="Arial"/>
          <w:b/>
          <w:bCs/>
          <w:sz w:val="22"/>
          <w:szCs w:val="22"/>
        </w:rPr>
        <w:t xml:space="preserve">A. Perceptions of Democratic Health</w:t>
      </w:r>
    </w:p>
    <w:p>
      <w:pPr>
        <w:spacing w:after="160"/>
      </w:pPr>
      <w:r>
        <w:rPr>
          <w:rFonts w:ascii="Arial" w:cs="Arial" w:eastAsia="Arial" w:hAnsi="Arial"/>
          <w:sz w:val="22"/>
          <w:szCs w:val="22"/>
        </w:rPr>
        <w:t xml:space="preserve">Across every key region surveyed, voters express deep pessimism regarding the overall health of the nation’s political institution. In every single district, roughly three-quarters or more of the electorate views American democracy as currently "unhealthy."</w:t>
      </w:r>
    </w:p>
    <w:tbl>
      <w:tblPr>
        <w:tblW w:type="dxa" w:w="7600"/>
        <w:tblBorders>
          <w:top w:val="single" w:color="auto" w:sz="4"/>
          <w:left w:val="single" w:color="auto" w:sz="4"/>
          <w:bottom w:val="single" w:color="auto" w:sz="4"/>
          <w:right w:val="single" w:color="auto" w:sz="4"/>
          <w:insideH w:val="single" w:color="auto" w:sz="4"/>
          <w:insideV w:val="single" w:color="auto" w:sz="4"/>
        </w:tblBorders>
      </w:tblPr>
      <w:tblGrid>
        <w:gridCol w:w="2600"/>
        <w:gridCol w:w="1500"/>
        <w:gridCol w:w="1600"/>
        <w:gridCol w:w="1900"/>
      </w:tblGrid>
      <w:tr>
        <w:trPr>
          <w:tblHeader/>
        </w:trPr>
        <w:tc>
          <w:tcPr>
            <w:tcW w:type="dxa" w:w="2600"/>
            <w:tcMar>
              <w:top w:type="dxa" w:w="100"/>
              <w:left w:type="dxa" w:w="120"/>
              <w:bottom w:type="dxa" w:w="100"/>
              <w:right w:type="dxa" w:w="120"/>
            </w:tcMar>
          </w:tcPr>
          <w:p>
            <w:r>
              <w:rPr>
                <w:rFonts w:ascii="Arial" w:cs="Arial" w:eastAsia="Arial" w:hAnsi="Arial"/>
                <w:b/>
                <w:bCs/>
                <w:sz w:val="20"/>
                <w:szCs w:val="20"/>
              </w:rPr>
              <w:t xml:space="preserve">District</w:t>
            </w:r>
          </w:p>
        </w:tc>
        <w:tc>
          <w:tcPr>
            <w:tcW w:type="dxa" w:w="1500"/>
            <w:tcMar>
              <w:top w:type="dxa" w:w="100"/>
              <w:left w:type="dxa" w:w="120"/>
              <w:bottom w:type="dxa" w:w="100"/>
              <w:right w:type="dxa" w:w="120"/>
            </w:tcMar>
          </w:tcPr>
          <w:p>
            <w:r>
              <w:rPr>
                <w:rFonts w:ascii="Arial" w:cs="Arial" w:eastAsia="Arial" w:hAnsi="Arial"/>
                <w:b/>
                <w:bCs/>
                <w:sz w:val="20"/>
                <w:szCs w:val="20"/>
              </w:rPr>
              <w:t xml:space="preserve">Healthy</w:t>
            </w:r>
          </w:p>
        </w:tc>
        <w:tc>
          <w:tcPr>
            <w:tcW w:type="dxa" w:w="1600"/>
            <w:tcMar>
              <w:top w:type="dxa" w:w="100"/>
              <w:left w:type="dxa" w:w="120"/>
              <w:bottom w:type="dxa" w:w="100"/>
              <w:right w:type="dxa" w:w="120"/>
            </w:tcMar>
          </w:tcPr>
          <w:p>
            <w:r>
              <w:rPr>
                <w:rFonts w:ascii="Arial" w:cs="Arial" w:eastAsia="Arial" w:hAnsi="Arial"/>
                <w:b/>
                <w:bCs/>
                <w:sz w:val="20"/>
                <w:szCs w:val="20"/>
              </w:rPr>
              <w:t xml:space="preserve">Unhealthy</w:t>
            </w:r>
          </w:p>
        </w:tc>
        <w:tc>
          <w:tcPr>
            <w:tcW w:type="dxa" w:w="1900"/>
            <w:tcMar>
              <w:top w:type="dxa" w:w="100"/>
              <w:left w:type="dxa" w:w="120"/>
              <w:bottom w:type="dxa" w:w="100"/>
              <w:right w:type="dxa" w:w="120"/>
            </w:tcMar>
          </w:tcPr>
          <w:p>
            <w:r>
              <w:rPr>
                <w:rFonts w:ascii="Arial" w:cs="Arial" w:eastAsia="Arial" w:hAnsi="Arial"/>
                <w:b/>
                <w:bCs/>
                <w:sz w:val="20"/>
                <w:szCs w:val="20"/>
              </w:rPr>
              <w:t xml:space="preserve">Unsure / Refused</w:t>
            </w:r>
          </w:p>
        </w:tc>
      </w:tr>
      <w:tr>
        <w:tc>
          <w:tcPr>
            <w:tcW w:type="dxa" w:w="2600"/>
            <w:tcMar>
              <w:top w:type="dxa" w:w="100"/>
              <w:left w:type="dxa" w:w="120"/>
              <w:bottom w:type="dxa" w:w="100"/>
              <w:right w:type="dxa" w:w="120"/>
            </w:tcMar>
          </w:tcPr>
          <w:p>
            <w:r>
              <w:rPr>
                <w:rFonts w:ascii="Arial" w:cs="Arial" w:eastAsia="Arial" w:hAnsi="Arial"/>
                <w:b/>
                <w:bCs/>
                <w:sz w:val="20"/>
                <w:szCs w:val="20"/>
              </w:rPr>
              <w:t xml:space="preserve">Montana (Senate)</w:t>
            </w:r>
          </w:p>
        </w:tc>
        <w:tc>
          <w:tcPr>
            <w:tcW w:type="dxa" w:w="1500"/>
            <w:tcMar>
              <w:top w:type="dxa" w:w="100"/>
              <w:left w:type="dxa" w:w="120"/>
              <w:bottom w:type="dxa" w:w="100"/>
              <w:right w:type="dxa" w:w="120"/>
            </w:tcMar>
          </w:tcPr>
          <w:p>
            <w:r>
              <w:rPr>
                <w:rFonts w:ascii="Arial" w:cs="Arial" w:eastAsia="Arial" w:hAnsi="Arial"/>
                <w:b w:val="false"/>
                <w:bCs w:val="false"/>
                <w:sz w:val="20"/>
                <w:szCs w:val="20"/>
              </w:rPr>
              <w:t xml:space="preserve">24%</w:t>
            </w:r>
          </w:p>
        </w:tc>
        <w:tc>
          <w:tcPr>
            <w:tcW w:type="dxa" w:w="1600"/>
            <w:tcMar>
              <w:top w:type="dxa" w:w="100"/>
              <w:left w:type="dxa" w:w="120"/>
              <w:bottom w:type="dxa" w:w="100"/>
              <w:right w:type="dxa" w:w="120"/>
            </w:tcMar>
          </w:tcPr>
          <w:p>
            <w:r>
              <w:rPr>
                <w:rFonts w:ascii="Arial" w:cs="Arial" w:eastAsia="Arial" w:hAnsi="Arial"/>
                <w:b/>
                <w:bCs/>
                <w:sz w:val="20"/>
                <w:szCs w:val="20"/>
              </w:rPr>
              <w:t xml:space="preserve">74%</w:t>
            </w:r>
          </w:p>
        </w:tc>
        <w:tc>
          <w:tcPr>
            <w:tcW w:type="dxa" w:w="1900"/>
            <w:tcMar>
              <w:top w:type="dxa" w:w="100"/>
              <w:left w:type="dxa" w:w="120"/>
              <w:bottom w:type="dxa" w:w="100"/>
              <w:right w:type="dxa" w:w="120"/>
            </w:tcMar>
          </w:tcPr>
          <w:p>
            <w:r>
              <w:rPr>
                <w:rFonts w:ascii="Arial" w:cs="Arial" w:eastAsia="Arial" w:hAnsi="Arial"/>
                <w:b w:val="false"/>
                <w:bCs w:val="false"/>
                <w:sz w:val="20"/>
                <w:szCs w:val="20"/>
              </w:rPr>
              <w:t xml:space="preserve">2%</w:t>
            </w:r>
          </w:p>
        </w:tc>
      </w:tr>
      <w:tr>
        <w:tc>
          <w:tcPr>
            <w:tcW w:type="dxa" w:w="2600"/>
            <w:tcMar>
              <w:top w:type="dxa" w:w="100"/>
              <w:left w:type="dxa" w:w="120"/>
              <w:bottom w:type="dxa" w:w="100"/>
              <w:right w:type="dxa" w:w="120"/>
            </w:tcMar>
          </w:tcPr>
          <w:p>
            <w:r>
              <w:rPr>
                <w:rFonts w:ascii="Arial" w:cs="Arial" w:eastAsia="Arial" w:hAnsi="Arial"/>
                <w:b/>
                <w:bCs/>
                <w:sz w:val="20"/>
                <w:szCs w:val="20"/>
              </w:rPr>
              <w:t xml:space="preserve">Alaska (At-Large)</w:t>
            </w:r>
          </w:p>
        </w:tc>
        <w:tc>
          <w:tcPr>
            <w:tcW w:type="dxa" w:w="1500"/>
            <w:tcMar>
              <w:top w:type="dxa" w:w="100"/>
              <w:left w:type="dxa" w:w="120"/>
              <w:bottom w:type="dxa" w:w="100"/>
              <w:right w:type="dxa" w:w="120"/>
            </w:tcMar>
          </w:tcPr>
          <w:p>
            <w:r>
              <w:rPr>
                <w:rFonts w:ascii="Arial" w:cs="Arial" w:eastAsia="Arial" w:hAnsi="Arial"/>
                <w:b w:val="false"/>
                <w:bCs w:val="false"/>
                <w:sz w:val="20"/>
                <w:szCs w:val="20"/>
              </w:rPr>
              <w:t xml:space="preserve">19%</w:t>
            </w:r>
          </w:p>
        </w:tc>
        <w:tc>
          <w:tcPr>
            <w:tcW w:type="dxa" w:w="1600"/>
            <w:tcMar>
              <w:top w:type="dxa" w:w="100"/>
              <w:left w:type="dxa" w:w="120"/>
              <w:bottom w:type="dxa" w:w="100"/>
              <w:right w:type="dxa" w:w="120"/>
            </w:tcMar>
          </w:tcPr>
          <w:p>
            <w:r>
              <w:rPr>
                <w:rFonts w:ascii="Arial" w:cs="Arial" w:eastAsia="Arial" w:hAnsi="Arial"/>
                <w:b/>
                <w:bCs/>
                <w:sz w:val="20"/>
                <w:szCs w:val="20"/>
              </w:rPr>
              <w:t xml:space="preserve">78%</w:t>
            </w:r>
          </w:p>
        </w:tc>
        <w:tc>
          <w:tcPr>
            <w:tcW w:type="dxa" w:w="1900"/>
            <w:tcMar>
              <w:top w:type="dxa" w:w="100"/>
              <w:left w:type="dxa" w:w="120"/>
              <w:bottom w:type="dxa" w:w="100"/>
              <w:right w:type="dxa" w:w="120"/>
            </w:tcMar>
          </w:tcPr>
          <w:p>
            <w:r>
              <w:rPr>
                <w:rFonts w:ascii="Arial" w:cs="Arial" w:eastAsia="Arial" w:hAnsi="Arial"/>
                <w:b w:val="false"/>
                <w:bCs w:val="false"/>
                <w:sz w:val="20"/>
                <w:szCs w:val="20"/>
              </w:rPr>
              <w:t xml:space="preserve">2%</w:t>
            </w:r>
          </w:p>
        </w:tc>
      </w:tr>
      <w:tr>
        <w:tc>
          <w:tcPr>
            <w:tcW w:type="dxa" w:w="2600"/>
            <w:tcMar>
              <w:top w:type="dxa" w:w="100"/>
              <w:left w:type="dxa" w:w="120"/>
              <w:bottom w:type="dxa" w:w="100"/>
              <w:right w:type="dxa" w:w="120"/>
            </w:tcMar>
          </w:tcPr>
          <w:p>
            <w:r>
              <w:rPr>
                <w:rFonts w:ascii="Arial" w:cs="Arial" w:eastAsia="Arial" w:hAnsi="Arial"/>
                <w:b/>
                <w:bCs/>
                <w:sz w:val="20"/>
                <w:szCs w:val="20"/>
              </w:rPr>
              <w:t xml:space="preserve">California (CA-06)</w:t>
            </w:r>
          </w:p>
        </w:tc>
        <w:tc>
          <w:tcPr>
            <w:tcW w:type="dxa" w:w="1500"/>
            <w:tcMar>
              <w:top w:type="dxa" w:w="100"/>
              <w:left w:type="dxa" w:w="120"/>
              <w:bottom w:type="dxa" w:w="100"/>
              <w:right w:type="dxa" w:w="120"/>
            </w:tcMar>
          </w:tcPr>
          <w:p>
            <w:r>
              <w:rPr>
                <w:rFonts w:ascii="Arial" w:cs="Arial" w:eastAsia="Arial" w:hAnsi="Arial"/>
                <w:b w:val="false"/>
                <w:bCs w:val="false"/>
                <w:sz w:val="20"/>
                <w:szCs w:val="20"/>
              </w:rPr>
              <w:t xml:space="preserve">20%</w:t>
            </w:r>
          </w:p>
        </w:tc>
        <w:tc>
          <w:tcPr>
            <w:tcW w:type="dxa" w:w="1600"/>
            <w:tcMar>
              <w:top w:type="dxa" w:w="100"/>
              <w:left w:type="dxa" w:w="120"/>
              <w:bottom w:type="dxa" w:w="100"/>
              <w:right w:type="dxa" w:w="120"/>
            </w:tcMar>
          </w:tcPr>
          <w:p>
            <w:r>
              <w:rPr>
                <w:rFonts w:ascii="Arial" w:cs="Arial" w:eastAsia="Arial" w:hAnsi="Arial"/>
                <w:b/>
                <w:bCs/>
                <w:sz w:val="20"/>
                <w:szCs w:val="20"/>
              </w:rPr>
              <w:t xml:space="preserve">77%</w:t>
            </w:r>
          </w:p>
        </w:tc>
        <w:tc>
          <w:tcPr>
            <w:tcW w:type="dxa" w:w="1900"/>
            <w:tcMar>
              <w:top w:type="dxa" w:w="100"/>
              <w:left w:type="dxa" w:w="120"/>
              <w:bottom w:type="dxa" w:w="100"/>
              <w:right w:type="dxa" w:w="120"/>
            </w:tcMar>
          </w:tcPr>
          <w:p>
            <w:r>
              <w:rPr>
                <w:rFonts w:ascii="Arial" w:cs="Arial" w:eastAsia="Arial" w:hAnsi="Arial"/>
                <w:b w:val="false"/>
                <w:bCs w:val="false"/>
                <w:sz w:val="20"/>
                <w:szCs w:val="20"/>
              </w:rPr>
              <w:t xml:space="preserve">3%</w:t>
            </w:r>
          </w:p>
        </w:tc>
      </w:tr>
      <w:tr>
        <w:tc>
          <w:tcPr>
            <w:tcW w:type="dxa" w:w="2600"/>
            <w:tcMar>
              <w:top w:type="dxa" w:w="100"/>
              <w:left w:type="dxa" w:w="120"/>
              <w:bottom w:type="dxa" w:w="100"/>
              <w:right w:type="dxa" w:w="120"/>
            </w:tcMar>
          </w:tcPr>
          <w:p>
            <w:r>
              <w:rPr>
                <w:rFonts w:ascii="Arial" w:cs="Arial" w:eastAsia="Arial" w:hAnsi="Arial"/>
                <w:b/>
                <w:bCs/>
                <w:sz w:val="20"/>
                <w:szCs w:val="20"/>
              </w:rPr>
              <w:t xml:space="preserve">Iowa (IA-01)</w:t>
            </w:r>
          </w:p>
        </w:tc>
        <w:tc>
          <w:tcPr>
            <w:tcW w:type="dxa" w:w="1500"/>
            <w:tcMar>
              <w:top w:type="dxa" w:w="100"/>
              <w:left w:type="dxa" w:w="120"/>
              <w:bottom w:type="dxa" w:w="100"/>
              <w:right w:type="dxa" w:w="120"/>
            </w:tcMar>
          </w:tcPr>
          <w:p>
            <w:r>
              <w:rPr>
                <w:rFonts w:ascii="Arial" w:cs="Arial" w:eastAsia="Arial" w:hAnsi="Arial"/>
                <w:b w:val="false"/>
                <w:bCs w:val="false"/>
                <w:sz w:val="20"/>
                <w:szCs w:val="20"/>
              </w:rPr>
              <w:t xml:space="preserve">17%</w:t>
            </w:r>
          </w:p>
        </w:tc>
        <w:tc>
          <w:tcPr>
            <w:tcW w:type="dxa" w:w="1600"/>
            <w:tcMar>
              <w:top w:type="dxa" w:w="100"/>
              <w:left w:type="dxa" w:w="120"/>
              <w:bottom w:type="dxa" w:w="100"/>
              <w:right w:type="dxa" w:w="120"/>
            </w:tcMar>
          </w:tcPr>
          <w:p>
            <w:r>
              <w:rPr>
                <w:rFonts w:ascii="Arial" w:cs="Arial" w:eastAsia="Arial" w:hAnsi="Arial"/>
                <w:b/>
                <w:bCs/>
                <w:sz w:val="20"/>
                <w:szCs w:val="20"/>
              </w:rPr>
              <w:t xml:space="preserve">79%</w:t>
            </w:r>
          </w:p>
        </w:tc>
        <w:tc>
          <w:tcPr>
            <w:tcW w:type="dxa" w:w="1900"/>
            <w:tcMar>
              <w:top w:type="dxa" w:w="100"/>
              <w:left w:type="dxa" w:w="120"/>
              <w:bottom w:type="dxa" w:w="100"/>
              <w:right w:type="dxa" w:w="120"/>
            </w:tcMar>
          </w:tcPr>
          <w:p>
            <w:r>
              <w:rPr>
                <w:rFonts w:ascii="Arial" w:cs="Arial" w:eastAsia="Arial" w:hAnsi="Arial"/>
                <w:b w:val="false"/>
                <w:bCs w:val="false"/>
                <w:sz w:val="20"/>
                <w:szCs w:val="20"/>
              </w:rPr>
              <w:t xml:space="preserve">4%</w:t>
            </w:r>
          </w:p>
        </w:tc>
      </w:tr>
      <w:tr>
        <w:tc>
          <w:tcPr>
            <w:tcW w:type="dxa" w:w="2600"/>
            <w:tcMar>
              <w:top w:type="dxa" w:w="100"/>
              <w:left w:type="dxa" w:w="120"/>
              <w:bottom w:type="dxa" w:w="100"/>
              <w:right w:type="dxa" w:w="120"/>
            </w:tcMar>
          </w:tcPr>
          <w:p>
            <w:r>
              <w:rPr>
                <w:rFonts w:ascii="Arial" w:cs="Arial" w:eastAsia="Arial" w:hAnsi="Arial"/>
                <w:b/>
                <w:bCs/>
                <w:sz w:val="20"/>
                <w:szCs w:val="20"/>
              </w:rPr>
              <w:t xml:space="preserve">Washington (WA-01)</w:t>
            </w:r>
          </w:p>
        </w:tc>
        <w:tc>
          <w:tcPr>
            <w:tcW w:type="dxa" w:w="1500"/>
            <w:tcMar>
              <w:top w:type="dxa" w:w="100"/>
              <w:left w:type="dxa" w:w="120"/>
              <w:bottom w:type="dxa" w:w="100"/>
              <w:right w:type="dxa" w:w="120"/>
            </w:tcMar>
          </w:tcPr>
          <w:p>
            <w:r>
              <w:rPr>
                <w:rFonts w:ascii="Arial" w:cs="Arial" w:eastAsia="Arial" w:hAnsi="Arial"/>
                <w:b w:val="false"/>
                <w:bCs w:val="false"/>
                <w:sz w:val="20"/>
                <w:szCs w:val="20"/>
              </w:rPr>
              <w:t xml:space="preserve">18%</w:t>
            </w:r>
          </w:p>
        </w:tc>
        <w:tc>
          <w:tcPr>
            <w:tcW w:type="dxa" w:w="1600"/>
            <w:tcMar>
              <w:top w:type="dxa" w:w="100"/>
              <w:left w:type="dxa" w:w="120"/>
              <w:bottom w:type="dxa" w:w="100"/>
              <w:right w:type="dxa" w:w="120"/>
            </w:tcMar>
          </w:tcPr>
          <w:p>
            <w:r>
              <w:rPr>
                <w:rFonts w:ascii="Arial" w:cs="Arial" w:eastAsia="Arial" w:hAnsi="Arial"/>
                <w:b/>
                <w:bCs/>
                <w:sz w:val="20"/>
                <w:szCs w:val="20"/>
              </w:rPr>
              <w:t xml:space="preserve">81%</w:t>
            </w:r>
          </w:p>
        </w:tc>
        <w:tc>
          <w:tcPr>
            <w:tcW w:type="dxa" w:w="1900"/>
            <w:tcMar>
              <w:top w:type="dxa" w:w="100"/>
              <w:left w:type="dxa" w:w="120"/>
              <w:bottom w:type="dxa" w:w="100"/>
              <w:right w:type="dxa" w:w="120"/>
            </w:tcMar>
          </w:tcPr>
          <w:p>
            <w:r>
              <w:rPr>
                <w:rFonts w:ascii="Arial" w:cs="Arial" w:eastAsia="Arial" w:hAnsi="Arial"/>
                <w:b w:val="false"/>
                <w:bCs w:val="false"/>
                <w:sz w:val="20"/>
                <w:szCs w:val="20"/>
              </w:rPr>
              <w:t xml:space="preserve">1%</w:t>
            </w:r>
          </w:p>
        </w:tc>
      </w:tr>
    </w:tbl>
    <w:p>
      <w:pPr>
        <w:spacing w:after="120"/>
      </w:pPr>
    </w:p>
    <w:p>
      <w:pPr>
        <w:spacing w:after="160"/>
      </w:pPr>
      <w:r>
        <w:rPr>
          <w:rFonts w:ascii="Arial" w:cs="Arial" w:eastAsia="Arial" w:hAnsi="Arial"/>
          <w:b/>
          <w:bCs/>
          <w:sz w:val="22"/>
          <w:szCs w:val="22"/>
        </w:rPr>
        <w:t xml:space="preserve">B. Congressional Disapproval &amp; Leadership Backlash</w:t>
      </w:r>
    </w:p>
    <w:p>
      <w:pPr>
        <w:spacing w:after="160"/>
      </w:pPr>
      <w:r>
        <w:rPr>
          <w:rFonts w:ascii="Arial" w:cs="Arial" w:eastAsia="Arial" w:hAnsi="Arial"/>
          <w:sz w:val="22"/>
          <w:szCs w:val="22"/>
        </w:rPr>
        <w:t xml:space="preserve">Widespread dissatisfaction with federal governance is driving congressional approval down to historic lows across all targeted geographies.</w:t>
      </w:r>
    </w:p>
    <w:tbl>
      <w:tblPr>
        <w:tblW w:type="dxa" w:w="7600"/>
        <w:tblBorders>
          <w:top w:val="single" w:color="auto" w:sz="4"/>
          <w:left w:val="single" w:color="auto" w:sz="4"/>
          <w:bottom w:val="single" w:color="auto" w:sz="4"/>
          <w:right w:val="single" w:color="auto" w:sz="4"/>
          <w:insideH w:val="single" w:color="auto" w:sz="4"/>
          <w:insideV w:val="single" w:color="auto" w:sz="4"/>
        </w:tblBorders>
      </w:tblPr>
      <w:tblGrid>
        <w:gridCol w:w="2600"/>
        <w:gridCol w:w="1500"/>
        <w:gridCol w:w="1600"/>
        <w:gridCol w:w="1900"/>
      </w:tblGrid>
      <w:tr>
        <w:trPr>
          <w:tblHeader/>
        </w:trPr>
        <w:tc>
          <w:tcPr>
            <w:tcW w:type="dxa" w:w="2600"/>
            <w:tcMar>
              <w:top w:type="dxa" w:w="100"/>
              <w:left w:type="dxa" w:w="120"/>
              <w:bottom w:type="dxa" w:w="100"/>
              <w:right w:type="dxa" w:w="120"/>
            </w:tcMar>
          </w:tcPr>
          <w:p>
            <w:r>
              <w:rPr>
                <w:rFonts w:ascii="Arial" w:cs="Arial" w:eastAsia="Arial" w:hAnsi="Arial"/>
                <w:b/>
                <w:bCs/>
                <w:sz w:val="20"/>
                <w:szCs w:val="20"/>
              </w:rPr>
              <w:t xml:space="preserve">District</w:t>
            </w:r>
          </w:p>
        </w:tc>
        <w:tc>
          <w:tcPr>
            <w:tcW w:type="dxa" w:w="1500"/>
            <w:tcMar>
              <w:top w:type="dxa" w:w="100"/>
              <w:left w:type="dxa" w:w="120"/>
              <w:bottom w:type="dxa" w:w="100"/>
              <w:right w:type="dxa" w:w="120"/>
            </w:tcMar>
          </w:tcPr>
          <w:p>
            <w:r>
              <w:rPr>
                <w:rFonts w:ascii="Arial" w:cs="Arial" w:eastAsia="Arial" w:hAnsi="Arial"/>
                <w:b/>
                <w:bCs/>
                <w:sz w:val="20"/>
                <w:szCs w:val="20"/>
              </w:rPr>
              <w:t xml:space="preserve">Approve</w:t>
            </w:r>
          </w:p>
        </w:tc>
        <w:tc>
          <w:tcPr>
            <w:tcW w:type="dxa" w:w="1600"/>
            <w:tcMar>
              <w:top w:type="dxa" w:w="100"/>
              <w:left w:type="dxa" w:w="120"/>
              <w:bottom w:type="dxa" w:w="100"/>
              <w:right w:type="dxa" w:w="120"/>
            </w:tcMar>
          </w:tcPr>
          <w:p>
            <w:r>
              <w:rPr>
                <w:rFonts w:ascii="Arial" w:cs="Arial" w:eastAsia="Arial" w:hAnsi="Arial"/>
                <w:b/>
                <w:bCs/>
                <w:sz w:val="20"/>
                <w:szCs w:val="20"/>
              </w:rPr>
              <w:t xml:space="preserve">Disapprove</w:t>
            </w:r>
          </w:p>
        </w:tc>
        <w:tc>
          <w:tcPr>
            <w:tcW w:type="dxa" w:w="1900"/>
            <w:tcMar>
              <w:top w:type="dxa" w:w="100"/>
              <w:left w:type="dxa" w:w="120"/>
              <w:bottom w:type="dxa" w:w="100"/>
              <w:right w:type="dxa" w:w="120"/>
            </w:tcMar>
          </w:tcPr>
          <w:p>
            <w:r>
              <w:rPr>
                <w:rFonts w:ascii="Arial" w:cs="Arial" w:eastAsia="Arial" w:hAnsi="Arial"/>
                <w:b/>
                <w:bCs/>
                <w:sz w:val="20"/>
                <w:szCs w:val="20"/>
              </w:rPr>
              <w:t xml:space="preserve">Net Approval</w:t>
            </w:r>
          </w:p>
        </w:tc>
      </w:tr>
      <w:tr>
        <w:tc>
          <w:tcPr>
            <w:tcW w:type="dxa" w:w="2600"/>
            <w:tcMar>
              <w:top w:type="dxa" w:w="100"/>
              <w:left w:type="dxa" w:w="120"/>
              <w:bottom w:type="dxa" w:w="100"/>
              <w:right w:type="dxa" w:w="120"/>
            </w:tcMar>
          </w:tcPr>
          <w:p>
            <w:r>
              <w:rPr>
                <w:rFonts w:ascii="Arial" w:cs="Arial" w:eastAsia="Arial" w:hAnsi="Arial"/>
                <w:b/>
                <w:bCs/>
                <w:sz w:val="20"/>
                <w:szCs w:val="20"/>
              </w:rPr>
              <w:t xml:space="preserve">Montana (Senate)</w:t>
            </w:r>
          </w:p>
        </w:tc>
        <w:tc>
          <w:tcPr>
            <w:tcW w:type="dxa" w:w="1500"/>
            <w:tcMar>
              <w:top w:type="dxa" w:w="100"/>
              <w:left w:type="dxa" w:w="120"/>
              <w:bottom w:type="dxa" w:w="100"/>
              <w:right w:type="dxa" w:w="120"/>
            </w:tcMar>
          </w:tcPr>
          <w:p>
            <w:r>
              <w:rPr>
                <w:rFonts w:ascii="Arial" w:cs="Arial" w:eastAsia="Arial" w:hAnsi="Arial"/>
                <w:b w:val="false"/>
                <w:bCs w:val="false"/>
                <w:sz w:val="20"/>
                <w:szCs w:val="20"/>
              </w:rPr>
              <w:t xml:space="preserve">23%</w:t>
            </w:r>
          </w:p>
        </w:tc>
        <w:tc>
          <w:tcPr>
            <w:tcW w:type="dxa" w:w="1600"/>
            <w:tcMar>
              <w:top w:type="dxa" w:w="100"/>
              <w:left w:type="dxa" w:w="120"/>
              <w:bottom w:type="dxa" w:w="100"/>
              <w:right w:type="dxa" w:w="120"/>
            </w:tcMar>
          </w:tcPr>
          <w:p>
            <w:r>
              <w:rPr>
                <w:rFonts w:ascii="Arial" w:cs="Arial" w:eastAsia="Arial" w:hAnsi="Arial"/>
                <w:b/>
                <w:bCs/>
                <w:sz w:val="20"/>
                <w:szCs w:val="20"/>
              </w:rPr>
              <w:t xml:space="preserve">72%</w:t>
            </w:r>
          </w:p>
        </w:tc>
        <w:tc>
          <w:tcPr>
            <w:tcW w:type="dxa" w:w="1900"/>
            <w:tcMar>
              <w:top w:type="dxa" w:w="100"/>
              <w:left w:type="dxa" w:w="120"/>
              <w:bottom w:type="dxa" w:w="100"/>
              <w:right w:type="dxa" w:w="120"/>
            </w:tcMar>
          </w:tcPr>
          <w:p>
            <w:r>
              <w:rPr>
                <w:rFonts w:ascii="Arial" w:cs="Arial" w:eastAsia="Arial" w:hAnsi="Arial"/>
                <w:b w:val="false"/>
                <w:bCs w:val="false"/>
                <w:sz w:val="20"/>
                <w:szCs w:val="20"/>
              </w:rPr>
              <w:t xml:space="preserve">-49%</w:t>
            </w:r>
          </w:p>
        </w:tc>
      </w:tr>
      <w:tr>
        <w:tc>
          <w:tcPr>
            <w:tcW w:type="dxa" w:w="2600"/>
            <w:tcMar>
              <w:top w:type="dxa" w:w="100"/>
              <w:left w:type="dxa" w:w="120"/>
              <w:bottom w:type="dxa" w:w="100"/>
              <w:right w:type="dxa" w:w="120"/>
            </w:tcMar>
          </w:tcPr>
          <w:p>
            <w:r>
              <w:rPr>
                <w:rFonts w:ascii="Arial" w:cs="Arial" w:eastAsia="Arial" w:hAnsi="Arial"/>
                <w:b/>
                <w:bCs/>
                <w:sz w:val="20"/>
                <w:szCs w:val="20"/>
              </w:rPr>
              <w:t xml:space="preserve">Alaska (At-Large)</w:t>
            </w:r>
          </w:p>
        </w:tc>
        <w:tc>
          <w:tcPr>
            <w:tcW w:type="dxa" w:w="1500"/>
            <w:tcMar>
              <w:top w:type="dxa" w:w="100"/>
              <w:left w:type="dxa" w:w="120"/>
              <w:bottom w:type="dxa" w:w="100"/>
              <w:right w:type="dxa" w:w="120"/>
            </w:tcMar>
          </w:tcPr>
          <w:p>
            <w:r>
              <w:rPr>
                <w:rFonts w:ascii="Arial" w:cs="Arial" w:eastAsia="Arial" w:hAnsi="Arial"/>
                <w:b w:val="false"/>
                <w:bCs w:val="false"/>
                <w:sz w:val="20"/>
                <w:szCs w:val="20"/>
              </w:rPr>
              <w:t xml:space="preserve">20%</w:t>
            </w:r>
          </w:p>
        </w:tc>
        <w:tc>
          <w:tcPr>
            <w:tcW w:type="dxa" w:w="1600"/>
            <w:tcMar>
              <w:top w:type="dxa" w:w="100"/>
              <w:left w:type="dxa" w:w="120"/>
              <w:bottom w:type="dxa" w:w="100"/>
              <w:right w:type="dxa" w:w="120"/>
            </w:tcMar>
          </w:tcPr>
          <w:p>
            <w:r>
              <w:rPr>
                <w:rFonts w:ascii="Arial" w:cs="Arial" w:eastAsia="Arial" w:hAnsi="Arial"/>
                <w:b/>
                <w:bCs/>
                <w:sz w:val="20"/>
                <w:szCs w:val="20"/>
              </w:rPr>
              <w:t xml:space="preserve">74%</w:t>
            </w:r>
          </w:p>
        </w:tc>
        <w:tc>
          <w:tcPr>
            <w:tcW w:type="dxa" w:w="1900"/>
            <w:tcMar>
              <w:top w:type="dxa" w:w="100"/>
              <w:left w:type="dxa" w:w="120"/>
              <w:bottom w:type="dxa" w:w="100"/>
              <w:right w:type="dxa" w:w="120"/>
            </w:tcMar>
          </w:tcPr>
          <w:p>
            <w:r>
              <w:rPr>
                <w:rFonts w:ascii="Arial" w:cs="Arial" w:eastAsia="Arial" w:hAnsi="Arial"/>
                <w:b w:val="false"/>
                <w:bCs w:val="false"/>
                <w:sz w:val="20"/>
                <w:szCs w:val="20"/>
              </w:rPr>
              <w:t xml:space="preserve">-54%</w:t>
            </w:r>
          </w:p>
        </w:tc>
      </w:tr>
      <w:tr>
        <w:tc>
          <w:tcPr>
            <w:tcW w:type="dxa" w:w="2600"/>
            <w:tcMar>
              <w:top w:type="dxa" w:w="100"/>
              <w:left w:type="dxa" w:w="120"/>
              <w:bottom w:type="dxa" w:w="100"/>
              <w:right w:type="dxa" w:w="120"/>
            </w:tcMar>
          </w:tcPr>
          <w:p>
            <w:r>
              <w:rPr>
                <w:rFonts w:ascii="Arial" w:cs="Arial" w:eastAsia="Arial" w:hAnsi="Arial"/>
                <w:b/>
                <w:bCs/>
                <w:sz w:val="20"/>
                <w:szCs w:val="20"/>
              </w:rPr>
              <w:t xml:space="preserve">California (CA-06)</w:t>
            </w:r>
          </w:p>
        </w:tc>
        <w:tc>
          <w:tcPr>
            <w:tcW w:type="dxa" w:w="1500"/>
            <w:tcMar>
              <w:top w:type="dxa" w:w="100"/>
              <w:left w:type="dxa" w:w="120"/>
              <w:bottom w:type="dxa" w:w="100"/>
              <w:right w:type="dxa" w:w="120"/>
            </w:tcMar>
          </w:tcPr>
          <w:p>
            <w:r>
              <w:rPr>
                <w:rFonts w:ascii="Arial" w:cs="Arial" w:eastAsia="Arial" w:hAnsi="Arial"/>
                <w:b w:val="false"/>
                <w:bCs w:val="false"/>
                <w:sz w:val="20"/>
                <w:szCs w:val="20"/>
              </w:rPr>
              <w:t xml:space="preserve">18%</w:t>
            </w:r>
          </w:p>
        </w:tc>
        <w:tc>
          <w:tcPr>
            <w:tcW w:type="dxa" w:w="1600"/>
            <w:tcMar>
              <w:top w:type="dxa" w:w="100"/>
              <w:left w:type="dxa" w:w="120"/>
              <w:bottom w:type="dxa" w:w="100"/>
              <w:right w:type="dxa" w:w="120"/>
            </w:tcMar>
          </w:tcPr>
          <w:p>
            <w:r>
              <w:rPr>
                <w:rFonts w:ascii="Arial" w:cs="Arial" w:eastAsia="Arial" w:hAnsi="Arial"/>
                <w:b/>
                <w:bCs/>
                <w:sz w:val="20"/>
                <w:szCs w:val="20"/>
              </w:rPr>
              <w:t xml:space="preserve">76%</w:t>
            </w:r>
          </w:p>
        </w:tc>
        <w:tc>
          <w:tcPr>
            <w:tcW w:type="dxa" w:w="1900"/>
            <w:tcMar>
              <w:top w:type="dxa" w:w="100"/>
              <w:left w:type="dxa" w:w="120"/>
              <w:bottom w:type="dxa" w:w="100"/>
              <w:right w:type="dxa" w:w="120"/>
            </w:tcMar>
          </w:tcPr>
          <w:p>
            <w:r>
              <w:rPr>
                <w:rFonts w:ascii="Arial" w:cs="Arial" w:eastAsia="Arial" w:hAnsi="Arial"/>
                <w:b w:val="false"/>
                <w:bCs w:val="false"/>
                <w:sz w:val="20"/>
                <w:szCs w:val="20"/>
              </w:rPr>
              <w:t xml:space="preserve">-58%</w:t>
            </w:r>
          </w:p>
        </w:tc>
      </w:tr>
      <w:tr>
        <w:tc>
          <w:tcPr>
            <w:tcW w:type="dxa" w:w="2600"/>
            <w:tcMar>
              <w:top w:type="dxa" w:w="100"/>
              <w:left w:type="dxa" w:w="120"/>
              <w:bottom w:type="dxa" w:w="100"/>
              <w:right w:type="dxa" w:w="120"/>
            </w:tcMar>
          </w:tcPr>
          <w:p>
            <w:r>
              <w:rPr>
                <w:rFonts w:ascii="Arial" w:cs="Arial" w:eastAsia="Arial" w:hAnsi="Arial"/>
                <w:b/>
                <w:bCs/>
                <w:sz w:val="20"/>
                <w:szCs w:val="20"/>
              </w:rPr>
              <w:t xml:space="preserve">Iowa (IA-01)</w:t>
            </w:r>
          </w:p>
        </w:tc>
        <w:tc>
          <w:tcPr>
            <w:tcW w:type="dxa" w:w="1500"/>
            <w:tcMar>
              <w:top w:type="dxa" w:w="100"/>
              <w:left w:type="dxa" w:w="120"/>
              <w:bottom w:type="dxa" w:w="100"/>
              <w:right w:type="dxa" w:w="120"/>
            </w:tcMar>
          </w:tcPr>
          <w:p>
            <w:r>
              <w:rPr>
                <w:rFonts w:ascii="Arial" w:cs="Arial" w:eastAsia="Arial" w:hAnsi="Arial"/>
                <w:b w:val="false"/>
                <w:bCs w:val="false"/>
                <w:sz w:val="20"/>
                <w:szCs w:val="20"/>
              </w:rPr>
              <w:t xml:space="preserve">21%</w:t>
            </w:r>
          </w:p>
        </w:tc>
        <w:tc>
          <w:tcPr>
            <w:tcW w:type="dxa" w:w="1600"/>
            <w:tcMar>
              <w:top w:type="dxa" w:w="100"/>
              <w:left w:type="dxa" w:w="120"/>
              <w:bottom w:type="dxa" w:w="100"/>
              <w:right w:type="dxa" w:w="120"/>
            </w:tcMar>
          </w:tcPr>
          <w:p>
            <w:r>
              <w:rPr>
                <w:rFonts w:ascii="Arial" w:cs="Arial" w:eastAsia="Arial" w:hAnsi="Arial"/>
                <w:b/>
                <w:bCs/>
                <w:sz w:val="20"/>
                <w:szCs w:val="20"/>
              </w:rPr>
              <w:t xml:space="preserve">73%</w:t>
            </w:r>
          </w:p>
        </w:tc>
        <w:tc>
          <w:tcPr>
            <w:tcW w:type="dxa" w:w="1900"/>
            <w:tcMar>
              <w:top w:type="dxa" w:w="100"/>
              <w:left w:type="dxa" w:w="120"/>
              <w:bottom w:type="dxa" w:w="100"/>
              <w:right w:type="dxa" w:w="120"/>
            </w:tcMar>
          </w:tcPr>
          <w:p>
            <w:r>
              <w:rPr>
                <w:rFonts w:ascii="Arial" w:cs="Arial" w:eastAsia="Arial" w:hAnsi="Arial"/>
                <w:b w:val="false"/>
                <w:bCs w:val="false"/>
                <w:sz w:val="20"/>
                <w:szCs w:val="20"/>
              </w:rPr>
              <w:t xml:space="preserve">-52%</w:t>
            </w:r>
          </w:p>
        </w:tc>
      </w:tr>
      <w:tr>
        <w:tc>
          <w:tcPr>
            <w:tcW w:type="dxa" w:w="2600"/>
            <w:tcMar>
              <w:top w:type="dxa" w:w="100"/>
              <w:left w:type="dxa" w:w="120"/>
              <w:bottom w:type="dxa" w:w="100"/>
              <w:right w:type="dxa" w:w="120"/>
            </w:tcMar>
          </w:tcPr>
          <w:p>
            <w:r>
              <w:rPr>
                <w:rFonts w:ascii="Arial" w:cs="Arial" w:eastAsia="Arial" w:hAnsi="Arial"/>
                <w:b/>
                <w:bCs/>
                <w:sz w:val="20"/>
                <w:szCs w:val="20"/>
              </w:rPr>
              <w:t xml:space="preserve">Washington (WA-01)</w:t>
            </w:r>
          </w:p>
        </w:tc>
        <w:tc>
          <w:tcPr>
            <w:tcW w:type="dxa" w:w="1500"/>
            <w:tcMar>
              <w:top w:type="dxa" w:w="100"/>
              <w:left w:type="dxa" w:w="120"/>
              <w:bottom w:type="dxa" w:w="100"/>
              <w:right w:type="dxa" w:w="120"/>
            </w:tcMar>
          </w:tcPr>
          <w:p>
            <w:r>
              <w:rPr>
                <w:rFonts w:ascii="Arial" w:cs="Arial" w:eastAsia="Arial" w:hAnsi="Arial"/>
                <w:b w:val="false"/>
                <w:bCs w:val="false"/>
                <w:sz w:val="20"/>
                <w:szCs w:val="20"/>
              </w:rPr>
              <w:t xml:space="preserve">17%</w:t>
            </w:r>
          </w:p>
        </w:tc>
        <w:tc>
          <w:tcPr>
            <w:tcW w:type="dxa" w:w="1600"/>
            <w:tcMar>
              <w:top w:type="dxa" w:w="100"/>
              <w:left w:type="dxa" w:w="120"/>
              <w:bottom w:type="dxa" w:w="100"/>
              <w:right w:type="dxa" w:w="120"/>
            </w:tcMar>
          </w:tcPr>
          <w:p>
            <w:r>
              <w:rPr>
                <w:rFonts w:ascii="Arial" w:cs="Arial" w:eastAsia="Arial" w:hAnsi="Arial"/>
                <w:b/>
                <w:bCs/>
                <w:sz w:val="20"/>
                <w:szCs w:val="20"/>
              </w:rPr>
              <w:t xml:space="preserve">78%</w:t>
            </w:r>
          </w:p>
        </w:tc>
        <w:tc>
          <w:tcPr>
            <w:tcW w:type="dxa" w:w="1900"/>
            <w:tcMar>
              <w:top w:type="dxa" w:w="100"/>
              <w:left w:type="dxa" w:w="120"/>
              <w:bottom w:type="dxa" w:w="100"/>
              <w:right w:type="dxa" w:w="120"/>
            </w:tcMar>
          </w:tcPr>
          <w:p>
            <w:r>
              <w:rPr>
                <w:rFonts w:ascii="Arial" w:cs="Arial" w:eastAsia="Arial" w:hAnsi="Arial"/>
                <w:b w:val="false"/>
                <w:bCs w:val="false"/>
                <w:sz w:val="20"/>
                <w:szCs w:val="20"/>
              </w:rPr>
              <w:t xml:space="preserve">-61%</w:t>
            </w:r>
          </w:p>
        </w:tc>
      </w:tr>
    </w:tbl>
    <w:p>
      <w:pPr>
        <w:spacing w:after="120"/>
      </w:pPr>
    </w:p>
    <w:p>
      <w:pPr>
        <w:spacing w:after="160"/>
      </w:pPr>
      <w:r>
        <w:rPr>
          <w:rFonts w:ascii="Arial" w:cs="Arial" w:eastAsia="Arial" w:hAnsi="Arial"/>
          <w:b/>
          <w:bCs/>
          <w:sz w:val="18"/>
          <w:szCs w:val="18"/>
        </w:rPr>
        <w:t xml:space="preserve">Strategic Note (WA-01): </w:t>
      </w:r>
      <w:r>
        <w:rPr>
          <w:rFonts w:ascii="Arial" w:cs="Arial" w:eastAsia="Arial" w:hAnsi="Arial"/>
          <w:sz w:val="18"/>
          <w:szCs w:val="18"/>
        </w:rPr>
        <w:t xml:space="preserve">Congressional disapproval in Washington’s 1st Congressional District hits 78%. This finding is particularly notable given that the district is currently represented by the sitting DCCC Chair, illustrating that frustration with institutional D.C. politics transcends partisan boundaries and impacts even senior party leadership.</w:t>
      </w:r>
    </w:p>
    <w:p>
      <w:r>
        <w:br w:type="page"/>
      </w:r>
    </w:p>
    <w:p>
      <w:pPr>
        <w:spacing w:after="160"/>
      </w:pPr>
      <w:r>
        <w:rPr>
          <w:rFonts w:ascii="Arial" w:cs="Arial" w:eastAsia="Arial" w:hAnsi="Arial"/>
          <w:b/>
          <w:bCs/>
          <w:sz w:val="22"/>
          <w:szCs w:val="22"/>
        </w:rPr>
        <w:t xml:space="preserve">C. Appetite for Bipartisan &amp; Collaborative Leadership</w:t>
      </w:r>
    </w:p>
    <w:p>
      <w:pPr>
        <w:spacing w:after="160"/>
      </w:pPr>
      <w:r>
        <w:rPr>
          <w:rFonts w:ascii="Arial" w:cs="Arial" w:eastAsia="Arial" w:hAnsi="Arial"/>
          <w:sz w:val="22"/>
          <w:szCs w:val="22"/>
        </w:rPr>
        <w:t xml:space="preserve">While institutional approval is severely depressed, voter appetite for pragmatic, cross-party leadership is overwhelmingly strong. Majorities in every surveyed area view </w:t>
      </w:r>
      <w:r>
        <w:rPr>
          <w:rFonts w:ascii="Arial" w:cs="Arial" w:eastAsia="Arial" w:hAnsi="Arial"/>
          <w:i/>
          <w:iCs/>
          <w:sz w:val="22"/>
          <w:szCs w:val="22"/>
        </w:rPr>
        <w:t xml:space="preserve">A politician willing to work with both sides of the aisle</w:t>
      </w:r>
      <w:r>
        <w:rPr>
          <w:rFonts w:ascii="Arial" w:cs="Arial" w:eastAsia="Arial" w:hAnsi="Arial"/>
          <w:sz w:val="22"/>
          <w:szCs w:val="22"/>
        </w:rPr>
        <w:t xml:space="preserve"> in a highly positive light.</w:t>
      </w:r>
    </w:p>
    <w:tbl>
      <w:tblPr>
        <w:tblW w:type="dxa" w:w="7600"/>
        <w:tblBorders>
          <w:top w:val="single" w:color="auto" w:sz="4"/>
          <w:left w:val="single" w:color="auto" w:sz="4"/>
          <w:bottom w:val="single" w:color="auto" w:sz="4"/>
          <w:right w:val="single" w:color="auto" w:sz="4"/>
          <w:insideH w:val="single" w:color="auto" w:sz="4"/>
          <w:insideV w:val="single" w:color="auto" w:sz="4"/>
        </w:tblBorders>
      </w:tblPr>
      <w:tblGrid>
        <w:gridCol w:w="2600"/>
        <w:gridCol w:w="1500"/>
        <w:gridCol w:w="1600"/>
        <w:gridCol w:w="1900"/>
      </w:tblGrid>
      <w:tr>
        <w:trPr>
          <w:tblHeader/>
        </w:trPr>
        <w:tc>
          <w:tcPr>
            <w:tcW w:type="dxa" w:w="2600"/>
            <w:tcMar>
              <w:top w:type="dxa" w:w="100"/>
              <w:left w:type="dxa" w:w="120"/>
              <w:bottom w:type="dxa" w:w="100"/>
              <w:right w:type="dxa" w:w="120"/>
            </w:tcMar>
          </w:tcPr>
          <w:p>
            <w:r>
              <w:rPr>
                <w:rFonts w:ascii="Arial" w:cs="Arial" w:eastAsia="Arial" w:hAnsi="Arial"/>
                <w:b/>
                <w:bCs/>
                <w:sz w:val="20"/>
                <w:szCs w:val="20"/>
              </w:rPr>
              <w:t xml:space="preserve">District</w:t>
            </w:r>
          </w:p>
        </w:tc>
        <w:tc>
          <w:tcPr>
            <w:tcW w:type="dxa" w:w="1500"/>
            <w:tcMar>
              <w:top w:type="dxa" w:w="100"/>
              <w:left w:type="dxa" w:w="120"/>
              <w:bottom w:type="dxa" w:w="100"/>
              <w:right w:type="dxa" w:w="120"/>
            </w:tcMar>
          </w:tcPr>
          <w:p>
            <w:r>
              <w:rPr>
                <w:rFonts w:ascii="Arial" w:cs="Arial" w:eastAsia="Arial" w:hAnsi="Arial"/>
                <w:b/>
                <w:bCs/>
                <w:sz w:val="20"/>
                <w:szCs w:val="20"/>
              </w:rPr>
              <w:t xml:space="preserve">Favorable</w:t>
            </w:r>
          </w:p>
        </w:tc>
        <w:tc>
          <w:tcPr>
            <w:tcW w:type="dxa" w:w="1600"/>
            <w:tcMar>
              <w:top w:type="dxa" w:w="100"/>
              <w:left w:type="dxa" w:w="120"/>
              <w:bottom w:type="dxa" w:w="100"/>
              <w:right w:type="dxa" w:w="120"/>
            </w:tcMar>
          </w:tcPr>
          <w:p>
            <w:r>
              <w:rPr>
                <w:rFonts w:ascii="Arial" w:cs="Arial" w:eastAsia="Arial" w:hAnsi="Arial"/>
                <w:b/>
                <w:bCs/>
                <w:sz w:val="20"/>
                <w:szCs w:val="20"/>
              </w:rPr>
              <w:t xml:space="preserve">Unfavorable</w:t>
            </w:r>
          </w:p>
        </w:tc>
        <w:tc>
          <w:tcPr>
            <w:tcW w:type="dxa" w:w="1900"/>
            <w:tcMar>
              <w:top w:type="dxa" w:w="100"/>
              <w:left w:type="dxa" w:w="120"/>
              <w:bottom w:type="dxa" w:w="100"/>
              <w:right w:type="dxa" w:w="120"/>
            </w:tcMar>
          </w:tcPr>
          <w:p>
            <w:r>
              <w:rPr>
                <w:rFonts w:ascii="Arial" w:cs="Arial" w:eastAsia="Arial" w:hAnsi="Arial"/>
                <w:b/>
                <w:bCs/>
                <w:sz w:val="20"/>
                <w:szCs w:val="20"/>
              </w:rPr>
              <w:t xml:space="preserve">Net Favorability</w:t>
            </w:r>
          </w:p>
        </w:tc>
      </w:tr>
      <w:tr>
        <w:tc>
          <w:tcPr>
            <w:tcW w:type="dxa" w:w="2600"/>
            <w:tcMar>
              <w:top w:type="dxa" w:w="100"/>
              <w:left w:type="dxa" w:w="120"/>
              <w:bottom w:type="dxa" w:w="100"/>
              <w:right w:type="dxa" w:w="120"/>
            </w:tcMar>
          </w:tcPr>
          <w:p>
            <w:r>
              <w:rPr>
                <w:rFonts w:ascii="Arial" w:cs="Arial" w:eastAsia="Arial" w:hAnsi="Arial"/>
                <w:b/>
                <w:bCs/>
                <w:sz w:val="20"/>
                <w:szCs w:val="20"/>
              </w:rPr>
              <w:t xml:space="preserve">Montana (Senate)</w:t>
            </w:r>
          </w:p>
        </w:tc>
        <w:tc>
          <w:tcPr>
            <w:tcW w:type="dxa" w:w="1500"/>
            <w:tcMar>
              <w:top w:type="dxa" w:w="100"/>
              <w:left w:type="dxa" w:w="120"/>
              <w:bottom w:type="dxa" w:w="100"/>
              <w:right w:type="dxa" w:w="120"/>
            </w:tcMar>
          </w:tcPr>
          <w:p>
            <w:r>
              <w:rPr>
                <w:rFonts w:ascii="Arial" w:cs="Arial" w:eastAsia="Arial" w:hAnsi="Arial"/>
                <w:b/>
                <w:bCs/>
                <w:sz w:val="20"/>
                <w:szCs w:val="20"/>
              </w:rPr>
              <w:t xml:space="preserve">81%</w:t>
            </w:r>
          </w:p>
        </w:tc>
        <w:tc>
          <w:tcPr>
            <w:tcW w:type="dxa" w:w="1600"/>
            <w:tcMar>
              <w:top w:type="dxa" w:w="100"/>
              <w:left w:type="dxa" w:w="120"/>
              <w:bottom w:type="dxa" w:w="100"/>
              <w:right w:type="dxa" w:w="120"/>
            </w:tcMar>
          </w:tcPr>
          <w:p>
            <w:r>
              <w:rPr>
                <w:rFonts w:ascii="Arial" w:cs="Arial" w:eastAsia="Arial" w:hAnsi="Arial"/>
                <w:b w:val="false"/>
                <w:bCs w:val="false"/>
                <w:sz w:val="20"/>
                <w:szCs w:val="20"/>
              </w:rPr>
              <w:t xml:space="preserve">11%</w:t>
            </w:r>
          </w:p>
        </w:tc>
        <w:tc>
          <w:tcPr>
            <w:tcW w:type="dxa" w:w="1900"/>
            <w:tcMar>
              <w:top w:type="dxa" w:w="100"/>
              <w:left w:type="dxa" w:w="120"/>
              <w:bottom w:type="dxa" w:w="100"/>
              <w:right w:type="dxa" w:w="120"/>
            </w:tcMar>
          </w:tcPr>
          <w:p>
            <w:r>
              <w:rPr>
                <w:rFonts w:ascii="Arial" w:cs="Arial" w:eastAsia="Arial" w:hAnsi="Arial"/>
                <w:b w:val="false"/>
                <w:bCs w:val="false"/>
                <w:sz w:val="20"/>
                <w:szCs w:val="20"/>
              </w:rPr>
              <w:t xml:space="preserve">+70%</w:t>
            </w:r>
          </w:p>
        </w:tc>
      </w:tr>
      <w:tr>
        <w:tc>
          <w:tcPr>
            <w:tcW w:type="dxa" w:w="2600"/>
            <w:tcMar>
              <w:top w:type="dxa" w:w="100"/>
              <w:left w:type="dxa" w:w="120"/>
              <w:bottom w:type="dxa" w:w="100"/>
              <w:right w:type="dxa" w:w="120"/>
            </w:tcMar>
          </w:tcPr>
          <w:p>
            <w:r>
              <w:rPr>
                <w:rFonts w:ascii="Arial" w:cs="Arial" w:eastAsia="Arial" w:hAnsi="Arial"/>
                <w:b/>
                <w:bCs/>
                <w:sz w:val="20"/>
                <w:szCs w:val="20"/>
              </w:rPr>
              <w:t xml:space="preserve">Alaska (At-Large)</w:t>
            </w:r>
          </w:p>
        </w:tc>
        <w:tc>
          <w:tcPr>
            <w:tcW w:type="dxa" w:w="1500"/>
            <w:tcMar>
              <w:top w:type="dxa" w:w="100"/>
              <w:left w:type="dxa" w:w="120"/>
              <w:bottom w:type="dxa" w:w="100"/>
              <w:right w:type="dxa" w:w="120"/>
            </w:tcMar>
          </w:tcPr>
          <w:p>
            <w:r>
              <w:rPr>
                <w:rFonts w:ascii="Arial" w:cs="Arial" w:eastAsia="Arial" w:hAnsi="Arial"/>
                <w:b/>
                <w:bCs/>
                <w:sz w:val="20"/>
                <w:szCs w:val="20"/>
              </w:rPr>
              <w:t xml:space="preserve">80%</w:t>
            </w:r>
          </w:p>
        </w:tc>
        <w:tc>
          <w:tcPr>
            <w:tcW w:type="dxa" w:w="1600"/>
            <w:tcMar>
              <w:top w:type="dxa" w:w="100"/>
              <w:left w:type="dxa" w:w="120"/>
              <w:bottom w:type="dxa" w:w="100"/>
              <w:right w:type="dxa" w:w="120"/>
            </w:tcMar>
          </w:tcPr>
          <w:p>
            <w:r>
              <w:rPr>
                <w:rFonts w:ascii="Arial" w:cs="Arial" w:eastAsia="Arial" w:hAnsi="Arial"/>
                <w:b w:val="false"/>
                <w:bCs w:val="false"/>
                <w:sz w:val="20"/>
                <w:szCs w:val="20"/>
              </w:rPr>
              <w:t xml:space="preserve">10%</w:t>
            </w:r>
          </w:p>
        </w:tc>
        <w:tc>
          <w:tcPr>
            <w:tcW w:type="dxa" w:w="1900"/>
            <w:tcMar>
              <w:top w:type="dxa" w:w="100"/>
              <w:left w:type="dxa" w:w="120"/>
              <w:bottom w:type="dxa" w:w="100"/>
              <w:right w:type="dxa" w:w="120"/>
            </w:tcMar>
          </w:tcPr>
          <w:p>
            <w:r>
              <w:rPr>
                <w:rFonts w:ascii="Arial" w:cs="Arial" w:eastAsia="Arial" w:hAnsi="Arial"/>
                <w:b w:val="false"/>
                <w:bCs w:val="false"/>
                <w:sz w:val="20"/>
                <w:szCs w:val="20"/>
              </w:rPr>
              <w:t xml:space="preserve">+70%</w:t>
            </w:r>
          </w:p>
        </w:tc>
      </w:tr>
      <w:tr>
        <w:tc>
          <w:tcPr>
            <w:tcW w:type="dxa" w:w="2600"/>
            <w:tcMar>
              <w:top w:type="dxa" w:w="100"/>
              <w:left w:type="dxa" w:w="120"/>
              <w:bottom w:type="dxa" w:w="100"/>
              <w:right w:type="dxa" w:w="120"/>
            </w:tcMar>
          </w:tcPr>
          <w:p>
            <w:r>
              <w:rPr>
                <w:rFonts w:ascii="Arial" w:cs="Arial" w:eastAsia="Arial" w:hAnsi="Arial"/>
                <w:b/>
                <w:bCs/>
                <w:sz w:val="20"/>
                <w:szCs w:val="20"/>
              </w:rPr>
              <w:t xml:space="preserve">California (CA-06)</w:t>
            </w:r>
          </w:p>
        </w:tc>
        <w:tc>
          <w:tcPr>
            <w:tcW w:type="dxa" w:w="1500"/>
            <w:tcMar>
              <w:top w:type="dxa" w:w="100"/>
              <w:left w:type="dxa" w:w="120"/>
              <w:bottom w:type="dxa" w:w="100"/>
              <w:right w:type="dxa" w:w="120"/>
            </w:tcMar>
          </w:tcPr>
          <w:p>
            <w:r>
              <w:rPr>
                <w:rFonts w:ascii="Arial" w:cs="Arial" w:eastAsia="Arial" w:hAnsi="Arial"/>
                <w:b/>
                <w:bCs/>
                <w:sz w:val="20"/>
                <w:szCs w:val="20"/>
              </w:rPr>
              <w:t xml:space="preserve">83%</w:t>
            </w:r>
          </w:p>
        </w:tc>
        <w:tc>
          <w:tcPr>
            <w:tcW w:type="dxa" w:w="1600"/>
            <w:tcMar>
              <w:top w:type="dxa" w:w="100"/>
              <w:left w:type="dxa" w:w="120"/>
              <w:bottom w:type="dxa" w:w="100"/>
              <w:right w:type="dxa" w:w="120"/>
            </w:tcMar>
          </w:tcPr>
          <w:p>
            <w:r>
              <w:rPr>
                <w:rFonts w:ascii="Arial" w:cs="Arial" w:eastAsia="Arial" w:hAnsi="Arial"/>
                <w:b w:val="false"/>
                <w:bCs w:val="false"/>
                <w:sz w:val="20"/>
                <w:szCs w:val="20"/>
              </w:rPr>
              <w:t xml:space="preserve">10%</w:t>
            </w:r>
          </w:p>
        </w:tc>
        <w:tc>
          <w:tcPr>
            <w:tcW w:type="dxa" w:w="1900"/>
            <w:tcMar>
              <w:top w:type="dxa" w:w="100"/>
              <w:left w:type="dxa" w:w="120"/>
              <w:bottom w:type="dxa" w:w="100"/>
              <w:right w:type="dxa" w:w="120"/>
            </w:tcMar>
          </w:tcPr>
          <w:p>
            <w:r>
              <w:rPr>
                <w:rFonts w:ascii="Arial" w:cs="Arial" w:eastAsia="Arial" w:hAnsi="Arial"/>
                <w:b w:val="false"/>
                <w:bCs w:val="false"/>
                <w:sz w:val="20"/>
                <w:szCs w:val="20"/>
              </w:rPr>
              <w:t xml:space="preserve">+73%</w:t>
            </w:r>
          </w:p>
        </w:tc>
      </w:tr>
      <w:tr>
        <w:tc>
          <w:tcPr>
            <w:tcW w:type="dxa" w:w="2600"/>
            <w:tcMar>
              <w:top w:type="dxa" w:w="100"/>
              <w:left w:type="dxa" w:w="120"/>
              <w:bottom w:type="dxa" w:w="100"/>
              <w:right w:type="dxa" w:w="120"/>
            </w:tcMar>
          </w:tcPr>
          <w:p>
            <w:r>
              <w:rPr>
                <w:rFonts w:ascii="Arial" w:cs="Arial" w:eastAsia="Arial" w:hAnsi="Arial"/>
                <w:b/>
                <w:bCs/>
                <w:sz w:val="20"/>
                <w:szCs w:val="20"/>
              </w:rPr>
              <w:t xml:space="preserve">Iowa (IA-01)</w:t>
            </w:r>
          </w:p>
        </w:tc>
        <w:tc>
          <w:tcPr>
            <w:tcW w:type="dxa" w:w="1500"/>
            <w:tcMar>
              <w:top w:type="dxa" w:w="100"/>
              <w:left w:type="dxa" w:w="120"/>
              <w:bottom w:type="dxa" w:w="100"/>
              <w:right w:type="dxa" w:w="120"/>
            </w:tcMar>
          </w:tcPr>
          <w:p>
            <w:r>
              <w:rPr>
                <w:rFonts w:ascii="Arial" w:cs="Arial" w:eastAsia="Arial" w:hAnsi="Arial"/>
                <w:b/>
                <w:bCs/>
                <w:sz w:val="20"/>
                <w:szCs w:val="20"/>
              </w:rPr>
              <w:t xml:space="preserve">80%</w:t>
            </w:r>
          </w:p>
        </w:tc>
        <w:tc>
          <w:tcPr>
            <w:tcW w:type="dxa" w:w="1600"/>
            <w:tcMar>
              <w:top w:type="dxa" w:w="100"/>
              <w:left w:type="dxa" w:w="120"/>
              <w:bottom w:type="dxa" w:w="100"/>
              <w:right w:type="dxa" w:w="120"/>
            </w:tcMar>
          </w:tcPr>
          <w:p>
            <w:r>
              <w:rPr>
                <w:rFonts w:ascii="Arial" w:cs="Arial" w:eastAsia="Arial" w:hAnsi="Arial"/>
                <w:b w:val="false"/>
                <w:bCs w:val="false"/>
                <w:sz w:val="20"/>
                <w:szCs w:val="20"/>
              </w:rPr>
              <w:t xml:space="preserve">11%</w:t>
            </w:r>
          </w:p>
        </w:tc>
        <w:tc>
          <w:tcPr>
            <w:tcW w:type="dxa" w:w="1900"/>
            <w:tcMar>
              <w:top w:type="dxa" w:w="100"/>
              <w:left w:type="dxa" w:w="120"/>
              <w:bottom w:type="dxa" w:w="100"/>
              <w:right w:type="dxa" w:w="120"/>
            </w:tcMar>
          </w:tcPr>
          <w:p>
            <w:r>
              <w:rPr>
                <w:rFonts w:ascii="Arial" w:cs="Arial" w:eastAsia="Arial" w:hAnsi="Arial"/>
                <w:b w:val="false"/>
                <w:bCs w:val="false"/>
                <w:sz w:val="20"/>
                <w:szCs w:val="20"/>
              </w:rPr>
              <w:t xml:space="preserve">+69%</w:t>
            </w:r>
          </w:p>
        </w:tc>
      </w:tr>
      <w:tr>
        <w:tc>
          <w:tcPr>
            <w:tcW w:type="dxa" w:w="2600"/>
            <w:tcMar>
              <w:top w:type="dxa" w:w="100"/>
              <w:left w:type="dxa" w:w="120"/>
              <w:bottom w:type="dxa" w:w="100"/>
              <w:right w:type="dxa" w:w="120"/>
            </w:tcMar>
          </w:tcPr>
          <w:p>
            <w:r>
              <w:rPr>
                <w:rFonts w:ascii="Arial" w:cs="Arial" w:eastAsia="Arial" w:hAnsi="Arial"/>
                <w:b/>
                <w:bCs/>
                <w:sz w:val="20"/>
                <w:szCs w:val="20"/>
              </w:rPr>
              <w:t xml:space="preserve">Washington (WA-01)</w:t>
            </w:r>
          </w:p>
        </w:tc>
        <w:tc>
          <w:tcPr>
            <w:tcW w:type="dxa" w:w="1500"/>
            <w:tcMar>
              <w:top w:type="dxa" w:w="100"/>
              <w:left w:type="dxa" w:w="120"/>
              <w:bottom w:type="dxa" w:w="100"/>
              <w:right w:type="dxa" w:w="120"/>
            </w:tcMar>
          </w:tcPr>
          <w:p>
            <w:r>
              <w:rPr>
                <w:rFonts w:ascii="Arial" w:cs="Arial" w:eastAsia="Arial" w:hAnsi="Arial"/>
                <w:b/>
                <w:bCs/>
                <w:sz w:val="20"/>
                <w:szCs w:val="20"/>
              </w:rPr>
              <w:t xml:space="preserve">83%</w:t>
            </w:r>
          </w:p>
        </w:tc>
        <w:tc>
          <w:tcPr>
            <w:tcW w:type="dxa" w:w="1600"/>
            <w:tcMar>
              <w:top w:type="dxa" w:w="100"/>
              <w:left w:type="dxa" w:w="120"/>
              <w:bottom w:type="dxa" w:w="100"/>
              <w:right w:type="dxa" w:w="120"/>
            </w:tcMar>
          </w:tcPr>
          <w:p>
            <w:r>
              <w:rPr>
                <w:rFonts w:ascii="Arial" w:cs="Arial" w:eastAsia="Arial" w:hAnsi="Arial"/>
                <w:b w:val="false"/>
                <w:bCs w:val="false"/>
                <w:sz w:val="20"/>
                <w:szCs w:val="20"/>
              </w:rPr>
              <w:t xml:space="preserve">11%</w:t>
            </w:r>
          </w:p>
        </w:tc>
        <w:tc>
          <w:tcPr>
            <w:tcW w:type="dxa" w:w="1900"/>
            <w:tcMar>
              <w:top w:type="dxa" w:w="100"/>
              <w:left w:type="dxa" w:w="120"/>
              <w:bottom w:type="dxa" w:w="100"/>
              <w:right w:type="dxa" w:w="120"/>
            </w:tcMar>
          </w:tcPr>
          <w:p>
            <w:r>
              <w:rPr>
                <w:rFonts w:ascii="Arial" w:cs="Arial" w:eastAsia="Arial" w:hAnsi="Arial"/>
                <w:b w:val="false"/>
                <w:bCs w:val="false"/>
                <w:sz w:val="20"/>
                <w:szCs w:val="20"/>
              </w:rPr>
              <w:t xml:space="preserve">+72%</w:t>
            </w:r>
          </w:p>
        </w:tc>
      </w:tr>
    </w:tbl>
    <w:p>
      <w:pPr>
        <w:spacing w:after="120"/>
      </w:pPr>
    </w:p>
    <w:p>
      <w:pPr>
        <w:spacing w:after="160"/>
      </w:pPr>
      <w:r>
        <w:rPr>
          <w:rFonts w:ascii="Arial" w:cs="Arial" w:eastAsia="Arial" w:hAnsi="Arial"/>
          <w:b/>
          <w:bCs/>
          <w:sz w:val="22"/>
          <w:szCs w:val="22"/>
        </w:rPr>
        <w:t xml:space="preserve">D. The Independent Mandate (Testing the "Spoiler" Argument)</w:t>
      </w:r>
    </w:p>
    <w:p>
      <w:pPr>
        <w:spacing w:after="160"/>
      </w:pPr>
      <w:r>
        <w:rPr>
          <w:rFonts w:ascii="Arial" w:cs="Arial" w:eastAsia="Arial" w:hAnsi="Arial"/>
          <w:sz w:val="22"/>
          <w:szCs w:val="22"/>
        </w:rPr>
        <w:t xml:space="preserve">To evaluate voter openness to non-party candidates, respondents were asked to choose between two competing core arguments:</w:t>
      </w:r>
    </w:p>
    <w:p>
      <w:pPr>
        <w:pStyle w:val="ListParagraph"/>
        <w:numPr>
          <w:ilvl w:val="0"/>
          <w:numId w:val="2"/>
        </w:numPr>
        <w:spacing w:after="160"/>
      </w:pPr>
      <w:r>
        <w:rPr>
          <w:rFonts w:ascii="Arial" w:cs="Arial" w:eastAsia="Arial" w:hAnsi="Arial"/>
          <w:b/>
          <w:bCs/>
          <w:sz w:val="22"/>
          <w:szCs w:val="22"/>
        </w:rPr>
        <w:t xml:space="preserve">Independent Mandate: </w:t>
      </w:r>
      <w:r>
        <w:rPr>
          <w:rFonts w:ascii="Arial" w:cs="Arial" w:eastAsia="Arial" w:hAnsi="Arial"/>
          <w:i/>
          <w:iCs/>
          <w:sz w:val="22"/>
          <w:szCs w:val="22"/>
        </w:rPr>
        <w:t xml:space="preserve">"Electing a few independent candidates could provide a necessary, stabilizing voice, acting as the adult in the room to lower the temperature and bring both sides together to get things done."</w:t>
      </w:r>
    </w:p>
    <w:p>
      <w:pPr>
        <w:pStyle w:val="ListParagraph"/>
        <w:numPr>
          <w:ilvl w:val="0"/>
          <w:numId w:val="2"/>
        </w:numPr>
        <w:spacing w:after="160"/>
      </w:pPr>
      <w:r>
        <w:rPr>
          <w:rFonts w:ascii="Arial" w:cs="Arial" w:eastAsia="Arial" w:hAnsi="Arial"/>
          <w:b/>
          <w:bCs/>
          <w:sz w:val="22"/>
          <w:szCs w:val="22"/>
        </w:rPr>
        <w:t xml:space="preserve">Two-Party System: </w:t>
      </w:r>
      <w:r>
        <w:rPr>
          <w:rFonts w:ascii="Arial" w:cs="Arial" w:eastAsia="Arial" w:hAnsi="Arial"/>
          <w:i/>
          <w:iCs/>
          <w:sz w:val="22"/>
          <w:szCs w:val="22"/>
        </w:rPr>
        <w:t xml:space="preserve">"The current system is not broken, and the two major parties remain the most effective and stable way to pass laws and represent the country."</w:t>
      </w:r>
    </w:p>
    <w:tbl>
      <w:tblPr>
        <w:tblW w:type="dxa" w:w="7600"/>
        <w:tblBorders>
          <w:top w:val="single" w:color="auto" w:sz="4"/>
          <w:left w:val="single" w:color="auto" w:sz="4"/>
          <w:bottom w:val="single" w:color="auto" w:sz="4"/>
          <w:right w:val="single" w:color="auto" w:sz="4"/>
          <w:insideH w:val="single" w:color="auto" w:sz="4"/>
          <w:insideV w:val="single" w:color="auto" w:sz="4"/>
        </w:tblBorders>
      </w:tblPr>
      <w:tblGrid>
        <w:gridCol w:w="2600"/>
        <w:gridCol w:w="2100"/>
        <w:gridCol w:w="1900"/>
        <w:gridCol w:w="1000"/>
      </w:tblGrid>
      <w:tr>
        <w:trPr>
          <w:tblHeader/>
        </w:trPr>
        <w:tc>
          <w:tcPr>
            <w:tcW w:type="dxa" w:w="2600"/>
            <w:tcMar>
              <w:top w:type="dxa" w:w="100"/>
              <w:left w:type="dxa" w:w="120"/>
              <w:bottom w:type="dxa" w:w="100"/>
              <w:right w:type="dxa" w:w="120"/>
            </w:tcMar>
          </w:tcPr>
          <w:p>
            <w:r>
              <w:rPr>
                <w:rFonts w:ascii="Arial" w:cs="Arial" w:eastAsia="Arial" w:hAnsi="Arial"/>
                <w:b/>
                <w:bCs/>
                <w:sz w:val="20"/>
                <w:szCs w:val="20"/>
              </w:rPr>
              <w:t xml:space="preserve">District</w:t>
            </w:r>
          </w:p>
        </w:tc>
        <w:tc>
          <w:tcPr>
            <w:tcW w:type="dxa" w:w="2100"/>
            <w:tcMar>
              <w:top w:type="dxa" w:w="100"/>
              <w:left w:type="dxa" w:w="120"/>
              <w:bottom w:type="dxa" w:w="100"/>
              <w:right w:type="dxa" w:w="120"/>
            </w:tcMar>
          </w:tcPr>
          <w:p>
            <w:r>
              <w:rPr>
                <w:rFonts w:ascii="Arial" w:cs="Arial" w:eastAsia="Arial" w:hAnsi="Arial"/>
                <w:b/>
                <w:bCs/>
                <w:sz w:val="20"/>
                <w:szCs w:val="20"/>
              </w:rPr>
              <w:t xml:space="preserve">Electing Independents</w:t>
            </w:r>
          </w:p>
        </w:tc>
        <w:tc>
          <w:tcPr>
            <w:tcW w:type="dxa" w:w="1900"/>
            <w:tcMar>
              <w:top w:type="dxa" w:w="100"/>
              <w:left w:type="dxa" w:w="120"/>
              <w:bottom w:type="dxa" w:w="100"/>
              <w:right w:type="dxa" w:w="120"/>
            </w:tcMar>
          </w:tcPr>
          <w:p>
            <w:r>
              <w:rPr>
                <w:rFonts w:ascii="Arial" w:cs="Arial" w:eastAsia="Arial" w:hAnsi="Arial"/>
                <w:b/>
                <w:bCs/>
                <w:sz w:val="20"/>
                <w:szCs w:val="20"/>
              </w:rPr>
              <w:t xml:space="preserve">Two-Party System</w:t>
            </w:r>
          </w:p>
        </w:tc>
        <w:tc>
          <w:tcPr>
            <w:tcW w:type="dxa" w:w="1000"/>
            <w:tcMar>
              <w:top w:type="dxa" w:w="100"/>
              <w:left w:type="dxa" w:w="120"/>
              <w:bottom w:type="dxa" w:w="100"/>
              <w:right w:type="dxa" w:w="120"/>
            </w:tcMar>
          </w:tcPr>
          <w:p>
            <w:r>
              <w:rPr>
                <w:rFonts w:ascii="Arial" w:cs="Arial" w:eastAsia="Arial" w:hAnsi="Arial"/>
                <w:b/>
                <w:bCs/>
                <w:sz w:val="20"/>
                <w:szCs w:val="20"/>
              </w:rPr>
              <w:t xml:space="preserve">Unsure</w:t>
            </w:r>
          </w:p>
        </w:tc>
      </w:tr>
      <w:tr>
        <w:tc>
          <w:tcPr>
            <w:tcW w:type="dxa" w:w="2600"/>
            <w:tcMar>
              <w:top w:type="dxa" w:w="100"/>
              <w:left w:type="dxa" w:w="120"/>
              <w:bottom w:type="dxa" w:w="100"/>
              <w:right w:type="dxa" w:w="120"/>
            </w:tcMar>
          </w:tcPr>
          <w:p>
            <w:r>
              <w:rPr>
                <w:rFonts w:ascii="Arial" w:cs="Arial" w:eastAsia="Arial" w:hAnsi="Arial"/>
                <w:b/>
                <w:bCs/>
                <w:sz w:val="20"/>
                <w:szCs w:val="20"/>
              </w:rPr>
              <w:t xml:space="preserve">Montana (Senate)</w:t>
            </w:r>
          </w:p>
        </w:tc>
        <w:tc>
          <w:tcPr>
            <w:tcW w:type="dxa" w:w="2100"/>
            <w:tcMar>
              <w:top w:type="dxa" w:w="100"/>
              <w:left w:type="dxa" w:w="120"/>
              <w:bottom w:type="dxa" w:w="100"/>
              <w:right w:type="dxa" w:w="120"/>
            </w:tcMar>
          </w:tcPr>
          <w:p>
            <w:r>
              <w:rPr>
                <w:rFonts w:ascii="Arial" w:cs="Arial" w:eastAsia="Arial" w:hAnsi="Arial"/>
                <w:b/>
                <w:bCs/>
                <w:sz w:val="20"/>
                <w:szCs w:val="20"/>
              </w:rPr>
              <w:t xml:space="preserve">65%</w:t>
            </w:r>
          </w:p>
        </w:tc>
        <w:tc>
          <w:tcPr>
            <w:tcW w:type="dxa" w:w="1900"/>
            <w:tcMar>
              <w:top w:type="dxa" w:w="100"/>
              <w:left w:type="dxa" w:w="120"/>
              <w:bottom w:type="dxa" w:w="100"/>
              <w:right w:type="dxa" w:w="120"/>
            </w:tcMar>
          </w:tcPr>
          <w:p>
            <w:r>
              <w:rPr>
                <w:rFonts w:ascii="Arial" w:cs="Arial" w:eastAsia="Arial" w:hAnsi="Arial"/>
                <w:b w:val="false"/>
                <w:bCs w:val="false"/>
                <w:sz w:val="20"/>
                <w:szCs w:val="20"/>
              </w:rPr>
              <w:t xml:space="preserve">14%</w:t>
            </w:r>
          </w:p>
        </w:tc>
        <w:tc>
          <w:tcPr>
            <w:tcW w:type="dxa" w:w="1000"/>
            <w:tcMar>
              <w:top w:type="dxa" w:w="100"/>
              <w:left w:type="dxa" w:w="120"/>
              <w:bottom w:type="dxa" w:w="100"/>
              <w:right w:type="dxa" w:w="120"/>
            </w:tcMar>
          </w:tcPr>
          <w:p>
            <w:r>
              <w:rPr>
                <w:rFonts w:ascii="Arial" w:cs="Arial" w:eastAsia="Arial" w:hAnsi="Arial"/>
                <w:b w:val="false"/>
                <w:bCs w:val="false"/>
                <w:sz w:val="20"/>
                <w:szCs w:val="20"/>
              </w:rPr>
              <w:t xml:space="preserve">21%</w:t>
            </w:r>
          </w:p>
        </w:tc>
      </w:tr>
      <w:tr>
        <w:tc>
          <w:tcPr>
            <w:tcW w:type="dxa" w:w="2600"/>
            <w:tcMar>
              <w:top w:type="dxa" w:w="100"/>
              <w:left w:type="dxa" w:w="120"/>
              <w:bottom w:type="dxa" w:w="100"/>
              <w:right w:type="dxa" w:w="120"/>
            </w:tcMar>
          </w:tcPr>
          <w:p>
            <w:r>
              <w:rPr>
                <w:rFonts w:ascii="Arial" w:cs="Arial" w:eastAsia="Arial" w:hAnsi="Arial"/>
                <w:b/>
                <w:bCs/>
                <w:sz w:val="20"/>
                <w:szCs w:val="20"/>
              </w:rPr>
              <w:t xml:space="preserve">Alaska (At-Large)</w:t>
            </w:r>
          </w:p>
        </w:tc>
        <w:tc>
          <w:tcPr>
            <w:tcW w:type="dxa" w:w="2100"/>
            <w:tcMar>
              <w:top w:type="dxa" w:w="100"/>
              <w:left w:type="dxa" w:w="120"/>
              <w:bottom w:type="dxa" w:w="100"/>
              <w:right w:type="dxa" w:w="120"/>
            </w:tcMar>
          </w:tcPr>
          <w:p>
            <w:r>
              <w:rPr>
                <w:rFonts w:ascii="Arial" w:cs="Arial" w:eastAsia="Arial" w:hAnsi="Arial"/>
                <w:b/>
                <w:bCs/>
                <w:sz w:val="20"/>
                <w:szCs w:val="20"/>
              </w:rPr>
              <w:t xml:space="preserve">67%</w:t>
            </w:r>
          </w:p>
        </w:tc>
        <w:tc>
          <w:tcPr>
            <w:tcW w:type="dxa" w:w="1900"/>
            <w:tcMar>
              <w:top w:type="dxa" w:w="100"/>
              <w:left w:type="dxa" w:w="120"/>
              <w:bottom w:type="dxa" w:w="100"/>
              <w:right w:type="dxa" w:w="120"/>
            </w:tcMar>
          </w:tcPr>
          <w:p>
            <w:r>
              <w:rPr>
                <w:rFonts w:ascii="Arial" w:cs="Arial" w:eastAsia="Arial" w:hAnsi="Arial"/>
                <w:b w:val="false"/>
                <w:bCs w:val="false"/>
                <w:sz w:val="20"/>
                <w:szCs w:val="20"/>
              </w:rPr>
              <w:t xml:space="preserve">12%</w:t>
            </w:r>
          </w:p>
        </w:tc>
        <w:tc>
          <w:tcPr>
            <w:tcW w:type="dxa" w:w="1000"/>
            <w:tcMar>
              <w:top w:type="dxa" w:w="100"/>
              <w:left w:type="dxa" w:w="120"/>
              <w:bottom w:type="dxa" w:w="100"/>
              <w:right w:type="dxa" w:w="120"/>
            </w:tcMar>
          </w:tcPr>
          <w:p>
            <w:r>
              <w:rPr>
                <w:rFonts w:ascii="Arial" w:cs="Arial" w:eastAsia="Arial" w:hAnsi="Arial"/>
                <w:b w:val="false"/>
                <w:bCs w:val="false"/>
                <w:sz w:val="20"/>
                <w:szCs w:val="20"/>
              </w:rPr>
              <w:t xml:space="preserve">21%</w:t>
            </w:r>
          </w:p>
        </w:tc>
      </w:tr>
      <w:tr>
        <w:tc>
          <w:tcPr>
            <w:tcW w:type="dxa" w:w="2600"/>
            <w:tcMar>
              <w:top w:type="dxa" w:w="100"/>
              <w:left w:type="dxa" w:w="120"/>
              <w:bottom w:type="dxa" w:w="100"/>
              <w:right w:type="dxa" w:w="120"/>
            </w:tcMar>
          </w:tcPr>
          <w:p>
            <w:r>
              <w:rPr>
                <w:rFonts w:ascii="Arial" w:cs="Arial" w:eastAsia="Arial" w:hAnsi="Arial"/>
                <w:b/>
                <w:bCs/>
                <w:sz w:val="20"/>
                <w:szCs w:val="20"/>
              </w:rPr>
              <w:t xml:space="preserve">California (CA-06)</w:t>
            </w:r>
          </w:p>
        </w:tc>
        <w:tc>
          <w:tcPr>
            <w:tcW w:type="dxa" w:w="2100"/>
            <w:tcMar>
              <w:top w:type="dxa" w:w="100"/>
              <w:left w:type="dxa" w:w="120"/>
              <w:bottom w:type="dxa" w:w="100"/>
              <w:right w:type="dxa" w:w="120"/>
            </w:tcMar>
          </w:tcPr>
          <w:p>
            <w:r>
              <w:rPr>
                <w:rFonts w:ascii="Arial" w:cs="Arial" w:eastAsia="Arial" w:hAnsi="Arial"/>
                <w:b/>
                <w:bCs/>
                <w:sz w:val="20"/>
                <w:szCs w:val="20"/>
              </w:rPr>
              <w:t xml:space="preserve">71%</w:t>
            </w:r>
          </w:p>
        </w:tc>
        <w:tc>
          <w:tcPr>
            <w:tcW w:type="dxa" w:w="1900"/>
            <w:tcMar>
              <w:top w:type="dxa" w:w="100"/>
              <w:left w:type="dxa" w:w="120"/>
              <w:bottom w:type="dxa" w:w="100"/>
              <w:right w:type="dxa" w:w="120"/>
            </w:tcMar>
          </w:tcPr>
          <w:p>
            <w:r>
              <w:rPr>
                <w:rFonts w:ascii="Arial" w:cs="Arial" w:eastAsia="Arial" w:hAnsi="Arial"/>
                <w:b w:val="false"/>
                <w:bCs w:val="false"/>
                <w:sz w:val="20"/>
                <w:szCs w:val="20"/>
              </w:rPr>
              <w:t xml:space="preserve">8%</w:t>
            </w:r>
          </w:p>
        </w:tc>
        <w:tc>
          <w:tcPr>
            <w:tcW w:type="dxa" w:w="1000"/>
            <w:tcMar>
              <w:top w:type="dxa" w:w="100"/>
              <w:left w:type="dxa" w:w="120"/>
              <w:bottom w:type="dxa" w:w="100"/>
              <w:right w:type="dxa" w:w="120"/>
            </w:tcMar>
          </w:tcPr>
          <w:p>
            <w:r>
              <w:rPr>
                <w:rFonts w:ascii="Arial" w:cs="Arial" w:eastAsia="Arial" w:hAnsi="Arial"/>
                <w:b w:val="false"/>
                <w:bCs w:val="false"/>
                <w:sz w:val="20"/>
                <w:szCs w:val="20"/>
              </w:rPr>
              <w:t xml:space="preserve">21%</w:t>
            </w:r>
          </w:p>
        </w:tc>
      </w:tr>
      <w:tr>
        <w:tc>
          <w:tcPr>
            <w:tcW w:type="dxa" w:w="2600"/>
            <w:tcMar>
              <w:top w:type="dxa" w:w="100"/>
              <w:left w:type="dxa" w:w="120"/>
              <w:bottom w:type="dxa" w:w="100"/>
              <w:right w:type="dxa" w:w="120"/>
            </w:tcMar>
          </w:tcPr>
          <w:p>
            <w:r>
              <w:rPr>
                <w:rFonts w:ascii="Arial" w:cs="Arial" w:eastAsia="Arial" w:hAnsi="Arial"/>
                <w:b/>
                <w:bCs/>
                <w:sz w:val="20"/>
                <w:szCs w:val="20"/>
              </w:rPr>
              <w:t xml:space="preserve">Iowa (IA-01)</w:t>
            </w:r>
          </w:p>
        </w:tc>
        <w:tc>
          <w:tcPr>
            <w:tcW w:type="dxa" w:w="2100"/>
            <w:tcMar>
              <w:top w:type="dxa" w:w="100"/>
              <w:left w:type="dxa" w:w="120"/>
              <w:bottom w:type="dxa" w:w="100"/>
              <w:right w:type="dxa" w:w="120"/>
            </w:tcMar>
          </w:tcPr>
          <w:p>
            <w:r>
              <w:rPr>
                <w:rFonts w:ascii="Arial" w:cs="Arial" w:eastAsia="Arial" w:hAnsi="Arial"/>
                <w:b/>
                <w:bCs/>
                <w:sz w:val="20"/>
                <w:szCs w:val="20"/>
              </w:rPr>
              <w:t xml:space="preserve">65%</w:t>
            </w:r>
          </w:p>
        </w:tc>
        <w:tc>
          <w:tcPr>
            <w:tcW w:type="dxa" w:w="1900"/>
            <w:tcMar>
              <w:top w:type="dxa" w:w="100"/>
              <w:left w:type="dxa" w:w="120"/>
              <w:bottom w:type="dxa" w:w="100"/>
              <w:right w:type="dxa" w:w="120"/>
            </w:tcMar>
          </w:tcPr>
          <w:p>
            <w:r>
              <w:rPr>
                <w:rFonts w:ascii="Arial" w:cs="Arial" w:eastAsia="Arial" w:hAnsi="Arial"/>
                <w:b w:val="false"/>
                <w:bCs w:val="false"/>
                <w:sz w:val="20"/>
                <w:szCs w:val="20"/>
              </w:rPr>
              <w:t xml:space="preserve">13%</w:t>
            </w:r>
          </w:p>
        </w:tc>
        <w:tc>
          <w:tcPr>
            <w:tcW w:type="dxa" w:w="1000"/>
            <w:tcMar>
              <w:top w:type="dxa" w:w="100"/>
              <w:left w:type="dxa" w:w="120"/>
              <w:bottom w:type="dxa" w:w="100"/>
              <w:right w:type="dxa" w:w="120"/>
            </w:tcMar>
          </w:tcPr>
          <w:p>
            <w:r>
              <w:rPr>
                <w:rFonts w:ascii="Arial" w:cs="Arial" w:eastAsia="Arial" w:hAnsi="Arial"/>
                <w:b w:val="false"/>
                <w:bCs w:val="false"/>
                <w:sz w:val="20"/>
                <w:szCs w:val="20"/>
              </w:rPr>
              <w:t xml:space="preserve">22%</w:t>
            </w:r>
          </w:p>
        </w:tc>
      </w:tr>
      <w:tr>
        <w:tc>
          <w:tcPr>
            <w:tcW w:type="dxa" w:w="2600"/>
            <w:tcMar>
              <w:top w:type="dxa" w:w="100"/>
              <w:left w:type="dxa" w:w="120"/>
              <w:bottom w:type="dxa" w:w="100"/>
              <w:right w:type="dxa" w:w="120"/>
            </w:tcMar>
          </w:tcPr>
          <w:p>
            <w:r>
              <w:rPr>
                <w:rFonts w:ascii="Arial" w:cs="Arial" w:eastAsia="Arial" w:hAnsi="Arial"/>
                <w:b/>
                <w:bCs/>
                <w:sz w:val="20"/>
                <w:szCs w:val="20"/>
              </w:rPr>
              <w:t xml:space="preserve">Washington (WA-01)</w:t>
            </w:r>
          </w:p>
        </w:tc>
        <w:tc>
          <w:tcPr>
            <w:tcW w:type="dxa" w:w="2100"/>
            <w:tcMar>
              <w:top w:type="dxa" w:w="100"/>
              <w:left w:type="dxa" w:w="120"/>
              <w:bottom w:type="dxa" w:w="100"/>
              <w:right w:type="dxa" w:w="120"/>
            </w:tcMar>
          </w:tcPr>
          <w:p>
            <w:r>
              <w:rPr>
                <w:rFonts w:ascii="Arial" w:cs="Arial" w:eastAsia="Arial" w:hAnsi="Arial"/>
                <w:b/>
                <w:bCs/>
                <w:sz w:val="20"/>
                <w:szCs w:val="20"/>
              </w:rPr>
              <w:t xml:space="preserve">70%</w:t>
            </w:r>
          </w:p>
        </w:tc>
        <w:tc>
          <w:tcPr>
            <w:tcW w:type="dxa" w:w="1900"/>
            <w:tcMar>
              <w:top w:type="dxa" w:w="100"/>
              <w:left w:type="dxa" w:w="120"/>
              <w:bottom w:type="dxa" w:w="100"/>
              <w:right w:type="dxa" w:w="120"/>
            </w:tcMar>
          </w:tcPr>
          <w:p>
            <w:r>
              <w:rPr>
                <w:rFonts w:ascii="Arial" w:cs="Arial" w:eastAsia="Arial" w:hAnsi="Arial"/>
                <w:b w:val="false"/>
                <w:bCs w:val="false"/>
                <w:sz w:val="20"/>
                <w:szCs w:val="20"/>
              </w:rPr>
              <w:t xml:space="preserve">8%</w:t>
            </w:r>
          </w:p>
        </w:tc>
        <w:tc>
          <w:tcPr>
            <w:tcW w:type="dxa" w:w="1000"/>
            <w:tcMar>
              <w:top w:type="dxa" w:w="100"/>
              <w:left w:type="dxa" w:w="120"/>
              <w:bottom w:type="dxa" w:w="100"/>
              <w:right w:type="dxa" w:w="120"/>
            </w:tcMar>
          </w:tcPr>
          <w:p>
            <w:r>
              <w:rPr>
                <w:rFonts w:ascii="Arial" w:cs="Arial" w:eastAsia="Arial" w:hAnsi="Arial"/>
                <w:b w:val="false"/>
                <w:bCs w:val="false"/>
                <w:sz w:val="20"/>
                <w:szCs w:val="20"/>
              </w:rPr>
              <w:t xml:space="preserve">22%</w:t>
            </w:r>
          </w:p>
        </w:tc>
      </w:tr>
    </w:tbl>
    <w:p>
      <w:r>
        <w:br w:type="page"/>
      </w:r>
    </w:p>
    <w:p>
      <w:pPr>
        <w:spacing w:after="160"/>
      </w:pPr>
      <w:r>
        <w:rPr>
          <w:rFonts w:ascii="Arial" w:cs="Arial" w:eastAsia="Arial" w:hAnsi="Arial"/>
          <w:sz w:val="22"/>
          <w:szCs w:val="22"/>
        </w:rPr>
        <w:t xml:space="preserve">Across all regions, voters decisively reject the traditional "two-party system is working" thesis, opening up significant viability for independent candidates.</w:t>
      </w:r>
    </w:p>
    <w:p>
      <w:pPr>
        <w:spacing w:after="160"/>
      </w:pPr>
      <w:r>
        <w:rPr>
          <w:rFonts w:ascii="Arial" w:cs="Arial" w:eastAsia="Arial" w:hAnsi="Arial"/>
          <w:b/>
          <w:bCs/>
          <w:sz w:val="22"/>
          <w:szCs w:val="22"/>
        </w:rPr>
        <w:t xml:space="preserve">3. Detailed District Breakouts</w:t>
      </w:r>
    </w:p>
    <w:p>
      <w:pPr>
        <w:spacing w:after="160"/>
      </w:pPr>
      <w:r>
        <w:rPr>
          <w:rFonts w:ascii="Arial" w:cs="Arial" w:eastAsia="Arial" w:hAnsi="Arial"/>
          <w:i/>
          <w:iCs/>
          <w:sz w:val="22"/>
          <w:szCs w:val="22"/>
        </w:rPr>
        <w:t xml:space="preserve">(Note: Per study protocol, individual candidate breakouts were fielded for MT, CA-06, AK-AL, and IA-01. WA-01 data is retained for baseline comparisons).</w:t>
      </w:r>
    </w:p>
    <w:p>
      <w:pPr>
        <w:spacing w:after="160"/>
      </w:pPr>
      <w:r>
        <w:rPr>
          <w:rFonts w:ascii="Arial" w:cs="Arial" w:eastAsia="Arial" w:hAnsi="Arial"/>
          <w:b/>
          <w:bCs/>
          <w:sz w:val="22"/>
          <w:szCs w:val="22"/>
          <w:u w:val="single"/>
        </w:rPr>
        <w:t xml:space="preserve">Montana Senate</w:t>
      </w:r>
    </w:p>
    <w:p>
      <w:pPr>
        <w:spacing w:after="160"/>
      </w:pPr>
      <w:r>
        <w:rPr>
          <w:rFonts w:ascii="Arial" w:cs="Arial" w:eastAsia="Arial" w:hAnsi="Arial"/>
          <w:b/>
          <w:bCs/>
          <w:sz w:val="22"/>
          <w:szCs w:val="22"/>
        </w:rPr>
        <w:t xml:space="preserve">Candidate Name ID &amp; Favorability</w:t>
      </w:r>
    </w:p>
    <w:p>
      <w:pPr>
        <w:spacing w:after="160"/>
      </w:pPr>
      <w:r>
        <w:rPr>
          <w:rFonts w:ascii="Arial" w:cs="Arial" w:eastAsia="Arial" w:hAnsi="Arial"/>
          <w:sz w:val="22"/>
          <w:szCs w:val="22"/>
        </w:rPr>
        <w:t xml:space="preserve">Independent candidate Seth Bodnar enters the field with balanced favorability and room for growth, while Republican candidate Kurt Alme suffers from significantly higher negative ratings.</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400"/>
        <w:gridCol w:w="1400"/>
        <w:gridCol w:w="1500"/>
        <w:gridCol w:w="2600"/>
        <w:gridCol w:w="1300"/>
      </w:tblGrid>
      <w:tr>
        <w:trPr>
          <w:tblHeader/>
        </w:trPr>
        <w:tc>
          <w:tcPr>
            <w:tcW w:type="dxa" w:w="2400"/>
            <w:tcMar>
              <w:top w:type="dxa" w:w="100"/>
              <w:left w:type="dxa" w:w="120"/>
              <w:bottom w:type="dxa" w:w="100"/>
              <w:right w:type="dxa" w:w="120"/>
            </w:tcMar>
          </w:tcPr>
          <w:p>
            <w:r>
              <w:rPr>
                <w:rFonts w:ascii="Arial" w:cs="Arial" w:eastAsia="Arial" w:hAnsi="Arial"/>
                <w:b/>
                <w:bCs/>
                <w:sz w:val="20"/>
                <w:szCs w:val="20"/>
              </w:rPr>
              <w:t xml:space="preserve">Candidate</w:t>
            </w:r>
          </w:p>
        </w:tc>
        <w:tc>
          <w:tcPr>
            <w:tcW w:type="dxa" w:w="1400"/>
            <w:tcMar>
              <w:top w:type="dxa" w:w="100"/>
              <w:left w:type="dxa" w:w="120"/>
              <w:bottom w:type="dxa" w:w="100"/>
              <w:right w:type="dxa" w:w="120"/>
            </w:tcMar>
          </w:tcPr>
          <w:p>
            <w:r>
              <w:rPr>
                <w:rFonts w:ascii="Arial" w:cs="Arial" w:eastAsia="Arial" w:hAnsi="Arial"/>
                <w:b/>
                <w:bCs/>
                <w:sz w:val="20"/>
                <w:szCs w:val="20"/>
              </w:rPr>
              <w:t xml:space="preserve">Favorable</w:t>
            </w:r>
          </w:p>
        </w:tc>
        <w:tc>
          <w:tcPr>
            <w:tcW w:type="dxa" w:w="1500"/>
            <w:tcMar>
              <w:top w:type="dxa" w:w="100"/>
              <w:left w:type="dxa" w:w="120"/>
              <w:bottom w:type="dxa" w:w="100"/>
              <w:right w:type="dxa" w:w="120"/>
            </w:tcMar>
          </w:tcPr>
          <w:p>
            <w:r>
              <w:rPr>
                <w:rFonts w:ascii="Arial" w:cs="Arial" w:eastAsia="Arial" w:hAnsi="Arial"/>
                <w:b/>
                <w:bCs/>
                <w:sz w:val="20"/>
                <w:szCs w:val="20"/>
              </w:rPr>
              <w:t xml:space="preserve">Unfavorable</w:t>
            </w:r>
          </w:p>
        </w:tc>
        <w:tc>
          <w:tcPr>
            <w:tcW w:type="dxa" w:w="2600"/>
            <w:tcMar>
              <w:top w:type="dxa" w:w="100"/>
              <w:left w:type="dxa" w:w="120"/>
              <w:bottom w:type="dxa" w:w="100"/>
              <w:right w:type="dxa" w:w="120"/>
            </w:tcMar>
          </w:tcPr>
          <w:p>
            <w:r>
              <w:rPr>
                <w:rFonts w:ascii="Arial" w:cs="Arial" w:eastAsia="Arial" w:hAnsi="Arial"/>
                <w:b/>
                <w:bCs/>
                <w:sz w:val="20"/>
                <w:szCs w:val="20"/>
              </w:rPr>
              <w:t xml:space="preserve">Never Heard Of / Unsure</w:t>
            </w:r>
          </w:p>
        </w:tc>
        <w:tc>
          <w:tcPr>
            <w:tcW w:type="dxa" w:w="1300"/>
            <w:tcMar>
              <w:top w:type="dxa" w:w="100"/>
              <w:left w:type="dxa" w:w="120"/>
              <w:bottom w:type="dxa" w:w="100"/>
              <w:right w:type="dxa" w:w="120"/>
            </w:tcMar>
          </w:tcPr>
          <w:p>
            <w:r>
              <w:rPr>
                <w:rFonts w:ascii="Arial" w:cs="Arial" w:eastAsia="Arial" w:hAnsi="Arial"/>
                <w:b/>
                <w:bCs/>
                <w:sz w:val="20"/>
                <w:szCs w:val="20"/>
              </w:rPr>
              <w:t xml:space="preserve">Net Fav</w:t>
            </w:r>
          </w:p>
        </w:tc>
      </w:tr>
      <w:tr>
        <w:tc>
          <w:tcPr>
            <w:tcW w:type="dxa" w:w="2400"/>
            <w:tcMar>
              <w:top w:type="dxa" w:w="100"/>
              <w:left w:type="dxa" w:w="120"/>
              <w:bottom w:type="dxa" w:w="100"/>
              <w:right w:type="dxa" w:w="120"/>
            </w:tcMar>
          </w:tcPr>
          <w:p>
            <w:r>
              <w:rPr>
                <w:rFonts w:ascii="Arial" w:cs="Arial" w:eastAsia="Arial" w:hAnsi="Arial"/>
                <w:b/>
                <w:bCs/>
                <w:sz w:val="20"/>
                <w:szCs w:val="20"/>
              </w:rPr>
              <w:t xml:space="preserve">Seth Bodnar (I)</w:t>
            </w:r>
          </w:p>
        </w:tc>
        <w:tc>
          <w:tcPr>
            <w:tcW w:type="dxa" w:w="1400"/>
            <w:tcMar>
              <w:top w:type="dxa" w:w="100"/>
              <w:left w:type="dxa" w:w="120"/>
              <w:bottom w:type="dxa" w:w="100"/>
              <w:right w:type="dxa" w:w="120"/>
            </w:tcMar>
          </w:tcPr>
          <w:p>
            <w:r>
              <w:rPr>
                <w:rFonts w:ascii="Arial" w:cs="Arial" w:eastAsia="Arial" w:hAnsi="Arial"/>
                <w:b/>
                <w:bCs/>
                <w:sz w:val="20"/>
                <w:szCs w:val="20"/>
              </w:rPr>
              <w:t xml:space="preserve">35%</w:t>
            </w:r>
          </w:p>
        </w:tc>
        <w:tc>
          <w:tcPr>
            <w:tcW w:type="dxa" w:w="1500"/>
            <w:tcMar>
              <w:top w:type="dxa" w:w="100"/>
              <w:left w:type="dxa" w:w="120"/>
              <w:bottom w:type="dxa" w:w="100"/>
              <w:right w:type="dxa" w:w="120"/>
            </w:tcMar>
          </w:tcPr>
          <w:p>
            <w:r>
              <w:rPr>
                <w:rFonts w:ascii="Arial" w:cs="Arial" w:eastAsia="Arial" w:hAnsi="Arial"/>
                <w:b w:val="false"/>
                <w:bCs w:val="false"/>
                <w:sz w:val="20"/>
                <w:szCs w:val="20"/>
              </w:rPr>
              <w:t xml:space="preserve">23%</w:t>
            </w:r>
          </w:p>
        </w:tc>
        <w:tc>
          <w:tcPr>
            <w:tcW w:type="dxa" w:w="2600"/>
            <w:tcMar>
              <w:top w:type="dxa" w:w="100"/>
              <w:left w:type="dxa" w:w="120"/>
              <w:bottom w:type="dxa" w:w="100"/>
              <w:right w:type="dxa" w:w="120"/>
            </w:tcMar>
          </w:tcPr>
          <w:p>
            <w:r>
              <w:rPr>
                <w:rFonts w:ascii="Arial" w:cs="Arial" w:eastAsia="Arial" w:hAnsi="Arial"/>
                <w:b w:val="false"/>
                <w:bCs w:val="false"/>
                <w:sz w:val="20"/>
                <w:szCs w:val="20"/>
              </w:rPr>
              <w:t xml:space="preserve">42%</w:t>
            </w:r>
          </w:p>
        </w:tc>
        <w:tc>
          <w:tcPr>
            <w:tcW w:type="dxa" w:w="1300"/>
            <w:tcMar>
              <w:top w:type="dxa" w:w="100"/>
              <w:left w:type="dxa" w:w="120"/>
              <w:bottom w:type="dxa" w:w="100"/>
              <w:right w:type="dxa" w:w="120"/>
            </w:tcMar>
          </w:tcPr>
          <w:p>
            <w:r>
              <w:rPr>
                <w:rFonts w:ascii="Arial" w:cs="Arial" w:eastAsia="Arial" w:hAnsi="Arial"/>
                <w:b w:val="false"/>
                <w:bCs w:val="false"/>
                <w:sz w:val="20"/>
                <w:szCs w:val="20"/>
              </w:rPr>
              <w:t xml:space="preserve">+12%</w:t>
            </w:r>
          </w:p>
        </w:tc>
      </w:tr>
      <w:tr>
        <w:tc>
          <w:tcPr>
            <w:tcW w:type="dxa" w:w="2400"/>
            <w:tcMar>
              <w:top w:type="dxa" w:w="100"/>
              <w:left w:type="dxa" w:w="120"/>
              <w:bottom w:type="dxa" w:w="100"/>
              <w:right w:type="dxa" w:w="120"/>
            </w:tcMar>
          </w:tcPr>
          <w:p>
            <w:r>
              <w:rPr>
                <w:rFonts w:ascii="Arial" w:cs="Arial" w:eastAsia="Arial" w:hAnsi="Arial"/>
                <w:b/>
                <w:bCs/>
                <w:sz w:val="20"/>
                <w:szCs w:val="20"/>
              </w:rPr>
              <w:t xml:space="preserve">Alani Bankhead (D)</w:t>
            </w:r>
          </w:p>
        </w:tc>
        <w:tc>
          <w:tcPr>
            <w:tcW w:type="dxa" w:w="1400"/>
            <w:tcMar>
              <w:top w:type="dxa" w:w="100"/>
              <w:left w:type="dxa" w:w="120"/>
              <w:bottom w:type="dxa" w:w="100"/>
              <w:right w:type="dxa" w:w="120"/>
            </w:tcMar>
          </w:tcPr>
          <w:p>
            <w:r>
              <w:rPr>
                <w:rFonts w:ascii="Arial" w:cs="Arial" w:eastAsia="Arial" w:hAnsi="Arial"/>
                <w:b/>
                <w:bCs/>
                <w:sz w:val="20"/>
                <w:szCs w:val="20"/>
              </w:rPr>
              <w:t xml:space="preserve">34%</w:t>
            </w:r>
          </w:p>
        </w:tc>
        <w:tc>
          <w:tcPr>
            <w:tcW w:type="dxa" w:w="1500"/>
            <w:tcMar>
              <w:top w:type="dxa" w:w="100"/>
              <w:left w:type="dxa" w:w="120"/>
              <w:bottom w:type="dxa" w:w="100"/>
              <w:right w:type="dxa" w:w="120"/>
            </w:tcMar>
          </w:tcPr>
          <w:p>
            <w:r>
              <w:rPr>
                <w:rFonts w:ascii="Arial" w:cs="Arial" w:eastAsia="Arial" w:hAnsi="Arial"/>
                <w:b w:val="false"/>
                <w:bCs w:val="false"/>
                <w:sz w:val="20"/>
                <w:szCs w:val="20"/>
              </w:rPr>
              <w:t xml:space="preserve">25%</w:t>
            </w:r>
          </w:p>
        </w:tc>
        <w:tc>
          <w:tcPr>
            <w:tcW w:type="dxa" w:w="2600"/>
            <w:tcMar>
              <w:top w:type="dxa" w:w="100"/>
              <w:left w:type="dxa" w:w="120"/>
              <w:bottom w:type="dxa" w:w="100"/>
              <w:right w:type="dxa" w:w="120"/>
            </w:tcMar>
          </w:tcPr>
          <w:p>
            <w:r>
              <w:rPr>
                <w:rFonts w:ascii="Arial" w:cs="Arial" w:eastAsia="Arial" w:hAnsi="Arial"/>
                <w:b w:val="false"/>
                <w:bCs w:val="false"/>
                <w:sz w:val="20"/>
                <w:szCs w:val="20"/>
              </w:rPr>
              <w:t xml:space="preserve">41%</w:t>
            </w:r>
          </w:p>
        </w:tc>
        <w:tc>
          <w:tcPr>
            <w:tcW w:type="dxa" w:w="1300"/>
            <w:tcMar>
              <w:top w:type="dxa" w:w="100"/>
              <w:left w:type="dxa" w:w="120"/>
              <w:bottom w:type="dxa" w:w="100"/>
              <w:right w:type="dxa" w:w="120"/>
            </w:tcMar>
          </w:tcPr>
          <w:p>
            <w:r>
              <w:rPr>
                <w:rFonts w:ascii="Arial" w:cs="Arial" w:eastAsia="Arial" w:hAnsi="Arial"/>
                <w:b w:val="false"/>
                <w:bCs w:val="false"/>
                <w:sz w:val="20"/>
                <w:szCs w:val="20"/>
              </w:rPr>
              <w:t xml:space="preserve">+9%</w:t>
            </w:r>
          </w:p>
        </w:tc>
      </w:tr>
      <w:tr>
        <w:tc>
          <w:tcPr>
            <w:tcW w:type="dxa" w:w="2400"/>
            <w:tcMar>
              <w:top w:type="dxa" w:w="100"/>
              <w:left w:type="dxa" w:w="120"/>
              <w:bottom w:type="dxa" w:w="100"/>
              <w:right w:type="dxa" w:w="120"/>
            </w:tcMar>
          </w:tcPr>
          <w:p>
            <w:r>
              <w:rPr>
                <w:rFonts w:ascii="Arial" w:cs="Arial" w:eastAsia="Arial" w:hAnsi="Arial"/>
                <w:b/>
                <w:bCs/>
                <w:sz w:val="20"/>
                <w:szCs w:val="20"/>
              </w:rPr>
              <w:t xml:space="preserve">Kurt Alme (R)</w:t>
            </w:r>
          </w:p>
        </w:tc>
        <w:tc>
          <w:tcPr>
            <w:tcW w:type="dxa" w:w="1400"/>
            <w:tcMar>
              <w:top w:type="dxa" w:w="100"/>
              <w:left w:type="dxa" w:w="120"/>
              <w:bottom w:type="dxa" w:w="100"/>
              <w:right w:type="dxa" w:w="120"/>
            </w:tcMar>
          </w:tcPr>
          <w:p>
            <w:r>
              <w:rPr>
                <w:rFonts w:ascii="Arial" w:cs="Arial" w:eastAsia="Arial" w:hAnsi="Arial"/>
                <w:b/>
                <w:bCs/>
                <w:sz w:val="20"/>
                <w:szCs w:val="20"/>
              </w:rPr>
              <w:t xml:space="preserve">34%</w:t>
            </w:r>
          </w:p>
        </w:tc>
        <w:tc>
          <w:tcPr>
            <w:tcW w:type="dxa" w:w="1500"/>
            <w:tcMar>
              <w:top w:type="dxa" w:w="100"/>
              <w:left w:type="dxa" w:w="120"/>
              <w:bottom w:type="dxa" w:w="100"/>
              <w:right w:type="dxa" w:w="120"/>
            </w:tcMar>
          </w:tcPr>
          <w:p>
            <w:r>
              <w:rPr>
                <w:rFonts w:ascii="Arial" w:cs="Arial" w:eastAsia="Arial" w:hAnsi="Arial"/>
                <w:b w:val="false"/>
                <w:bCs w:val="false"/>
                <w:sz w:val="20"/>
                <w:szCs w:val="20"/>
              </w:rPr>
              <w:t xml:space="preserve">39%</w:t>
            </w:r>
          </w:p>
        </w:tc>
        <w:tc>
          <w:tcPr>
            <w:tcW w:type="dxa" w:w="2600"/>
            <w:tcMar>
              <w:top w:type="dxa" w:w="100"/>
              <w:left w:type="dxa" w:w="120"/>
              <w:bottom w:type="dxa" w:w="100"/>
              <w:right w:type="dxa" w:w="120"/>
            </w:tcMar>
          </w:tcPr>
          <w:p>
            <w:r>
              <w:rPr>
                <w:rFonts w:ascii="Arial" w:cs="Arial" w:eastAsia="Arial" w:hAnsi="Arial"/>
                <w:b w:val="false"/>
                <w:bCs w:val="false"/>
                <w:sz w:val="20"/>
                <w:szCs w:val="20"/>
              </w:rPr>
              <w:t xml:space="preserve">27%</w:t>
            </w:r>
          </w:p>
        </w:tc>
        <w:tc>
          <w:tcPr>
            <w:tcW w:type="dxa" w:w="1300"/>
            <w:tcMar>
              <w:top w:type="dxa" w:w="100"/>
              <w:left w:type="dxa" w:w="120"/>
              <w:bottom w:type="dxa" w:w="100"/>
              <w:right w:type="dxa" w:w="120"/>
            </w:tcMar>
          </w:tcPr>
          <w:p>
            <w:r>
              <w:rPr>
                <w:rFonts w:ascii="Arial" w:cs="Arial" w:eastAsia="Arial" w:hAnsi="Arial"/>
                <w:b w:val="false"/>
                <w:bCs w:val="false"/>
                <w:sz w:val="20"/>
                <w:szCs w:val="20"/>
              </w:rPr>
              <w:t xml:space="preserve">-5%</w:t>
            </w:r>
          </w:p>
        </w:tc>
      </w:tr>
    </w:tbl>
    <w:p>
      <w:pPr>
        <w:spacing w:after="120"/>
      </w:pPr>
    </w:p>
    <w:p>
      <w:pPr>
        <w:spacing w:after="160"/>
      </w:pPr>
      <w:r>
        <w:rPr>
          <w:rFonts w:ascii="Arial" w:cs="Arial" w:eastAsia="Arial" w:hAnsi="Arial"/>
          <w:b/>
          <w:bCs/>
          <w:sz w:val="22"/>
          <w:szCs w:val="22"/>
        </w:rPr>
        <w:t xml:space="preserve">Ballot Test &amp; Race Dynamics</w:t>
      </w:r>
    </w:p>
    <w:p>
      <w:pPr>
        <w:spacing w:after="160"/>
      </w:pPr>
      <w:r>
        <w:rPr>
          <w:rFonts w:ascii="Arial" w:cs="Arial" w:eastAsia="Arial" w:hAnsi="Arial"/>
          <w:sz w:val="22"/>
          <w:szCs w:val="22"/>
        </w:rPr>
        <w:t xml:space="preserve">Kurt Alme fails to consolidate the conservative base, keeping him under 40%. With 17% of the electorate undecided, the presence of Independent candidate Seth Bodnar renders this race competitive.</w:t>
      </w:r>
    </w:p>
    <w:p>
      <w:pPr>
        <w:pStyle w:val="ListParagraph"/>
        <w:numPr>
          <w:ilvl w:val="0"/>
          <w:numId w:val="3"/>
        </w:numPr>
        <w:spacing w:after="160"/>
      </w:pPr>
      <w:r>
        <w:rPr>
          <w:rFonts w:ascii="Arial" w:cs="Arial" w:eastAsia="Arial" w:hAnsi="Arial"/>
          <w:b/>
          <w:bCs/>
          <w:sz w:val="22"/>
          <w:szCs w:val="22"/>
        </w:rPr>
        <w:t xml:space="preserve">Kurt Alme (R): </w:t>
      </w:r>
      <w:r>
        <w:rPr>
          <w:rFonts w:ascii="Arial" w:cs="Arial" w:eastAsia="Arial" w:hAnsi="Arial"/>
          <w:sz w:val="22"/>
          <w:szCs w:val="22"/>
        </w:rPr>
        <w:t xml:space="preserve">36%</w:t>
      </w:r>
    </w:p>
    <w:p>
      <w:pPr>
        <w:pStyle w:val="ListParagraph"/>
        <w:numPr>
          <w:ilvl w:val="0"/>
          <w:numId w:val="3"/>
        </w:numPr>
        <w:spacing w:after="160"/>
      </w:pPr>
      <w:r>
        <w:rPr>
          <w:rFonts w:ascii="Arial" w:cs="Arial" w:eastAsia="Arial" w:hAnsi="Arial"/>
          <w:b/>
          <w:bCs/>
          <w:sz w:val="22"/>
          <w:szCs w:val="22"/>
        </w:rPr>
        <w:t xml:space="preserve">Seth Bodnar (I): </w:t>
      </w:r>
      <w:r>
        <w:rPr>
          <w:rFonts w:ascii="Arial" w:cs="Arial" w:eastAsia="Arial" w:hAnsi="Arial"/>
          <w:sz w:val="22"/>
          <w:szCs w:val="22"/>
        </w:rPr>
        <w:t xml:space="preserve">24%</w:t>
      </w:r>
    </w:p>
    <w:p>
      <w:pPr>
        <w:pStyle w:val="ListParagraph"/>
        <w:numPr>
          <w:ilvl w:val="0"/>
          <w:numId w:val="3"/>
        </w:numPr>
        <w:spacing w:after="160"/>
      </w:pPr>
      <w:r>
        <w:rPr>
          <w:rFonts w:ascii="Arial" w:cs="Arial" w:eastAsia="Arial" w:hAnsi="Arial"/>
          <w:b/>
          <w:bCs/>
          <w:sz w:val="22"/>
          <w:szCs w:val="22"/>
        </w:rPr>
        <w:t xml:space="preserve">Alani Bankhead (D): </w:t>
      </w:r>
      <w:r>
        <w:rPr>
          <w:rFonts w:ascii="Arial" w:cs="Arial" w:eastAsia="Arial" w:hAnsi="Arial"/>
          <w:sz w:val="22"/>
          <w:szCs w:val="22"/>
        </w:rPr>
        <w:t xml:space="preserve">22%</w:t>
      </w:r>
    </w:p>
    <w:p>
      <w:pPr>
        <w:pStyle w:val="ListParagraph"/>
        <w:numPr>
          <w:ilvl w:val="0"/>
          <w:numId w:val="3"/>
        </w:numPr>
        <w:spacing w:after="160"/>
      </w:pPr>
      <w:r>
        <w:rPr>
          <w:rFonts w:ascii="Arial" w:cs="Arial" w:eastAsia="Arial" w:hAnsi="Arial"/>
          <w:b/>
          <w:bCs/>
          <w:sz w:val="22"/>
          <w:szCs w:val="22"/>
        </w:rPr>
        <w:t xml:space="preserve">Undecided: </w:t>
      </w:r>
      <w:r>
        <w:rPr>
          <w:rFonts w:ascii="Arial" w:cs="Arial" w:eastAsia="Arial" w:hAnsi="Arial"/>
          <w:sz w:val="22"/>
          <w:szCs w:val="22"/>
        </w:rPr>
        <w:t xml:space="preserve">17%</w:t>
      </w:r>
    </w:p>
    <w:p>
      <w:pPr>
        <w:spacing w:after="160"/>
      </w:pPr>
      <w:r>
        <w:rPr>
          <w:rFonts w:ascii="Arial" w:cs="Arial" w:eastAsia="Arial" w:hAnsi="Arial"/>
          <w:b/>
          <w:bCs/>
          <w:sz w:val="18"/>
          <w:szCs w:val="18"/>
        </w:rPr>
        <w:t xml:space="preserve">Key Strategic Takeaway: </w:t>
      </w:r>
      <w:r>
        <w:rPr>
          <w:rFonts w:ascii="Arial" w:cs="Arial" w:eastAsia="Arial" w:hAnsi="Arial"/>
          <w:sz w:val="18"/>
          <w:szCs w:val="18"/>
        </w:rPr>
        <w:t xml:space="preserve">Republican nominee Kurt Alme’s low support ceiling (36%, -5 net favorability) combined with Independent Seth Bodnar eclipsing Democratic nominee Alani Bankhead (24% to 22%) creates a highly viable path to victory for Bodnar. Carrying the highest net favorability in the field (+12%) while remaining unfamiliar to 42% of voters, Bodnar’s primary hurdle is brand awareness rather than voter resistance. In an electorate where 81% prioritize cross-aisle collaboration and 65% view independent candidates as necessary, Bodnar is uniquely positioned to win over the 17% undecided block and consolidate non-GOP voters as his statewide profile expands.</w:t>
      </w:r>
    </w:p>
    <w:p>
      <w:r>
        <w:br w:type="page"/>
      </w:r>
    </w:p>
    <w:p>
      <w:pPr>
        <w:spacing w:after="160"/>
      </w:pPr>
      <w:r>
        <w:rPr>
          <w:rFonts w:ascii="Arial" w:cs="Arial" w:eastAsia="Arial" w:hAnsi="Arial"/>
          <w:b/>
          <w:bCs/>
          <w:sz w:val="22"/>
          <w:szCs w:val="22"/>
          <w:u w:val="single"/>
        </w:rPr>
        <w:t xml:space="preserve">California’s 6th Congressional District (CA-06)</w:t>
      </w:r>
    </w:p>
    <w:p>
      <w:pPr>
        <w:spacing w:after="160"/>
      </w:pPr>
      <w:r>
        <w:rPr>
          <w:rFonts w:ascii="Arial" w:cs="Arial" w:eastAsia="Arial" w:hAnsi="Arial"/>
          <w:b/>
          <w:bCs/>
          <w:sz w:val="22"/>
          <w:szCs w:val="22"/>
        </w:rPr>
        <w:t xml:space="preserve">Race Structure &amp; Candidate Profile</w:t>
      </w:r>
    </w:p>
    <w:p>
      <w:pPr>
        <w:spacing w:after="160"/>
      </w:pPr>
      <w:r>
        <w:rPr>
          <w:rFonts w:ascii="Arial" w:cs="Arial" w:eastAsia="Arial" w:hAnsi="Arial"/>
          <w:sz w:val="22"/>
          <w:szCs w:val="22"/>
        </w:rPr>
        <w:t xml:space="preserve">CA-06 operates under a top-two general election structure featuring Independent Kevin Kiley and Democrat Richard Pan. Both candidates enjoy widespread brand awareness and overall positive personal ratings.</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400"/>
        <w:gridCol w:w="1400"/>
        <w:gridCol w:w="1500"/>
        <w:gridCol w:w="2600"/>
        <w:gridCol w:w="1300"/>
      </w:tblGrid>
      <w:tr>
        <w:trPr>
          <w:tblHeader/>
        </w:trPr>
        <w:tc>
          <w:tcPr>
            <w:tcW w:type="dxa" w:w="2400"/>
            <w:tcMar>
              <w:top w:type="dxa" w:w="100"/>
              <w:left w:type="dxa" w:w="120"/>
              <w:bottom w:type="dxa" w:w="100"/>
              <w:right w:type="dxa" w:w="120"/>
            </w:tcMar>
          </w:tcPr>
          <w:p>
            <w:r>
              <w:rPr>
                <w:rFonts w:ascii="Arial" w:cs="Arial" w:eastAsia="Arial" w:hAnsi="Arial"/>
                <w:b/>
                <w:bCs/>
                <w:sz w:val="20"/>
                <w:szCs w:val="20"/>
              </w:rPr>
              <w:t xml:space="preserve">Candidate</w:t>
            </w:r>
          </w:p>
        </w:tc>
        <w:tc>
          <w:tcPr>
            <w:tcW w:type="dxa" w:w="1400"/>
            <w:tcMar>
              <w:top w:type="dxa" w:w="100"/>
              <w:left w:type="dxa" w:w="120"/>
              <w:bottom w:type="dxa" w:w="100"/>
              <w:right w:type="dxa" w:w="120"/>
            </w:tcMar>
          </w:tcPr>
          <w:p>
            <w:r>
              <w:rPr>
                <w:rFonts w:ascii="Arial" w:cs="Arial" w:eastAsia="Arial" w:hAnsi="Arial"/>
                <w:b/>
                <w:bCs/>
                <w:sz w:val="20"/>
                <w:szCs w:val="20"/>
              </w:rPr>
              <w:t xml:space="preserve">Favorable</w:t>
            </w:r>
          </w:p>
        </w:tc>
        <w:tc>
          <w:tcPr>
            <w:tcW w:type="dxa" w:w="1500"/>
            <w:tcMar>
              <w:top w:type="dxa" w:w="100"/>
              <w:left w:type="dxa" w:w="120"/>
              <w:bottom w:type="dxa" w:w="100"/>
              <w:right w:type="dxa" w:w="120"/>
            </w:tcMar>
          </w:tcPr>
          <w:p>
            <w:r>
              <w:rPr>
                <w:rFonts w:ascii="Arial" w:cs="Arial" w:eastAsia="Arial" w:hAnsi="Arial"/>
                <w:b/>
                <w:bCs/>
                <w:sz w:val="20"/>
                <w:szCs w:val="20"/>
              </w:rPr>
              <w:t xml:space="preserve">Unfavorable</w:t>
            </w:r>
          </w:p>
        </w:tc>
        <w:tc>
          <w:tcPr>
            <w:tcW w:type="dxa" w:w="2600"/>
            <w:tcMar>
              <w:top w:type="dxa" w:w="100"/>
              <w:left w:type="dxa" w:w="120"/>
              <w:bottom w:type="dxa" w:w="100"/>
              <w:right w:type="dxa" w:w="120"/>
            </w:tcMar>
          </w:tcPr>
          <w:p>
            <w:r>
              <w:rPr>
                <w:rFonts w:ascii="Arial" w:cs="Arial" w:eastAsia="Arial" w:hAnsi="Arial"/>
                <w:b/>
                <w:bCs/>
                <w:sz w:val="20"/>
                <w:szCs w:val="20"/>
              </w:rPr>
              <w:t xml:space="preserve">Never Heard Of / Unsure</w:t>
            </w:r>
          </w:p>
        </w:tc>
        <w:tc>
          <w:tcPr>
            <w:tcW w:type="dxa" w:w="1300"/>
            <w:tcMar>
              <w:top w:type="dxa" w:w="100"/>
              <w:left w:type="dxa" w:w="120"/>
              <w:bottom w:type="dxa" w:w="100"/>
              <w:right w:type="dxa" w:w="120"/>
            </w:tcMar>
          </w:tcPr>
          <w:p>
            <w:r>
              <w:rPr>
                <w:rFonts w:ascii="Arial" w:cs="Arial" w:eastAsia="Arial" w:hAnsi="Arial"/>
                <w:b/>
                <w:bCs/>
                <w:sz w:val="20"/>
                <w:szCs w:val="20"/>
              </w:rPr>
              <w:t xml:space="preserve">Net Fav</w:t>
            </w:r>
          </w:p>
        </w:tc>
      </w:tr>
      <w:tr>
        <w:tc>
          <w:tcPr>
            <w:tcW w:type="dxa" w:w="2400"/>
            <w:tcMar>
              <w:top w:type="dxa" w:w="100"/>
              <w:left w:type="dxa" w:w="120"/>
              <w:bottom w:type="dxa" w:w="100"/>
              <w:right w:type="dxa" w:w="120"/>
            </w:tcMar>
          </w:tcPr>
          <w:p>
            <w:r>
              <w:rPr>
                <w:rFonts w:ascii="Arial" w:cs="Arial" w:eastAsia="Arial" w:hAnsi="Arial"/>
                <w:b/>
                <w:bCs/>
                <w:sz w:val="20"/>
                <w:szCs w:val="20"/>
              </w:rPr>
              <w:t xml:space="preserve">Kevin Kiley (I)</w:t>
            </w:r>
          </w:p>
        </w:tc>
        <w:tc>
          <w:tcPr>
            <w:tcW w:type="dxa" w:w="1400"/>
            <w:tcMar>
              <w:top w:type="dxa" w:w="100"/>
              <w:left w:type="dxa" w:w="120"/>
              <w:bottom w:type="dxa" w:w="100"/>
              <w:right w:type="dxa" w:w="120"/>
            </w:tcMar>
          </w:tcPr>
          <w:p>
            <w:r>
              <w:rPr>
                <w:rFonts w:ascii="Arial" w:cs="Arial" w:eastAsia="Arial" w:hAnsi="Arial"/>
                <w:b/>
                <w:bCs/>
                <w:sz w:val="20"/>
                <w:szCs w:val="20"/>
              </w:rPr>
              <w:t xml:space="preserve">41%</w:t>
            </w:r>
          </w:p>
        </w:tc>
        <w:tc>
          <w:tcPr>
            <w:tcW w:type="dxa" w:w="1500"/>
            <w:tcMar>
              <w:top w:type="dxa" w:w="100"/>
              <w:left w:type="dxa" w:w="120"/>
              <w:bottom w:type="dxa" w:w="100"/>
              <w:right w:type="dxa" w:w="120"/>
            </w:tcMar>
          </w:tcPr>
          <w:p>
            <w:r>
              <w:rPr>
                <w:rFonts w:ascii="Arial" w:cs="Arial" w:eastAsia="Arial" w:hAnsi="Arial"/>
                <w:b w:val="false"/>
                <w:bCs w:val="false"/>
                <w:sz w:val="20"/>
                <w:szCs w:val="20"/>
              </w:rPr>
              <w:t xml:space="preserve">29%</w:t>
            </w:r>
          </w:p>
        </w:tc>
        <w:tc>
          <w:tcPr>
            <w:tcW w:type="dxa" w:w="2600"/>
            <w:tcMar>
              <w:top w:type="dxa" w:w="100"/>
              <w:left w:type="dxa" w:w="120"/>
              <w:bottom w:type="dxa" w:w="100"/>
              <w:right w:type="dxa" w:w="120"/>
            </w:tcMar>
          </w:tcPr>
          <w:p>
            <w:r>
              <w:rPr>
                <w:rFonts w:ascii="Arial" w:cs="Arial" w:eastAsia="Arial" w:hAnsi="Arial"/>
                <w:b w:val="false"/>
                <w:bCs w:val="false"/>
                <w:sz w:val="20"/>
                <w:szCs w:val="20"/>
              </w:rPr>
              <w:t xml:space="preserve">31%</w:t>
            </w:r>
          </w:p>
        </w:tc>
        <w:tc>
          <w:tcPr>
            <w:tcW w:type="dxa" w:w="1300"/>
            <w:tcMar>
              <w:top w:type="dxa" w:w="100"/>
              <w:left w:type="dxa" w:w="120"/>
              <w:bottom w:type="dxa" w:w="100"/>
              <w:right w:type="dxa" w:w="120"/>
            </w:tcMar>
          </w:tcPr>
          <w:p>
            <w:r>
              <w:rPr>
                <w:rFonts w:ascii="Arial" w:cs="Arial" w:eastAsia="Arial" w:hAnsi="Arial"/>
                <w:b w:val="false"/>
                <w:bCs w:val="false"/>
                <w:sz w:val="20"/>
                <w:szCs w:val="20"/>
              </w:rPr>
              <w:t xml:space="preserve">+12%</w:t>
            </w:r>
          </w:p>
        </w:tc>
      </w:tr>
      <w:tr>
        <w:tc>
          <w:tcPr>
            <w:tcW w:type="dxa" w:w="2400"/>
            <w:tcMar>
              <w:top w:type="dxa" w:w="100"/>
              <w:left w:type="dxa" w:w="120"/>
              <w:bottom w:type="dxa" w:w="100"/>
              <w:right w:type="dxa" w:w="120"/>
            </w:tcMar>
          </w:tcPr>
          <w:p>
            <w:r>
              <w:rPr>
                <w:rFonts w:ascii="Arial" w:cs="Arial" w:eastAsia="Arial" w:hAnsi="Arial"/>
                <w:b/>
                <w:bCs/>
                <w:sz w:val="20"/>
                <w:szCs w:val="20"/>
              </w:rPr>
              <w:t xml:space="preserve">Richard Pan (D)</w:t>
            </w:r>
          </w:p>
        </w:tc>
        <w:tc>
          <w:tcPr>
            <w:tcW w:type="dxa" w:w="1400"/>
            <w:tcMar>
              <w:top w:type="dxa" w:w="100"/>
              <w:left w:type="dxa" w:w="120"/>
              <w:bottom w:type="dxa" w:w="100"/>
              <w:right w:type="dxa" w:w="120"/>
            </w:tcMar>
          </w:tcPr>
          <w:p>
            <w:r>
              <w:rPr>
                <w:rFonts w:ascii="Arial" w:cs="Arial" w:eastAsia="Arial" w:hAnsi="Arial"/>
                <w:b/>
                <w:bCs/>
                <w:sz w:val="20"/>
                <w:szCs w:val="20"/>
              </w:rPr>
              <w:t xml:space="preserve">41%</w:t>
            </w:r>
          </w:p>
        </w:tc>
        <w:tc>
          <w:tcPr>
            <w:tcW w:type="dxa" w:w="1500"/>
            <w:tcMar>
              <w:top w:type="dxa" w:w="100"/>
              <w:left w:type="dxa" w:w="120"/>
              <w:bottom w:type="dxa" w:w="100"/>
              <w:right w:type="dxa" w:w="120"/>
            </w:tcMar>
          </w:tcPr>
          <w:p>
            <w:r>
              <w:rPr>
                <w:rFonts w:ascii="Arial" w:cs="Arial" w:eastAsia="Arial" w:hAnsi="Arial"/>
                <w:b w:val="false"/>
                <w:bCs w:val="false"/>
                <w:sz w:val="20"/>
                <w:szCs w:val="20"/>
              </w:rPr>
              <w:t xml:space="preserve">29%</w:t>
            </w:r>
          </w:p>
        </w:tc>
        <w:tc>
          <w:tcPr>
            <w:tcW w:type="dxa" w:w="2600"/>
            <w:tcMar>
              <w:top w:type="dxa" w:w="100"/>
              <w:left w:type="dxa" w:w="120"/>
              <w:bottom w:type="dxa" w:w="100"/>
              <w:right w:type="dxa" w:w="120"/>
            </w:tcMar>
          </w:tcPr>
          <w:p>
            <w:r>
              <w:rPr>
                <w:rFonts w:ascii="Arial" w:cs="Arial" w:eastAsia="Arial" w:hAnsi="Arial"/>
                <w:b w:val="false"/>
                <w:bCs w:val="false"/>
                <w:sz w:val="20"/>
                <w:szCs w:val="20"/>
              </w:rPr>
              <w:t xml:space="preserve">31%</w:t>
            </w:r>
          </w:p>
        </w:tc>
        <w:tc>
          <w:tcPr>
            <w:tcW w:type="dxa" w:w="1300"/>
            <w:tcMar>
              <w:top w:type="dxa" w:w="100"/>
              <w:left w:type="dxa" w:w="120"/>
              <w:bottom w:type="dxa" w:w="100"/>
              <w:right w:type="dxa" w:w="120"/>
            </w:tcMar>
          </w:tcPr>
          <w:p>
            <w:r>
              <w:rPr>
                <w:rFonts w:ascii="Arial" w:cs="Arial" w:eastAsia="Arial" w:hAnsi="Arial"/>
                <w:b w:val="false"/>
                <w:bCs w:val="false"/>
                <w:sz w:val="20"/>
                <w:szCs w:val="20"/>
              </w:rPr>
              <w:t xml:space="preserve">+12%</w:t>
            </w:r>
          </w:p>
        </w:tc>
      </w:tr>
    </w:tbl>
    <w:p>
      <w:pPr>
        <w:spacing w:after="120"/>
      </w:pPr>
    </w:p>
    <w:p>
      <w:pPr>
        <w:spacing w:after="160"/>
      </w:pPr>
      <w:r>
        <w:rPr>
          <w:rFonts w:ascii="Arial" w:cs="Arial" w:eastAsia="Arial" w:hAnsi="Arial"/>
          <w:b/>
          <w:bCs/>
          <w:sz w:val="22"/>
          <w:szCs w:val="22"/>
        </w:rPr>
        <w:t xml:space="preserve">Ballot Test &amp; Intensity Metrics</w:t>
      </w:r>
    </w:p>
    <w:p>
      <w:pPr>
        <w:spacing w:after="160"/>
      </w:pPr>
      <w:r>
        <w:rPr>
          <w:rFonts w:ascii="Arial" w:cs="Arial" w:eastAsia="Arial" w:hAnsi="Arial"/>
          <w:sz w:val="22"/>
          <w:szCs w:val="22"/>
        </w:rPr>
        <w:t xml:space="preserve">While Richard Pan holds a slight overall margin on the head-to-head ballot, Kevin Kiley demonstrates higher voter conviction and intensity.</w:t>
      </w:r>
    </w:p>
    <w:p>
      <w:pPr>
        <w:pStyle w:val="ListParagraph"/>
        <w:numPr>
          <w:ilvl w:val="0"/>
          <w:numId w:val="3"/>
        </w:numPr>
        <w:spacing w:after="160"/>
      </w:pPr>
      <w:r>
        <w:rPr>
          <w:rFonts w:ascii="Arial" w:cs="Arial" w:eastAsia="Arial" w:hAnsi="Arial"/>
          <w:b/>
          <w:bCs/>
          <w:sz w:val="22"/>
          <w:szCs w:val="22"/>
        </w:rPr>
        <w:t xml:space="preserve">Richard Pan (D): </w:t>
      </w:r>
      <w:r>
        <w:rPr>
          <w:rFonts w:ascii="Arial" w:cs="Arial" w:eastAsia="Arial" w:hAnsi="Arial"/>
          <w:sz w:val="22"/>
          <w:szCs w:val="22"/>
        </w:rPr>
        <w:t xml:space="preserve">39%</w:t>
      </w:r>
    </w:p>
    <w:p>
      <w:pPr>
        <w:pStyle w:val="ListParagraph"/>
        <w:numPr>
          <w:ilvl w:val="0"/>
          <w:numId w:val="3"/>
        </w:numPr>
        <w:spacing w:after="160"/>
      </w:pPr>
      <w:r>
        <w:rPr>
          <w:rFonts w:ascii="Arial" w:cs="Arial" w:eastAsia="Arial" w:hAnsi="Arial"/>
          <w:b/>
          <w:bCs/>
          <w:sz w:val="22"/>
          <w:szCs w:val="22"/>
        </w:rPr>
        <w:t xml:space="preserve">Kevin Kiley (I): </w:t>
      </w:r>
      <w:r>
        <w:rPr>
          <w:rFonts w:ascii="Arial" w:cs="Arial" w:eastAsia="Arial" w:hAnsi="Arial"/>
          <w:sz w:val="22"/>
          <w:szCs w:val="22"/>
        </w:rPr>
        <w:t xml:space="preserve">35%</w:t>
      </w:r>
    </w:p>
    <w:p>
      <w:pPr>
        <w:pStyle w:val="ListParagraph"/>
        <w:numPr>
          <w:ilvl w:val="0"/>
          <w:numId w:val="3"/>
        </w:numPr>
        <w:spacing w:after="160"/>
      </w:pPr>
      <w:r>
        <w:rPr>
          <w:rFonts w:ascii="Arial" w:cs="Arial" w:eastAsia="Arial" w:hAnsi="Arial"/>
          <w:b/>
          <w:bCs/>
          <w:sz w:val="22"/>
          <w:szCs w:val="22"/>
        </w:rPr>
        <w:t xml:space="preserve">Undecided: </w:t>
      </w:r>
      <w:r>
        <w:rPr>
          <w:rFonts w:ascii="Arial" w:cs="Arial" w:eastAsia="Arial" w:hAnsi="Arial"/>
          <w:sz w:val="22"/>
          <w:szCs w:val="22"/>
        </w:rPr>
        <w:t xml:space="preserve">26%</w:t>
      </w:r>
    </w:p>
    <w:p>
      <w:pPr>
        <w:spacing w:after="160"/>
      </w:pPr>
      <w:r>
        <w:rPr>
          <w:rFonts w:ascii="Arial" w:cs="Arial" w:eastAsia="Arial" w:hAnsi="Arial"/>
          <w:b/>
          <w:bCs/>
          <w:sz w:val="18"/>
          <w:szCs w:val="18"/>
        </w:rPr>
        <w:t xml:space="preserve">Key Strategic Takeaway: </w:t>
      </w:r>
      <w:r>
        <w:rPr>
          <w:rFonts w:ascii="Arial" w:cs="Arial" w:eastAsia="Arial" w:hAnsi="Arial"/>
          <w:sz w:val="18"/>
          <w:szCs w:val="18"/>
        </w:rPr>
        <w:t xml:space="preserve">More than a quarter (26%) of voters remain undecided. Furthermore, 70% of Kiley’s supporters state they are "definitely" voting for him, compared to only 63% of Pan’s supporters, giving Kiley a firmer floor as campaign outreach accelerates.</w:t>
      </w:r>
    </w:p>
    <w:p>
      <w:r>
        <w:br w:type="page"/>
      </w:r>
    </w:p>
    <w:p>
      <w:pPr>
        <w:spacing w:after="160"/>
      </w:pPr>
      <w:r>
        <w:rPr>
          <w:rFonts w:ascii="Arial" w:cs="Arial" w:eastAsia="Arial" w:hAnsi="Arial"/>
          <w:b/>
          <w:bCs/>
          <w:sz w:val="22"/>
          <w:szCs w:val="22"/>
          <w:u w:val="single"/>
        </w:rPr>
        <w:t xml:space="preserve">Alaska At-Large Congressional District (AK-AL)</w:t>
      </w:r>
    </w:p>
    <w:p>
      <w:pPr>
        <w:spacing w:after="160"/>
      </w:pPr>
      <w:r>
        <w:rPr>
          <w:rFonts w:ascii="Arial" w:cs="Arial" w:eastAsia="Arial" w:hAnsi="Arial"/>
          <w:b/>
          <w:bCs/>
          <w:sz w:val="22"/>
          <w:szCs w:val="22"/>
        </w:rPr>
        <w:t xml:space="preserve">Context &amp; Rank Choice Voting (RCV) Dynamics</w:t>
      </w:r>
    </w:p>
    <w:p>
      <w:pPr>
        <w:spacing w:after="160"/>
      </w:pPr>
      <w:r>
        <w:rPr>
          <w:rFonts w:ascii="Arial" w:cs="Arial" w:eastAsia="Arial" w:hAnsi="Arial"/>
          <w:sz w:val="22"/>
          <w:szCs w:val="22"/>
        </w:rPr>
        <w:t xml:space="preserve">The Alaska At-Large race utilizes a Top-4 Rank Choice Voting system. Following data collection, Democratic candidate Matt Schultz suspended his campaign to prevent outside Republican interference and avoid splitting the vote against incumbent Republican Nick Begich.</w:t>
      </w:r>
    </w:p>
    <w:p>
      <w:pPr>
        <w:spacing w:after="160"/>
      </w:pPr>
      <w:r>
        <w:rPr>
          <w:rFonts w:ascii="Arial" w:cs="Arial" w:eastAsia="Arial" w:hAnsi="Arial"/>
          <w:b/>
          <w:bCs/>
          <w:sz w:val="22"/>
          <w:szCs w:val="22"/>
        </w:rPr>
        <w:t xml:space="preserve">Candidate Name ID &amp; Favorability</w:t>
      </w:r>
    </w:p>
    <w:p>
      <w:pPr>
        <w:spacing w:after="160"/>
      </w:pPr>
      <w:r>
        <w:rPr>
          <w:rFonts w:ascii="Arial" w:cs="Arial" w:eastAsia="Arial" w:hAnsi="Arial"/>
          <w:sz w:val="22"/>
          <w:szCs w:val="22"/>
        </w:rPr>
        <w:t xml:space="preserve">Incumbent Nick Begich suffers from high public dissatisfaction, while Independent Bill Hill maintains an extremely strong image ratio among those who know him.</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400"/>
        <w:gridCol w:w="1400"/>
        <w:gridCol w:w="1500"/>
        <w:gridCol w:w="2600"/>
        <w:gridCol w:w="1300"/>
      </w:tblGrid>
      <w:tr>
        <w:trPr>
          <w:tblHeader/>
        </w:trPr>
        <w:tc>
          <w:tcPr>
            <w:tcW w:type="dxa" w:w="2400"/>
            <w:tcMar>
              <w:top w:type="dxa" w:w="100"/>
              <w:left w:type="dxa" w:w="120"/>
              <w:bottom w:type="dxa" w:w="100"/>
              <w:right w:type="dxa" w:w="120"/>
            </w:tcMar>
          </w:tcPr>
          <w:p>
            <w:r>
              <w:rPr>
                <w:rFonts w:ascii="Arial" w:cs="Arial" w:eastAsia="Arial" w:hAnsi="Arial"/>
                <w:b/>
                <w:bCs/>
                <w:sz w:val="20"/>
                <w:szCs w:val="20"/>
              </w:rPr>
              <w:t xml:space="preserve">Candidate</w:t>
            </w:r>
          </w:p>
        </w:tc>
        <w:tc>
          <w:tcPr>
            <w:tcW w:type="dxa" w:w="1400"/>
            <w:tcMar>
              <w:top w:type="dxa" w:w="100"/>
              <w:left w:type="dxa" w:w="120"/>
              <w:bottom w:type="dxa" w:w="100"/>
              <w:right w:type="dxa" w:w="120"/>
            </w:tcMar>
          </w:tcPr>
          <w:p>
            <w:r>
              <w:rPr>
                <w:rFonts w:ascii="Arial" w:cs="Arial" w:eastAsia="Arial" w:hAnsi="Arial"/>
                <w:b/>
                <w:bCs/>
                <w:sz w:val="20"/>
                <w:szCs w:val="20"/>
              </w:rPr>
              <w:t xml:space="preserve">Favorable</w:t>
            </w:r>
          </w:p>
        </w:tc>
        <w:tc>
          <w:tcPr>
            <w:tcW w:type="dxa" w:w="1500"/>
            <w:tcMar>
              <w:top w:type="dxa" w:w="100"/>
              <w:left w:type="dxa" w:w="120"/>
              <w:bottom w:type="dxa" w:w="100"/>
              <w:right w:type="dxa" w:w="120"/>
            </w:tcMar>
          </w:tcPr>
          <w:p>
            <w:r>
              <w:rPr>
                <w:rFonts w:ascii="Arial" w:cs="Arial" w:eastAsia="Arial" w:hAnsi="Arial"/>
                <w:b/>
                <w:bCs/>
                <w:sz w:val="20"/>
                <w:szCs w:val="20"/>
              </w:rPr>
              <w:t xml:space="preserve">Unfavorable</w:t>
            </w:r>
          </w:p>
        </w:tc>
        <w:tc>
          <w:tcPr>
            <w:tcW w:type="dxa" w:w="2600"/>
            <w:tcMar>
              <w:top w:type="dxa" w:w="100"/>
              <w:left w:type="dxa" w:w="120"/>
              <w:bottom w:type="dxa" w:w="100"/>
              <w:right w:type="dxa" w:w="120"/>
            </w:tcMar>
          </w:tcPr>
          <w:p>
            <w:r>
              <w:rPr>
                <w:rFonts w:ascii="Arial" w:cs="Arial" w:eastAsia="Arial" w:hAnsi="Arial"/>
                <w:b/>
                <w:bCs/>
                <w:sz w:val="20"/>
                <w:szCs w:val="20"/>
              </w:rPr>
              <w:t xml:space="preserve">Never Heard Of / Unsure</w:t>
            </w:r>
          </w:p>
        </w:tc>
        <w:tc>
          <w:tcPr>
            <w:tcW w:type="dxa" w:w="1300"/>
            <w:tcMar>
              <w:top w:type="dxa" w:w="100"/>
              <w:left w:type="dxa" w:w="120"/>
              <w:bottom w:type="dxa" w:w="100"/>
              <w:right w:type="dxa" w:w="120"/>
            </w:tcMar>
          </w:tcPr>
          <w:p>
            <w:r>
              <w:rPr>
                <w:rFonts w:ascii="Arial" w:cs="Arial" w:eastAsia="Arial" w:hAnsi="Arial"/>
                <w:b/>
                <w:bCs/>
                <w:sz w:val="20"/>
                <w:szCs w:val="20"/>
              </w:rPr>
              <w:t xml:space="preserve">Net Fav</w:t>
            </w:r>
          </w:p>
        </w:tc>
      </w:tr>
      <w:tr>
        <w:tc>
          <w:tcPr>
            <w:tcW w:type="dxa" w:w="2400"/>
            <w:tcMar>
              <w:top w:type="dxa" w:w="100"/>
              <w:left w:type="dxa" w:w="120"/>
              <w:bottom w:type="dxa" w:w="100"/>
              <w:right w:type="dxa" w:w="120"/>
            </w:tcMar>
          </w:tcPr>
          <w:p>
            <w:r>
              <w:rPr>
                <w:rFonts w:ascii="Arial" w:cs="Arial" w:eastAsia="Arial" w:hAnsi="Arial"/>
                <w:b/>
                <w:bCs/>
                <w:sz w:val="20"/>
                <w:szCs w:val="20"/>
              </w:rPr>
              <w:t xml:space="preserve">Bill Hill (I)</w:t>
            </w:r>
          </w:p>
        </w:tc>
        <w:tc>
          <w:tcPr>
            <w:tcW w:type="dxa" w:w="1400"/>
            <w:tcMar>
              <w:top w:type="dxa" w:w="100"/>
              <w:left w:type="dxa" w:w="120"/>
              <w:bottom w:type="dxa" w:w="100"/>
              <w:right w:type="dxa" w:w="120"/>
            </w:tcMar>
          </w:tcPr>
          <w:p>
            <w:r>
              <w:rPr>
                <w:rFonts w:ascii="Arial" w:cs="Arial" w:eastAsia="Arial" w:hAnsi="Arial"/>
                <w:b/>
                <w:bCs/>
                <w:sz w:val="20"/>
                <w:szCs w:val="20"/>
              </w:rPr>
              <w:t xml:space="preserve">32%</w:t>
            </w:r>
          </w:p>
        </w:tc>
        <w:tc>
          <w:tcPr>
            <w:tcW w:type="dxa" w:w="1500"/>
            <w:tcMar>
              <w:top w:type="dxa" w:w="100"/>
              <w:left w:type="dxa" w:w="120"/>
              <w:bottom w:type="dxa" w:w="100"/>
              <w:right w:type="dxa" w:w="120"/>
            </w:tcMar>
          </w:tcPr>
          <w:p>
            <w:r>
              <w:rPr>
                <w:rFonts w:ascii="Arial" w:cs="Arial" w:eastAsia="Arial" w:hAnsi="Arial"/>
                <w:b/>
                <w:bCs/>
                <w:sz w:val="20"/>
                <w:szCs w:val="20"/>
              </w:rPr>
              <w:t xml:space="preserve">11%</w:t>
            </w:r>
          </w:p>
        </w:tc>
        <w:tc>
          <w:tcPr>
            <w:tcW w:type="dxa" w:w="2600"/>
            <w:tcMar>
              <w:top w:type="dxa" w:w="100"/>
              <w:left w:type="dxa" w:w="120"/>
              <w:bottom w:type="dxa" w:w="100"/>
              <w:right w:type="dxa" w:w="120"/>
            </w:tcMar>
          </w:tcPr>
          <w:p>
            <w:r>
              <w:rPr>
                <w:rFonts w:ascii="Arial" w:cs="Arial" w:eastAsia="Arial" w:hAnsi="Arial"/>
                <w:b w:val="false"/>
                <w:bCs w:val="false"/>
                <w:sz w:val="20"/>
                <w:szCs w:val="20"/>
              </w:rPr>
              <w:t xml:space="preserve">57%</w:t>
            </w:r>
          </w:p>
        </w:tc>
        <w:tc>
          <w:tcPr>
            <w:tcW w:type="dxa" w:w="1300"/>
            <w:tcMar>
              <w:top w:type="dxa" w:w="100"/>
              <w:left w:type="dxa" w:w="120"/>
              <w:bottom w:type="dxa" w:w="100"/>
              <w:right w:type="dxa" w:w="120"/>
            </w:tcMar>
          </w:tcPr>
          <w:p>
            <w:r>
              <w:rPr>
                <w:rFonts w:ascii="Arial" w:cs="Arial" w:eastAsia="Arial" w:hAnsi="Arial"/>
                <w:b w:val="false"/>
                <w:bCs w:val="false"/>
                <w:sz w:val="20"/>
                <w:szCs w:val="20"/>
              </w:rPr>
              <w:t xml:space="preserve">+21%</w:t>
            </w:r>
          </w:p>
        </w:tc>
      </w:tr>
      <w:tr>
        <w:tc>
          <w:tcPr>
            <w:tcW w:type="dxa" w:w="2400"/>
            <w:tcMar>
              <w:top w:type="dxa" w:w="100"/>
              <w:left w:type="dxa" w:w="120"/>
              <w:bottom w:type="dxa" w:w="100"/>
              <w:right w:type="dxa" w:w="120"/>
            </w:tcMar>
          </w:tcPr>
          <w:p>
            <w:r>
              <w:rPr>
                <w:rFonts w:ascii="Arial" w:cs="Arial" w:eastAsia="Arial" w:hAnsi="Arial"/>
                <w:b/>
                <w:bCs/>
                <w:sz w:val="20"/>
                <w:szCs w:val="20"/>
              </w:rPr>
              <w:t xml:space="preserve">Nick Begich (R)</w:t>
            </w:r>
          </w:p>
        </w:tc>
        <w:tc>
          <w:tcPr>
            <w:tcW w:type="dxa" w:w="1400"/>
            <w:tcMar>
              <w:top w:type="dxa" w:w="100"/>
              <w:left w:type="dxa" w:w="120"/>
              <w:bottom w:type="dxa" w:w="100"/>
              <w:right w:type="dxa" w:w="120"/>
            </w:tcMar>
          </w:tcPr>
          <w:p>
            <w:r>
              <w:rPr>
                <w:rFonts w:ascii="Arial" w:cs="Arial" w:eastAsia="Arial" w:hAnsi="Arial"/>
                <w:b/>
                <w:bCs/>
                <w:sz w:val="20"/>
                <w:szCs w:val="20"/>
              </w:rPr>
              <w:t xml:space="preserve">39%</w:t>
            </w:r>
          </w:p>
        </w:tc>
        <w:tc>
          <w:tcPr>
            <w:tcW w:type="dxa" w:w="1500"/>
            <w:tcMar>
              <w:top w:type="dxa" w:w="100"/>
              <w:left w:type="dxa" w:w="120"/>
              <w:bottom w:type="dxa" w:w="100"/>
              <w:right w:type="dxa" w:w="120"/>
            </w:tcMar>
          </w:tcPr>
          <w:p>
            <w:r>
              <w:rPr>
                <w:rFonts w:ascii="Arial" w:cs="Arial" w:eastAsia="Arial" w:hAnsi="Arial"/>
                <w:b/>
                <w:bCs/>
                <w:sz w:val="20"/>
                <w:szCs w:val="20"/>
              </w:rPr>
              <w:t xml:space="preserve">53%</w:t>
            </w:r>
          </w:p>
        </w:tc>
        <w:tc>
          <w:tcPr>
            <w:tcW w:type="dxa" w:w="2600"/>
            <w:tcMar>
              <w:top w:type="dxa" w:w="100"/>
              <w:left w:type="dxa" w:w="120"/>
              <w:bottom w:type="dxa" w:w="100"/>
              <w:right w:type="dxa" w:w="120"/>
            </w:tcMar>
          </w:tcPr>
          <w:p>
            <w:r>
              <w:rPr>
                <w:rFonts w:ascii="Arial" w:cs="Arial" w:eastAsia="Arial" w:hAnsi="Arial"/>
                <w:b w:val="false"/>
                <w:bCs w:val="false"/>
                <w:sz w:val="20"/>
                <w:szCs w:val="20"/>
              </w:rPr>
              <w:t xml:space="preserve">8%</w:t>
            </w:r>
          </w:p>
        </w:tc>
        <w:tc>
          <w:tcPr>
            <w:tcW w:type="dxa" w:w="1300"/>
            <w:tcMar>
              <w:top w:type="dxa" w:w="100"/>
              <w:left w:type="dxa" w:w="120"/>
              <w:bottom w:type="dxa" w:w="100"/>
              <w:right w:type="dxa" w:w="120"/>
            </w:tcMar>
          </w:tcPr>
          <w:p>
            <w:r>
              <w:rPr>
                <w:rFonts w:ascii="Arial" w:cs="Arial" w:eastAsia="Arial" w:hAnsi="Arial"/>
                <w:b w:val="false"/>
                <w:bCs w:val="false"/>
                <w:sz w:val="20"/>
                <w:szCs w:val="20"/>
              </w:rPr>
              <w:t xml:space="preserve">-14%</w:t>
            </w:r>
          </w:p>
        </w:tc>
      </w:tr>
    </w:tbl>
    <w:p>
      <w:pPr>
        <w:spacing w:after="120"/>
      </w:pPr>
    </w:p>
    <w:p>
      <w:pPr>
        <w:spacing w:after="160"/>
      </w:pPr>
      <w:r>
        <w:rPr>
          <w:rFonts w:ascii="Arial" w:cs="Arial" w:eastAsia="Arial" w:hAnsi="Arial"/>
          <w:b/>
          <w:bCs/>
          <w:sz w:val="22"/>
          <w:szCs w:val="22"/>
        </w:rPr>
        <w:t xml:space="preserve">Rank Choice Voting Simulation</w:t>
      </w:r>
    </w:p>
    <w:p>
      <w:pPr>
        <w:spacing w:after="160"/>
      </w:pPr>
      <w:r>
        <w:rPr>
          <w:rFonts w:ascii="Arial" w:cs="Arial" w:eastAsia="Arial" w:hAnsi="Arial"/>
          <w:sz w:val="22"/>
          <w:szCs w:val="22"/>
        </w:rPr>
        <w:t xml:space="preserve">Using the top financial contenders per FEC disclosures alongside an "other candidate" option, initial preferences and second-choice transfers reveal high vulnerability for the incumbent.</w:t>
      </w:r>
    </w:p>
    <w:p>
      <w:pPr>
        <w:spacing w:after="160"/>
      </w:pPr>
      <w:r>
        <w:rPr>
          <w:rFonts w:ascii="Arial" w:cs="Arial" w:eastAsia="Arial" w:hAnsi="Arial"/>
          <w:b/>
          <w:bCs/>
          <w:sz w:val="22"/>
          <w:szCs w:val="22"/>
        </w:rPr>
        <w:t xml:space="preserve">First-Choice Preference (Round 1):</w:t>
      </w:r>
    </w:p>
    <w:p>
      <w:pPr>
        <w:pStyle w:val="ListParagraph"/>
        <w:numPr>
          <w:ilvl w:val="0"/>
          <w:numId w:val="3"/>
        </w:numPr>
        <w:spacing w:after="160"/>
      </w:pPr>
      <w:r>
        <w:rPr>
          <w:rFonts w:ascii="Arial" w:cs="Arial" w:eastAsia="Arial" w:hAnsi="Arial"/>
          <w:b/>
          <w:bCs/>
          <w:sz w:val="22"/>
          <w:szCs w:val="22"/>
        </w:rPr>
        <w:t xml:space="preserve">Nick Begich (R): </w:t>
      </w:r>
      <w:r>
        <w:rPr>
          <w:rFonts w:ascii="Arial" w:cs="Arial" w:eastAsia="Arial" w:hAnsi="Arial"/>
          <w:sz w:val="22"/>
          <w:szCs w:val="22"/>
        </w:rPr>
        <w:t xml:space="preserve">46%</w:t>
      </w:r>
    </w:p>
    <w:p>
      <w:pPr>
        <w:pStyle w:val="ListParagraph"/>
        <w:numPr>
          <w:ilvl w:val="0"/>
          <w:numId w:val="3"/>
        </w:numPr>
        <w:spacing w:after="160"/>
      </w:pPr>
      <w:r>
        <w:rPr>
          <w:rFonts w:ascii="Arial" w:cs="Arial" w:eastAsia="Arial" w:hAnsi="Arial"/>
          <w:b/>
          <w:bCs/>
          <w:sz w:val="22"/>
          <w:szCs w:val="22"/>
        </w:rPr>
        <w:t xml:space="preserve">Matt Schultz (D): </w:t>
      </w:r>
      <w:r>
        <w:rPr>
          <w:rFonts w:ascii="Arial" w:cs="Arial" w:eastAsia="Arial" w:hAnsi="Arial"/>
          <w:sz w:val="22"/>
          <w:szCs w:val="22"/>
        </w:rPr>
        <w:t xml:space="preserve">32%</w:t>
      </w:r>
    </w:p>
    <w:p>
      <w:pPr>
        <w:pStyle w:val="ListParagraph"/>
        <w:numPr>
          <w:ilvl w:val="0"/>
          <w:numId w:val="3"/>
        </w:numPr>
        <w:spacing w:after="160"/>
      </w:pPr>
      <w:r>
        <w:rPr>
          <w:rFonts w:ascii="Arial" w:cs="Arial" w:eastAsia="Arial" w:hAnsi="Arial"/>
          <w:b/>
          <w:bCs/>
          <w:sz w:val="22"/>
          <w:szCs w:val="22"/>
        </w:rPr>
        <w:t xml:space="preserve">Bill Hill (I): </w:t>
      </w:r>
      <w:r>
        <w:rPr>
          <w:rFonts w:ascii="Arial" w:cs="Arial" w:eastAsia="Arial" w:hAnsi="Arial"/>
          <w:sz w:val="22"/>
          <w:szCs w:val="22"/>
        </w:rPr>
        <w:t xml:space="preserve">20%</w:t>
      </w:r>
    </w:p>
    <w:p>
      <w:pPr>
        <w:pStyle w:val="ListParagraph"/>
        <w:numPr>
          <w:ilvl w:val="0"/>
          <w:numId w:val="3"/>
        </w:numPr>
        <w:spacing w:after="160"/>
      </w:pPr>
      <w:r>
        <w:rPr>
          <w:rFonts w:ascii="Arial" w:cs="Arial" w:eastAsia="Arial" w:hAnsi="Arial"/>
          <w:b/>
          <w:bCs/>
          <w:sz w:val="22"/>
          <w:szCs w:val="22"/>
        </w:rPr>
        <w:t xml:space="preserve">Another Candidate: </w:t>
      </w:r>
      <w:r>
        <w:rPr>
          <w:rFonts w:ascii="Arial" w:cs="Arial" w:eastAsia="Arial" w:hAnsi="Arial"/>
          <w:sz w:val="22"/>
          <w:szCs w:val="22"/>
        </w:rPr>
        <w:t xml:space="preserve">2%</w:t>
      </w:r>
    </w:p>
    <w:p>
      <w:pPr>
        <w:spacing w:after="160"/>
      </w:pPr>
      <w:r>
        <w:rPr>
          <w:rFonts w:ascii="Arial" w:cs="Arial" w:eastAsia="Arial" w:hAnsi="Arial"/>
          <w:b/>
          <w:bCs/>
          <w:sz w:val="22"/>
          <w:szCs w:val="22"/>
        </w:rPr>
        <w:t xml:space="preserve">Second-Choice Preferences (Excluding 1st Choice):</w:t>
      </w:r>
    </w:p>
    <w:p>
      <w:pPr>
        <w:spacing w:after="160"/>
      </w:pPr>
      <w:r>
        <w:rPr>
          <w:rFonts w:ascii="Arial" w:cs="Arial" w:eastAsia="Arial" w:hAnsi="Arial"/>
          <w:sz w:val="22"/>
          <w:szCs w:val="22"/>
        </w:rPr>
        <w:t xml:space="preserve">When analyzing voters’ secondary choices, Nick Begich hits an artificial ceiling due to his elevated negatives (53% unfavorable). Secondary preference distribution flows as follows:</w:t>
      </w:r>
    </w:p>
    <w:p>
      <w:pPr>
        <w:pStyle w:val="ListParagraph"/>
        <w:numPr>
          <w:ilvl w:val="0"/>
          <w:numId w:val="3"/>
        </w:numPr>
        <w:spacing w:after="160"/>
      </w:pPr>
      <w:r>
        <w:rPr>
          <w:rFonts w:ascii="Arial" w:cs="Arial" w:eastAsia="Arial" w:hAnsi="Arial"/>
          <w:b/>
          <w:bCs/>
          <w:sz w:val="22"/>
          <w:szCs w:val="22"/>
        </w:rPr>
        <w:t xml:space="preserve">Bill Hill (I): </w:t>
      </w:r>
      <w:r>
        <w:rPr>
          <w:rFonts w:ascii="Arial" w:cs="Arial" w:eastAsia="Arial" w:hAnsi="Arial"/>
          <w:sz w:val="22"/>
          <w:szCs w:val="22"/>
        </w:rPr>
        <w:t xml:space="preserve">59%</w:t>
      </w:r>
    </w:p>
    <w:p>
      <w:pPr>
        <w:pStyle w:val="ListParagraph"/>
        <w:numPr>
          <w:ilvl w:val="0"/>
          <w:numId w:val="3"/>
        </w:numPr>
        <w:spacing w:after="160"/>
      </w:pPr>
      <w:r>
        <w:rPr>
          <w:rFonts w:ascii="Arial" w:cs="Arial" w:eastAsia="Arial" w:hAnsi="Arial"/>
          <w:b/>
          <w:bCs/>
          <w:sz w:val="22"/>
          <w:szCs w:val="22"/>
        </w:rPr>
        <w:t xml:space="preserve">Matt Schultz (D): </w:t>
      </w:r>
      <w:r>
        <w:rPr>
          <w:rFonts w:ascii="Arial" w:cs="Arial" w:eastAsia="Arial" w:hAnsi="Arial"/>
          <w:sz w:val="22"/>
          <w:szCs w:val="22"/>
        </w:rPr>
        <w:t xml:space="preserve">28%</w:t>
      </w:r>
    </w:p>
    <w:p>
      <w:pPr>
        <w:pStyle w:val="ListParagraph"/>
        <w:numPr>
          <w:ilvl w:val="0"/>
          <w:numId w:val="3"/>
        </w:numPr>
        <w:spacing w:after="160"/>
      </w:pPr>
      <w:r>
        <w:rPr>
          <w:rFonts w:ascii="Arial" w:cs="Arial" w:eastAsia="Arial" w:hAnsi="Arial"/>
          <w:b/>
          <w:bCs/>
          <w:sz w:val="22"/>
          <w:szCs w:val="22"/>
        </w:rPr>
        <w:t xml:space="preserve">Another Candidate: </w:t>
      </w:r>
      <w:r>
        <w:rPr>
          <w:rFonts w:ascii="Arial" w:cs="Arial" w:eastAsia="Arial" w:hAnsi="Arial"/>
          <w:sz w:val="22"/>
          <w:szCs w:val="22"/>
        </w:rPr>
        <w:t xml:space="preserve">12%</w:t>
      </w:r>
    </w:p>
    <w:p>
      <w:pPr>
        <w:pStyle w:val="ListParagraph"/>
        <w:numPr>
          <w:ilvl w:val="0"/>
          <w:numId w:val="3"/>
        </w:numPr>
        <w:spacing w:after="160"/>
      </w:pPr>
      <w:r>
        <w:rPr>
          <w:rFonts w:ascii="Arial" w:cs="Arial" w:eastAsia="Arial" w:hAnsi="Arial"/>
          <w:b/>
          <w:bCs/>
          <w:sz w:val="22"/>
          <w:szCs w:val="22"/>
        </w:rPr>
        <w:t xml:space="preserve">Nick Begich (R): </w:t>
      </w:r>
      <w:r>
        <w:rPr>
          <w:rFonts w:ascii="Arial" w:cs="Arial" w:eastAsia="Arial" w:hAnsi="Arial"/>
          <w:sz w:val="22"/>
          <w:szCs w:val="22"/>
        </w:rPr>
        <w:t xml:space="preserve">2%</w:t>
      </w:r>
    </w:p>
    <w:p>
      <w:pPr>
        <w:spacing w:after="160"/>
      </w:pPr>
      <w:r>
        <w:rPr>
          <w:rFonts w:ascii="Arial" w:cs="Arial" w:eastAsia="Arial" w:hAnsi="Arial"/>
          <w:b/>
          <w:bCs/>
          <w:sz w:val="18"/>
          <w:szCs w:val="18"/>
        </w:rPr>
        <w:t xml:space="preserve">Key Strategic Takeaway: </w:t>
      </w:r>
      <w:r>
        <w:rPr>
          <w:rFonts w:ascii="Arial" w:cs="Arial" w:eastAsia="Arial" w:hAnsi="Arial"/>
          <w:sz w:val="18"/>
          <w:szCs w:val="18"/>
        </w:rPr>
        <w:t xml:space="preserve">Much like the dynamics seen in prior Alaska congressional cycles with candidate floors and ceilings, Nick Begich struggles to capture transferred votes once candidate eliminations occur. With Schultz withdrawing, Hill is positioned to capture the bulk of non-Begich preferences.</w:t>
      </w:r>
    </w:p>
    <w:p>
      <w:r>
        <w:br w:type="page"/>
      </w:r>
    </w:p>
    <w:p>
      <w:pPr>
        <w:spacing w:after="160"/>
      </w:pPr>
      <w:r>
        <w:rPr>
          <w:rFonts w:ascii="Arial" w:cs="Arial" w:eastAsia="Arial" w:hAnsi="Arial"/>
          <w:b/>
          <w:bCs/>
          <w:sz w:val="22"/>
          <w:szCs w:val="22"/>
          <w:u w:val="single"/>
        </w:rPr>
        <w:t xml:space="preserve">Iowa’s 1st Congressional District (IA-01)</w:t>
      </w:r>
    </w:p>
    <w:p>
      <w:pPr>
        <w:spacing w:after="160"/>
      </w:pPr>
      <w:r>
        <w:rPr>
          <w:rFonts w:ascii="Arial" w:cs="Arial" w:eastAsia="Arial" w:hAnsi="Arial"/>
          <w:b/>
          <w:bCs/>
          <w:sz w:val="22"/>
          <w:szCs w:val="22"/>
        </w:rPr>
        <w:t xml:space="preserve">Context &amp; Candidate Profile</w:t>
      </w:r>
    </w:p>
    <w:p>
      <w:pPr>
        <w:spacing w:after="160"/>
      </w:pPr>
      <w:r>
        <w:rPr>
          <w:rFonts w:ascii="Arial" w:cs="Arial" w:eastAsia="Arial" w:hAnsi="Arial"/>
          <w:sz w:val="22"/>
          <w:szCs w:val="22"/>
        </w:rPr>
        <w:t xml:space="preserve">IA-01 features a third rematch between Democratic nominee Christina Bohannan and Republican incumbent Mariannette Miller-Meeks. Both major-party figures are deeply entrenched with high name recognition. Independent candidate Michael Bridgford qualified for the ballot via petition and presents a 2-to-1 positive ratio among voters familiar with his platform.</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700"/>
        <w:gridCol w:w="1300"/>
        <w:gridCol w:w="1400"/>
        <w:gridCol w:w="2600"/>
        <w:gridCol w:w="1200"/>
      </w:tblGrid>
      <w:tr>
        <w:trPr>
          <w:tblHeader/>
        </w:trPr>
        <w:tc>
          <w:tcPr>
            <w:tcW w:type="dxa" w:w="2700"/>
            <w:tcMar>
              <w:top w:type="dxa" w:w="100"/>
              <w:left w:type="dxa" w:w="120"/>
              <w:bottom w:type="dxa" w:w="100"/>
              <w:right w:type="dxa" w:w="120"/>
            </w:tcMar>
          </w:tcPr>
          <w:p>
            <w:r>
              <w:rPr>
                <w:rFonts w:ascii="Arial" w:cs="Arial" w:eastAsia="Arial" w:hAnsi="Arial"/>
                <w:b/>
                <w:bCs/>
                <w:sz w:val="20"/>
                <w:szCs w:val="20"/>
              </w:rPr>
              <w:t xml:space="preserve">Candidate</w:t>
            </w:r>
          </w:p>
        </w:tc>
        <w:tc>
          <w:tcPr>
            <w:tcW w:type="dxa" w:w="1300"/>
            <w:tcMar>
              <w:top w:type="dxa" w:w="100"/>
              <w:left w:type="dxa" w:w="120"/>
              <w:bottom w:type="dxa" w:w="100"/>
              <w:right w:type="dxa" w:w="120"/>
            </w:tcMar>
          </w:tcPr>
          <w:p>
            <w:r>
              <w:rPr>
                <w:rFonts w:ascii="Arial" w:cs="Arial" w:eastAsia="Arial" w:hAnsi="Arial"/>
                <w:b/>
                <w:bCs/>
                <w:sz w:val="20"/>
                <w:szCs w:val="20"/>
              </w:rPr>
              <w:t xml:space="preserve">Favorable</w:t>
            </w:r>
          </w:p>
        </w:tc>
        <w:tc>
          <w:tcPr>
            <w:tcW w:type="dxa" w:w="1400"/>
            <w:tcMar>
              <w:top w:type="dxa" w:w="100"/>
              <w:left w:type="dxa" w:w="120"/>
              <w:bottom w:type="dxa" w:w="100"/>
              <w:right w:type="dxa" w:w="120"/>
            </w:tcMar>
          </w:tcPr>
          <w:p>
            <w:r>
              <w:rPr>
                <w:rFonts w:ascii="Arial" w:cs="Arial" w:eastAsia="Arial" w:hAnsi="Arial"/>
                <w:b/>
                <w:bCs/>
                <w:sz w:val="20"/>
                <w:szCs w:val="20"/>
              </w:rPr>
              <w:t xml:space="preserve">Unfavorable</w:t>
            </w:r>
          </w:p>
        </w:tc>
        <w:tc>
          <w:tcPr>
            <w:tcW w:type="dxa" w:w="2600"/>
            <w:tcMar>
              <w:top w:type="dxa" w:w="100"/>
              <w:left w:type="dxa" w:w="120"/>
              <w:bottom w:type="dxa" w:w="100"/>
              <w:right w:type="dxa" w:w="120"/>
            </w:tcMar>
          </w:tcPr>
          <w:p>
            <w:r>
              <w:rPr>
                <w:rFonts w:ascii="Arial" w:cs="Arial" w:eastAsia="Arial" w:hAnsi="Arial"/>
                <w:b/>
                <w:bCs/>
                <w:sz w:val="20"/>
                <w:szCs w:val="20"/>
              </w:rPr>
              <w:t xml:space="preserve">Never Heard Of / Unsure</w:t>
            </w:r>
          </w:p>
        </w:tc>
        <w:tc>
          <w:tcPr>
            <w:tcW w:type="dxa" w:w="1200"/>
            <w:tcMar>
              <w:top w:type="dxa" w:w="100"/>
              <w:left w:type="dxa" w:w="120"/>
              <w:bottom w:type="dxa" w:w="100"/>
              <w:right w:type="dxa" w:w="120"/>
            </w:tcMar>
          </w:tcPr>
          <w:p>
            <w:r>
              <w:rPr>
                <w:rFonts w:ascii="Arial" w:cs="Arial" w:eastAsia="Arial" w:hAnsi="Arial"/>
                <w:b/>
                <w:bCs/>
                <w:sz w:val="20"/>
                <w:szCs w:val="20"/>
              </w:rPr>
              <w:t xml:space="preserve">Net Fav</w:t>
            </w:r>
          </w:p>
        </w:tc>
      </w:tr>
      <w:tr>
        <w:tc>
          <w:tcPr>
            <w:tcW w:type="dxa" w:w="2700"/>
            <w:tcMar>
              <w:top w:type="dxa" w:w="100"/>
              <w:left w:type="dxa" w:w="120"/>
              <w:bottom w:type="dxa" w:w="100"/>
              <w:right w:type="dxa" w:w="120"/>
            </w:tcMar>
          </w:tcPr>
          <w:p>
            <w:r>
              <w:rPr>
                <w:rFonts w:ascii="Arial" w:cs="Arial" w:eastAsia="Arial" w:hAnsi="Arial"/>
                <w:b/>
                <w:bCs/>
                <w:sz w:val="20"/>
                <w:szCs w:val="20"/>
              </w:rPr>
              <w:t xml:space="preserve">Michael Bridgford (I)</w:t>
            </w:r>
          </w:p>
        </w:tc>
        <w:tc>
          <w:tcPr>
            <w:tcW w:type="dxa" w:w="1300"/>
            <w:tcMar>
              <w:top w:type="dxa" w:w="100"/>
              <w:left w:type="dxa" w:w="120"/>
              <w:bottom w:type="dxa" w:w="100"/>
              <w:right w:type="dxa" w:w="120"/>
            </w:tcMar>
          </w:tcPr>
          <w:p>
            <w:r>
              <w:rPr>
                <w:rFonts w:ascii="Arial" w:cs="Arial" w:eastAsia="Arial" w:hAnsi="Arial"/>
                <w:b/>
                <w:bCs/>
                <w:sz w:val="20"/>
                <w:szCs w:val="20"/>
              </w:rPr>
              <w:t xml:space="preserve">14%</w:t>
            </w:r>
          </w:p>
        </w:tc>
        <w:tc>
          <w:tcPr>
            <w:tcW w:type="dxa" w:w="1400"/>
            <w:tcMar>
              <w:top w:type="dxa" w:w="100"/>
              <w:left w:type="dxa" w:w="120"/>
              <w:bottom w:type="dxa" w:w="100"/>
              <w:right w:type="dxa" w:w="120"/>
            </w:tcMar>
          </w:tcPr>
          <w:p>
            <w:r>
              <w:rPr>
                <w:rFonts w:ascii="Arial" w:cs="Arial" w:eastAsia="Arial" w:hAnsi="Arial"/>
                <w:b/>
                <w:bCs/>
                <w:sz w:val="20"/>
                <w:szCs w:val="20"/>
              </w:rPr>
              <w:t xml:space="preserve">7%</w:t>
            </w:r>
          </w:p>
        </w:tc>
        <w:tc>
          <w:tcPr>
            <w:tcW w:type="dxa" w:w="2600"/>
            <w:tcMar>
              <w:top w:type="dxa" w:w="100"/>
              <w:left w:type="dxa" w:w="120"/>
              <w:bottom w:type="dxa" w:w="100"/>
              <w:right w:type="dxa" w:w="120"/>
            </w:tcMar>
          </w:tcPr>
          <w:p>
            <w:r>
              <w:rPr>
                <w:rFonts w:ascii="Arial" w:cs="Arial" w:eastAsia="Arial" w:hAnsi="Arial"/>
                <w:b w:val="false"/>
                <w:bCs w:val="false"/>
                <w:sz w:val="20"/>
                <w:szCs w:val="20"/>
              </w:rPr>
              <w:t xml:space="preserve">79%</w:t>
            </w:r>
          </w:p>
        </w:tc>
        <w:tc>
          <w:tcPr>
            <w:tcW w:type="dxa" w:w="1200"/>
            <w:tcMar>
              <w:top w:type="dxa" w:w="100"/>
              <w:left w:type="dxa" w:w="120"/>
              <w:bottom w:type="dxa" w:w="100"/>
              <w:right w:type="dxa" w:w="120"/>
            </w:tcMar>
          </w:tcPr>
          <w:p>
            <w:r>
              <w:rPr>
                <w:rFonts w:ascii="Arial" w:cs="Arial" w:eastAsia="Arial" w:hAnsi="Arial"/>
                <w:b w:val="false"/>
                <w:bCs w:val="false"/>
                <w:sz w:val="20"/>
                <w:szCs w:val="20"/>
              </w:rPr>
              <w:t xml:space="preserve">+7%</w:t>
            </w:r>
          </w:p>
        </w:tc>
      </w:tr>
      <w:tr>
        <w:tc>
          <w:tcPr>
            <w:tcW w:type="dxa" w:w="2700"/>
            <w:tcMar>
              <w:top w:type="dxa" w:w="100"/>
              <w:left w:type="dxa" w:w="120"/>
              <w:bottom w:type="dxa" w:w="100"/>
              <w:right w:type="dxa" w:w="120"/>
            </w:tcMar>
          </w:tcPr>
          <w:p>
            <w:r>
              <w:rPr>
                <w:rFonts w:ascii="Arial" w:cs="Arial" w:eastAsia="Arial" w:hAnsi="Arial"/>
                <w:b/>
                <w:bCs/>
                <w:sz w:val="20"/>
                <w:szCs w:val="20"/>
              </w:rPr>
              <w:t xml:space="preserve">Christina Bohannan (D)</w:t>
            </w:r>
          </w:p>
        </w:tc>
        <w:tc>
          <w:tcPr>
            <w:tcW w:type="dxa" w:w="1300"/>
            <w:tcMar>
              <w:top w:type="dxa" w:w="100"/>
              <w:left w:type="dxa" w:w="120"/>
              <w:bottom w:type="dxa" w:w="100"/>
              <w:right w:type="dxa" w:w="120"/>
            </w:tcMar>
          </w:tcPr>
          <w:p>
            <w:r>
              <w:rPr>
                <w:rFonts w:ascii="Arial" w:cs="Arial" w:eastAsia="Arial" w:hAnsi="Arial"/>
                <w:b/>
                <w:bCs/>
                <w:sz w:val="20"/>
                <w:szCs w:val="20"/>
              </w:rPr>
              <w:t xml:space="preserve">44%</w:t>
            </w:r>
          </w:p>
        </w:tc>
        <w:tc>
          <w:tcPr>
            <w:tcW w:type="dxa" w:w="1400"/>
            <w:tcMar>
              <w:top w:type="dxa" w:w="100"/>
              <w:left w:type="dxa" w:w="120"/>
              <w:bottom w:type="dxa" w:w="100"/>
              <w:right w:type="dxa" w:w="120"/>
            </w:tcMar>
          </w:tcPr>
          <w:p>
            <w:r>
              <w:rPr>
                <w:rFonts w:ascii="Arial" w:cs="Arial" w:eastAsia="Arial" w:hAnsi="Arial"/>
                <w:b/>
                <w:bCs/>
                <w:sz w:val="20"/>
                <w:szCs w:val="20"/>
              </w:rPr>
              <w:t xml:space="preserve">35%</w:t>
            </w:r>
          </w:p>
        </w:tc>
        <w:tc>
          <w:tcPr>
            <w:tcW w:type="dxa" w:w="2600"/>
            <w:tcMar>
              <w:top w:type="dxa" w:w="100"/>
              <w:left w:type="dxa" w:w="120"/>
              <w:bottom w:type="dxa" w:w="100"/>
              <w:right w:type="dxa" w:w="120"/>
            </w:tcMar>
          </w:tcPr>
          <w:p>
            <w:r>
              <w:rPr>
                <w:rFonts w:ascii="Arial" w:cs="Arial" w:eastAsia="Arial" w:hAnsi="Arial"/>
                <w:b w:val="false"/>
                <w:bCs w:val="false"/>
                <w:sz w:val="20"/>
                <w:szCs w:val="20"/>
              </w:rPr>
              <w:t xml:space="preserve">21%</w:t>
            </w:r>
          </w:p>
        </w:tc>
        <w:tc>
          <w:tcPr>
            <w:tcW w:type="dxa" w:w="1200"/>
            <w:tcMar>
              <w:top w:type="dxa" w:w="100"/>
              <w:left w:type="dxa" w:w="120"/>
              <w:bottom w:type="dxa" w:w="100"/>
              <w:right w:type="dxa" w:w="120"/>
            </w:tcMar>
          </w:tcPr>
          <w:p>
            <w:r>
              <w:rPr>
                <w:rFonts w:ascii="Arial" w:cs="Arial" w:eastAsia="Arial" w:hAnsi="Arial"/>
                <w:b w:val="false"/>
                <w:bCs w:val="false"/>
                <w:sz w:val="20"/>
                <w:szCs w:val="20"/>
              </w:rPr>
              <w:t xml:space="preserve">+9%</w:t>
            </w:r>
          </w:p>
        </w:tc>
      </w:tr>
      <w:tr>
        <w:tc>
          <w:tcPr>
            <w:tcW w:type="dxa" w:w="2700"/>
            <w:tcMar>
              <w:top w:type="dxa" w:w="100"/>
              <w:left w:type="dxa" w:w="120"/>
              <w:bottom w:type="dxa" w:w="100"/>
              <w:right w:type="dxa" w:w="120"/>
            </w:tcMar>
          </w:tcPr>
          <w:p>
            <w:r>
              <w:rPr>
                <w:rFonts w:ascii="Arial" w:cs="Arial" w:eastAsia="Arial" w:hAnsi="Arial"/>
                <w:b/>
                <w:bCs/>
                <w:sz w:val="20"/>
                <w:szCs w:val="20"/>
              </w:rPr>
              <w:t xml:space="preserve">Mariannette Miller-Meeks (R)</w:t>
            </w:r>
          </w:p>
        </w:tc>
        <w:tc>
          <w:tcPr>
            <w:tcW w:type="dxa" w:w="1300"/>
            <w:tcMar>
              <w:top w:type="dxa" w:w="100"/>
              <w:left w:type="dxa" w:w="120"/>
              <w:bottom w:type="dxa" w:w="100"/>
              <w:right w:type="dxa" w:w="120"/>
            </w:tcMar>
          </w:tcPr>
          <w:p>
            <w:r>
              <w:rPr>
                <w:rFonts w:ascii="Arial" w:cs="Arial" w:eastAsia="Arial" w:hAnsi="Arial"/>
                <w:b/>
                <w:bCs/>
                <w:sz w:val="20"/>
                <w:szCs w:val="20"/>
              </w:rPr>
              <w:t xml:space="preserve">37%</w:t>
            </w:r>
          </w:p>
        </w:tc>
        <w:tc>
          <w:tcPr>
            <w:tcW w:type="dxa" w:w="1400"/>
            <w:tcMar>
              <w:top w:type="dxa" w:w="100"/>
              <w:left w:type="dxa" w:w="120"/>
              <w:bottom w:type="dxa" w:w="100"/>
              <w:right w:type="dxa" w:w="120"/>
            </w:tcMar>
          </w:tcPr>
          <w:p>
            <w:r>
              <w:rPr>
                <w:rFonts w:ascii="Arial" w:cs="Arial" w:eastAsia="Arial" w:hAnsi="Arial"/>
                <w:b/>
                <w:bCs/>
                <w:sz w:val="20"/>
                <w:szCs w:val="20"/>
              </w:rPr>
              <w:t xml:space="preserve">58%</w:t>
            </w:r>
          </w:p>
        </w:tc>
        <w:tc>
          <w:tcPr>
            <w:tcW w:type="dxa" w:w="2600"/>
            <w:tcMar>
              <w:top w:type="dxa" w:w="100"/>
              <w:left w:type="dxa" w:w="120"/>
              <w:bottom w:type="dxa" w:w="100"/>
              <w:right w:type="dxa" w:w="120"/>
            </w:tcMar>
          </w:tcPr>
          <w:p>
            <w:r>
              <w:rPr>
                <w:rFonts w:ascii="Arial" w:cs="Arial" w:eastAsia="Arial" w:hAnsi="Arial"/>
                <w:b w:val="false"/>
                <w:bCs w:val="false"/>
                <w:sz w:val="20"/>
                <w:szCs w:val="20"/>
              </w:rPr>
              <w:t xml:space="preserve">5%</w:t>
            </w:r>
          </w:p>
        </w:tc>
        <w:tc>
          <w:tcPr>
            <w:tcW w:type="dxa" w:w="1200"/>
            <w:tcMar>
              <w:top w:type="dxa" w:w="100"/>
              <w:left w:type="dxa" w:w="120"/>
              <w:bottom w:type="dxa" w:w="100"/>
              <w:right w:type="dxa" w:w="120"/>
            </w:tcMar>
          </w:tcPr>
          <w:p>
            <w:r>
              <w:rPr>
                <w:rFonts w:ascii="Arial" w:cs="Arial" w:eastAsia="Arial" w:hAnsi="Arial"/>
                <w:b w:val="false"/>
                <w:bCs w:val="false"/>
                <w:sz w:val="20"/>
                <w:szCs w:val="20"/>
              </w:rPr>
              <w:t xml:space="preserve">-21%</w:t>
            </w:r>
          </w:p>
        </w:tc>
      </w:tr>
    </w:tbl>
    <w:p>
      <w:pPr>
        <w:spacing w:after="120"/>
      </w:pPr>
    </w:p>
    <w:p>
      <w:pPr>
        <w:spacing w:after="160"/>
      </w:pPr>
      <w:r>
        <w:rPr>
          <w:rFonts w:ascii="Arial" w:cs="Arial" w:eastAsia="Arial" w:hAnsi="Arial"/>
          <w:b/>
          <w:bCs/>
          <w:sz w:val="22"/>
          <w:szCs w:val="22"/>
        </w:rPr>
        <w:t xml:space="preserve">Ballot Test &amp; Soft Support Vulnerability</w:t>
      </w:r>
    </w:p>
    <w:p>
      <w:pPr>
        <w:spacing w:after="160"/>
      </w:pPr>
      <w:r>
        <w:rPr>
          <w:rFonts w:ascii="Arial" w:cs="Arial" w:eastAsia="Arial" w:hAnsi="Arial"/>
          <w:sz w:val="22"/>
          <w:szCs w:val="22"/>
        </w:rPr>
        <w:t xml:space="preserve">Neither major party candidate holds a commanding lead, and Independent candidate Michael Bridgford pulls double-digit support despite his lower statewide profile.</w:t>
      </w:r>
    </w:p>
    <w:p>
      <w:pPr>
        <w:pStyle w:val="ListParagraph"/>
        <w:numPr>
          <w:ilvl w:val="0"/>
          <w:numId w:val="3"/>
        </w:numPr>
        <w:spacing w:after="160"/>
      </w:pPr>
      <w:r>
        <w:rPr>
          <w:rFonts w:ascii="Arial" w:cs="Arial" w:eastAsia="Arial" w:hAnsi="Arial"/>
          <w:b/>
          <w:bCs/>
          <w:sz w:val="22"/>
          <w:szCs w:val="22"/>
        </w:rPr>
        <w:t xml:space="preserve">Christina Bohannan (D): </w:t>
      </w:r>
      <w:r>
        <w:rPr>
          <w:rFonts w:ascii="Arial" w:cs="Arial" w:eastAsia="Arial" w:hAnsi="Arial"/>
          <w:sz w:val="22"/>
          <w:szCs w:val="22"/>
        </w:rPr>
        <w:t xml:space="preserve">40%</w:t>
      </w:r>
    </w:p>
    <w:p>
      <w:pPr>
        <w:pStyle w:val="ListParagraph"/>
        <w:numPr>
          <w:ilvl w:val="0"/>
          <w:numId w:val="3"/>
        </w:numPr>
        <w:spacing w:after="160"/>
      </w:pPr>
      <w:r>
        <w:rPr>
          <w:rFonts w:ascii="Arial" w:cs="Arial" w:eastAsia="Arial" w:hAnsi="Arial"/>
          <w:b/>
          <w:bCs/>
          <w:sz w:val="22"/>
          <w:szCs w:val="22"/>
        </w:rPr>
        <w:t xml:space="preserve">Mariannette Miller-Meeks (R): </w:t>
      </w:r>
      <w:r>
        <w:rPr>
          <w:rFonts w:ascii="Arial" w:cs="Arial" w:eastAsia="Arial" w:hAnsi="Arial"/>
          <w:sz w:val="22"/>
          <w:szCs w:val="22"/>
        </w:rPr>
        <w:t xml:space="preserve">35%</w:t>
      </w:r>
    </w:p>
    <w:p>
      <w:pPr>
        <w:pStyle w:val="ListParagraph"/>
        <w:numPr>
          <w:ilvl w:val="0"/>
          <w:numId w:val="3"/>
        </w:numPr>
        <w:spacing w:after="160"/>
      </w:pPr>
      <w:r>
        <w:rPr>
          <w:rFonts w:ascii="Arial" w:cs="Arial" w:eastAsia="Arial" w:hAnsi="Arial"/>
          <w:b/>
          <w:bCs/>
          <w:sz w:val="22"/>
          <w:szCs w:val="22"/>
        </w:rPr>
        <w:t xml:space="preserve">Michael Bridgford (I): </w:t>
      </w:r>
      <w:r>
        <w:rPr>
          <w:rFonts w:ascii="Arial" w:cs="Arial" w:eastAsia="Arial" w:hAnsi="Arial"/>
          <w:sz w:val="22"/>
          <w:szCs w:val="22"/>
        </w:rPr>
        <w:t xml:space="preserve">11%</w:t>
      </w:r>
    </w:p>
    <w:p>
      <w:pPr>
        <w:pStyle w:val="ListParagraph"/>
        <w:numPr>
          <w:ilvl w:val="0"/>
          <w:numId w:val="3"/>
        </w:numPr>
        <w:spacing w:after="160"/>
      </w:pPr>
      <w:r>
        <w:rPr>
          <w:rFonts w:ascii="Arial" w:cs="Arial" w:eastAsia="Arial" w:hAnsi="Arial"/>
          <w:b/>
          <w:bCs/>
          <w:sz w:val="22"/>
          <w:szCs w:val="22"/>
        </w:rPr>
        <w:t xml:space="preserve">Undecided: </w:t>
      </w:r>
      <w:r>
        <w:rPr>
          <w:rFonts w:ascii="Arial" w:cs="Arial" w:eastAsia="Arial" w:hAnsi="Arial"/>
          <w:sz w:val="22"/>
          <w:szCs w:val="22"/>
        </w:rPr>
        <w:t xml:space="preserve">11%</w:t>
      </w:r>
    </w:p>
    <w:p>
      <w:pPr>
        <w:spacing w:after="160"/>
      </w:pPr>
      <w:r>
        <w:rPr>
          <w:rFonts w:ascii="Arial" w:cs="Arial" w:eastAsia="Arial" w:hAnsi="Arial"/>
          <w:b/>
          <w:bCs/>
          <w:sz w:val="18"/>
          <w:szCs w:val="18"/>
        </w:rPr>
        <w:t xml:space="preserve">Key Strategic Takeaway: </w:t>
      </w:r>
      <w:r>
        <w:rPr>
          <w:rFonts w:ascii="Arial" w:cs="Arial" w:eastAsia="Arial" w:hAnsi="Arial"/>
          <w:sz w:val="18"/>
          <w:szCs w:val="18"/>
        </w:rPr>
        <w:t xml:space="preserve">Support across all candidates in IA-01 remains soft. No candidate breaks 70% in definitive support, with broad portions of both Bohannan and Miller-Meeks voters identifying as only "somewhat supportive" of their chosen candidate, leaving room for a viable third option as campaign advertising scales.</w:t>
      </w:r>
    </w:p>
    <w:p>
      <w:r>
        <w:br w:type="page"/>
      </w:r>
    </w:p>
    <w:p>
      <w:pPr>
        <w:spacing w:after="160"/>
      </w:pPr>
      <w:r>
        <w:rPr>
          <w:rFonts w:ascii="Arial" w:cs="Arial" w:eastAsia="Arial" w:hAnsi="Arial"/>
          <w:b/>
          <w:bCs/>
          <w:sz w:val="22"/>
          <w:szCs w:val="22"/>
        </w:rPr>
        <w:t xml:space="preserve">Summary &amp; Strategic Takeaways</w:t>
      </w:r>
    </w:p>
    <w:p>
      <w:pPr>
        <w:spacing w:after="160"/>
      </w:pPr>
      <w:r>
        <w:rPr>
          <w:rFonts w:ascii="Arial" w:cs="Arial" w:eastAsia="Arial" w:hAnsi="Arial"/>
          <w:sz w:val="22"/>
          <w:szCs w:val="22"/>
        </w:rPr>
        <w:t xml:space="preserve">The data across all five surveyed districts reveals a clear structural shift in the 2026 electoral landscape. Traditional partisan loyalty is being actively undercut by deep-seated institutional dissatisfaction.</w:t>
      </w:r>
    </w:p>
    <w:p>
      <w:pPr>
        <w:pStyle w:val="ListParagraph"/>
        <w:numPr>
          <w:ilvl w:val="0"/>
          <w:numId w:val="3"/>
        </w:numPr>
        <w:spacing w:after="160"/>
      </w:pPr>
      <w:r>
        <w:rPr>
          <w:rFonts w:ascii="Arial" w:cs="Arial" w:eastAsia="Arial" w:hAnsi="Arial"/>
          <w:b/>
          <w:bCs/>
          <w:sz w:val="22"/>
          <w:szCs w:val="22"/>
        </w:rPr>
        <w:t xml:space="preserve">An Anti-Establishment Opening: </w:t>
      </w:r>
      <w:r>
        <w:rPr>
          <w:rFonts w:ascii="Arial" w:cs="Arial" w:eastAsia="Arial" w:hAnsi="Arial"/>
          <w:sz w:val="22"/>
          <w:szCs w:val="22"/>
        </w:rPr>
        <w:t xml:space="preserve">With roughly three-quarters or more of voters in every district rating American democracy as "unhealthy" (74–81%) and congressional disapproval averaging above 74%, the electorate is actively seeking alternatives to standard party-line candidates.</w:t>
      </w:r>
    </w:p>
    <w:p>
      <w:pPr>
        <w:pStyle w:val="ListParagraph"/>
        <w:numPr>
          <w:ilvl w:val="0"/>
          <w:numId w:val="3"/>
        </w:numPr>
        <w:spacing w:after="160"/>
      </w:pPr>
      <w:r>
        <w:rPr>
          <w:rFonts w:ascii="Arial" w:cs="Arial" w:eastAsia="Arial" w:hAnsi="Arial"/>
          <w:b/>
          <w:bCs/>
          <w:sz w:val="22"/>
          <w:szCs w:val="22"/>
        </w:rPr>
        <w:t xml:space="preserve">The "Spoiler" Argument Has Lost Its Punch: </w:t>
      </w:r>
      <w:r>
        <w:rPr>
          <w:rFonts w:ascii="Arial" w:cs="Arial" w:eastAsia="Arial" w:hAnsi="Arial"/>
          <w:sz w:val="22"/>
          <w:szCs w:val="22"/>
        </w:rPr>
        <w:t xml:space="preserve">Across every geography, nearly two-thirds or more of likely voters explicitly reject the traditional two-party dynamic, viewing independent cross-aisle leaders as necessary "adults in the room" rather than system disrupters.</w:t>
      </w:r>
    </w:p>
    <w:p>
      <w:pPr>
        <w:pStyle w:val="ListParagraph"/>
        <w:numPr>
          <w:ilvl w:val="0"/>
          <w:numId w:val="3"/>
        </w:numPr>
        <w:spacing w:after="160"/>
      </w:pPr>
      <w:r>
        <w:rPr>
          <w:rFonts w:ascii="Arial" w:cs="Arial" w:eastAsia="Arial" w:hAnsi="Arial"/>
          <w:b/>
          <w:bCs/>
          <w:sz w:val="22"/>
          <w:szCs w:val="22"/>
        </w:rPr>
        <w:t xml:space="preserve">Low Name ID as an Asset, Not a Liability: </w:t>
      </w:r>
      <w:r>
        <w:rPr>
          <w:rFonts w:ascii="Arial" w:cs="Arial" w:eastAsia="Arial" w:hAnsi="Arial"/>
          <w:sz w:val="22"/>
          <w:szCs w:val="22"/>
        </w:rPr>
        <w:t xml:space="preserve">Independent candidates like Seth Bodnar (MT), Bill Hill (AK), and Michael Bridgford (IA) enter the final stretch with clean image ratios (2:1 to 3:1 positive-to-negative). Because their primary obstacle is awareness rather than opposition, targeted resource allocation into basic name-identification campaigns yields higher returns than attempting to rehabilitate damaged major-party brands like Begich (-14 net fav) or Miller-Meeks (-21 net fav).</w:t>
      </w:r>
    </w:p>
    <w:p>
      <w:pPr>
        <w:pStyle w:val="ListParagraph"/>
        <w:numPr>
          <w:ilvl w:val="0"/>
          <w:numId w:val="3"/>
        </w:numPr>
        <w:spacing w:after="160"/>
      </w:pPr>
      <w:r>
        <w:rPr>
          <w:rFonts w:ascii="Arial" w:cs="Arial" w:eastAsia="Arial" w:hAnsi="Arial"/>
          <w:b/>
          <w:bCs/>
          <w:sz w:val="22"/>
          <w:szCs w:val="22"/>
        </w:rPr>
        <w:t xml:space="preserve">The Path to Victory: </w:t>
      </w:r>
      <w:r>
        <w:rPr>
          <w:rFonts w:ascii="Arial" w:cs="Arial" w:eastAsia="Arial" w:hAnsi="Arial"/>
          <w:sz w:val="22"/>
          <w:szCs w:val="22"/>
        </w:rPr>
        <w:t xml:space="preserve">In head-to-head and Rank Choice scenarios, independent candidates do not need to win raw partisan pluralities outright from the start. By securing strong bases among moderate and undecided voters while benefiting from soft major-party support, pragmatic independents are uniquely positioned to win as the campaign reaches its final phase.</w:t>
      </w:r>
    </w:p>
    <w:sectPr>
      <w:headerReference w:type="default" r:id="rId7"/>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drawing>
        <wp:inline distT="0" distB="0" distL="0" distR="0">
          <wp:extent cx="495300" cy="476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495300" cy="47625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9a7ac207c99516953d79dfcf2fa664f9b32e5b40.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2026-07-24T16:09:36.099Z</dcterms:created>
  <dcterms:modified xsi:type="dcterms:W3CDTF">2026-07-24T16:09:36.099Z</dcterms:modified>
</cp:coreProperties>
</file>

<file path=docProps/custom.xml><?xml version="1.0" encoding="utf-8"?>
<Properties xmlns="http://schemas.openxmlformats.org/officeDocument/2006/custom-properties" xmlns:vt="http://schemas.openxmlformats.org/officeDocument/2006/docPropsVTypes"/>
</file>