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BE75B" w14:textId="07763DFA" w:rsidR="00B07BD0" w:rsidRDefault="0784A6DD" w:rsidP="3B15A234">
      <w:pPr>
        <w:pBdr>
          <w:top w:val="nil"/>
          <w:left w:val="nil"/>
          <w:bottom w:val="nil"/>
          <w:right w:val="nil"/>
          <w:between w:val="nil"/>
        </w:pBdr>
        <w:spacing w:after="160" w:line="259" w:lineRule="auto"/>
        <w:rPr>
          <w:color w:val="4D4D4D"/>
          <w:sz w:val="28"/>
          <w:szCs w:val="28"/>
        </w:rPr>
      </w:pPr>
      <w:r w:rsidRPr="3B15A234">
        <w:rPr>
          <w:color w:val="4D4D4D"/>
          <w:sz w:val="28"/>
          <w:szCs w:val="28"/>
        </w:rPr>
        <w:t>12. 11</w:t>
      </w:r>
      <w:r w:rsidR="00EE5FE7" w:rsidRPr="3B15A234">
        <w:rPr>
          <w:color w:val="4D4D4D"/>
          <w:sz w:val="28"/>
          <w:szCs w:val="28"/>
        </w:rPr>
        <w:t>. 2025</w:t>
      </w:r>
    </w:p>
    <w:p w14:paraId="7CABE75C" w14:textId="77777777" w:rsidR="00B07BD0" w:rsidRDefault="00EE5FE7">
      <w:pPr>
        <w:pBdr>
          <w:top w:val="nil"/>
          <w:left w:val="nil"/>
          <w:bottom w:val="nil"/>
          <w:right w:val="nil"/>
          <w:between w:val="nil"/>
        </w:pBdr>
        <w:spacing w:after="160" w:line="259" w:lineRule="auto"/>
        <w:jc w:val="left"/>
        <w:rPr>
          <w:rFonts w:ascii="Branding-Semibold" w:eastAsia="Branding-Semibold" w:hAnsi="Branding-Semibold" w:cs="Branding-Semibold"/>
          <w:b/>
          <w:color w:val="ADDA43"/>
          <w:sz w:val="38"/>
          <w:szCs w:val="38"/>
        </w:rPr>
      </w:pPr>
      <w:bookmarkStart w:id="0" w:name="_heading=h.i95lypadqivg" w:colFirst="0" w:colLast="0"/>
      <w:bookmarkEnd w:id="0"/>
      <w:r>
        <w:rPr>
          <w:rFonts w:ascii="Branding-Semibold" w:eastAsia="Branding-Semibold" w:hAnsi="Branding-Semibold" w:cs="Branding-Semibold"/>
          <w:b/>
          <w:color w:val="ADDA43"/>
          <w:sz w:val="38"/>
          <w:szCs w:val="38"/>
        </w:rPr>
        <w:t>Většina Čechů si nedovede představit život bez hotovosti</w:t>
      </w:r>
    </w:p>
    <w:p w14:paraId="7CABE75D" w14:textId="77777777" w:rsidR="00B07BD0" w:rsidRDefault="00EE5FE7">
      <w:pPr>
        <w:spacing w:after="160" w:line="259" w:lineRule="auto"/>
        <w:jc w:val="left"/>
        <w:rPr>
          <w:rFonts w:ascii="Branding-Semibold" w:eastAsia="Branding-Semibold" w:hAnsi="Branding-Semibold" w:cs="Branding-Semibold"/>
          <w:b/>
          <w:color w:val="ADDA43"/>
          <w:sz w:val="28"/>
          <w:szCs w:val="28"/>
        </w:rPr>
      </w:pPr>
      <w:r>
        <w:rPr>
          <w:rFonts w:ascii="Branding-Semibold" w:eastAsia="Branding-Semibold" w:hAnsi="Branding-Semibold" w:cs="Branding-Semibold"/>
          <w:b/>
          <w:color w:val="ADDA43"/>
          <w:sz w:val="28"/>
          <w:szCs w:val="28"/>
        </w:rPr>
        <w:t>Každý týden ji používají k placení skoro dvě třetiny Čechů</w:t>
      </w:r>
    </w:p>
    <w:p w14:paraId="7CABE75E" w14:textId="77777777" w:rsidR="00B07BD0" w:rsidRDefault="00EE5FE7">
      <w:pPr>
        <w:numPr>
          <w:ilvl w:val="0"/>
          <w:numId w:val="1"/>
        </w:numPr>
        <w:pBdr>
          <w:top w:val="nil"/>
          <w:left w:val="nil"/>
          <w:bottom w:val="nil"/>
          <w:right w:val="nil"/>
          <w:between w:val="nil"/>
        </w:pBdr>
        <w:spacing w:after="0" w:line="259" w:lineRule="auto"/>
        <w:jc w:val="left"/>
        <w:rPr>
          <w:b/>
          <w:color w:val="000000"/>
          <w:sz w:val="24"/>
          <w:szCs w:val="24"/>
        </w:rPr>
      </w:pPr>
      <w:bookmarkStart w:id="1" w:name="_heading=h.r9vicn4zlc8u" w:colFirst="0" w:colLast="0"/>
      <w:bookmarkEnd w:id="1"/>
      <w:r>
        <w:rPr>
          <w:b/>
          <w:color w:val="000000"/>
          <w:sz w:val="24"/>
          <w:szCs w:val="24"/>
        </w:rPr>
        <w:t>63 % Čechů chce rozhodně zachovat hotovost v ekonomice, slouží podle nich jako záložní platební prostředek např. v případě blackoutu</w:t>
      </w:r>
    </w:p>
    <w:p w14:paraId="7CABE75F" w14:textId="77777777" w:rsidR="00B07BD0" w:rsidRDefault="00EE5FE7">
      <w:pPr>
        <w:numPr>
          <w:ilvl w:val="0"/>
          <w:numId w:val="1"/>
        </w:numPr>
        <w:pBdr>
          <w:top w:val="nil"/>
          <w:left w:val="nil"/>
          <w:bottom w:val="nil"/>
          <w:right w:val="nil"/>
          <w:between w:val="nil"/>
        </w:pBdr>
        <w:spacing w:after="0" w:line="259" w:lineRule="auto"/>
        <w:jc w:val="left"/>
        <w:rPr>
          <w:b/>
          <w:color w:val="000000"/>
          <w:sz w:val="24"/>
          <w:szCs w:val="24"/>
        </w:rPr>
      </w:pPr>
      <w:r>
        <w:rPr>
          <w:b/>
          <w:color w:val="000000"/>
          <w:sz w:val="24"/>
          <w:szCs w:val="24"/>
        </w:rPr>
        <w:t>Každý třetí Čech má běžně u sebe hotovost v hodnotě 500 až 1000 Kč</w:t>
      </w:r>
    </w:p>
    <w:p w14:paraId="7CABE760" w14:textId="506A332D" w:rsidR="00B07BD0" w:rsidRDefault="00EE5FE7">
      <w:pPr>
        <w:numPr>
          <w:ilvl w:val="0"/>
          <w:numId w:val="1"/>
        </w:numPr>
        <w:pBdr>
          <w:top w:val="nil"/>
          <w:left w:val="nil"/>
          <w:bottom w:val="nil"/>
          <w:right w:val="nil"/>
          <w:between w:val="nil"/>
        </w:pBdr>
        <w:spacing w:after="0" w:line="259" w:lineRule="auto"/>
        <w:jc w:val="left"/>
        <w:rPr>
          <w:b/>
          <w:color w:val="000000"/>
          <w:sz w:val="24"/>
          <w:szCs w:val="24"/>
        </w:rPr>
      </w:pPr>
      <w:r>
        <w:rPr>
          <w:b/>
          <w:color w:val="000000"/>
          <w:sz w:val="24"/>
          <w:szCs w:val="24"/>
        </w:rPr>
        <w:t>Nejčastěji používají Češi hotovost při nákupech u drobných obchodníků, na trzích a při platbá</w:t>
      </w:r>
      <w:sdt>
        <w:sdtPr>
          <w:tag w:val="goog_rdk_0"/>
          <w:id w:val="-1625340992"/>
        </w:sdtPr>
        <w:sdtEndPr/>
        <w:sdtContent>
          <w:sdt>
            <w:sdtPr>
              <w:tag w:val="goog_rdk_1"/>
              <w:id w:val="2035630201"/>
            </w:sdtPr>
            <w:sdtEndPr/>
            <w:sdtContent>
              <w:r w:rsidRPr="00B76D72">
                <w:rPr>
                  <w:b/>
                  <w:sz w:val="24"/>
                  <w:szCs w:val="24"/>
                </w:rPr>
                <w:t>ch</w:t>
              </w:r>
            </w:sdtContent>
          </w:sdt>
        </w:sdtContent>
      </w:sdt>
      <w:sdt>
        <w:sdtPr>
          <w:tag w:val="goog_rdk_2"/>
          <w:id w:val="-1761449326"/>
        </w:sdtPr>
        <w:sdtEndPr/>
        <w:sdtContent>
          <w:sdt>
            <w:sdtPr>
              <w:tag w:val="goog_rdk_3"/>
              <w:id w:val="456108528"/>
            </w:sdtPr>
            <w:sdtEndPr/>
            <w:sdtContent>
              <w:r w:rsidR="009D26DD">
                <w:t xml:space="preserve"> </w:t>
              </w:r>
            </w:sdtContent>
          </w:sdt>
        </w:sdtContent>
      </w:sdt>
      <w:r>
        <w:rPr>
          <w:b/>
          <w:color w:val="000000"/>
          <w:sz w:val="24"/>
          <w:szCs w:val="24"/>
        </w:rPr>
        <w:t>řemeslníkům</w:t>
      </w:r>
    </w:p>
    <w:p w14:paraId="7CABE761" w14:textId="77777777" w:rsidR="00B07BD0" w:rsidRDefault="00EE5FE7">
      <w:pPr>
        <w:numPr>
          <w:ilvl w:val="0"/>
          <w:numId w:val="1"/>
        </w:numPr>
        <w:pBdr>
          <w:top w:val="nil"/>
          <w:left w:val="nil"/>
          <w:bottom w:val="nil"/>
          <w:right w:val="nil"/>
          <w:between w:val="nil"/>
        </w:pBdr>
        <w:spacing w:after="0" w:line="259" w:lineRule="auto"/>
        <w:jc w:val="left"/>
        <w:rPr>
          <w:b/>
          <w:color w:val="000000"/>
          <w:sz w:val="24"/>
          <w:szCs w:val="24"/>
        </w:rPr>
      </w:pPr>
      <w:r>
        <w:rPr>
          <w:b/>
          <w:color w:val="000000"/>
          <w:sz w:val="24"/>
          <w:szCs w:val="24"/>
        </w:rPr>
        <w:t>Až 80 % Čechů chce mít svobodu při výběru platební metody</w:t>
      </w:r>
    </w:p>
    <w:p w14:paraId="7CABE762" w14:textId="77777777" w:rsidR="00B07BD0" w:rsidRDefault="00EE5FE7">
      <w:pPr>
        <w:numPr>
          <w:ilvl w:val="0"/>
          <w:numId w:val="1"/>
        </w:numPr>
        <w:pBdr>
          <w:top w:val="nil"/>
          <w:left w:val="nil"/>
          <w:bottom w:val="nil"/>
          <w:right w:val="nil"/>
          <w:between w:val="nil"/>
        </w:pBdr>
        <w:spacing w:after="0" w:line="259" w:lineRule="auto"/>
        <w:jc w:val="left"/>
        <w:rPr>
          <w:b/>
          <w:color w:val="000000"/>
          <w:sz w:val="24"/>
          <w:szCs w:val="24"/>
        </w:rPr>
      </w:pPr>
      <w:r>
        <w:rPr>
          <w:b/>
          <w:color w:val="000000"/>
          <w:sz w:val="24"/>
          <w:szCs w:val="24"/>
        </w:rPr>
        <w:t xml:space="preserve">Při používání bezhotovostních plateb Čechům nejvíce vadí skryté poplatky a mají obavu z bezpečnosti </w:t>
      </w:r>
    </w:p>
    <w:p w14:paraId="7CABE763" w14:textId="77777777" w:rsidR="00B07BD0" w:rsidRDefault="00EE5FE7">
      <w:pPr>
        <w:numPr>
          <w:ilvl w:val="0"/>
          <w:numId w:val="1"/>
        </w:numPr>
        <w:pBdr>
          <w:top w:val="nil"/>
          <w:left w:val="nil"/>
          <w:bottom w:val="nil"/>
          <w:right w:val="nil"/>
          <w:between w:val="nil"/>
        </w:pBdr>
        <w:spacing w:after="160" w:line="259" w:lineRule="auto"/>
        <w:jc w:val="left"/>
        <w:rPr>
          <w:b/>
          <w:color w:val="000000"/>
          <w:sz w:val="24"/>
          <w:szCs w:val="24"/>
        </w:rPr>
      </w:pPr>
      <w:r>
        <w:rPr>
          <w:b/>
          <w:color w:val="000000"/>
          <w:sz w:val="24"/>
          <w:szCs w:val="24"/>
        </w:rPr>
        <w:t>Z evropských zemí jsou lídry v placení hotovostí u obchodníků Španělé a Němci</w:t>
      </w:r>
    </w:p>
    <w:p w14:paraId="7CABE764" w14:textId="77777777" w:rsidR="00B07BD0" w:rsidRDefault="00EE5FE7">
      <w:pPr>
        <w:spacing w:after="160" w:line="259" w:lineRule="auto"/>
        <w:rPr>
          <w:b/>
        </w:rPr>
      </w:pPr>
      <w:r>
        <w:rPr>
          <w:b/>
        </w:rPr>
        <w:t xml:space="preserve">Hotovostí stále platíme, alespoň jednou týdně používá při placení hotovost 64 % Čechů, jak vyplynulo z nedávného průzkumu </w:t>
      </w:r>
      <w:proofErr w:type="spellStart"/>
      <w:r>
        <w:rPr>
          <w:b/>
        </w:rPr>
        <w:t>Provident</w:t>
      </w:r>
      <w:proofErr w:type="spellEnd"/>
      <w:r>
        <w:rPr>
          <w:b/>
        </w:rPr>
        <w:t xml:space="preserve"> </w:t>
      </w:r>
      <w:proofErr w:type="spellStart"/>
      <w:r>
        <w:rPr>
          <w:b/>
        </w:rPr>
        <w:t>Financial</w:t>
      </w:r>
      <w:proofErr w:type="spellEnd"/>
      <w:r>
        <w:rPr>
          <w:b/>
        </w:rPr>
        <w:t xml:space="preserve"> mezi 1000 respondenty v ČR. Mince a bankovky nejčastěji vytahujeme z peněženek při platbě na trzích a u drobných obchodníků, dále při platbách řemeslníkům a u lékaře. 57 % Čechů má u sebe běžně hotovost v hodnotě 200 až 1000 Kč, stejné procento by uvítalo uzákonění práva na hotovost.  </w:t>
      </w:r>
    </w:p>
    <w:p w14:paraId="7CABE765" w14:textId="77777777" w:rsidR="00B07BD0" w:rsidRDefault="00EE5FE7">
      <w:pPr>
        <w:spacing w:after="160" w:line="259" w:lineRule="auto"/>
        <w:rPr>
          <w:rFonts w:ascii="Branding-Semibold" w:eastAsia="Branding-Semibold" w:hAnsi="Branding-Semibold" w:cs="Branding-Semibold"/>
          <w:b/>
          <w:color w:val="ADDA43"/>
          <w:sz w:val="24"/>
          <w:szCs w:val="24"/>
        </w:rPr>
      </w:pPr>
      <w:r>
        <w:rPr>
          <w:rFonts w:ascii="Branding-Semibold" w:eastAsia="Branding-Semibold" w:hAnsi="Branding-Semibold" w:cs="Branding-Semibold"/>
          <w:b/>
          <w:color w:val="ADDA43"/>
          <w:sz w:val="24"/>
          <w:szCs w:val="24"/>
        </w:rPr>
        <w:t>Na trzích, u lékaře a řemeslníkům platíme nejčastěji hotově</w:t>
      </w:r>
    </w:p>
    <w:p w14:paraId="7CABE766" w14:textId="77777777" w:rsidR="00B07BD0" w:rsidRDefault="00EE5FE7">
      <w:pPr>
        <w:spacing w:after="160" w:line="259" w:lineRule="auto"/>
      </w:pPr>
      <w:r>
        <w:t>Až 65 % Čechů zaplatí za nákup drobností na trzích a u obchodníků v hotovosti. Také řemeslníci od nás dostávají většinou zaplaceno hotově,</w:t>
      </w:r>
      <w:sdt>
        <w:sdtPr>
          <w:tag w:val="goog_rdk_4"/>
          <w:id w:val="-522625331"/>
        </w:sdtPr>
        <w:sdtEndPr/>
        <w:sdtContent/>
      </w:sdt>
      <w:r>
        <w:t xml:space="preserve"> ve většině případů není jiná možnost. I když roste počet řemeslníků, kteří jsou vybaveni platebním terminálem, nabídnou možnost bankovního převodu, anebo platbu QR kódem. </w:t>
      </w:r>
      <w:r>
        <w:rPr>
          <w:i/>
        </w:rPr>
        <w:t xml:space="preserve">„Zajímavostí je, že více než polovina ve věku 45 až 65 let platí částky do 100 Kč vždy hotově. 41 % respondentů z generace Z platí i tyto drobné nákupy </w:t>
      </w:r>
      <w:r>
        <w:rPr>
          <w:i/>
        </w:rPr>
        <w:lastRenderedPageBreak/>
        <w:t xml:space="preserve">mobilním telefonem. Z podobného průzkumu mezi zákazníky </w:t>
      </w:r>
      <w:proofErr w:type="spellStart"/>
      <w:r>
        <w:rPr>
          <w:i/>
        </w:rPr>
        <w:t>Providentu</w:t>
      </w:r>
      <w:proofErr w:type="spellEnd"/>
      <w:r>
        <w:rPr>
          <w:i/>
        </w:rPr>
        <w:t xml:space="preserve"> vyplynulo, že 54 % z nich používá pro platby do 100 Kč vždy hotovost,“</w:t>
      </w:r>
      <w:r>
        <w:t xml:space="preserve"> popisuje Petr Javůrek, hlavní finanční analytik </w:t>
      </w:r>
      <w:proofErr w:type="spellStart"/>
      <w:r>
        <w:t>Provident</w:t>
      </w:r>
      <w:proofErr w:type="spellEnd"/>
      <w:r>
        <w:t xml:space="preserve"> </w:t>
      </w:r>
      <w:proofErr w:type="spellStart"/>
      <w:r>
        <w:t>Financial</w:t>
      </w:r>
      <w:proofErr w:type="spellEnd"/>
      <w:r>
        <w:t xml:space="preserve">. </w:t>
      </w:r>
    </w:p>
    <w:p w14:paraId="7CABE767" w14:textId="77777777" w:rsidR="00B07BD0" w:rsidRDefault="00EE5FE7">
      <w:pPr>
        <w:spacing w:after="160" w:line="259" w:lineRule="auto"/>
      </w:pPr>
      <w:r>
        <w:rPr>
          <w:noProof/>
        </w:rPr>
        <w:drawing>
          <wp:inline distT="0" distB="0" distL="0" distR="0" wp14:anchorId="7CABE787" wp14:editId="7CABE788">
            <wp:extent cx="4701479" cy="3018868"/>
            <wp:effectExtent l="0" t="0" r="0" b="0"/>
            <wp:docPr id="10708635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701479" cy="3018868"/>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7CABE789" wp14:editId="7CABE78A">
                <wp:simplePos x="0" y="0"/>
                <wp:positionH relativeFrom="column">
                  <wp:posOffset>-4761</wp:posOffset>
                </wp:positionH>
                <wp:positionV relativeFrom="paragraph">
                  <wp:posOffset>3005138</wp:posOffset>
                </wp:positionV>
                <wp:extent cx="2475634" cy="320597"/>
                <wp:effectExtent l="0" t="0" r="0" b="0"/>
                <wp:wrapNone/>
                <wp:docPr id="1070863530" name="Obdélník 1070863530"/>
                <wp:cNvGraphicFramePr/>
                <a:graphic xmlns:a="http://schemas.openxmlformats.org/drawingml/2006/main">
                  <a:graphicData uri="http://schemas.microsoft.com/office/word/2010/wordprocessingShape">
                    <wps:wsp>
                      <wps:cNvSpPr/>
                      <wps:spPr>
                        <a:xfrm>
                          <a:off x="4112946" y="3624464"/>
                          <a:ext cx="2466109" cy="311072"/>
                        </a:xfrm>
                        <a:prstGeom prst="rect">
                          <a:avLst/>
                        </a:prstGeom>
                        <a:solidFill>
                          <a:schemeClr val="lt1"/>
                        </a:solidFill>
                        <a:ln>
                          <a:noFill/>
                        </a:ln>
                      </wps:spPr>
                      <wps:txbx>
                        <w:txbxContent>
                          <w:p w14:paraId="7CABE7A6" w14:textId="77777777" w:rsidR="00B07BD0" w:rsidRDefault="00EE5FE7">
                            <w:pPr>
                              <w:textDirection w:val="btLr"/>
                            </w:pPr>
                            <w:r>
                              <w:rPr>
                                <w:i/>
                                <w:color w:val="000000"/>
                                <w:sz w:val="16"/>
                              </w:rPr>
                              <w:t>Zdroj: Ipsos průzkum pro Provident Financial</w:t>
                            </w:r>
                          </w:p>
                        </w:txbxContent>
                      </wps:txbx>
                      <wps:bodyPr spcFirstLastPara="1" wrap="square" lIns="91425" tIns="45700" rIns="91425" bIns="45700" anchor="t" anchorCtr="0">
                        <a:noAutofit/>
                      </wps:bodyPr>
                    </wps:wsp>
                  </a:graphicData>
                </a:graphic>
              </wp:anchor>
            </w:drawing>
          </mc:Choice>
          <mc:Fallback>
            <w:pict>
              <v:rect w14:anchorId="7CABE789" id="Obdélník 1070863530" o:spid="_x0000_s1026" style="position:absolute;left:0;text-align:left;margin-left:-.35pt;margin-top:236.65pt;width:194.95pt;height:2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" fillcolor="white [3201]" stroked="f">
                <v:textbox inset="2.53958mm,1.2694mm,2.53958mm,1.2694mm">
                  <w:txbxContent>
                    <w:p w14:paraId="7CABE7A6" w14:textId="77777777" w:rsidR="00B07BD0" w:rsidRDefault="00EE5FE7">
                      <w:pPr>
                        <w:textDirection w:val="btLr"/>
                      </w:pPr>
                      <w:r>
                        <w:rPr>
                          <w:i/>
                          <w:color w:val="000000"/>
                          <w:sz w:val="16"/>
                        </w:rPr>
                        <w:t>Zdroj: Ipsos průzkum pro Provident Financial</w:t>
                      </w:r>
                    </w:p>
                  </w:txbxContent>
                </v:textbox>
              </v:rect>
            </w:pict>
          </mc:Fallback>
        </mc:AlternateContent>
      </w:r>
    </w:p>
    <w:p w14:paraId="7CABE768" w14:textId="77777777" w:rsidR="00B07BD0" w:rsidRDefault="00B07BD0">
      <w:pPr>
        <w:spacing w:after="160" w:line="259" w:lineRule="auto"/>
        <w:rPr>
          <w:i/>
          <w:sz w:val="20"/>
          <w:szCs w:val="20"/>
        </w:rPr>
      </w:pPr>
    </w:p>
    <w:p w14:paraId="7CABE769" w14:textId="77777777" w:rsidR="00B07BD0" w:rsidRDefault="00EE5FE7">
      <w:pPr>
        <w:spacing w:after="160" w:line="259" w:lineRule="auto"/>
      </w:pPr>
      <w:r>
        <w:t xml:space="preserve">Zatímco 85 % z generace Z platí v restauracích platební kartou nebo mobilním zařízením, jenom pětina dotázaných ve věku 54 až 65 let používá k těmto platbám mobilní telefon. </w:t>
      </w:r>
    </w:p>
    <w:p w14:paraId="7CABE76A" w14:textId="77777777" w:rsidR="00B07BD0" w:rsidRDefault="00EE5FE7">
      <w:pPr>
        <w:spacing w:after="160" w:line="259" w:lineRule="auto"/>
        <w:rPr>
          <w:rFonts w:ascii="Branding-Semibold" w:eastAsia="Branding-Semibold" w:hAnsi="Branding-Semibold" w:cs="Branding-Semibold"/>
          <w:b/>
          <w:color w:val="ADDA43"/>
          <w:sz w:val="24"/>
          <w:szCs w:val="24"/>
        </w:rPr>
      </w:pPr>
      <w:r>
        <w:rPr>
          <w:rFonts w:ascii="Branding-Semibold" w:eastAsia="Branding-Semibold" w:hAnsi="Branding-Semibold" w:cs="Branding-Semibold"/>
          <w:b/>
          <w:color w:val="ADDA43"/>
          <w:sz w:val="24"/>
          <w:szCs w:val="24"/>
        </w:rPr>
        <w:t xml:space="preserve">Zákazníci </w:t>
      </w:r>
      <w:proofErr w:type="spellStart"/>
      <w:r>
        <w:rPr>
          <w:rFonts w:ascii="Branding-Semibold" w:eastAsia="Branding-Semibold" w:hAnsi="Branding-Semibold" w:cs="Branding-Semibold"/>
          <w:b/>
          <w:color w:val="ADDA43"/>
          <w:sz w:val="24"/>
          <w:szCs w:val="24"/>
        </w:rPr>
        <w:t>Providentu</w:t>
      </w:r>
      <w:proofErr w:type="spellEnd"/>
      <w:r>
        <w:rPr>
          <w:rFonts w:ascii="Branding-Semibold" w:eastAsia="Branding-Semibold" w:hAnsi="Branding-Semibold" w:cs="Branding-Semibold"/>
          <w:b/>
          <w:color w:val="ADDA43"/>
          <w:sz w:val="24"/>
          <w:szCs w:val="24"/>
        </w:rPr>
        <w:t xml:space="preserve"> preferují hotovost i v supermarketech a restauracích, čtvrtina z nich nemá bankovní účet</w:t>
      </w:r>
    </w:p>
    <w:p w14:paraId="7CABE76B" w14:textId="77777777" w:rsidR="00B07BD0" w:rsidRDefault="00EE5FE7">
      <w:pPr>
        <w:spacing w:after="160" w:line="259" w:lineRule="auto"/>
      </w:pPr>
      <w:r>
        <w:rPr>
          <w:i/>
        </w:rPr>
        <w:t xml:space="preserve">„Jak vyplývá z našeho průzkumu, pokud srovnáme širokou veřejnost se zákazníky </w:t>
      </w:r>
      <w:proofErr w:type="spellStart"/>
      <w:r>
        <w:rPr>
          <w:i/>
        </w:rPr>
        <w:t>Providentu</w:t>
      </w:r>
      <w:proofErr w:type="spellEnd"/>
      <w:r>
        <w:rPr>
          <w:i/>
        </w:rPr>
        <w:t>, je pro naše zákazníky hotovost důležitější, používají ji častěji i v případech, kdy je pro běžnou populaci jednodušší zaplatit bezkontaktně. Je to dáno tím, že naši zákazníci daleko více operují s hotovostí, č</w:t>
      </w:r>
      <w:sdt>
        <w:sdtPr>
          <w:tag w:val="goog_rdk_5"/>
          <w:id w:val="812884789"/>
        </w:sdtPr>
        <w:sdtEndPr/>
        <w:sdtContent/>
      </w:sdt>
      <w:r>
        <w:rPr>
          <w:i/>
        </w:rPr>
        <w:t>ást odměn mohou dostávat v hotovosti, až čtvrtina z nich nemá bankovní účet a také velká část seniorů stále pobírá důchod v hotovosti,“</w:t>
      </w:r>
      <w:r>
        <w:t xml:space="preserve"> vysvětluje Petr Javůrek. </w:t>
      </w:r>
    </w:p>
    <w:p w14:paraId="7CABE76C" w14:textId="77777777" w:rsidR="00B07BD0" w:rsidRDefault="00EE5FE7">
      <w:pPr>
        <w:spacing w:after="160" w:line="259" w:lineRule="auto"/>
      </w:pPr>
      <w:r>
        <w:lastRenderedPageBreak/>
        <w:t xml:space="preserve"> </w:t>
      </w:r>
      <w:r>
        <w:rPr>
          <w:noProof/>
        </w:rPr>
        <w:drawing>
          <wp:anchor distT="0" distB="0" distL="114300" distR="114300" simplePos="0" relativeHeight="251659264" behindDoc="0" locked="0" layoutInCell="1" hidden="0" allowOverlap="1" wp14:anchorId="7CABE78B" wp14:editId="7CABE78C">
            <wp:simplePos x="0" y="0"/>
            <wp:positionH relativeFrom="column">
              <wp:posOffset>514032</wp:posOffset>
            </wp:positionH>
            <wp:positionV relativeFrom="paragraph">
              <wp:posOffset>0</wp:posOffset>
            </wp:positionV>
            <wp:extent cx="4018915" cy="2415540"/>
            <wp:effectExtent l="0" t="0" r="0" b="0"/>
            <wp:wrapSquare wrapText="bothSides" distT="0" distB="0" distL="114300" distR="114300"/>
            <wp:docPr id="10708635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018915" cy="2415540"/>
                    </a:xfrm>
                    <a:prstGeom prst="rect">
                      <a:avLst/>
                    </a:prstGeom>
                    <a:ln/>
                  </pic:spPr>
                </pic:pic>
              </a:graphicData>
            </a:graphic>
          </wp:anchor>
        </w:drawing>
      </w:r>
    </w:p>
    <w:p w14:paraId="7CABE76D" w14:textId="77777777" w:rsidR="00B07BD0" w:rsidRDefault="00B07BD0">
      <w:pPr>
        <w:spacing w:after="160" w:line="259" w:lineRule="auto"/>
      </w:pPr>
    </w:p>
    <w:p w14:paraId="7CABE76E" w14:textId="77777777" w:rsidR="00B07BD0" w:rsidRDefault="00B07BD0">
      <w:pPr>
        <w:spacing w:after="160" w:line="259" w:lineRule="auto"/>
      </w:pPr>
    </w:p>
    <w:p w14:paraId="7CABE76F" w14:textId="77777777" w:rsidR="00B07BD0" w:rsidRDefault="00B07BD0">
      <w:pPr>
        <w:spacing w:after="160" w:line="259" w:lineRule="auto"/>
      </w:pPr>
    </w:p>
    <w:p w14:paraId="7CABE770" w14:textId="77777777" w:rsidR="00B07BD0" w:rsidRDefault="00B07BD0">
      <w:pPr>
        <w:spacing w:after="160" w:line="259" w:lineRule="auto"/>
      </w:pPr>
    </w:p>
    <w:p w14:paraId="7CABE771" w14:textId="77777777" w:rsidR="00B07BD0" w:rsidRDefault="00B07BD0">
      <w:pPr>
        <w:spacing w:after="160" w:line="259" w:lineRule="auto"/>
      </w:pPr>
    </w:p>
    <w:p w14:paraId="7CABE772" w14:textId="77777777" w:rsidR="00B07BD0" w:rsidRDefault="00B07BD0">
      <w:pPr>
        <w:spacing w:after="160" w:line="259" w:lineRule="auto"/>
      </w:pPr>
    </w:p>
    <w:p w14:paraId="7CABE773" w14:textId="77777777" w:rsidR="00B07BD0" w:rsidRDefault="00B07BD0">
      <w:pPr>
        <w:spacing w:after="160" w:line="259" w:lineRule="auto"/>
      </w:pPr>
    </w:p>
    <w:p w14:paraId="7CABE774" w14:textId="77777777" w:rsidR="00B07BD0" w:rsidRDefault="00EE5FE7">
      <w:pPr>
        <w:spacing w:after="160" w:line="259" w:lineRule="auto"/>
      </w:pPr>
      <w:r>
        <w:rPr>
          <w:noProof/>
        </w:rPr>
        <mc:AlternateContent>
          <mc:Choice Requires="wps">
            <w:drawing>
              <wp:anchor distT="0" distB="0" distL="114300" distR="114300" simplePos="0" relativeHeight="251660288" behindDoc="0" locked="0" layoutInCell="1" hidden="0" allowOverlap="1" wp14:anchorId="7CABE78D" wp14:editId="7CABE78E">
                <wp:simplePos x="0" y="0"/>
                <wp:positionH relativeFrom="column">
                  <wp:posOffset>534988</wp:posOffset>
                </wp:positionH>
                <wp:positionV relativeFrom="paragraph">
                  <wp:posOffset>123508</wp:posOffset>
                </wp:positionV>
                <wp:extent cx="4041775" cy="320040"/>
                <wp:effectExtent l="0" t="0" r="0" b="0"/>
                <wp:wrapNone/>
                <wp:docPr id="1070863528" name="Obdélník 1070863528"/>
                <wp:cNvGraphicFramePr/>
                <a:graphic xmlns:a="http://schemas.openxmlformats.org/drawingml/2006/main">
                  <a:graphicData uri="http://schemas.microsoft.com/office/word/2010/wordprocessingShape">
                    <wps:wsp>
                      <wps:cNvSpPr/>
                      <wps:spPr>
                        <a:xfrm>
                          <a:off x="3329875" y="3624743"/>
                          <a:ext cx="4032250" cy="310515"/>
                        </a:xfrm>
                        <a:prstGeom prst="rect">
                          <a:avLst/>
                        </a:prstGeom>
                        <a:solidFill>
                          <a:schemeClr val="lt1"/>
                        </a:solidFill>
                        <a:ln>
                          <a:noFill/>
                        </a:ln>
                      </wps:spPr>
                      <wps:txbx>
                        <w:txbxContent>
                          <w:p w14:paraId="7CABE7A7" w14:textId="77777777" w:rsidR="00B07BD0" w:rsidRDefault="00EE5FE7">
                            <w:pPr>
                              <w:textDirection w:val="btLr"/>
                            </w:pPr>
                            <w:r>
                              <w:rPr>
                                <w:i/>
                                <w:color w:val="000000"/>
                                <w:sz w:val="16"/>
                              </w:rPr>
                              <w:t xml:space="preserve">Zdroj: Ipsos průzkum pro </w:t>
                            </w:r>
                            <w:r>
                              <w:rPr>
                                <w:i/>
                                <w:color w:val="000000"/>
                                <w:sz w:val="16"/>
                              </w:rPr>
                              <w:t>Provident Financial, průzkum mezi zákazníky Provident Financial</w:t>
                            </w:r>
                          </w:p>
                        </w:txbxContent>
                      </wps:txbx>
                      <wps:bodyPr spcFirstLastPara="1" wrap="square" lIns="91425" tIns="45700" rIns="91425" bIns="45700" anchor="t" anchorCtr="0">
                        <a:noAutofit/>
                      </wps:bodyPr>
                    </wps:wsp>
                  </a:graphicData>
                </a:graphic>
              </wp:anchor>
            </w:drawing>
          </mc:Choice>
          <mc:Fallback>
            <w:pict>
              <v:rect w14:anchorId="7CABE78D" id="Obdélník 1070863528" o:spid="_x0000_s1027" style="position:absolute;left:0;text-align:left;margin-left:42.15pt;margin-top:9.75pt;width:318.25pt;height:25.2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" fillcolor="white [3201]" stroked="f">
                <v:textbox inset="2.53958mm,1.2694mm,2.53958mm,1.2694mm">
                  <w:txbxContent>
                    <w:p w14:paraId="7CABE7A7" w14:textId="77777777" w:rsidR="00B07BD0" w:rsidRDefault="00EE5FE7">
                      <w:pPr>
                        <w:textDirection w:val="btLr"/>
                      </w:pPr>
                      <w:r>
                        <w:rPr>
                          <w:i/>
                          <w:color w:val="000000"/>
                          <w:sz w:val="16"/>
                        </w:rPr>
                        <w:t xml:space="preserve">Zdroj: Ipsos průzkum pro </w:t>
                      </w:r>
                      <w:r>
                        <w:rPr>
                          <w:i/>
                          <w:color w:val="000000"/>
                          <w:sz w:val="16"/>
                        </w:rPr>
                        <w:t>Provident Financial, průzkum mezi zákazníky Provident Financial</w:t>
                      </w:r>
                    </w:p>
                  </w:txbxContent>
                </v:textbox>
              </v:rect>
            </w:pict>
          </mc:Fallback>
        </mc:AlternateContent>
      </w:r>
    </w:p>
    <w:p w14:paraId="7CABE775" w14:textId="77777777" w:rsidR="00B07BD0" w:rsidRDefault="00B07BD0">
      <w:pPr>
        <w:spacing w:after="160" w:line="259" w:lineRule="auto"/>
      </w:pPr>
    </w:p>
    <w:p w14:paraId="7CABE776" w14:textId="77777777" w:rsidR="00B07BD0" w:rsidRDefault="00EE5FE7">
      <w:pPr>
        <w:spacing w:after="160" w:line="259" w:lineRule="auto"/>
        <w:rPr>
          <w:rFonts w:ascii="Branding-Semibold" w:eastAsia="Branding-Semibold" w:hAnsi="Branding-Semibold" w:cs="Branding-Semibold"/>
          <w:b/>
          <w:color w:val="ADDA43"/>
          <w:sz w:val="24"/>
          <w:szCs w:val="24"/>
        </w:rPr>
      </w:pPr>
      <w:r>
        <w:rPr>
          <w:rFonts w:ascii="Branding-Semibold" w:eastAsia="Branding-Semibold" w:hAnsi="Branding-Semibold" w:cs="Branding-Semibold"/>
          <w:b/>
          <w:color w:val="ADDA43"/>
          <w:sz w:val="24"/>
          <w:szCs w:val="24"/>
        </w:rPr>
        <w:t>Jak je na tom hotovost ve světě?</w:t>
      </w:r>
    </w:p>
    <w:p w14:paraId="7CABE777" w14:textId="77777777" w:rsidR="00B07BD0" w:rsidRDefault="00EE5FE7">
      <w:pPr>
        <w:spacing w:after="160" w:line="259" w:lineRule="auto"/>
      </w:pPr>
      <w:r>
        <w:t xml:space="preserve">Podle letošní zprávy </w:t>
      </w:r>
      <w:proofErr w:type="spellStart"/>
      <w:r>
        <w:t>Global</w:t>
      </w:r>
      <w:proofErr w:type="spellEnd"/>
      <w:r>
        <w:t xml:space="preserve"> </w:t>
      </w:r>
      <w:proofErr w:type="spellStart"/>
      <w:r>
        <w:t>Payments</w:t>
      </w:r>
      <w:proofErr w:type="spellEnd"/>
      <w:r>
        <w:t xml:space="preserve"> Report společnosti </w:t>
      </w:r>
      <w:proofErr w:type="spellStart"/>
      <w:r>
        <w:t>Worldpay</w:t>
      </w:r>
      <w:proofErr w:type="spellEnd"/>
      <w:r>
        <w:t xml:space="preserve"> došlo celosvětově ke značnému poklesu používání hotovosti u obchodníků, a to ze 44 % v roce 2014 na 15 % v roce 2024. Kvůli zajištění finanční inkluze byly v Dánsku, Francii a některých amerických státech přijaty právní předpisy, které nařizují povinnost přijímat hotovost. </w:t>
      </w:r>
    </w:p>
    <w:p w14:paraId="7CABE778" w14:textId="77777777" w:rsidR="00B07BD0" w:rsidRDefault="00EE5FE7">
      <w:pPr>
        <w:spacing w:after="160" w:line="259" w:lineRule="auto"/>
      </w:pPr>
      <w:r>
        <w:t xml:space="preserve">Japonsko a Německo jsou ekonomiky, kde je poměr používání hotovosti u obchodníků nadprůměrný ve srovnání se světem. V Japonsku je hotovost velmi oblíbená u starší generace. V Německu existuje silná historická a kulturní vazba na hotovost. Nejpravděpodobnějšími kandidáty na bezhotovostní společnost </w:t>
      </w:r>
      <w:proofErr w:type="spellStart"/>
      <w:r>
        <w:t>je</w:t>
      </w:r>
      <w:sdt>
        <w:sdtPr>
          <w:tag w:val="goog_rdk_6"/>
          <w:id w:val="-1929403028"/>
        </w:sdtPr>
        <w:sdtEndPr/>
        <w:sdtContent>
          <w:r>
            <w:t>jsou</w:t>
          </w:r>
          <w:proofErr w:type="spellEnd"/>
        </w:sdtContent>
      </w:sdt>
      <w:r>
        <w:t xml:space="preserve"> Švédsko, Norsko, Finsko, Nizozemí a Dánsko. </w:t>
      </w:r>
    </w:p>
    <w:p w14:paraId="7CABE779" w14:textId="77777777" w:rsidR="00B07BD0" w:rsidRDefault="00EE5FE7">
      <w:pPr>
        <w:spacing w:after="160" w:line="259" w:lineRule="auto"/>
        <w:rPr>
          <w:rFonts w:ascii="Branding-Semibold" w:eastAsia="Branding-Semibold" w:hAnsi="Branding-Semibold" w:cs="Branding-Semibold"/>
          <w:b/>
          <w:color w:val="ADDA43"/>
          <w:sz w:val="24"/>
          <w:szCs w:val="24"/>
        </w:rPr>
      </w:pPr>
      <w:r>
        <w:rPr>
          <w:rFonts w:ascii="Branding-Semibold" w:eastAsia="Branding-Semibold" w:hAnsi="Branding-Semibold" w:cs="Branding-Semibold"/>
          <w:b/>
          <w:color w:val="ADDA43"/>
          <w:sz w:val="24"/>
          <w:szCs w:val="24"/>
        </w:rPr>
        <w:t>Má hotovost ještě smysl?</w:t>
      </w:r>
    </w:p>
    <w:p w14:paraId="7CABE77A" w14:textId="14809FE4" w:rsidR="00B07BD0" w:rsidRDefault="00EE5FE7">
      <w:pPr>
        <w:spacing w:after="160" w:line="259" w:lineRule="auto"/>
      </w:pPr>
      <w:r>
        <w:t>63 % Čechů si myslí, že je důležité zachovat hotovost v ekonomice. Více než 70 % Čechů ve věku nad 45 let se ztotožňuje s tímto názorem. „</w:t>
      </w:r>
      <w:r>
        <w:rPr>
          <w:i/>
        </w:rPr>
        <w:t xml:space="preserve">Nejdůležitější funkcí hotovosti je podle většiny (62 %) to, že slouží jako záložní prostředek v době výpadku elektřiny, blackoutu, při povodních nebo kybernetických útocích. Pro generaci Z je toto hledisko nejdůležitější, pro starší ročníky je </w:t>
      </w:r>
      <w:r>
        <w:rPr>
          <w:i/>
        </w:rPr>
        <w:lastRenderedPageBreak/>
        <w:t>zásadnější finanční svoboda a nezávislost na bankách a technologiích,“</w:t>
      </w:r>
      <w:r>
        <w:t xml:space="preserve"> uvádí Petr Javůrek z </w:t>
      </w:r>
      <w:proofErr w:type="spellStart"/>
      <w:r>
        <w:t>Provident</w:t>
      </w:r>
      <w:proofErr w:type="spellEnd"/>
      <w:r>
        <w:t xml:space="preserve"> Financoval. </w:t>
      </w:r>
    </w:p>
    <w:p w14:paraId="7CABE77B" w14:textId="292693B0" w:rsidR="00B07BD0" w:rsidRDefault="002E53F7">
      <w:pPr>
        <w:spacing w:after="160" w:line="259" w:lineRule="auto"/>
      </w:pPr>
      <w:r>
        <w:rPr>
          <w:noProof/>
        </w:rPr>
        <w:drawing>
          <wp:anchor distT="0" distB="0" distL="114300" distR="114300" simplePos="0" relativeHeight="251661312" behindDoc="0" locked="0" layoutInCell="1" hidden="0" allowOverlap="1" wp14:anchorId="7CABE78F" wp14:editId="0AAE13B8">
            <wp:simplePos x="0" y="0"/>
            <wp:positionH relativeFrom="column">
              <wp:posOffset>176530</wp:posOffset>
            </wp:positionH>
            <wp:positionV relativeFrom="paragraph">
              <wp:posOffset>1520825</wp:posOffset>
            </wp:positionV>
            <wp:extent cx="4584700" cy="2755900"/>
            <wp:effectExtent l="0" t="0" r="0" b="0"/>
            <wp:wrapSquare wrapText="bothSides" distT="0" distB="0" distL="114300" distR="114300"/>
            <wp:docPr id="10708635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584700" cy="2755900"/>
                    </a:xfrm>
                    <a:prstGeom prst="rect">
                      <a:avLst/>
                    </a:prstGeom>
                    <a:ln/>
                  </pic:spPr>
                </pic:pic>
              </a:graphicData>
            </a:graphic>
          </wp:anchor>
        </w:drawing>
      </w:r>
      <w:r w:rsidR="00EE5FE7">
        <w:rPr>
          <w:i/>
        </w:rPr>
        <w:t xml:space="preserve">„Pro řadu lidí je práce s hotovostí jednodušší, protože peníze mají doslova na očích a v rukou. Každá platba je hmatatelná a okamžitě viditelná, takže se snáz kontroluje, kolik zbývá, oproti bezhotovostním transakcím, které mohou působit abstraktně. Právě tato hmatatelnost je pro některé domácnosti důležitá, bez ní by mohly mít problém udržet si přehled o svých financích a </w:t>
      </w:r>
      <w:sdt>
        <w:sdtPr>
          <w:tag w:val="goog_rdk_7"/>
          <w:id w:val="-1407798395"/>
        </w:sdtPr>
        <w:sdtEndPr/>
        <w:sdtContent/>
      </w:sdt>
      <w:r w:rsidR="00EE5FE7">
        <w:rPr>
          <w:i/>
        </w:rPr>
        <w:t xml:space="preserve">zůstat součástí finančního systému. Tlak na bezhotovostní platby může některé skupiny lidí, které nemají přístup nebo důvěru k digitální službám, vylučovat z finančního systému,“ </w:t>
      </w:r>
      <w:r w:rsidR="00EE5FE7">
        <w:t xml:space="preserve">vysvětluje sociolog Jiří </w:t>
      </w:r>
      <w:proofErr w:type="spellStart"/>
      <w:r w:rsidR="00EE5FE7">
        <w:t>Remr</w:t>
      </w:r>
      <w:proofErr w:type="spellEnd"/>
      <w:r w:rsidR="00EE5FE7">
        <w:t>.</w:t>
      </w:r>
    </w:p>
    <w:p w14:paraId="7CABE77C" w14:textId="77777777" w:rsidR="00B07BD0" w:rsidRDefault="00B07BD0">
      <w:pPr>
        <w:spacing w:after="160" w:line="259" w:lineRule="auto"/>
        <w:rPr>
          <w:rFonts w:ascii="Branding-Semibold" w:eastAsia="Branding-Semibold" w:hAnsi="Branding-Semibold" w:cs="Branding-Semibold"/>
          <w:b/>
          <w:color w:val="ADDA43"/>
          <w:sz w:val="24"/>
          <w:szCs w:val="24"/>
        </w:rPr>
      </w:pPr>
    </w:p>
    <w:p w14:paraId="7CABE77D" w14:textId="77777777" w:rsidR="00B07BD0" w:rsidRDefault="00EE5FE7">
      <w:pPr>
        <w:spacing w:after="160" w:line="259" w:lineRule="auto"/>
        <w:rPr>
          <w:rFonts w:ascii="Branding-Semibold" w:eastAsia="Branding-Semibold" w:hAnsi="Branding-Semibold" w:cs="Branding-Semibold"/>
          <w:b/>
          <w:color w:val="ADDA43"/>
          <w:sz w:val="24"/>
          <w:szCs w:val="24"/>
        </w:rPr>
      </w:pPr>
      <w:r>
        <w:rPr>
          <w:rFonts w:ascii="Branding-Semibold" w:eastAsia="Branding-Semibold" w:hAnsi="Branding-Semibold" w:cs="Branding-Semibold"/>
          <w:b/>
          <w:color w:val="ADDA43"/>
          <w:sz w:val="24"/>
          <w:szCs w:val="24"/>
        </w:rPr>
        <w:t>Právo na hotovost?</w:t>
      </w:r>
    </w:p>
    <w:p w14:paraId="7CABE77E" w14:textId="77777777" w:rsidR="00B07BD0" w:rsidRDefault="00EE5FE7">
      <w:r>
        <w:t xml:space="preserve">Uzákonění povinnosti přijímat hotovost pro obchodníky by si přálo 57 % respondentů a až 68 % lidí ve věku od 54 do 65 let, a to i přesto, že 89 % všech dotázaných dostává svůj příjem na účet. 78 % Čechů by si chtělo vždy vybrat metodu placení, která je v daný okamžik pro ně nejpříjemnější. </w:t>
      </w:r>
    </w:p>
    <w:p w14:paraId="7CABE77F" w14:textId="77777777" w:rsidR="00B07BD0" w:rsidRDefault="00B07BD0">
      <w:pPr>
        <w:pBdr>
          <w:top w:val="nil"/>
          <w:left w:val="nil"/>
          <w:bottom w:val="nil"/>
          <w:right w:val="nil"/>
          <w:between w:val="nil"/>
        </w:pBdr>
        <w:spacing w:after="0"/>
        <w:rPr>
          <w:color w:val="00ACE9"/>
          <w:sz w:val="20"/>
          <w:szCs w:val="20"/>
        </w:rPr>
      </w:pPr>
    </w:p>
    <w:p w14:paraId="7CABE780" w14:textId="77777777" w:rsidR="00B07BD0" w:rsidRDefault="00EE5FE7">
      <w:pPr>
        <w:pBdr>
          <w:top w:val="nil"/>
          <w:left w:val="nil"/>
          <w:bottom w:val="nil"/>
          <w:right w:val="nil"/>
          <w:between w:val="nil"/>
        </w:pBdr>
        <w:spacing w:after="0"/>
        <w:rPr>
          <w:color w:val="00ACE9"/>
          <w:sz w:val="20"/>
          <w:szCs w:val="20"/>
        </w:rPr>
      </w:pPr>
      <w:r>
        <w:rPr>
          <w:color w:val="00ACE9"/>
          <w:sz w:val="20"/>
          <w:szCs w:val="20"/>
        </w:rPr>
        <w:t>O průzkumu    </w:t>
      </w:r>
    </w:p>
    <w:p w14:paraId="7CABE781" w14:textId="77777777" w:rsidR="00B07BD0" w:rsidRDefault="00EE5FE7">
      <w:pPr>
        <w:pBdr>
          <w:top w:val="nil"/>
          <w:left w:val="nil"/>
          <w:bottom w:val="nil"/>
          <w:right w:val="nil"/>
          <w:between w:val="nil"/>
        </w:pBdr>
        <w:rPr>
          <w:color w:val="808080"/>
          <w:sz w:val="20"/>
          <w:szCs w:val="20"/>
          <w:highlight w:val="white"/>
        </w:rPr>
      </w:pPr>
      <w:r>
        <w:rPr>
          <w:color w:val="808080"/>
          <w:sz w:val="20"/>
          <w:szCs w:val="20"/>
          <w:highlight w:val="white"/>
        </w:rPr>
        <w:t xml:space="preserve">Společnost </w:t>
      </w:r>
      <w:proofErr w:type="spellStart"/>
      <w:r>
        <w:rPr>
          <w:color w:val="808080"/>
          <w:sz w:val="20"/>
          <w:szCs w:val="20"/>
          <w:highlight w:val="white"/>
        </w:rPr>
        <w:t>Provident</w:t>
      </w:r>
      <w:proofErr w:type="spellEnd"/>
      <w:r>
        <w:rPr>
          <w:color w:val="808080"/>
          <w:sz w:val="20"/>
          <w:szCs w:val="20"/>
          <w:highlight w:val="white"/>
        </w:rPr>
        <w:t xml:space="preserve"> </w:t>
      </w:r>
      <w:proofErr w:type="spellStart"/>
      <w:r>
        <w:rPr>
          <w:color w:val="808080"/>
          <w:sz w:val="20"/>
          <w:szCs w:val="20"/>
          <w:highlight w:val="white"/>
        </w:rPr>
        <w:t>Financial</w:t>
      </w:r>
      <w:proofErr w:type="spellEnd"/>
      <w:r>
        <w:rPr>
          <w:color w:val="808080"/>
          <w:sz w:val="20"/>
          <w:szCs w:val="20"/>
          <w:highlight w:val="white"/>
        </w:rPr>
        <w:t xml:space="preserve"> realizovala průzkum ve spolupráci s výzkumnou agenturou Ipsos. Sběr dat byl realizován prostřednictvím aplikace Instant </w:t>
      </w:r>
      <w:proofErr w:type="spellStart"/>
      <w:r>
        <w:rPr>
          <w:color w:val="808080"/>
          <w:sz w:val="20"/>
          <w:szCs w:val="20"/>
          <w:highlight w:val="white"/>
        </w:rPr>
        <w:t>Research</w:t>
      </w:r>
      <w:proofErr w:type="spellEnd"/>
      <w:r>
        <w:rPr>
          <w:color w:val="808080"/>
          <w:sz w:val="20"/>
          <w:szCs w:val="20"/>
          <w:highlight w:val="white"/>
        </w:rPr>
        <w:t xml:space="preserve"> </w:t>
      </w:r>
      <w:r>
        <w:rPr>
          <w:color w:val="808080"/>
          <w:sz w:val="20"/>
          <w:szCs w:val="20"/>
          <w:highlight w:val="white"/>
        </w:rPr>
        <w:lastRenderedPageBreak/>
        <w:t>agentury Ipsos na konci července 2025. Celkem bylo dotazováno přes 1030 respondentů ve věku 18 až 65 let napříč celou Českou republikou.   </w:t>
      </w:r>
    </w:p>
    <w:p w14:paraId="7CABE782" w14:textId="77777777" w:rsidR="00B07BD0" w:rsidRDefault="00EE5FE7">
      <w:pPr>
        <w:pBdr>
          <w:top w:val="nil"/>
          <w:left w:val="nil"/>
          <w:bottom w:val="nil"/>
          <w:right w:val="nil"/>
          <w:between w:val="nil"/>
        </w:pBdr>
        <w:spacing w:after="0"/>
        <w:rPr>
          <w:color w:val="00ACE9"/>
          <w:sz w:val="20"/>
          <w:szCs w:val="20"/>
        </w:rPr>
      </w:pPr>
      <w:r>
        <w:rPr>
          <w:color w:val="00ACE9"/>
          <w:sz w:val="20"/>
          <w:szCs w:val="20"/>
        </w:rPr>
        <w:t>O společnosti </w:t>
      </w:r>
      <w:proofErr w:type="spellStart"/>
      <w:r>
        <w:rPr>
          <w:color w:val="00ACE9"/>
          <w:sz w:val="20"/>
          <w:szCs w:val="20"/>
        </w:rPr>
        <w:t>Provident</w:t>
      </w:r>
      <w:proofErr w:type="spellEnd"/>
      <w:r>
        <w:rPr>
          <w:color w:val="00ACE9"/>
          <w:sz w:val="20"/>
          <w:szCs w:val="20"/>
        </w:rPr>
        <w:t xml:space="preserve"> </w:t>
      </w:r>
    </w:p>
    <w:p w14:paraId="7CABE783" w14:textId="77777777" w:rsidR="00B07BD0" w:rsidRDefault="00EE5FE7">
      <w:pPr>
        <w:pBdr>
          <w:top w:val="nil"/>
          <w:left w:val="nil"/>
          <w:bottom w:val="nil"/>
          <w:right w:val="nil"/>
          <w:between w:val="nil"/>
        </w:pBdr>
        <w:rPr>
          <w:color w:val="808080"/>
          <w:sz w:val="20"/>
          <w:szCs w:val="20"/>
          <w:highlight w:val="white"/>
        </w:rPr>
      </w:pPr>
      <w:r>
        <w:rPr>
          <w:color w:val="808080"/>
          <w:sz w:val="20"/>
          <w:szCs w:val="20"/>
          <w:highlight w:val="white"/>
        </w:rPr>
        <w:t>Společnost </w:t>
      </w:r>
      <w:proofErr w:type="spellStart"/>
      <w:r>
        <w:rPr>
          <w:color w:val="808080"/>
          <w:sz w:val="20"/>
          <w:szCs w:val="20"/>
          <w:highlight w:val="white"/>
        </w:rPr>
        <w:t>Provident</w:t>
      </w:r>
      <w:proofErr w:type="spellEnd"/>
      <w:r>
        <w:rPr>
          <w:color w:val="808080"/>
          <w:sz w:val="20"/>
          <w:szCs w:val="20"/>
          <w:highlight w:val="white"/>
        </w:rPr>
        <w:t> </w:t>
      </w:r>
      <w:proofErr w:type="spellStart"/>
      <w:r>
        <w:rPr>
          <w:color w:val="808080"/>
          <w:sz w:val="20"/>
          <w:szCs w:val="20"/>
          <w:highlight w:val="white"/>
        </w:rPr>
        <w:t>Financial</w:t>
      </w:r>
      <w:proofErr w:type="spellEnd"/>
      <w:r>
        <w:rPr>
          <w:color w:val="808080"/>
          <w:sz w:val="20"/>
          <w:szCs w:val="20"/>
          <w:highlight w:val="white"/>
        </w:rPr>
        <w:t xml:space="preserve"> s.r.o. působí na českém trhu již více než 25 let a od vstupu na trh poskytla úvěr už miliónu klientů. Za transparentních podmínek nabízí hotovostní i bezhotovostní půjčky, které jsou bezúčelové, bez ručitele a bez skrytých poplatků. V rámci značky </w:t>
      </w:r>
      <w:proofErr w:type="spellStart"/>
      <w:r>
        <w:rPr>
          <w:color w:val="808080"/>
          <w:sz w:val="20"/>
          <w:szCs w:val="20"/>
          <w:highlight w:val="white"/>
        </w:rPr>
        <w:t>Creditea</w:t>
      </w:r>
      <w:proofErr w:type="spellEnd"/>
      <w:r>
        <w:rPr>
          <w:color w:val="808080"/>
          <w:sz w:val="20"/>
          <w:szCs w:val="20"/>
          <w:highlight w:val="white"/>
        </w:rPr>
        <w:t xml:space="preserve"> </w:t>
      </w:r>
      <w:proofErr w:type="spellStart"/>
      <w:r>
        <w:rPr>
          <w:color w:val="808080"/>
          <w:sz w:val="20"/>
          <w:szCs w:val="20"/>
          <w:highlight w:val="white"/>
        </w:rPr>
        <w:t>Provident</w:t>
      </w:r>
      <w:proofErr w:type="spellEnd"/>
      <w:r>
        <w:rPr>
          <w:color w:val="808080"/>
          <w:sz w:val="20"/>
          <w:szCs w:val="20"/>
          <w:highlight w:val="white"/>
        </w:rPr>
        <w:t xml:space="preserve"> nabízí také revolvingový typ úvěru. V České republice zajišťuje zázemí společnosti 400 zaměstnanců a na 600 obchodních zástupců. </w:t>
      </w:r>
      <w:proofErr w:type="spellStart"/>
      <w:r>
        <w:rPr>
          <w:color w:val="808080"/>
          <w:sz w:val="20"/>
          <w:szCs w:val="20"/>
          <w:highlight w:val="white"/>
        </w:rPr>
        <w:t>Provident</w:t>
      </w:r>
      <w:proofErr w:type="spellEnd"/>
      <w:r>
        <w:rPr>
          <w:color w:val="808080"/>
          <w:sz w:val="20"/>
          <w:szCs w:val="20"/>
          <w:highlight w:val="white"/>
        </w:rPr>
        <w:t xml:space="preserve"> je členem Asociace poskytovatelů nebankovních úvěrů (APNÚ), patronem Britské obchodní komory a díky své odpovědné péči o zaměstnance a pracovní podmínky je opakovaným držitelem evropského ocenění Top </w:t>
      </w:r>
      <w:proofErr w:type="spellStart"/>
      <w:r>
        <w:rPr>
          <w:color w:val="808080"/>
          <w:sz w:val="20"/>
          <w:szCs w:val="20"/>
          <w:highlight w:val="white"/>
        </w:rPr>
        <w:t>Employer</w:t>
      </w:r>
      <w:proofErr w:type="spellEnd"/>
      <w:r>
        <w:rPr>
          <w:color w:val="808080"/>
          <w:sz w:val="20"/>
          <w:szCs w:val="20"/>
          <w:highlight w:val="white"/>
        </w:rPr>
        <w:t xml:space="preserve"> a signatářem Charty </w:t>
      </w:r>
      <w:proofErr w:type="gramStart"/>
      <w:r>
        <w:rPr>
          <w:color w:val="808080"/>
          <w:sz w:val="20"/>
          <w:szCs w:val="20"/>
          <w:highlight w:val="white"/>
        </w:rPr>
        <w:t>diversity</w:t>
      </w:r>
      <w:proofErr w:type="gramEnd"/>
      <w:r>
        <w:rPr>
          <w:color w:val="808080"/>
          <w:sz w:val="20"/>
          <w:szCs w:val="20"/>
          <w:highlight w:val="white"/>
        </w:rPr>
        <w:t xml:space="preserve">. </w:t>
      </w:r>
      <w:hyperlink r:id="rId14">
        <w:r w:rsidR="00B07BD0">
          <w:rPr>
            <w:color w:val="0563C1"/>
            <w:sz w:val="20"/>
            <w:szCs w:val="20"/>
            <w:highlight w:val="white"/>
            <w:u w:val="single"/>
          </w:rPr>
          <w:t>www.provident.cz</w:t>
        </w:r>
      </w:hyperlink>
      <w:r>
        <w:rPr>
          <w:color w:val="808080"/>
          <w:sz w:val="20"/>
          <w:szCs w:val="20"/>
          <w:highlight w:val="white"/>
        </w:rPr>
        <w:t xml:space="preserve">, </w:t>
      </w:r>
      <w:hyperlink r:id="rId15">
        <w:r w:rsidR="00B07BD0">
          <w:rPr>
            <w:color w:val="0563C1"/>
            <w:sz w:val="20"/>
            <w:szCs w:val="20"/>
            <w:highlight w:val="white"/>
            <w:u w:val="single"/>
          </w:rPr>
          <w:t>www.creditea.cz</w:t>
        </w:r>
      </w:hyperlink>
      <w:r>
        <w:rPr>
          <w:color w:val="808080"/>
          <w:sz w:val="20"/>
          <w:szCs w:val="20"/>
          <w:highlight w:val="white"/>
        </w:rPr>
        <w:t xml:space="preserve"> </w:t>
      </w:r>
    </w:p>
    <w:p w14:paraId="7CABE784" w14:textId="77777777" w:rsidR="00B07BD0" w:rsidRDefault="00B07BD0"/>
    <w:p w14:paraId="7CABE785" w14:textId="77777777" w:rsidR="00B07BD0" w:rsidRDefault="00EE5FE7">
      <w:pPr>
        <w:pBdr>
          <w:top w:val="nil"/>
          <w:left w:val="nil"/>
          <w:bottom w:val="nil"/>
          <w:right w:val="nil"/>
          <w:between w:val="nil"/>
        </w:pBdr>
        <w:spacing w:after="0"/>
        <w:rPr>
          <w:color w:val="00ACE9"/>
          <w:sz w:val="20"/>
          <w:szCs w:val="20"/>
        </w:rPr>
      </w:pPr>
      <w:r>
        <w:rPr>
          <w:color w:val="00ACE9"/>
          <w:sz w:val="20"/>
          <w:szCs w:val="20"/>
        </w:rPr>
        <w:t xml:space="preserve">O skupině International </w:t>
      </w:r>
      <w:proofErr w:type="spellStart"/>
      <w:r>
        <w:rPr>
          <w:color w:val="00ACE9"/>
          <w:sz w:val="20"/>
          <w:szCs w:val="20"/>
        </w:rPr>
        <w:t>Personal</w:t>
      </w:r>
      <w:proofErr w:type="spellEnd"/>
      <w:r>
        <w:rPr>
          <w:color w:val="00ACE9"/>
          <w:sz w:val="20"/>
          <w:szCs w:val="20"/>
        </w:rPr>
        <w:t xml:space="preserve"> Finance</w:t>
      </w:r>
    </w:p>
    <w:p w14:paraId="7CABE786" w14:textId="77777777" w:rsidR="00B07BD0" w:rsidRDefault="00EE5FE7">
      <w:pPr>
        <w:pBdr>
          <w:top w:val="nil"/>
          <w:left w:val="nil"/>
          <w:bottom w:val="nil"/>
          <w:right w:val="nil"/>
          <w:between w:val="nil"/>
        </w:pBdr>
        <w:rPr>
          <w:color w:val="808080"/>
          <w:sz w:val="20"/>
          <w:szCs w:val="20"/>
          <w:highlight w:val="white"/>
        </w:rPr>
      </w:pPr>
      <w:r>
        <w:rPr>
          <w:color w:val="808080"/>
          <w:sz w:val="20"/>
          <w:szCs w:val="20"/>
          <w:highlight w:val="white"/>
        </w:rPr>
        <w:t xml:space="preserve">Mezinárodní skupina International </w:t>
      </w:r>
      <w:proofErr w:type="spellStart"/>
      <w:r>
        <w:rPr>
          <w:color w:val="808080"/>
          <w:sz w:val="20"/>
          <w:szCs w:val="20"/>
          <w:highlight w:val="white"/>
        </w:rPr>
        <w:t>Personal</w:t>
      </w:r>
      <w:proofErr w:type="spellEnd"/>
      <w:r>
        <w:rPr>
          <w:color w:val="808080"/>
          <w:sz w:val="20"/>
          <w:szCs w:val="20"/>
          <w:highlight w:val="white"/>
        </w:rPr>
        <w:t xml:space="preserve"> Finance (IPF), mateřská společnost českého </w:t>
      </w:r>
      <w:proofErr w:type="spellStart"/>
      <w:r>
        <w:rPr>
          <w:color w:val="808080"/>
          <w:sz w:val="20"/>
          <w:szCs w:val="20"/>
          <w:highlight w:val="white"/>
        </w:rPr>
        <w:t>Provident</w:t>
      </w:r>
      <w:proofErr w:type="spellEnd"/>
      <w:r>
        <w:rPr>
          <w:color w:val="808080"/>
          <w:sz w:val="20"/>
          <w:szCs w:val="20"/>
          <w:highlight w:val="white"/>
        </w:rPr>
        <w:t xml:space="preserve"> </w:t>
      </w:r>
      <w:proofErr w:type="spellStart"/>
      <w:r>
        <w:rPr>
          <w:color w:val="808080"/>
          <w:sz w:val="20"/>
          <w:szCs w:val="20"/>
          <w:highlight w:val="white"/>
        </w:rPr>
        <w:t>Financial</w:t>
      </w:r>
      <w:proofErr w:type="spellEnd"/>
      <w:r>
        <w:rPr>
          <w:color w:val="808080"/>
          <w:sz w:val="20"/>
          <w:szCs w:val="20"/>
          <w:highlight w:val="white"/>
        </w:rPr>
        <w:t>, vznikla v roce 2007 oddělením od britské společnosti </w:t>
      </w:r>
      <w:proofErr w:type="spellStart"/>
      <w:r>
        <w:rPr>
          <w:color w:val="808080"/>
          <w:sz w:val="20"/>
          <w:szCs w:val="20"/>
          <w:highlight w:val="white"/>
        </w:rPr>
        <w:t>Provident</w:t>
      </w:r>
      <w:proofErr w:type="spellEnd"/>
      <w:r>
        <w:rPr>
          <w:color w:val="808080"/>
          <w:sz w:val="20"/>
          <w:szCs w:val="20"/>
          <w:highlight w:val="white"/>
        </w:rPr>
        <w:t> </w:t>
      </w:r>
      <w:proofErr w:type="spellStart"/>
      <w:r>
        <w:rPr>
          <w:color w:val="808080"/>
          <w:sz w:val="20"/>
          <w:szCs w:val="20"/>
          <w:highlight w:val="white"/>
        </w:rPr>
        <w:t>Financial</w:t>
      </w:r>
      <w:proofErr w:type="spellEnd"/>
      <w:r>
        <w:rPr>
          <w:color w:val="808080"/>
          <w:sz w:val="20"/>
          <w:szCs w:val="20"/>
          <w:highlight w:val="white"/>
        </w:rPr>
        <w:t> </w:t>
      </w:r>
      <w:proofErr w:type="spellStart"/>
      <w:r>
        <w:rPr>
          <w:color w:val="808080"/>
          <w:sz w:val="20"/>
          <w:szCs w:val="20"/>
          <w:highlight w:val="white"/>
        </w:rPr>
        <w:t>plc</w:t>
      </w:r>
      <w:proofErr w:type="spellEnd"/>
      <w:r>
        <w:rPr>
          <w:color w:val="808080"/>
          <w:sz w:val="20"/>
          <w:szCs w:val="20"/>
          <w:highlight w:val="white"/>
        </w:rPr>
        <w:t>, která působí ve Velké Británii již od roku 1880. IPF pod obchodním označením </w:t>
      </w:r>
      <w:proofErr w:type="spellStart"/>
      <w:r>
        <w:rPr>
          <w:color w:val="808080"/>
          <w:sz w:val="20"/>
          <w:szCs w:val="20"/>
          <w:highlight w:val="white"/>
        </w:rPr>
        <w:t>Provident</w:t>
      </w:r>
      <w:proofErr w:type="spellEnd"/>
      <w:r>
        <w:rPr>
          <w:color w:val="808080"/>
          <w:sz w:val="20"/>
          <w:szCs w:val="20"/>
          <w:highlight w:val="white"/>
        </w:rPr>
        <w:t> v současnosti působí v 9 zemích světa: v České republice, Polsku, Maďarsku, Rumunsku, Litvě, Lotyšsku, Estonsku, Austrálii a v Mexiku. Prostřednictvím své sítě 16 700 obchodních zástupců poskytuje služby 1,7 milionům zákazníků a zaměstnává skoro 7 000 lidí. IPF je od svého vzniku kotována na londýnské burze cenných papírů od svého vzniku (IPF.L). </w:t>
      </w:r>
      <w:hyperlink r:id="rId16">
        <w:r w:rsidR="00B07BD0">
          <w:rPr>
            <w:color w:val="0563C1"/>
            <w:sz w:val="20"/>
            <w:szCs w:val="20"/>
            <w:highlight w:val="white"/>
            <w:u w:val="single"/>
          </w:rPr>
          <w:t>www.ipfin.co.uk</w:t>
        </w:r>
      </w:hyperlink>
    </w:p>
    <w:sectPr w:rsidR="00B07BD0">
      <w:headerReference w:type="default" r:id="rId17"/>
      <w:footerReference w:type="default" r:id="rId18"/>
      <w:pgSz w:w="11906" w:h="16838"/>
      <w:pgMar w:top="3629" w:right="1418" w:bottom="2552" w:left="2540" w:header="1990" w:footer="56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7D2F3" w14:textId="77777777" w:rsidR="008F2543" w:rsidRDefault="008F2543">
      <w:pPr>
        <w:spacing w:after="0"/>
      </w:pPr>
      <w:r>
        <w:separator/>
      </w:r>
    </w:p>
  </w:endnote>
  <w:endnote w:type="continuationSeparator" w:id="0">
    <w:p w14:paraId="66B5EBEE" w14:textId="77777777" w:rsidR="008F2543" w:rsidRDefault="008F25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DE4CA4-EF6D-492D-9FF7-0E7298B0175C}"/>
  </w:font>
  <w:font w:name="Courier New">
    <w:panose1 w:val="02070309020205020404"/>
    <w:charset w:val="EE"/>
    <w:family w:val="modern"/>
    <w:pitch w:val="fixed"/>
    <w:sig w:usb0="E0002EFF" w:usb1="C0007843" w:usb2="00000009" w:usb3="00000000" w:csb0="000001FF" w:csb1="00000000"/>
  </w:font>
  <w:font w:name="Quicksand">
    <w:altName w:val="Calibri"/>
    <w:charset w:val="00"/>
    <w:family w:val="auto"/>
    <w:pitch w:val="default"/>
    <w:embedRegular r:id="rId2" w:fontKey="{E9BBC10A-A040-487C-9FDA-B25DEC70B5CF}"/>
    <w:embedBold r:id="rId3" w:fontKey="{D9193863-FA91-497F-86F3-79746BB6545E}"/>
    <w:embedItalic r:id="rId4" w:fontKey="{90167747-50E8-4E96-B5A5-F3E11B0EF137}"/>
    <w:embedBoldItalic r:id="rId5" w:fontKey="{A49BD7CA-A427-47F2-B7F4-ABFF2BF20456}"/>
  </w:font>
  <w:font w:name="Quicksand SemiBold">
    <w:charset w:val="00"/>
    <w:family w:val="auto"/>
    <w:pitch w:val="default"/>
    <w:embedRegular r:id="rId6" w:fontKey="{DFF65A5D-2F25-4666-9591-40E334FE10E9}"/>
  </w:font>
  <w:font w:name="Calibri">
    <w:panose1 w:val="020F0502020204030204"/>
    <w:charset w:val="EE"/>
    <w:family w:val="swiss"/>
    <w:pitch w:val="variable"/>
    <w:sig w:usb0="E4002EFF" w:usb1="C200247B" w:usb2="00000009" w:usb3="00000000" w:csb0="000001FF" w:csb1="00000000"/>
    <w:embedRegular r:id="rId7" w:fontKey="{BB1BA837-F03B-4F75-B185-F445E40F1DEB}"/>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otham Rounded Book">
    <w:altName w:val="Calibri"/>
    <w:charset w:val="00"/>
    <w:family w:val="modern"/>
    <w:pitch w:val="variable"/>
    <w:sig w:usb0="A00000FF" w:usb1="4000004A" w:usb2="00000000" w:usb3="00000000" w:csb0="0000000B" w:csb1="00000000"/>
  </w:font>
  <w:font w:name="Segoe UI">
    <w:panose1 w:val="020B0502040204020203"/>
    <w:charset w:val="EE"/>
    <w:family w:val="swiss"/>
    <w:pitch w:val="variable"/>
    <w:sig w:usb0="E4002EFF" w:usb1="C000E47F" w:usb2="00000009" w:usb3="00000000" w:csb0="000001FF" w:csb1="00000000"/>
    <w:embedRegular r:id="rId8" w:fontKey="{14486C61-BECE-46AA-84D1-43EBFF9C243E}"/>
  </w:font>
  <w:font w:name="Calibri Light">
    <w:panose1 w:val="020F0302020204030204"/>
    <w:charset w:val="EE"/>
    <w:family w:val="swiss"/>
    <w:pitch w:val="variable"/>
    <w:sig w:usb0="E4002EFF" w:usb1="C200247B" w:usb2="00000009" w:usb3="00000000" w:csb0="000001FF" w:csb1="00000000"/>
    <w:embedRegular r:id="rId9" w:fontKey="{5718F376-2958-41C2-BCE2-7A84D2B9B579}"/>
  </w:font>
  <w:font w:name="Georgia">
    <w:panose1 w:val="02040502050405020303"/>
    <w:charset w:val="EE"/>
    <w:family w:val="roman"/>
    <w:pitch w:val="variable"/>
    <w:sig w:usb0="00000287" w:usb1="00000000" w:usb2="00000000" w:usb3="00000000" w:csb0="0000009F" w:csb1="00000000"/>
    <w:embedRegular r:id="rId10" w:fontKey="{C187D5B9-4434-4F9D-8C44-84E91637F9F7}"/>
    <w:embedItalic r:id="rId11" w:fontKey="{0075FCD5-72BF-4D7C-A1E2-3D141960BBA0}"/>
  </w:font>
  <w:font w:name="Branding-Semibold">
    <w:altName w:val="Cambri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E796" w14:textId="77777777" w:rsidR="00B07BD0" w:rsidRDefault="00EE5FE7">
    <w:r>
      <w:rPr>
        <w:noProof/>
      </w:rPr>
      <mc:AlternateContent>
        <mc:Choice Requires="wps">
          <w:drawing>
            <wp:anchor distT="0" distB="0" distL="114300" distR="114300" simplePos="0" relativeHeight="251661312" behindDoc="0" locked="0" layoutInCell="1" hidden="0" allowOverlap="1" wp14:anchorId="7CABE7A2" wp14:editId="7CABE7A3">
              <wp:simplePos x="0" y="0"/>
              <wp:positionH relativeFrom="column">
                <wp:posOffset>3206432</wp:posOffset>
              </wp:positionH>
              <wp:positionV relativeFrom="paragraph">
                <wp:posOffset>187008</wp:posOffset>
              </wp:positionV>
              <wp:extent cx="1845310" cy="794026"/>
              <wp:effectExtent l="0" t="0" r="0" b="0"/>
              <wp:wrapNone/>
              <wp:docPr id="1070863529" name="Obdélník 1070863529"/>
              <wp:cNvGraphicFramePr/>
              <a:graphic xmlns:a="http://schemas.openxmlformats.org/drawingml/2006/main">
                <a:graphicData uri="http://schemas.microsoft.com/office/word/2010/wordprocessingShape">
                  <wps:wsp>
                    <wps:cNvSpPr/>
                    <wps:spPr>
                      <a:xfrm>
                        <a:off x="4428108" y="3387750"/>
                        <a:ext cx="1835785" cy="784501"/>
                      </a:xfrm>
                      <a:prstGeom prst="rect">
                        <a:avLst/>
                      </a:prstGeom>
                      <a:noFill/>
                      <a:ln>
                        <a:noFill/>
                      </a:ln>
                    </wps:spPr>
                    <wps:txbx>
                      <w:txbxContent>
                        <w:p w14:paraId="7CABE7AA" w14:textId="77777777" w:rsidR="00B07BD0" w:rsidRDefault="00EE5FE7">
                          <w:pPr>
                            <w:spacing w:after="0"/>
                            <w:textDirection w:val="btLr"/>
                          </w:pPr>
                          <w:proofErr w:type="spellStart"/>
                          <w:r>
                            <w:rPr>
                              <w:rFonts w:ascii="Arial" w:eastAsia="Arial" w:hAnsi="Arial" w:cs="Arial"/>
                              <w:color w:val="5B9BD5"/>
                              <w:sz w:val="20"/>
                            </w:rPr>
                            <w:t>Provident</w:t>
                          </w:r>
                          <w:proofErr w:type="spellEnd"/>
                          <w:r>
                            <w:rPr>
                              <w:rFonts w:ascii="Arial" w:eastAsia="Arial" w:hAnsi="Arial" w:cs="Arial"/>
                              <w:color w:val="5B9BD5"/>
                              <w:sz w:val="20"/>
                            </w:rPr>
                            <w:t xml:space="preserve"> </w:t>
                          </w:r>
                          <w:proofErr w:type="spellStart"/>
                          <w:r>
                            <w:rPr>
                              <w:rFonts w:ascii="Arial" w:eastAsia="Arial" w:hAnsi="Arial" w:cs="Arial"/>
                              <w:color w:val="5B9BD5"/>
                              <w:sz w:val="20"/>
                            </w:rPr>
                            <w:t>Financial</w:t>
                          </w:r>
                          <w:proofErr w:type="spellEnd"/>
                          <w:r>
                            <w:rPr>
                              <w:rFonts w:ascii="Arial" w:eastAsia="Arial" w:hAnsi="Arial" w:cs="Arial"/>
                              <w:color w:val="5B9BD5"/>
                              <w:sz w:val="20"/>
                            </w:rPr>
                            <w:t> s.r.o.</w:t>
                          </w:r>
                        </w:p>
                        <w:p w14:paraId="7CABE7AB" w14:textId="77777777" w:rsidR="00B07BD0" w:rsidRDefault="00EE5FE7">
                          <w:pPr>
                            <w:spacing w:after="0"/>
                            <w:textDirection w:val="btLr"/>
                          </w:pPr>
                          <w:r>
                            <w:rPr>
                              <w:rFonts w:ascii="Arial" w:eastAsia="Arial" w:hAnsi="Arial" w:cs="Arial"/>
                              <w:color w:val="000000"/>
                              <w:sz w:val="20"/>
                            </w:rPr>
                            <w:t>Olbrachtova 9/2006, 140 00 Praha 4</w:t>
                          </w:r>
                        </w:p>
                        <w:p w14:paraId="7CABE7AC" w14:textId="77777777" w:rsidR="00B07BD0" w:rsidRDefault="00EE5FE7">
                          <w:pPr>
                            <w:spacing w:after="0"/>
                            <w:textDirection w:val="btLr"/>
                          </w:pPr>
                          <w:r>
                            <w:rPr>
                              <w:rFonts w:ascii="Arial" w:eastAsia="Arial" w:hAnsi="Arial" w:cs="Arial"/>
                              <w:color w:val="000000"/>
                              <w:sz w:val="20"/>
                            </w:rPr>
                            <w:t>IČO: 25621351</w:t>
                          </w:r>
                        </w:p>
                        <w:p w14:paraId="7CABE7AD" w14:textId="77777777" w:rsidR="00B07BD0" w:rsidRDefault="00EE5FE7">
                          <w:pPr>
                            <w:spacing w:after="0"/>
                            <w:textDirection w:val="btLr"/>
                          </w:pPr>
                          <w:r>
                            <w:rPr>
                              <w:rFonts w:ascii="Arial" w:eastAsia="Arial" w:hAnsi="Arial" w:cs="Arial"/>
                              <w:color w:val="000000"/>
                              <w:sz w:val="20"/>
                            </w:rPr>
                            <w:t>DIČ: CZ25621351</w:t>
                          </w:r>
                        </w:p>
                        <w:p w14:paraId="7CABE7AE" w14:textId="77777777" w:rsidR="00B07BD0" w:rsidRDefault="00B07BD0">
                          <w:pPr>
                            <w:spacing w:after="0"/>
                            <w:textDirection w:val="btLr"/>
                          </w:pPr>
                        </w:p>
                      </w:txbxContent>
                    </wps:txbx>
                    <wps:bodyPr spcFirstLastPara="1" wrap="square" lIns="0" tIns="0" rIns="0" bIns="0" anchor="ctr" anchorCtr="0">
                      <a:noAutofit/>
                    </wps:bodyPr>
                  </wps:wsp>
                </a:graphicData>
              </a:graphic>
            </wp:anchor>
          </w:drawing>
        </mc:Choice>
        <mc:Fallback>
          <w:pict>
            <v:rect w14:anchorId="7CABE7A2" id="Obdélník 1070863529" o:spid="_x0000_s1030" style="position:absolute;left:0;text-align:left;margin-left:252.45pt;margin-top:14.75pt;width:145.3pt;height: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" filled="f" stroked="f">
              <v:textbox inset="0,0,0,0">
                <w:txbxContent>
                  <w:p w14:paraId="7CABE7AA" w14:textId="77777777" w:rsidR="00B07BD0" w:rsidRDefault="00EE5FE7">
                    <w:pPr>
                      <w:spacing w:after="0"/>
                      <w:textDirection w:val="btLr"/>
                    </w:pPr>
                    <w:proofErr w:type="spellStart"/>
                    <w:r>
                      <w:rPr>
                        <w:rFonts w:ascii="Arial" w:eastAsia="Arial" w:hAnsi="Arial" w:cs="Arial"/>
                        <w:color w:val="5B9BD5"/>
                        <w:sz w:val="20"/>
                      </w:rPr>
                      <w:t>Provident</w:t>
                    </w:r>
                    <w:proofErr w:type="spellEnd"/>
                    <w:r>
                      <w:rPr>
                        <w:rFonts w:ascii="Arial" w:eastAsia="Arial" w:hAnsi="Arial" w:cs="Arial"/>
                        <w:color w:val="5B9BD5"/>
                        <w:sz w:val="20"/>
                      </w:rPr>
                      <w:t xml:space="preserve"> </w:t>
                    </w:r>
                    <w:proofErr w:type="spellStart"/>
                    <w:r>
                      <w:rPr>
                        <w:rFonts w:ascii="Arial" w:eastAsia="Arial" w:hAnsi="Arial" w:cs="Arial"/>
                        <w:color w:val="5B9BD5"/>
                        <w:sz w:val="20"/>
                      </w:rPr>
                      <w:t>Financial</w:t>
                    </w:r>
                    <w:proofErr w:type="spellEnd"/>
                    <w:r>
                      <w:rPr>
                        <w:rFonts w:ascii="Arial" w:eastAsia="Arial" w:hAnsi="Arial" w:cs="Arial"/>
                        <w:color w:val="5B9BD5"/>
                        <w:sz w:val="20"/>
                      </w:rPr>
                      <w:t> s.r.o.</w:t>
                    </w:r>
                  </w:p>
                  <w:p w14:paraId="7CABE7AB" w14:textId="77777777" w:rsidR="00B07BD0" w:rsidRDefault="00EE5FE7">
                    <w:pPr>
                      <w:spacing w:after="0"/>
                      <w:textDirection w:val="btLr"/>
                    </w:pPr>
                    <w:r>
                      <w:rPr>
                        <w:rFonts w:ascii="Arial" w:eastAsia="Arial" w:hAnsi="Arial" w:cs="Arial"/>
                        <w:color w:val="000000"/>
                        <w:sz w:val="20"/>
                      </w:rPr>
                      <w:t>Olbrachtova 9/2006, 140 00 Praha 4</w:t>
                    </w:r>
                  </w:p>
                  <w:p w14:paraId="7CABE7AC" w14:textId="77777777" w:rsidR="00B07BD0" w:rsidRDefault="00EE5FE7">
                    <w:pPr>
                      <w:spacing w:after="0"/>
                      <w:textDirection w:val="btLr"/>
                    </w:pPr>
                    <w:r>
                      <w:rPr>
                        <w:rFonts w:ascii="Arial" w:eastAsia="Arial" w:hAnsi="Arial" w:cs="Arial"/>
                        <w:color w:val="000000"/>
                        <w:sz w:val="20"/>
                      </w:rPr>
                      <w:t>IČO: 25621351</w:t>
                    </w:r>
                  </w:p>
                  <w:p w14:paraId="7CABE7AD" w14:textId="77777777" w:rsidR="00B07BD0" w:rsidRDefault="00EE5FE7">
                    <w:pPr>
                      <w:spacing w:after="0"/>
                      <w:textDirection w:val="btLr"/>
                    </w:pPr>
                    <w:r>
                      <w:rPr>
                        <w:rFonts w:ascii="Arial" w:eastAsia="Arial" w:hAnsi="Arial" w:cs="Arial"/>
                        <w:color w:val="000000"/>
                        <w:sz w:val="20"/>
                      </w:rPr>
                      <w:t>DIČ: CZ25621351</w:t>
                    </w:r>
                  </w:p>
                  <w:p w14:paraId="7CABE7AE" w14:textId="77777777" w:rsidR="00B07BD0" w:rsidRDefault="00B07BD0">
                    <w:pPr>
                      <w:spacing w:after="0"/>
                      <w:textDirection w:val="btLr"/>
                    </w:pPr>
                  </w:p>
                </w:txbxContent>
              </v:textbox>
            </v:rect>
          </w:pict>
        </mc:Fallback>
      </mc:AlternateContent>
    </w:r>
  </w:p>
  <w:p w14:paraId="7CABE797" w14:textId="77777777" w:rsidR="00B07BD0" w:rsidRDefault="00EE5FE7">
    <w:pPr>
      <w:spacing w:after="60"/>
      <w:rPr>
        <w:rFonts w:ascii="Arial" w:eastAsia="Arial" w:hAnsi="Arial" w:cs="Arial"/>
        <w:b/>
        <w:color w:val="000000"/>
        <w:sz w:val="20"/>
        <w:szCs w:val="20"/>
      </w:rPr>
    </w:pPr>
    <w:r>
      <w:rPr>
        <w:rFonts w:ascii="Arial" w:eastAsia="Arial" w:hAnsi="Arial" w:cs="Arial"/>
        <w:b/>
        <w:color w:val="000000"/>
        <w:sz w:val="20"/>
        <w:szCs w:val="20"/>
      </w:rPr>
      <w:t>Jana Austová Pikardová</w:t>
    </w:r>
    <w:r>
      <w:rPr>
        <w:rFonts w:ascii="Arial" w:eastAsia="Arial" w:hAnsi="Arial" w:cs="Arial"/>
        <w:b/>
        <w:sz w:val="20"/>
        <w:szCs w:val="20"/>
      </w:rPr>
      <w:t xml:space="preserve"> </w:t>
    </w:r>
    <w:r>
      <w:rPr>
        <w:rFonts w:ascii="Arial" w:eastAsia="Arial" w:hAnsi="Arial" w:cs="Arial"/>
        <w:b/>
        <w:color w:val="000000"/>
        <w:sz w:val="20"/>
        <w:szCs w:val="20"/>
      </w:rPr>
      <w:t>| tisková mluvčí</w:t>
    </w:r>
    <w:r>
      <w:rPr>
        <w:noProof/>
      </w:rPr>
      <w:drawing>
        <wp:anchor distT="0" distB="0" distL="114300" distR="114300" simplePos="0" relativeHeight="251662336" behindDoc="0" locked="0" layoutInCell="1" hidden="0" allowOverlap="1" wp14:anchorId="7CABE7A4" wp14:editId="7CABE7A5">
          <wp:simplePos x="0" y="0"/>
          <wp:positionH relativeFrom="column">
            <wp:posOffset>-213455</wp:posOffset>
          </wp:positionH>
          <wp:positionV relativeFrom="paragraph">
            <wp:posOffset>164201</wp:posOffset>
          </wp:positionV>
          <wp:extent cx="155599" cy="345775"/>
          <wp:effectExtent l="0" t="0" r="0" b="0"/>
          <wp:wrapSquare wrapText="bothSides" distT="0" distB="0" distL="114300" distR="114300"/>
          <wp:docPr id="10708635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55599" cy="345775"/>
                  </a:xfrm>
                  <a:prstGeom prst="rect">
                    <a:avLst/>
                  </a:prstGeom>
                  <a:ln/>
                </pic:spPr>
              </pic:pic>
            </a:graphicData>
          </a:graphic>
        </wp:anchor>
      </w:drawing>
    </w:r>
  </w:p>
  <w:p w14:paraId="7CABE798" w14:textId="77777777" w:rsidR="00B07BD0" w:rsidRDefault="00EE5FE7">
    <w:pPr>
      <w:spacing w:after="0" w:line="276" w:lineRule="auto"/>
      <w:rPr>
        <w:rFonts w:ascii="Arial" w:eastAsia="Arial" w:hAnsi="Arial" w:cs="Arial"/>
        <w:color w:val="000000"/>
        <w:sz w:val="20"/>
        <w:szCs w:val="20"/>
      </w:rPr>
    </w:pPr>
    <w:r>
      <w:rPr>
        <w:rFonts w:ascii="Arial" w:eastAsia="Arial" w:hAnsi="Arial" w:cs="Arial"/>
        <w:color w:val="000000"/>
        <w:sz w:val="20"/>
        <w:szCs w:val="20"/>
      </w:rPr>
      <w:t>+420 724 573 665</w:t>
    </w:r>
  </w:p>
  <w:p w14:paraId="7CABE799" w14:textId="77777777" w:rsidR="00B07BD0" w:rsidRDefault="00EE5FE7">
    <w:pPr>
      <w:spacing w:after="0" w:line="276" w:lineRule="auto"/>
      <w:rPr>
        <w:rFonts w:ascii="Arial" w:eastAsia="Arial" w:hAnsi="Arial" w:cs="Arial"/>
        <w:color w:val="000000"/>
        <w:sz w:val="20"/>
        <w:szCs w:val="20"/>
      </w:rPr>
    </w:pPr>
    <w:r>
      <w:rPr>
        <w:rFonts w:ascii="Arial" w:eastAsia="Arial" w:hAnsi="Arial" w:cs="Arial"/>
        <w:color w:val="000000"/>
        <w:sz w:val="20"/>
        <w:szCs w:val="20"/>
      </w:rPr>
      <w:t>jana.pikardova@provident.cz</w:t>
    </w:r>
  </w:p>
  <w:p w14:paraId="7CABE79A" w14:textId="77777777" w:rsidR="00B07BD0" w:rsidRDefault="00B07BD0">
    <w:pPr>
      <w:spacing w:after="60"/>
      <w:rPr>
        <w:rFonts w:ascii="Arial" w:eastAsia="Arial" w:hAnsi="Arial" w:cs="Arial"/>
        <w:color w:val="000000"/>
        <w:sz w:val="20"/>
        <w:szCs w:val="20"/>
      </w:rPr>
    </w:pPr>
  </w:p>
  <w:p w14:paraId="7CABE79B" w14:textId="77777777" w:rsidR="00B07BD0" w:rsidRDefault="00B07B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83415" w14:textId="77777777" w:rsidR="008F2543" w:rsidRDefault="008F2543">
      <w:pPr>
        <w:spacing w:after="0"/>
      </w:pPr>
      <w:r>
        <w:separator/>
      </w:r>
    </w:p>
  </w:footnote>
  <w:footnote w:type="continuationSeparator" w:id="0">
    <w:p w14:paraId="3BF72941" w14:textId="77777777" w:rsidR="008F2543" w:rsidRDefault="008F25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E794" w14:textId="77777777" w:rsidR="00B07BD0" w:rsidRDefault="00EE5FE7">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58240" behindDoc="0" locked="0" layoutInCell="1" hidden="0" allowOverlap="1" wp14:anchorId="7CABE79C" wp14:editId="7CABE79D">
          <wp:simplePos x="0" y="0"/>
          <wp:positionH relativeFrom="column">
            <wp:posOffset>4107179</wp:posOffset>
          </wp:positionH>
          <wp:positionV relativeFrom="paragraph">
            <wp:posOffset>-634999</wp:posOffset>
          </wp:positionV>
          <wp:extent cx="939800" cy="521335"/>
          <wp:effectExtent l="0" t="0" r="0" b="0"/>
          <wp:wrapSquare wrapText="bothSides" distT="0" distB="0" distL="114300" distR="114300"/>
          <wp:docPr id="1070863531" name="image4.jpg" descr="Obsah obrázku Grafika, Písmo, text, grafický design&#10;&#10;Popis byl vytvořen automaticky"/>
          <wp:cNvGraphicFramePr/>
          <a:graphic xmlns:a="http://schemas.openxmlformats.org/drawingml/2006/main">
            <a:graphicData uri="http://schemas.openxmlformats.org/drawingml/2006/picture">
              <pic:pic xmlns:pic="http://schemas.openxmlformats.org/drawingml/2006/picture">
                <pic:nvPicPr>
                  <pic:cNvPr id="0" name="image4.jpg" descr="Obsah obrázku Grafika, Písmo, text, grafický design&#10;&#10;Popis byl vytvořen automaticky"/>
                  <pic:cNvPicPr preferRelativeResize="0"/>
                </pic:nvPicPr>
                <pic:blipFill>
                  <a:blip r:embed="rId1"/>
                  <a:srcRect/>
                  <a:stretch>
                    <a:fillRect/>
                  </a:stretch>
                </pic:blipFill>
                <pic:spPr>
                  <a:xfrm>
                    <a:off x="0" y="0"/>
                    <a:ext cx="939800" cy="521335"/>
                  </a:xfrm>
                  <a:prstGeom prst="rect">
                    <a:avLst/>
                  </a:prstGeom>
                  <a:ln/>
                </pic:spPr>
              </pic:pic>
            </a:graphicData>
          </a:graphic>
        </wp:anchor>
      </w:drawing>
    </w:r>
  </w:p>
  <w:p w14:paraId="7CABE795" w14:textId="77777777" w:rsidR="00B07BD0" w:rsidRDefault="00EE5FE7">
    <w:pPr>
      <w:pBdr>
        <w:top w:val="nil"/>
        <w:left w:val="nil"/>
        <w:bottom w:val="nil"/>
        <w:right w:val="nil"/>
        <w:between w:val="nil"/>
      </w:pBdr>
      <w:tabs>
        <w:tab w:val="center" w:pos="4536"/>
        <w:tab w:val="right" w:pos="9072"/>
      </w:tabs>
      <w:spacing w:after="0"/>
      <w:rPr>
        <w:color w:val="000000"/>
      </w:rPr>
    </w:pPr>
    <w:r>
      <w:rPr>
        <w:noProof/>
        <w:color w:val="000000"/>
      </w:rPr>
      <mc:AlternateContent>
        <mc:Choice Requires="wps">
          <w:drawing>
            <wp:anchor distT="0" distB="0" distL="114300" distR="114300" simplePos="0" relativeHeight="251659264" behindDoc="0" locked="0" layoutInCell="1" hidden="0" allowOverlap="1" wp14:anchorId="7CABE79E" wp14:editId="7CABE79F">
              <wp:simplePos x="0" y="0"/>
              <wp:positionH relativeFrom="page">
                <wp:align>left</wp:align>
              </wp:positionH>
              <wp:positionV relativeFrom="topMargin">
                <wp:posOffset>-561021</wp:posOffset>
              </wp:positionV>
              <wp:extent cx="1028325" cy="10701525"/>
              <wp:effectExtent l="0" t="0" r="0" b="0"/>
              <wp:wrapNone/>
              <wp:docPr id="1070863526" name="Obdélník 1070863526"/>
              <wp:cNvGraphicFramePr/>
              <a:graphic xmlns:a="http://schemas.openxmlformats.org/drawingml/2006/main">
                <a:graphicData uri="http://schemas.microsoft.com/office/word/2010/wordprocessingShape">
                  <wps:wsp>
                    <wps:cNvSpPr/>
                    <wps:spPr>
                      <a:xfrm>
                        <a:off x="4836600" y="0"/>
                        <a:ext cx="1018800" cy="7560000"/>
                      </a:xfrm>
                      <a:prstGeom prst="rect">
                        <a:avLst/>
                      </a:prstGeom>
                      <a:solidFill>
                        <a:srgbClr val="F2F2F2"/>
                      </a:solidFill>
                      <a:ln>
                        <a:noFill/>
                      </a:ln>
                    </wps:spPr>
                    <wps:txbx>
                      <w:txbxContent>
                        <w:p w14:paraId="7CABE7A8" w14:textId="77777777" w:rsidR="00B07BD0" w:rsidRDefault="00B07BD0">
                          <w:pPr>
                            <w:spacing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CABE79E" id="Obdélník 1070863526" o:spid="_x0000_s1028" style="position:absolute;left:0;text-align:left;margin-left:0;margin-top:-44.15pt;width:80.95pt;height:842.65pt;z-index:251659264;visibility:visible;mso-wrap-style:square;mso-wrap-distance-left:9pt;mso-wrap-distance-top:0;mso-wrap-distance-right:9pt;mso-wrap-distance-bottom:0;mso-position-horizontal:left;mso-position-horizontal-relative:page;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" fillcolor="#f2f2f2" stroked="f">
              <v:textbox inset="2.53958mm,2.53958mm,2.53958mm,2.53958mm">
                <w:txbxContent>
                  <w:p w14:paraId="7CABE7A8" w14:textId="77777777" w:rsidR="00B07BD0" w:rsidRDefault="00B07BD0">
                    <w:pPr>
                      <w:spacing w:after="0"/>
                      <w:jc w:val="left"/>
                      <w:textDirection w:val="btLr"/>
                    </w:pPr>
                  </w:p>
                </w:txbxContent>
              </v:textbox>
              <w10:wrap anchorx="page" anchory="margin"/>
            </v:rect>
          </w:pict>
        </mc:Fallback>
      </mc:AlternateContent>
    </w:r>
    <w:r>
      <w:rPr>
        <w:noProof/>
      </w:rPr>
      <mc:AlternateContent>
        <mc:Choice Requires="wps">
          <w:drawing>
            <wp:anchor distT="0" distB="0" distL="114300" distR="114300" simplePos="0" relativeHeight="251660288" behindDoc="0" locked="0" layoutInCell="1" hidden="0" allowOverlap="1" wp14:anchorId="7CABE7A0" wp14:editId="7CABE7A1">
              <wp:simplePos x="0" y="0"/>
              <wp:positionH relativeFrom="column">
                <wp:posOffset>-1133659</wp:posOffset>
              </wp:positionH>
              <wp:positionV relativeFrom="paragraph">
                <wp:posOffset>-896745</wp:posOffset>
              </wp:positionV>
              <wp:extent cx="1399518" cy="1399518"/>
              <wp:effectExtent l="0" t="0" r="0" b="0"/>
              <wp:wrapNone/>
              <wp:docPr id="1070863527" name="Ovál 1070863527"/>
              <wp:cNvGraphicFramePr/>
              <a:graphic xmlns:a="http://schemas.openxmlformats.org/drawingml/2006/main">
                <a:graphicData uri="http://schemas.microsoft.com/office/word/2010/wordprocessingShape">
                  <wps:wsp>
                    <wps:cNvSpPr/>
                    <wps:spPr>
                      <a:xfrm>
                        <a:off x="4651004" y="3085004"/>
                        <a:ext cx="1389993" cy="1389993"/>
                      </a:xfrm>
                      <a:prstGeom prst="ellipse">
                        <a:avLst/>
                      </a:prstGeom>
                      <a:gradFill>
                        <a:gsLst>
                          <a:gs pos="0">
                            <a:srgbClr val="ADDA43"/>
                          </a:gs>
                          <a:gs pos="50000">
                            <a:srgbClr val="55B883"/>
                          </a:gs>
                          <a:gs pos="100000">
                            <a:srgbClr val="02ACE9"/>
                          </a:gs>
                        </a:gsLst>
                        <a:lin ang="2700000" scaled="0"/>
                      </a:gradFill>
                      <a:ln>
                        <a:noFill/>
                      </a:ln>
                    </wps:spPr>
                    <wps:txbx>
                      <w:txbxContent>
                        <w:p w14:paraId="7CABE7A9" w14:textId="77777777" w:rsidR="00B07BD0" w:rsidRDefault="00EE5FE7">
                          <w:pPr>
                            <w:jc w:val="center"/>
                            <w:textDirection w:val="btLr"/>
                          </w:pPr>
                          <w:r>
                            <w:rPr>
                              <w:rFonts w:ascii="Quicksand SemiBold" w:eastAsia="Quicksand SemiBold" w:hAnsi="Quicksand SemiBold" w:cs="Quicksand SemiBold"/>
                              <w:color w:val="FFFFFF"/>
                              <w:sz w:val="32"/>
                            </w:rPr>
                            <w:t>Tisková</w:t>
                          </w:r>
                          <w:r>
                            <w:rPr>
                              <w:rFonts w:ascii="Quicksand SemiBold" w:eastAsia="Quicksand SemiBold" w:hAnsi="Quicksand SemiBold" w:cs="Quicksand SemiBold"/>
                              <w:color w:val="FFFFFF"/>
                              <w:sz w:val="32"/>
                            </w:rPr>
                            <w:br/>
                            <w:t>zpráva</w:t>
                          </w:r>
                        </w:p>
                      </w:txbxContent>
                    </wps:txbx>
                    <wps:bodyPr spcFirstLastPara="1" wrap="square" lIns="0" tIns="0" rIns="0" bIns="46800" anchor="ctr" anchorCtr="0">
                      <a:noAutofit/>
                    </wps:bodyPr>
                  </wps:wsp>
                </a:graphicData>
              </a:graphic>
            </wp:anchor>
          </w:drawing>
        </mc:Choice>
        <mc:Fallback>
          <w:pict>
            <v:oval w14:anchorId="7CABE7A0" id="Ovál 1070863527" o:spid="_x0000_s1029" style="position:absolute;left:0;text-align:left;margin-left:-89.25pt;margin-top:-70.6pt;width:110.2pt;height:110.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" fillcolor="#adda43" stroked="f">
              <v:fill color2="#02ace9" angle="45" colors="0 #adda43;.5 #55b883;1 #02ace9" focus="100%" type="gradient">
                <o:fill v:ext="view" type="gradientUnscaled"/>
              </v:fill>
              <v:textbox inset="0,0,0,1.3mm">
                <w:txbxContent>
                  <w:p w14:paraId="7CABE7A9" w14:textId="77777777" w:rsidR="00B07BD0" w:rsidRDefault="00EE5FE7">
                    <w:pPr>
                      <w:jc w:val="center"/>
                      <w:textDirection w:val="btLr"/>
                    </w:pPr>
                    <w:r>
                      <w:rPr>
                        <w:rFonts w:ascii="Quicksand SemiBold" w:eastAsia="Quicksand SemiBold" w:hAnsi="Quicksand SemiBold" w:cs="Quicksand SemiBold"/>
                        <w:color w:val="FFFFFF"/>
                        <w:sz w:val="32"/>
                      </w:rPr>
                      <w:t>Tisková</w:t>
                    </w:r>
                    <w:r>
                      <w:rPr>
                        <w:rFonts w:ascii="Quicksand SemiBold" w:eastAsia="Quicksand SemiBold" w:hAnsi="Quicksand SemiBold" w:cs="Quicksand SemiBold"/>
                        <w:color w:val="FFFFFF"/>
                        <w:sz w:val="32"/>
                      </w:rPr>
                      <w:br/>
                      <w:t>zpráva</w:t>
                    </w:r>
                  </w:p>
                </w:txbxContent>
              </v:textbox>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D60F31"/>
    <w:multiLevelType w:val="multilevel"/>
    <w:tmpl w:val="DE585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78084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BD0"/>
    <w:rsid w:val="00042334"/>
    <w:rsid w:val="000C2958"/>
    <w:rsid w:val="002E53F7"/>
    <w:rsid w:val="0042592F"/>
    <w:rsid w:val="006A1687"/>
    <w:rsid w:val="00870932"/>
    <w:rsid w:val="008F2543"/>
    <w:rsid w:val="009D26DD"/>
    <w:rsid w:val="00A749D1"/>
    <w:rsid w:val="00B07BD0"/>
    <w:rsid w:val="00B76D72"/>
    <w:rsid w:val="00D471B0"/>
    <w:rsid w:val="00EE5FE7"/>
    <w:rsid w:val="0784A6DD"/>
    <w:rsid w:val="3B15A2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BE75B"/>
  <w15:docId w15:val="{2AA62625-05D5-442F-82B0-2874D57F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icksand" w:eastAsia="Quicksand" w:hAnsi="Quicksand" w:cs="Quicksand"/>
        <w:sz w:val="22"/>
        <w:szCs w:val="22"/>
        <w:lang w:val="cs" w:eastAsia="cs-CZ"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outlineLvl w:val="0"/>
    </w:pPr>
    <w:rPr>
      <w:rFonts w:ascii="Quicksand SemiBold" w:eastAsia="Quicksand SemiBold" w:hAnsi="Quicksand SemiBold" w:cs="Quicksand SemiBold"/>
      <w:color w:val="ADDA43"/>
      <w:sz w:val="24"/>
      <w:szCs w:val="24"/>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40" w:after="0"/>
      <w:outlineLvl w:val="2"/>
    </w:pPr>
    <w:rPr>
      <w:rFonts w:ascii="Calibri" w:eastAsia="Calibri" w:hAnsi="Calibri" w:cs="Calibri"/>
      <w:color w:val="1E4D78"/>
      <w:sz w:val="24"/>
      <w:szCs w:val="24"/>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pPr>
    <w:rPr>
      <w:b/>
      <w:sz w:val="72"/>
      <w:szCs w:val="72"/>
    </w:rPr>
  </w:style>
  <w:style w:type="paragraph" w:styleId="Zhlav">
    <w:name w:val="header"/>
    <w:link w:val="ZhlavChar"/>
    <w:uiPriority w:val="99"/>
    <w:unhideWhenUsed/>
    <w:rsid w:val="005E69EA"/>
    <w:pPr>
      <w:tabs>
        <w:tab w:val="center" w:pos="4536"/>
        <w:tab w:val="right" w:pos="9072"/>
      </w:tabs>
      <w:spacing w:after="0"/>
    </w:pPr>
  </w:style>
  <w:style w:type="character" w:customStyle="1" w:styleId="ZhlavChar">
    <w:name w:val="Záhlaví Char"/>
    <w:basedOn w:val="Standardnpsmoodstavce"/>
    <w:link w:val="Zhlav"/>
    <w:uiPriority w:val="99"/>
    <w:rsid w:val="005E69EA"/>
  </w:style>
  <w:style w:type="paragraph" w:styleId="Zpat">
    <w:name w:val="footer"/>
    <w:link w:val="ZpatChar"/>
    <w:uiPriority w:val="99"/>
    <w:unhideWhenUsed/>
    <w:rsid w:val="005E69EA"/>
    <w:pPr>
      <w:tabs>
        <w:tab w:val="center" w:pos="4536"/>
        <w:tab w:val="right" w:pos="9072"/>
      </w:tabs>
      <w:spacing w:after="0"/>
    </w:pPr>
  </w:style>
  <w:style w:type="character" w:customStyle="1" w:styleId="ZpatChar">
    <w:name w:val="Zápatí Char"/>
    <w:basedOn w:val="Standardnpsmoodstavce"/>
    <w:link w:val="Zpat"/>
    <w:uiPriority w:val="99"/>
    <w:rsid w:val="005E69EA"/>
  </w:style>
  <w:style w:type="paragraph" w:customStyle="1" w:styleId="Nadpis">
    <w:name w:val="Nadpis"/>
    <w:qFormat/>
    <w:rsid w:val="00F2663C"/>
    <w:rPr>
      <w:sz w:val="28"/>
      <w:szCs w:val="32"/>
    </w:rPr>
  </w:style>
  <w:style w:type="paragraph" w:customStyle="1" w:styleId="podnadpis">
    <w:name w:val="podnadpis"/>
    <w:autoRedefine/>
    <w:qFormat/>
    <w:rsid w:val="004D1207"/>
    <w:rPr>
      <w:rFonts w:ascii="Arial" w:hAnsi="Arial"/>
      <w:bCs/>
      <w:i/>
      <w:iCs/>
    </w:rPr>
  </w:style>
  <w:style w:type="paragraph" w:styleId="Bezmezer">
    <w:name w:val="No Spacing"/>
    <w:uiPriority w:val="1"/>
    <w:qFormat/>
    <w:rsid w:val="005E69EA"/>
    <w:pPr>
      <w:spacing w:after="0"/>
    </w:pPr>
  </w:style>
  <w:style w:type="paragraph" w:customStyle="1" w:styleId="datum">
    <w:name w:val="datum"/>
    <w:qFormat/>
    <w:rsid w:val="005E69EA"/>
    <w:rPr>
      <w:rFonts w:ascii="Arial" w:hAnsi="Arial"/>
      <w:color w:val="4D4D4D"/>
      <w:sz w:val="36"/>
    </w:rPr>
  </w:style>
  <w:style w:type="paragraph" w:customStyle="1" w:styleId="patika">
    <w:name w:val="patička"/>
    <w:qFormat/>
    <w:rsid w:val="005E69EA"/>
    <w:pPr>
      <w:spacing w:after="0"/>
    </w:pPr>
    <w:rPr>
      <w:rFonts w:ascii="Arial" w:eastAsia="Gotham Rounded Book" w:hAnsi="Arial"/>
      <w:color w:val="5B9BD5" w:themeColor="accent1"/>
      <w:sz w:val="20"/>
      <w:szCs w:val="20"/>
    </w:rPr>
  </w:style>
  <w:style w:type="paragraph" w:customStyle="1" w:styleId="paragraph">
    <w:name w:val="paragraph"/>
    <w:rsid w:val="005E69EA"/>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Standardnpsmoodstavce"/>
    <w:rsid w:val="005E69EA"/>
  </w:style>
  <w:style w:type="character" w:customStyle="1" w:styleId="y2iqfc">
    <w:name w:val="y2iqfc"/>
    <w:basedOn w:val="Standardnpsmoodstavce"/>
    <w:rsid w:val="005E69EA"/>
  </w:style>
  <w:style w:type="paragraph" w:customStyle="1" w:styleId="Default">
    <w:name w:val="Default"/>
    <w:rsid w:val="005E69EA"/>
    <w:pPr>
      <w:autoSpaceDE w:val="0"/>
      <w:autoSpaceDN w:val="0"/>
      <w:adjustRightInd w:val="0"/>
      <w:spacing w:after="0"/>
    </w:pPr>
    <w:rPr>
      <w:rFonts w:ascii="Arial" w:hAnsi="Arial" w:cs="Arial"/>
      <w:color w:val="000000"/>
      <w:sz w:val="24"/>
      <w:szCs w:val="24"/>
      <w:lang w:val="es-MX"/>
    </w:rPr>
  </w:style>
  <w:style w:type="paragraph" w:styleId="Textpoznpodarou">
    <w:name w:val="footnote text"/>
    <w:link w:val="TextpoznpodarouChar"/>
    <w:uiPriority w:val="99"/>
    <w:semiHidden/>
    <w:unhideWhenUsed/>
    <w:rsid w:val="00731883"/>
    <w:pPr>
      <w:spacing w:after="0"/>
    </w:pPr>
    <w:rPr>
      <w:sz w:val="20"/>
      <w:szCs w:val="20"/>
    </w:rPr>
  </w:style>
  <w:style w:type="character" w:customStyle="1" w:styleId="TextpoznpodarouChar">
    <w:name w:val="Text pozn. pod čarou Char"/>
    <w:basedOn w:val="Standardnpsmoodstavce"/>
    <w:link w:val="Textpoznpodarou"/>
    <w:uiPriority w:val="99"/>
    <w:semiHidden/>
    <w:rsid w:val="00731883"/>
    <w:rPr>
      <w:sz w:val="20"/>
      <w:szCs w:val="20"/>
    </w:rPr>
  </w:style>
  <w:style w:type="character" w:styleId="Znakapoznpodarou">
    <w:name w:val="footnote reference"/>
    <w:basedOn w:val="Standardnpsmoodstavce"/>
    <w:uiPriority w:val="99"/>
    <w:semiHidden/>
    <w:unhideWhenUsed/>
    <w:rsid w:val="00731883"/>
    <w:rPr>
      <w:vertAlign w:val="superscript"/>
    </w:rPr>
  </w:style>
  <w:style w:type="character" w:styleId="Odkaznakoment">
    <w:name w:val="annotation reference"/>
    <w:basedOn w:val="Standardnpsmoodstavce"/>
    <w:uiPriority w:val="99"/>
    <w:semiHidden/>
    <w:unhideWhenUsed/>
    <w:rsid w:val="00267A51"/>
    <w:rPr>
      <w:sz w:val="16"/>
      <w:szCs w:val="16"/>
    </w:rPr>
  </w:style>
  <w:style w:type="paragraph" w:styleId="Textkomente">
    <w:name w:val="annotation text"/>
    <w:link w:val="TextkomenteChar"/>
    <w:uiPriority w:val="99"/>
    <w:unhideWhenUsed/>
    <w:rsid w:val="00267A51"/>
    <w:rPr>
      <w:sz w:val="20"/>
      <w:szCs w:val="20"/>
    </w:rPr>
  </w:style>
  <w:style w:type="character" w:customStyle="1" w:styleId="TextkomenteChar">
    <w:name w:val="Text komentáře Char"/>
    <w:basedOn w:val="Standardnpsmoodstavce"/>
    <w:link w:val="Textkomente"/>
    <w:uiPriority w:val="99"/>
    <w:rsid w:val="00267A51"/>
    <w:rPr>
      <w:sz w:val="20"/>
      <w:szCs w:val="20"/>
    </w:rPr>
  </w:style>
  <w:style w:type="paragraph" w:styleId="Pedmtkomente">
    <w:name w:val="annotation subject"/>
    <w:basedOn w:val="Textkomente"/>
    <w:next w:val="Textkomente"/>
    <w:link w:val="PedmtkomenteChar"/>
    <w:uiPriority w:val="99"/>
    <w:semiHidden/>
    <w:unhideWhenUsed/>
    <w:rsid w:val="00267A51"/>
    <w:rPr>
      <w:b/>
      <w:bCs/>
    </w:rPr>
  </w:style>
  <w:style w:type="character" w:customStyle="1" w:styleId="PedmtkomenteChar">
    <w:name w:val="Předmět komentáře Char"/>
    <w:basedOn w:val="TextkomenteChar"/>
    <w:link w:val="Pedmtkomente"/>
    <w:uiPriority w:val="99"/>
    <w:semiHidden/>
    <w:rsid w:val="00267A51"/>
    <w:rPr>
      <w:b/>
      <w:bCs/>
      <w:sz w:val="20"/>
      <w:szCs w:val="20"/>
    </w:rPr>
  </w:style>
  <w:style w:type="paragraph" w:styleId="Textbubliny">
    <w:name w:val="Balloon Text"/>
    <w:link w:val="TextbublinyChar"/>
    <w:uiPriority w:val="99"/>
    <w:semiHidden/>
    <w:unhideWhenUsed/>
    <w:rsid w:val="00267A51"/>
    <w:pPr>
      <w:spacing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67A51"/>
    <w:rPr>
      <w:rFonts w:ascii="Segoe UI" w:hAnsi="Segoe UI" w:cs="Segoe UI"/>
      <w:sz w:val="18"/>
      <w:szCs w:val="18"/>
    </w:rPr>
  </w:style>
  <w:style w:type="character" w:styleId="Hypertextovodkaz">
    <w:name w:val="Hyperlink"/>
    <w:basedOn w:val="Standardnpsmoodstavce"/>
    <w:uiPriority w:val="99"/>
    <w:unhideWhenUsed/>
    <w:rsid w:val="00A8469E"/>
    <w:rPr>
      <w:color w:val="0563C1" w:themeColor="hyperlink"/>
      <w:u w:val="single"/>
    </w:rPr>
  </w:style>
  <w:style w:type="table" w:styleId="Mkatabulky">
    <w:name w:val="Table Grid"/>
    <w:basedOn w:val="Normlntabulka"/>
    <w:uiPriority w:val="39"/>
    <w:rsid w:val="00066F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05544"/>
    <w:rPr>
      <w:color w:val="954F72" w:themeColor="followedHyperlink"/>
      <w:u w:val="single"/>
    </w:rPr>
  </w:style>
  <w:style w:type="character" w:customStyle="1" w:styleId="spellingerror">
    <w:name w:val="spellingerror"/>
    <w:basedOn w:val="Standardnpsmoodstavce"/>
    <w:rsid w:val="001D2BC5"/>
  </w:style>
  <w:style w:type="paragraph" w:styleId="Revize">
    <w:name w:val="Revision"/>
    <w:hidden/>
    <w:uiPriority w:val="99"/>
    <w:semiHidden/>
    <w:rsid w:val="00443A7E"/>
    <w:pPr>
      <w:spacing w:after="0"/>
    </w:pPr>
  </w:style>
  <w:style w:type="character" w:customStyle="1" w:styleId="UnresolvedMention1">
    <w:name w:val="Unresolved Mention1"/>
    <w:basedOn w:val="Standardnpsmoodstavce"/>
    <w:uiPriority w:val="99"/>
    <w:unhideWhenUsed/>
    <w:rsid w:val="00990755"/>
    <w:rPr>
      <w:color w:val="605E5C"/>
      <w:shd w:val="clear" w:color="auto" w:fill="E1DFDD"/>
    </w:rPr>
  </w:style>
  <w:style w:type="character" w:customStyle="1" w:styleId="Mention1">
    <w:name w:val="Mention1"/>
    <w:basedOn w:val="Standardnpsmoodstavce"/>
    <w:uiPriority w:val="99"/>
    <w:unhideWhenUsed/>
    <w:rsid w:val="00990755"/>
    <w:rPr>
      <w:color w:val="2B579A"/>
      <w:shd w:val="clear" w:color="auto" w:fill="E1DFDD"/>
    </w:rPr>
  </w:style>
  <w:style w:type="table" w:styleId="Tmavtabulkasmkou5zvraznn6">
    <w:name w:val="Grid Table 5 Dark Accent 6"/>
    <w:basedOn w:val="Normlntabulka"/>
    <w:uiPriority w:val="50"/>
    <w:rsid w:val="00B30CE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Nevyeenzmnka1">
    <w:name w:val="Nevyřešená zmínka1"/>
    <w:basedOn w:val="Standardnpsmoodstavce"/>
    <w:uiPriority w:val="99"/>
    <w:semiHidden/>
    <w:unhideWhenUsed/>
    <w:rsid w:val="006F1989"/>
    <w:rPr>
      <w:color w:val="605E5C"/>
      <w:shd w:val="clear" w:color="auto" w:fill="E1DFDD"/>
    </w:rPr>
  </w:style>
  <w:style w:type="character" w:customStyle="1" w:styleId="Nadpis1Char">
    <w:name w:val="Nadpis 1 Char"/>
    <w:basedOn w:val="Standardnpsmoodstavce"/>
    <w:uiPriority w:val="9"/>
    <w:rsid w:val="00AA0EF7"/>
    <w:rPr>
      <w:rFonts w:ascii="Quicksand SemiBold" w:hAnsi="Quicksand SemiBold"/>
      <w:color w:val="ADDA43"/>
      <w:sz w:val="24"/>
      <w:szCs w:val="28"/>
    </w:rPr>
  </w:style>
  <w:style w:type="character" w:customStyle="1" w:styleId="article-detail-date">
    <w:name w:val="article-detail-date"/>
    <w:basedOn w:val="Standardnpsmoodstavce"/>
    <w:rsid w:val="00515C15"/>
  </w:style>
  <w:style w:type="character" w:customStyle="1" w:styleId="article-detail-categories">
    <w:name w:val="article-detail-categories"/>
    <w:basedOn w:val="Standardnpsmoodstavce"/>
    <w:rsid w:val="00515C15"/>
  </w:style>
  <w:style w:type="character" w:customStyle="1" w:styleId="article-detail-author">
    <w:name w:val="article-detail-author"/>
    <w:basedOn w:val="Standardnpsmoodstavce"/>
    <w:rsid w:val="00515C15"/>
  </w:style>
  <w:style w:type="paragraph" w:customStyle="1" w:styleId="perex">
    <w:name w:val="perex"/>
    <w:rsid w:val="00515C15"/>
    <w:pPr>
      <w:spacing w:before="100" w:beforeAutospacing="1" w:after="100" w:afterAutospacing="1"/>
    </w:pPr>
    <w:rPr>
      <w:rFonts w:ascii="Times New Roman" w:eastAsia="Times New Roman" w:hAnsi="Times New Roman" w:cs="Times New Roman"/>
      <w:sz w:val="24"/>
      <w:szCs w:val="24"/>
    </w:rPr>
  </w:style>
  <w:style w:type="paragraph" w:customStyle="1" w:styleId="Titulek1">
    <w:name w:val="Titulek1"/>
    <w:rsid w:val="00515C15"/>
    <w:pPr>
      <w:spacing w:before="100" w:beforeAutospacing="1" w:after="100" w:afterAutospacing="1"/>
    </w:pPr>
    <w:rPr>
      <w:rFonts w:ascii="Times New Roman" w:eastAsia="Times New Roman" w:hAnsi="Times New Roman" w:cs="Times New Roman"/>
      <w:sz w:val="24"/>
      <w:szCs w:val="24"/>
    </w:rPr>
  </w:style>
  <w:style w:type="paragraph" w:styleId="Normlnweb">
    <w:name w:val="Normal (Web)"/>
    <w:uiPriority w:val="99"/>
    <w:unhideWhenUsed/>
    <w:rsid w:val="00515C15"/>
    <w:pPr>
      <w:spacing w:before="100" w:beforeAutospacing="1" w:after="100" w:afterAutospacing="1"/>
    </w:pPr>
    <w:rPr>
      <w:rFonts w:ascii="Times New Roman" w:eastAsia="Times New Roman" w:hAnsi="Times New Roman" w:cs="Times New Roman"/>
      <w:sz w:val="24"/>
      <w:szCs w:val="24"/>
    </w:rPr>
  </w:style>
  <w:style w:type="character" w:styleId="Siln">
    <w:name w:val="Strong"/>
    <w:basedOn w:val="Standardnpsmoodstavce"/>
    <w:uiPriority w:val="22"/>
    <w:qFormat/>
    <w:rsid w:val="00515C15"/>
    <w:rPr>
      <w:b/>
      <w:bCs/>
    </w:rPr>
  </w:style>
  <w:style w:type="character" w:customStyle="1" w:styleId="Nadpis3Char">
    <w:name w:val="Nadpis 3 Char"/>
    <w:basedOn w:val="Standardnpsmoodstavce"/>
    <w:uiPriority w:val="9"/>
    <w:semiHidden/>
    <w:rsid w:val="00DC2AAF"/>
    <w:rPr>
      <w:rFonts w:asciiTheme="majorHAnsi" w:eastAsiaTheme="majorEastAsia" w:hAnsiTheme="majorHAnsi" w:cstheme="majorBidi"/>
      <w:color w:val="1F4D78" w:themeColor="accent1" w:themeShade="7F"/>
      <w:sz w:val="24"/>
      <w:szCs w:val="24"/>
    </w:rPr>
  </w:style>
  <w:style w:type="paragraph" w:styleId="Odstavecseseznamem">
    <w:name w:val="List Paragraph"/>
    <w:uiPriority w:val="34"/>
    <w:qFormat/>
    <w:rsid w:val="00AC2987"/>
    <w:pPr>
      <w:ind w:left="720"/>
      <w:contextualSpacing/>
    </w:pPr>
  </w:style>
  <w:style w:type="character" w:customStyle="1" w:styleId="eop">
    <w:name w:val="eop"/>
    <w:basedOn w:val="Standardnpsmoodstavce"/>
    <w:rsid w:val="00B21008"/>
  </w:style>
  <w:style w:type="character" w:customStyle="1" w:styleId="Nevyeenzmnka2">
    <w:name w:val="Nevyřešená zmínka2"/>
    <w:basedOn w:val="Standardnpsmoodstavce"/>
    <w:uiPriority w:val="99"/>
    <w:semiHidden/>
    <w:unhideWhenUsed/>
    <w:rsid w:val="00981944"/>
    <w:rPr>
      <w:color w:val="605E5C"/>
      <w:shd w:val="clear" w:color="auto" w:fill="E1DFDD"/>
    </w:rPr>
  </w:style>
  <w:style w:type="paragraph" w:customStyle="1" w:styleId="Boilerplate">
    <w:name w:val="Boiler plate"/>
    <w:link w:val="BoilerplateChar"/>
    <w:qFormat/>
    <w:rsid w:val="003F553C"/>
    <w:rPr>
      <w:rFonts w:eastAsia="Times New Roman"/>
      <w:color w:val="808080"/>
      <w:sz w:val="20"/>
      <w:szCs w:val="20"/>
      <w:shd w:val="clear" w:color="auto" w:fill="FFFFFF"/>
    </w:rPr>
  </w:style>
  <w:style w:type="character" w:customStyle="1" w:styleId="BoilerplateChar">
    <w:name w:val="Boiler plate Char"/>
    <w:basedOn w:val="Standardnpsmoodstavce"/>
    <w:link w:val="Boilerplate"/>
    <w:rsid w:val="003F553C"/>
    <w:rPr>
      <w:rFonts w:ascii="Quicksand" w:eastAsia="Times New Roman" w:hAnsi="Quicksand" w:cs="Arial"/>
      <w:color w:val="808080"/>
      <w:sz w:val="20"/>
      <w:szCs w:val="20"/>
      <w:lang w:eastAsia="cs-CZ"/>
    </w:rPr>
  </w:style>
  <w:style w:type="paragraph" w:styleId="Podnadpis0">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ipfin.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creditea.cz"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ovident.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4bd89eb-21fa-4fdd-b1c5-cc2ed2d0c008">
      <Terms xmlns="http://schemas.microsoft.com/office/infopath/2007/PartnerControls"/>
    </lcf76f155ced4ddcb4097134ff3c332f>
    <TaxCatchAll xmlns="c8a507f3-de26-4dcb-9614-5e60dd875d15"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Sp8EldvbtkObTHc6pQQGPl/cjw==">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6049F4E44D781B4280EE4EB09E3B3596" ma:contentTypeVersion="19" ma:contentTypeDescription="Vytvoří nový dokument" ma:contentTypeScope="" ma:versionID="5fedc12e6f7814c9f76329b7efd1e237">
  <xsd:schema xmlns:xsd="http://www.w3.org/2001/XMLSchema" xmlns:xs="http://www.w3.org/2001/XMLSchema" xmlns:p="http://schemas.microsoft.com/office/2006/metadata/properties" xmlns:ns2="c8a507f3-de26-4dcb-9614-5e60dd875d15" xmlns:ns3="c4bd89eb-21fa-4fdd-b1c5-cc2ed2d0c008" targetNamespace="http://schemas.microsoft.com/office/2006/metadata/properties" ma:root="true" ma:fieldsID="19f4e3b11c0d32d86c8c17c0b8b4204b" ns2:_="" ns3:_="">
    <xsd:import namespace="c8a507f3-de26-4dcb-9614-5e60dd875d15"/>
    <xsd:import namespace="c4bd89eb-21fa-4fdd-b1c5-cc2ed2d0c00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07f3-de26-4dcb-9614-5e60dd875d15"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a34f33a0-a0b5-4444-b48e-bcfff9f0187f}" ma:internalName="TaxCatchAll" ma:showField="CatchAllData" ma:web="c8a507f3-de26-4dcb-9614-5e60dd875d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4bd89eb-21fa-4fdd-b1c5-cc2ed2d0c00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edeee852-b1e8-43a3-9a8c-e309434119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2CDEFA-5586-4BDB-9F35-8191C83055D8}">
  <ds:schemaRefs>
    <ds:schemaRef ds:uri="http://schemas.microsoft.com/office/2006/metadata/properties"/>
    <ds:schemaRef ds:uri="http://schemas.microsoft.com/office/infopath/2007/PartnerControls"/>
    <ds:schemaRef ds:uri="c4bd89eb-21fa-4fdd-b1c5-cc2ed2d0c008"/>
    <ds:schemaRef ds:uri="c8a507f3-de26-4dcb-9614-5e60dd875d1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D12D88B-4F40-4843-8E50-E43544F07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07f3-de26-4dcb-9614-5e60dd875d15"/>
    <ds:schemaRef ds:uri="c4bd89eb-21fa-4fdd-b1c5-cc2ed2d0c0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1422CE-E30E-4D33-81E0-BA084ADD4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958</Words>
  <Characters>5656</Characters>
  <Application>Microsoft Office Word</Application>
  <DocSecurity>0</DocSecurity>
  <Lines>47</Lines>
  <Paragraphs>13</Paragraphs>
  <ScaleCrop>false</ScaleCrop>
  <Company/>
  <LinksUpToDate>false</LinksUpToDate>
  <CharactersWithSpaces>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Pikardova Jana (CZ)</dc:creator>
  <cp:lastModifiedBy>Hansen Adéla</cp:lastModifiedBy>
  <cp:revision>2</cp:revision>
  <dcterms:created xsi:type="dcterms:W3CDTF">2025-11-12T14:13:00Z</dcterms:created>
  <dcterms:modified xsi:type="dcterms:W3CDTF">2025-11-12T14:13:00Z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y fmtid="{D5CDD505-2E9C-101B-9397-08002B2CF9AE}" pid="3" name="MediaServiceImageTags">
    <vt:lpwstr/>
  </property>
  <property fmtid="{D5CDD505-2E9C-101B-9397-08002B2CF9AE}" pid="4" name="GrammarlyDocumentId">
    <vt:lpwstr>e76154618f734d2238970e591e91a34b69dd1f2a3b08d86dee32af83b389b9fe</vt:lpwstr>
  </property>
</Properties>
</file>