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FB89D" w14:textId="7B9A3EA5" w:rsidR="00C55576" w:rsidRDefault="00C55576" w:rsidP="00C55576">
      <w:pPr>
        <w:pBdr>
          <w:top w:val="nil"/>
          <w:left w:val="nil"/>
          <w:bottom w:val="nil"/>
          <w:right w:val="nil"/>
          <w:between w:val="nil"/>
        </w:pBdr>
        <w:spacing w:before="200" w:line="280" w:lineRule="auto"/>
        <w:rPr>
          <w:rFonts w:ascii="Arial" w:eastAsia="Arial" w:hAnsi="Arial" w:cs="Arial"/>
          <w:color w:val="20262E"/>
          <w:sz w:val="22"/>
          <w:szCs w:val="22"/>
        </w:rPr>
      </w:pPr>
      <w:r w:rsidRPr="00C55576">
        <w:rPr>
          <w:rFonts w:ascii="Arial" w:eastAsia="Arial" w:hAnsi="Arial" w:cs="Arial"/>
          <w:color w:val="20262E"/>
          <w:sz w:val="22"/>
          <w:szCs w:val="22"/>
        </w:rPr>
        <w:t>TISKOVÁ ZPRÁVA</w:t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</w:r>
      <w:r w:rsidRPr="00C55576">
        <w:rPr>
          <w:rFonts w:ascii="Arial" w:eastAsia="Arial" w:hAnsi="Arial" w:cs="Arial"/>
          <w:color w:val="20262E"/>
          <w:sz w:val="22"/>
          <w:szCs w:val="22"/>
        </w:rPr>
        <w:tab/>
        <w:t xml:space="preserve">10. dubna 2024        </w:t>
      </w:r>
    </w:p>
    <w:p w14:paraId="7190A703" w14:textId="77777777" w:rsidR="00C55576" w:rsidRPr="00C55576" w:rsidRDefault="00C55576" w:rsidP="00C55576">
      <w:pPr>
        <w:pBdr>
          <w:top w:val="nil"/>
          <w:left w:val="nil"/>
          <w:bottom w:val="nil"/>
          <w:right w:val="nil"/>
          <w:between w:val="nil"/>
        </w:pBdr>
        <w:spacing w:before="120" w:line="281" w:lineRule="auto"/>
        <w:rPr>
          <w:rFonts w:ascii="Arial" w:eastAsia="Arial" w:hAnsi="Arial" w:cs="Arial"/>
          <w:color w:val="20262E"/>
          <w:sz w:val="22"/>
          <w:szCs w:val="22"/>
        </w:rPr>
      </w:pPr>
    </w:p>
    <w:p w14:paraId="24CA4C9C" w14:textId="77777777" w:rsidR="007B3951" w:rsidRDefault="007B3951" w:rsidP="007B3951">
      <w:pPr>
        <w:spacing w:before="120"/>
        <w:jc w:val="center"/>
        <w:rPr>
          <w:rFonts w:ascii="Arial" w:eastAsia="Arial" w:hAnsi="Arial" w:cs="Arial"/>
          <w:b/>
          <w:color w:val="20262E"/>
          <w:sz w:val="32"/>
          <w:szCs w:val="32"/>
        </w:rPr>
      </w:pPr>
      <w:r>
        <w:rPr>
          <w:rFonts w:ascii="Arial" w:eastAsia="Arial" w:hAnsi="Arial" w:cs="Arial"/>
          <w:b/>
          <w:color w:val="20262E"/>
          <w:sz w:val="32"/>
          <w:szCs w:val="32"/>
        </w:rPr>
        <w:t xml:space="preserve">Skupina </w:t>
      </w:r>
      <w:r w:rsidRPr="00FA56F8">
        <w:rPr>
          <w:rFonts w:ascii="Arial" w:eastAsia="Arial" w:hAnsi="Arial" w:cs="Arial"/>
          <w:b/>
          <w:color w:val="20262E"/>
          <w:sz w:val="32"/>
          <w:szCs w:val="32"/>
        </w:rPr>
        <w:t xml:space="preserve">CSG </w:t>
      </w:r>
      <w:r>
        <w:rPr>
          <w:rFonts w:ascii="Arial" w:eastAsia="Arial" w:hAnsi="Arial" w:cs="Arial"/>
          <w:b/>
          <w:color w:val="20262E"/>
          <w:sz w:val="32"/>
          <w:szCs w:val="32"/>
        </w:rPr>
        <w:t xml:space="preserve">zvýšila </w:t>
      </w:r>
      <w:r w:rsidRPr="00FA56F8">
        <w:rPr>
          <w:rFonts w:ascii="Arial" w:eastAsia="Arial" w:hAnsi="Arial" w:cs="Arial"/>
          <w:b/>
          <w:color w:val="20262E"/>
          <w:sz w:val="32"/>
          <w:szCs w:val="32"/>
        </w:rPr>
        <w:t xml:space="preserve">v roce 2023 </w:t>
      </w:r>
      <w:r>
        <w:rPr>
          <w:rFonts w:ascii="Arial" w:eastAsia="Arial" w:hAnsi="Arial" w:cs="Arial"/>
          <w:b/>
          <w:color w:val="20262E"/>
          <w:sz w:val="32"/>
          <w:szCs w:val="32"/>
        </w:rPr>
        <w:t>tržby o dvě třetiny</w:t>
      </w:r>
      <w:r w:rsidRPr="00FA56F8">
        <w:rPr>
          <w:rFonts w:ascii="Arial" w:eastAsia="Arial" w:hAnsi="Arial" w:cs="Arial"/>
          <w:b/>
          <w:color w:val="20262E"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color w:val="20262E"/>
          <w:sz w:val="32"/>
          <w:szCs w:val="32"/>
        </w:rPr>
        <w:br/>
      </w:r>
      <w:r w:rsidRPr="00FA56F8">
        <w:rPr>
          <w:rFonts w:ascii="Arial" w:eastAsia="Arial" w:hAnsi="Arial" w:cs="Arial"/>
          <w:b/>
          <w:color w:val="20262E"/>
          <w:sz w:val="32"/>
          <w:szCs w:val="32"/>
        </w:rPr>
        <w:t xml:space="preserve">EBITDA </w:t>
      </w:r>
      <w:r>
        <w:rPr>
          <w:rFonts w:ascii="Arial" w:eastAsia="Arial" w:hAnsi="Arial" w:cs="Arial"/>
          <w:b/>
          <w:color w:val="20262E"/>
          <w:sz w:val="32"/>
          <w:szCs w:val="32"/>
        </w:rPr>
        <w:t xml:space="preserve">vzrostla víc </w:t>
      </w:r>
      <w:r w:rsidRPr="00FA56F8">
        <w:rPr>
          <w:rFonts w:ascii="Arial" w:eastAsia="Arial" w:hAnsi="Arial" w:cs="Arial"/>
          <w:b/>
          <w:color w:val="20262E"/>
          <w:sz w:val="32"/>
          <w:szCs w:val="32"/>
        </w:rPr>
        <w:t>n</w:t>
      </w:r>
      <w:r>
        <w:rPr>
          <w:rFonts w:ascii="Arial" w:eastAsia="Arial" w:hAnsi="Arial" w:cs="Arial"/>
          <w:b/>
          <w:color w:val="20262E"/>
          <w:sz w:val="32"/>
          <w:szCs w:val="32"/>
        </w:rPr>
        <w:t>ež</w:t>
      </w:r>
      <w:r w:rsidRPr="00FA56F8">
        <w:rPr>
          <w:rFonts w:ascii="Arial" w:eastAsia="Arial" w:hAnsi="Arial" w:cs="Arial"/>
          <w:b/>
          <w:color w:val="20262E"/>
          <w:sz w:val="32"/>
          <w:szCs w:val="32"/>
        </w:rPr>
        <w:t xml:space="preserve"> dvojnás</w:t>
      </w:r>
      <w:r>
        <w:rPr>
          <w:rFonts w:ascii="Arial" w:eastAsia="Arial" w:hAnsi="Arial" w:cs="Arial"/>
          <w:b/>
          <w:color w:val="20262E"/>
          <w:sz w:val="32"/>
          <w:szCs w:val="32"/>
        </w:rPr>
        <w:t>obně</w:t>
      </w:r>
    </w:p>
    <w:p w14:paraId="7FE9D250" w14:textId="77777777" w:rsidR="007B3951" w:rsidRDefault="007B3951" w:rsidP="007B3951">
      <w:pPr>
        <w:spacing w:before="120"/>
        <w:jc w:val="both"/>
        <w:rPr>
          <w:rFonts w:ascii="Arial" w:hAnsi="Arial" w:cs="Arial"/>
        </w:rPr>
      </w:pPr>
    </w:p>
    <w:p w14:paraId="48363881" w14:textId="74F1460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 xml:space="preserve">Průmyslově-technologická skupina </w:t>
      </w:r>
      <w:proofErr w:type="spellStart"/>
      <w:r w:rsidRPr="007B3951">
        <w:rPr>
          <w:rFonts w:ascii="Arial" w:hAnsi="Arial" w:cs="Arial"/>
          <w:sz w:val="22"/>
          <w:szCs w:val="22"/>
        </w:rPr>
        <w:t>Czechoslovak</w:t>
      </w:r>
      <w:proofErr w:type="spellEnd"/>
      <w:r w:rsidRPr="007B3951">
        <w:rPr>
          <w:rFonts w:ascii="Arial" w:hAnsi="Arial" w:cs="Arial"/>
          <w:sz w:val="22"/>
          <w:szCs w:val="22"/>
        </w:rPr>
        <w:t xml:space="preserve"> Group (dále jen CSG nebo „Skupina”) dnes oznámila své auditované konsolidované hospodářské výsledky za rok 2023.</w:t>
      </w:r>
      <w:r w:rsidRPr="007B3951">
        <w:rPr>
          <w:rStyle w:val="Znakapoznpodarou"/>
          <w:sz w:val="22"/>
          <w:szCs w:val="22"/>
        </w:rPr>
        <w:footnoteReference w:id="1"/>
      </w:r>
      <w:r w:rsidRPr="007B3951">
        <w:rPr>
          <w:rFonts w:ascii="Arial" w:hAnsi="Arial" w:cs="Arial"/>
          <w:sz w:val="22"/>
          <w:szCs w:val="22"/>
        </w:rPr>
        <w:t xml:space="preserve"> </w:t>
      </w:r>
    </w:p>
    <w:p w14:paraId="3EA1F88C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B3951">
        <w:rPr>
          <w:rFonts w:ascii="Arial" w:hAnsi="Arial" w:cs="Arial"/>
          <w:b/>
          <w:bCs/>
          <w:sz w:val="22"/>
          <w:szCs w:val="22"/>
        </w:rPr>
        <w:t xml:space="preserve">Přehled nejdůležitějších ukazatelů: </w:t>
      </w:r>
    </w:p>
    <w:p w14:paraId="66C8DBC3" w14:textId="77777777" w:rsidR="007B3951" w:rsidRPr="007B3951" w:rsidRDefault="007B3951" w:rsidP="007B3951">
      <w:pPr>
        <w:snapToGrid w:val="0"/>
        <w:spacing w:before="120"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7B3951">
        <w:rPr>
          <w:rFonts w:ascii="Arial" w:hAnsi="Arial" w:cs="Arial"/>
          <w:i/>
          <w:iCs/>
          <w:sz w:val="22"/>
          <w:szCs w:val="22"/>
        </w:rPr>
        <w:t xml:space="preserve">Poznámka: Společnosti CSG se dělí do divizí podle svého hlavního oborového zaměření: CSG </w:t>
      </w:r>
      <w:proofErr w:type="spellStart"/>
      <w:r w:rsidRPr="007B3951">
        <w:rPr>
          <w:rFonts w:ascii="Arial" w:hAnsi="Arial" w:cs="Arial"/>
          <w:i/>
          <w:iCs/>
          <w:sz w:val="22"/>
          <w:szCs w:val="22"/>
        </w:rPr>
        <w:t>Aerospace</w:t>
      </w:r>
      <w:proofErr w:type="spellEnd"/>
      <w:r w:rsidRPr="007B3951">
        <w:rPr>
          <w:rFonts w:ascii="Arial" w:hAnsi="Arial" w:cs="Arial"/>
          <w:i/>
          <w:iCs/>
          <w:sz w:val="22"/>
          <w:szCs w:val="22"/>
        </w:rPr>
        <w:t xml:space="preserve"> (letecký průmysl), CSG </w:t>
      </w:r>
      <w:proofErr w:type="spellStart"/>
      <w:r w:rsidRPr="007B3951">
        <w:rPr>
          <w:rFonts w:ascii="Arial" w:hAnsi="Arial" w:cs="Arial"/>
          <w:i/>
          <w:iCs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i/>
          <w:iCs/>
          <w:sz w:val="22"/>
          <w:szCs w:val="22"/>
        </w:rPr>
        <w:t xml:space="preserve"> (obranný průmysl), CSG </w:t>
      </w:r>
      <w:proofErr w:type="spellStart"/>
      <w:r w:rsidRPr="007B3951">
        <w:rPr>
          <w:rFonts w:ascii="Arial" w:hAnsi="Arial" w:cs="Arial"/>
          <w:i/>
          <w:iCs/>
          <w:sz w:val="22"/>
          <w:szCs w:val="22"/>
        </w:rPr>
        <w:t>Ammo</w:t>
      </w:r>
      <w:proofErr w:type="spellEnd"/>
      <w:r w:rsidRPr="007B3951">
        <w:rPr>
          <w:rFonts w:ascii="Arial" w:hAnsi="Arial" w:cs="Arial"/>
          <w:i/>
          <w:iCs/>
          <w:sz w:val="22"/>
          <w:szCs w:val="22"/>
        </w:rPr>
        <w:t>+ (malorážové střelivo), CSG Mobility (</w:t>
      </w:r>
      <w:proofErr w:type="spellStart"/>
      <w:r w:rsidRPr="007B3951">
        <w:rPr>
          <w:rFonts w:ascii="Arial" w:hAnsi="Arial" w:cs="Arial"/>
          <w:i/>
          <w:iCs/>
          <w:sz w:val="22"/>
          <w:szCs w:val="22"/>
        </w:rPr>
        <w:t>automotive</w:t>
      </w:r>
      <w:proofErr w:type="spellEnd"/>
      <w:r w:rsidRPr="007B3951">
        <w:rPr>
          <w:rFonts w:ascii="Arial" w:hAnsi="Arial" w:cs="Arial"/>
          <w:i/>
          <w:iCs/>
          <w:sz w:val="22"/>
          <w:szCs w:val="22"/>
        </w:rPr>
        <w:t xml:space="preserve"> a železniční průmysl) a CSG Business </w:t>
      </w:r>
      <w:proofErr w:type="spellStart"/>
      <w:r w:rsidRPr="007B3951">
        <w:rPr>
          <w:rFonts w:ascii="Arial" w:hAnsi="Arial" w:cs="Arial"/>
          <w:i/>
          <w:iCs/>
          <w:sz w:val="22"/>
          <w:szCs w:val="22"/>
        </w:rPr>
        <w:t>Projects</w:t>
      </w:r>
      <w:proofErr w:type="spellEnd"/>
      <w:r w:rsidRPr="007B3951">
        <w:rPr>
          <w:rFonts w:ascii="Arial" w:hAnsi="Arial" w:cs="Arial"/>
          <w:i/>
          <w:iCs/>
          <w:sz w:val="22"/>
          <w:szCs w:val="22"/>
        </w:rPr>
        <w:t xml:space="preserve"> (ostatní společnosti mimo klíčové obory skupiny).</w:t>
      </w:r>
    </w:p>
    <w:p w14:paraId="42A3BDED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 Tržby skupiny za rok 2023 dosáhly 1,73 miliardy EUR (necelých 42 miliard Kč</w:t>
      </w:r>
      <w:r w:rsidRPr="007B3951">
        <w:rPr>
          <w:rStyle w:val="Znakapoznpodarou"/>
          <w:sz w:val="22"/>
          <w:szCs w:val="22"/>
        </w:rPr>
        <w:footnoteReference w:id="2"/>
      </w:r>
      <w:r w:rsidRPr="007B3951">
        <w:rPr>
          <w:rFonts w:ascii="Arial" w:hAnsi="Arial" w:cs="Arial"/>
          <w:sz w:val="22"/>
          <w:szCs w:val="22"/>
        </w:rPr>
        <w:t>), což představuje meziroční nárůst o 71 %.</w:t>
      </w:r>
    </w:p>
    <w:p w14:paraId="1EBA1121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 EBITDA za rok 2023 dosáhla 439 mil. EUR (více než 10,5 miliard Kč) a meziročně vzrostla víc než dvojnásobně.</w:t>
      </w:r>
    </w:p>
    <w:p w14:paraId="632FE545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 EBITDA marže byla v uplynulém roce na úrovni 25,3 %, což je o třetinu více než v předchozím období.</w:t>
      </w:r>
    </w:p>
    <w:p w14:paraId="3F7B7071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 Čistý zisk Skupiny za rok 2023 činil 210 mil. EUR (přibližně 5 miliard Kč), tedy o 49 % víc v porovnání s rokem předešlým.</w:t>
      </w:r>
    </w:p>
    <w:p w14:paraId="7D9579DC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 xml:space="preserve">• Nadpoloviční většina produkce CSG (51 %) mířila do evropských zemí (kromě Ukrajiny). </w:t>
      </w:r>
    </w:p>
    <w:p w14:paraId="6A70F2D1" w14:textId="7660077C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 Dvě třetiny tržeb CSG byly generovány v členských státech NATO, zbylá třetina ve zbytku světa (především na Ukrajině, v Indoné</w:t>
      </w:r>
      <w:r w:rsidR="00D23CEF">
        <w:rPr>
          <w:rFonts w:ascii="Arial" w:hAnsi="Arial" w:cs="Arial"/>
          <w:sz w:val="22"/>
          <w:szCs w:val="22"/>
        </w:rPr>
        <w:t>s</w:t>
      </w:r>
      <w:r w:rsidRPr="007B3951">
        <w:rPr>
          <w:rFonts w:ascii="Arial" w:hAnsi="Arial" w:cs="Arial"/>
          <w:sz w:val="22"/>
          <w:szCs w:val="22"/>
        </w:rPr>
        <w:t>ii, ve Vietnamu a v Maroku).</w:t>
      </w:r>
    </w:p>
    <w:p w14:paraId="0A202C8C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 xml:space="preserve">• Více než 60 % tržeb vzniklo v divizi CSG </w:t>
      </w:r>
      <w:proofErr w:type="spellStart"/>
      <w:r w:rsidRPr="007B3951">
        <w:rPr>
          <w:rFonts w:ascii="Arial" w:hAnsi="Arial" w:cs="Arial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sz w:val="22"/>
          <w:szCs w:val="22"/>
        </w:rPr>
        <w:t xml:space="preserve">, která zahrnuje společnosti Skupiny zaměřené na výrobu pozemní vojenské techniky a velkorážové munice. Pětina tržeb byla vytvořena v divizi malorážového střeliva (CSG </w:t>
      </w:r>
      <w:proofErr w:type="spellStart"/>
      <w:r w:rsidRPr="007B3951">
        <w:rPr>
          <w:rFonts w:ascii="Arial" w:hAnsi="Arial" w:cs="Arial"/>
          <w:sz w:val="22"/>
          <w:szCs w:val="22"/>
        </w:rPr>
        <w:t>Ammo</w:t>
      </w:r>
      <w:proofErr w:type="spellEnd"/>
      <w:r w:rsidRPr="007B3951">
        <w:rPr>
          <w:rFonts w:ascii="Arial" w:hAnsi="Arial" w:cs="Arial"/>
          <w:sz w:val="22"/>
          <w:szCs w:val="22"/>
        </w:rPr>
        <w:t>+).</w:t>
      </w:r>
    </w:p>
    <w:p w14:paraId="0F59AA90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 xml:space="preserve">• Obranný průmysl se podílel na tržbách skupiny z více než 70 %. Obranné zakázky byly realizovány kromě divize CSG </w:t>
      </w:r>
      <w:proofErr w:type="spellStart"/>
      <w:r w:rsidRPr="007B3951">
        <w:rPr>
          <w:rFonts w:ascii="Arial" w:hAnsi="Arial" w:cs="Arial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sz w:val="22"/>
          <w:szCs w:val="22"/>
        </w:rPr>
        <w:t xml:space="preserve"> i v dalších divizích: pro divizi CSG </w:t>
      </w:r>
      <w:proofErr w:type="spellStart"/>
      <w:r w:rsidRPr="007B3951">
        <w:rPr>
          <w:rFonts w:ascii="Arial" w:hAnsi="Arial" w:cs="Arial"/>
          <w:sz w:val="22"/>
          <w:szCs w:val="22"/>
        </w:rPr>
        <w:t>Aerospace</w:t>
      </w:r>
      <w:proofErr w:type="spellEnd"/>
      <w:r w:rsidRPr="007B3951">
        <w:rPr>
          <w:rFonts w:ascii="Arial" w:hAnsi="Arial" w:cs="Arial"/>
          <w:sz w:val="22"/>
          <w:szCs w:val="22"/>
        </w:rPr>
        <w:t xml:space="preserve"> představovaly 63 % jejích tržeb, pro divizi CSG </w:t>
      </w:r>
      <w:proofErr w:type="spellStart"/>
      <w:r w:rsidRPr="007B3951">
        <w:rPr>
          <w:rFonts w:ascii="Arial" w:hAnsi="Arial" w:cs="Arial"/>
          <w:sz w:val="22"/>
          <w:szCs w:val="22"/>
        </w:rPr>
        <w:t>Ammo</w:t>
      </w:r>
      <w:proofErr w:type="spellEnd"/>
      <w:r w:rsidRPr="007B3951">
        <w:rPr>
          <w:rFonts w:ascii="Arial" w:hAnsi="Arial" w:cs="Arial"/>
          <w:sz w:val="22"/>
          <w:szCs w:val="22"/>
        </w:rPr>
        <w:t xml:space="preserve">+ 13 % a pro divizi CSG Business </w:t>
      </w:r>
      <w:proofErr w:type="spellStart"/>
      <w:r w:rsidRPr="007B3951">
        <w:rPr>
          <w:rFonts w:ascii="Arial" w:hAnsi="Arial" w:cs="Arial"/>
          <w:sz w:val="22"/>
          <w:szCs w:val="22"/>
        </w:rPr>
        <w:t>Projects</w:t>
      </w:r>
      <w:proofErr w:type="spellEnd"/>
      <w:r w:rsidRPr="007B3951">
        <w:rPr>
          <w:rFonts w:ascii="Arial" w:hAnsi="Arial" w:cs="Arial"/>
          <w:sz w:val="22"/>
          <w:szCs w:val="22"/>
        </w:rPr>
        <w:t xml:space="preserve"> 30 % jejích tržeb.</w:t>
      </w:r>
    </w:p>
    <w:p w14:paraId="7DF1168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 V roce 2023 vydala Skupina dluhopisy v hodnotě 181,3 milionu EUR.</w:t>
      </w:r>
    </w:p>
    <w:p w14:paraId="24FA0612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 Na konci roku 2023 zaměstnávala skupina CSG více než 10 tisíc zaměstnanců ve 37 výrobních závodech, především v zemích Evropské unie a ve Spojených státech.</w:t>
      </w:r>
    </w:p>
    <w:p w14:paraId="26C7AFE4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sz w:val="22"/>
          <w:szCs w:val="22"/>
        </w:rPr>
        <w:t>• V roce 2023 dodávala skupina CSG své výrobky a služby do více než 55 zemí světa.</w:t>
      </w:r>
    </w:p>
    <w:p w14:paraId="621C9757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51">
        <w:rPr>
          <w:rFonts w:ascii="Arial" w:hAnsi="Arial" w:cs="Arial"/>
          <w:b/>
          <w:bCs/>
          <w:sz w:val="22"/>
          <w:szCs w:val="22"/>
        </w:rPr>
        <w:lastRenderedPageBreak/>
        <w:t>Zdeněk Jurák</w:t>
      </w:r>
      <w:r w:rsidRPr="007B3951">
        <w:rPr>
          <w:rFonts w:ascii="Arial" w:hAnsi="Arial" w:cs="Arial"/>
          <w:sz w:val="22"/>
          <w:szCs w:val="22"/>
        </w:rPr>
        <w:t xml:space="preserve">, člen představenstva a finanční ředitel skupiny CSG, k výsledkům uplynulého roku uvádí: </w:t>
      </w:r>
      <w:r w:rsidRPr="007B3951">
        <w:rPr>
          <w:rFonts w:ascii="Arial" w:hAnsi="Arial" w:cs="Arial"/>
          <w:i/>
          <w:iCs/>
          <w:sz w:val="22"/>
          <w:szCs w:val="22"/>
        </w:rPr>
        <w:t>„Silný růst CSG v roce 2023 byl tažen zejména dvěma strategickými obory, ve kterých dlouhodobě působíme, konkrétně výrobou velkorážové munice a produkcí vojenské pozemní techniky. V obou případech se jedná o zdravý organický růst, kterého jsme docílili jednak díky sílící poptávce, ale také zásluhou našich investic do rozšiřování výrobních kapacit a zvyšování produktivity práce. Při tom jsme dokázali udržet silnou kapitálovou pozici při současném snižování celkové zadluženosti. Vzhledem k rostoucímu významu obranného průmyslu a posilování obranných rozpočtů ve světě vidíme potenciál k pokračujícímu růstu tržeb CSG v našich klíčových segmentech i v následujících letech.“</w:t>
      </w:r>
    </w:p>
    <w:p w14:paraId="7DE6CB1B" w14:textId="77777777" w:rsidR="007B3951" w:rsidRDefault="007B3951" w:rsidP="007B3951">
      <w:pPr>
        <w:spacing w:before="120"/>
        <w:jc w:val="both"/>
        <w:rPr>
          <w:rFonts w:ascii="Arial" w:hAnsi="Arial" w:cs="Arial"/>
        </w:rPr>
      </w:pPr>
    </w:p>
    <w:p w14:paraId="1A0AB73C" w14:textId="77777777" w:rsidR="007B3951" w:rsidRPr="0030757A" w:rsidRDefault="007B3951" w:rsidP="007B395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Vybrané</w:t>
      </w:r>
      <w:r w:rsidRPr="003075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ukazatele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56"/>
        <w:gridCol w:w="1128"/>
        <w:gridCol w:w="1316"/>
        <w:gridCol w:w="1127"/>
      </w:tblGrid>
      <w:tr w:rsidR="007B3951" w:rsidRPr="0030757A" w14:paraId="02A5F2DB" w14:textId="77777777" w:rsidTr="00795974">
        <w:trPr>
          <w:cantSplit/>
          <w:trHeight w:val="484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425FB" w14:textId="77777777" w:rsidR="007B3951" w:rsidRPr="00EF6109" w:rsidRDefault="007B3951" w:rsidP="00795974">
            <w:pPr>
              <w:snapToGrid w:val="0"/>
              <w:spacing w:after="40"/>
              <w:jc w:val="both"/>
              <w:rPr>
                <w:rFonts w:ascii="Arial" w:eastAsia="ヒラギノ角ゴ Pro W3" w:hAnsi="Arial" w:cs="Arial"/>
                <w:i/>
                <w:iCs/>
                <w:color w:val="000000"/>
                <w:sz w:val="18"/>
                <w:szCs w:val="18"/>
              </w:rPr>
            </w:pPr>
            <w:r w:rsidRPr="00EF6109">
              <w:rPr>
                <w:rFonts w:ascii="Arial" w:hAnsi="Arial" w:cs="Arial"/>
                <w:i/>
                <w:iCs/>
                <w:sz w:val="18"/>
                <w:szCs w:val="18"/>
              </w:rPr>
              <w:t>(v milionech EUR, pokud není uvedeno jinak)</w:t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1D5F8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</w:rPr>
            </w:pPr>
            <w:r w:rsidRPr="00F43EA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</w:rPr>
              <w:t>FY2023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A3F05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</w:rPr>
            </w:pPr>
            <w:r w:rsidRPr="00F43EA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</w:rPr>
              <w:t>FY2022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077F0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</w:rPr>
            </w:pPr>
            <w:r w:rsidRPr="00F43EA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</w:rPr>
              <w:t>Rozdíl</w:t>
            </w:r>
          </w:p>
        </w:tc>
      </w:tr>
      <w:tr w:rsidR="007B3951" w:rsidRPr="0030757A" w14:paraId="6DE5675A" w14:textId="77777777" w:rsidTr="00795974">
        <w:trPr>
          <w:cantSplit/>
          <w:trHeight w:val="277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265AB" w14:textId="77777777" w:rsidR="007B3951" w:rsidRPr="00F43EAD" w:rsidRDefault="007B3951" w:rsidP="00795974">
            <w:pPr>
              <w:snapToGrid w:val="0"/>
              <w:spacing w:after="4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Tržby</w:t>
            </w:r>
            <w:r>
              <w:rPr>
                <w:rStyle w:val="Znakapoznpodarou"/>
                <w:sz w:val="18"/>
                <w:szCs w:val="18"/>
              </w:rPr>
              <w:footnoteReference w:id="3"/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32E1C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1 734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C29D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1 015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2BDBB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71</w:t>
            </w:r>
            <w:r w:rsidRPr="00F43EAD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 xml:space="preserve"> %</w:t>
            </w:r>
          </w:p>
        </w:tc>
      </w:tr>
      <w:tr w:rsidR="007B3951" w:rsidRPr="0030757A" w14:paraId="45B86C09" w14:textId="77777777" w:rsidTr="00795974">
        <w:trPr>
          <w:cantSplit/>
          <w:trHeight w:val="277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ADF49" w14:textId="77777777" w:rsidR="007B3951" w:rsidRPr="00F43EAD" w:rsidRDefault="007B3951" w:rsidP="00795974">
            <w:pPr>
              <w:snapToGrid w:val="0"/>
              <w:spacing w:after="4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F43EAD">
              <w:rPr>
                <w:rFonts w:ascii="Arial" w:hAnsi="Arial" w:cs="Arial"/>
                <w:sz w:val="18"/>
                <w:szCs w:val="18"/>
              </w:rPr>
              <w:t>EBITDA</w:t>
            </w:r>
            <w:r>
              <w:rPr>
                <w:rStyle w:val="Znakapoznpodarou"/>
                <w:sz w:val="18"/>
                <w:szCs w:val="18"/>
              </w:rPr>
              <w:footnoteReference w:id="4"/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4A319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1DD09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96BC6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130</w:t>
            </w:r>
            <w:r w:rsidRPr="00F43EAD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 xml:space="preserve"> %</w:t>
            </w:r>
          </w:p>
        </w:tc>
      </w:tr>
      <w:tr w:rsidR="007B3951" w:rsidRPr="0030757A" w14:paraId="44B7454F" w14:textId="77777777" w:rsidTr="00795974">
        <w:trPr>
          <w:cantSplit/>
          <w:trHeight w:val="277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57EB1" w14:textId="77777777" w:rsidR="007B3951" w:rsidRPr="00F43EAD" w:rsidRDefault="007B3951" w:rsidP="00795974">
            <w:pPr>
              <w:snapToGrid w:val="0"/>
              <w:spacing w:after="4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F43EAD">
              <w:rPr>
                <w:rFonts w:ascii="Arial" w:hAnsi="Arial" w:cs="Arial"/>
                <w:sz w:val="18"/>
                <w:szCs w:val="18"/>
              </w:rPr>
              <w:t>EBITDA marže</w:t>
            </w:r>
            <w:r>
              <w:rPr>
                <w:rFonts w:ascii="Arial" w:hAnsi="Arial" w:cs="Arial"/>
                <w:sz w:val="18"/>
                <w:szCs w:val="18"/>
              </w:rPr>
              <w:t xml:space="preserve"> (v %)</w:t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A3BF3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A7F1E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B7153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7B3951" w:rsidRPr="0030757A" w14:paraId="7F58584E" w14:textId="77777777" w:rsidTr="00795974">
        <w:trPr>
          <w:cantSplit/>
          <w:trHeight w:val="277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ABE77" w14:textId="77777777" w:rsidR="007B3951" w:rsidRPr="00F43EAD" w:rsidRDefault="007B3951" w:rsidP="00795974">
            <w:pPr>
              <w:snapToGri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43EAD">
              <w:rPr>
                <w:rFonts w:ascii="Arial" w:hAnsi="Arial" w:cs="Arial"/>
                <w:sz w:val="18"/>
                <w:szCs w:val="18"/>
              </w:rPr>
              <w:t>Čistý zisk</w:t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9C21B" w14:textId="77777777" w:rsidR="007B3951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86EB4" w14:textId="77777777" w:rsidR="007B3951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BFAFC" w14:textId="77777777" w:rsidR="007B3951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49</w:t>
            </w:r>
            <w:r w:rsidRPr="00F43EAD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 xml:space="preserve"> %</w:t>
            </w:r>
          </w:p>
        </w:tc>
      </w:tr>
      <w:tr w:rsidR="007B3951" w:rsidRPr="0030757A" w14:paraId="662B32A3" w14:textId="77777777" w:rsidTr="00795974">
        <w:trPr>
          <w:cantSplit/>
          <w:trHeight w:val="277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0A277" w14:textId="77777777" w:rsidR="007B3951" w:rsidRPr="00F43EAD" w:rsidRDefault="007B3951" w:rsidP="00795974">
            <w:pPr>
              <w:snapToGri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Tržby CAGR</w:t>
            </w:r>
            <w:r>
              <w:rPr>
                <w:rStyle w:val="Znakapoznpodarou"/>
                <w:sz w:val="18"/>
                <w:szCs w:val="18"/>
              </w:rPr>
              <w:footnoteReference w:id="5"/>
            </w:r>
            <w:r>
              <w:rPr>
                <w:rFonts w:ascii="Arial" w:hAnsi="Arial" w:cs="Arial"/>
                <w:sz w:val="18"/>
                <w:szCs w:val="18"/>
              </w:rPr>
              <w:t xml:space="preserve"> 2020–23</w:t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B26D" w14:textId="77777777" w:rsidR="007B3951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+45 %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B01E5" w14:textId="77777777" w:rsidR="007B3951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4A998" w14:textId="77777777" w:rsidR="007B3951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7B3951" w:rsidRPr="0030757A" w14:paraId="4BC7A4D5" w14:textId="77777777" w:rsidTr="00795974">
        <w:trPr>
          <w:cantSplit/>
          <w:trHeight w:val="277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29253" w14:textId="77777777" w:rsidR="007B3951" w:rsidRPr="00F43EAD" w:rsidRDefault="007B3951" w:rsidP="00795974">
            <w:pPr>
              <w:snapToGrid w:val="0"/>
              <w:spacing w:after="4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EBITDA CAGR 2020–23</w:t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43E56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+75 %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84E52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17AF9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  <w:tr w:rsidR="007B3951" w:rsidRPr="0030757A" w14:paraId="4C153BBF" w14:textId="77777777" w:rsidTr="00795974">
        <w:trPr>
          <w:cantSplit/>
          <w:trHeight w:val="277"/>
        </w:trPr>
        <w:tc>
          <w:tcPr>
            <w:tcW w:w="5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B5B51" w14:textId="77777777" w:rsidR="007B3951" w:rsidRPr="00F43EAD" w:rsidRDefault="007B3951" w:rsidP="00795974">
            <w:pPr>
              <w:snapToGrid w:val="0"/>
              <w:spacing w:after="40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F43EAD">
              <w:rPr>
                <w:rFonts w:ascii="Arial" w:hAnsi="Arial" w:cs="Arial"/>
                <w:sz w:val="18"/>
                <w:szCs w:val="18"/>
              </w:rPr>
              <w:t>Počet zaměstnanců</w:t>
            </w:r>
          </w:p>
        </w:tc>
        <w:tc>
          <w:tcPr>
            <w:tcW w:w="11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0765" w14:textId="77777777" w:rsidR="007B3951" w:rsidRPr="00F43EAD" w:rsidRDefault="007B3951" w:rsidP="00795974">
            <w:pPr>
              <w:snapToGrid w:val="0"/>
              <w:spacing w:after="4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1</w:t>
            </w:r>
            <w:r w:rsidRPr="00F43EAD"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786C8" w14:textId="77777777" w:rsidR="007B3951" w:rsidRPr="00F43EAD" w:rsidRDefault="007B3951" w:rsidP="00795974">
            <w:pPr>
              <w:tabs>
                <w:tab w:val="center" w:pos="4536"/>
                <w:tab w:val="right" w:pos="9072"/>
              </w:tabs>
              <w:snapToGrid w:val="0"/>
              <w:spacing w:after="40"/>
              <w:outlineLvl w:val="8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A7F60" w14:textId="77777777" w:rsidR="007B3951" w:rsidRPr="00F43EAD" w:rsidRDefault="007B3951" w:rsidP="00795974">
            <w:pPr>
              <w:tabs>
                <w:tab w:val="center" w:pos="4536"/>
                <w:tab w:val="right" w:pos="9072"/>
              </w:tabs>
              <w:snapToGrid w:val="0"/>
              <w:spacing w:after="40"/>
              <w:jc w:val="center"/>
              <w:outlineLvl w:val="8"/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</w:tc>
      </w:tr>
    </w:tbl>
    <w:p w14:paraId="65A1FF3A" w14:textId="77777777" w:rsidR="007B3951" w:rsidRDefault="007B3951" w:rsidP="007B3951">
      <w:pPr>
        <w:spacing w:before="120"/>
        <w:jc w:val="both"/>
        <w:rPr>
          <w:rFonts w:ascii="Arial" w:hAnsi="Arial" w:cs="Arial"/>
        </w:rPr>
      </w:pPr>
    </w:p>
    <w:p w14:paraId="12C9430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Shrnutí vývoje na hlavních trzích Skupiny</w:t>
      </w:r>
    </w:p>
    <w:p w14:paraId="4E1DB0D9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Rok 2023 přinesl skupině CSG zřetelné upevnění strategické pozice na jejích klíčových trzích, dobře ilustrované zrychlením růstu na úrovni tržeb a provozního zisku Skupiny i úspěšným vstupem na trhy nové, především díky rozšíření výrobních kapacit a otevření nových trhů. </w:t>
      </w:r>
    </w:p>
    <w:p w14:paraId="641642F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Hospodaření CSG i v uplynulém roce ovlivňovala rostoucí poptávka po většině stěžejních produktů Skupiny. Projevovalo se to především v segmentech výroby pro obranný průmysl (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), výroby malorážového střeliva (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Ammo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+) a v oblasti produktů a služeb pro letectví. Loňský vývoj byl poznamenán pokračující válkou na Ukrajině a konflikty na Blízkém a Středním východě. </w:t>
      </w:r>
    </w:p>
    <w:p w14:paraId="45148255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Pokračující ruská agrese proti Ukrajině měla za následek zřetelné zvyšování výdajů na obranu u většiny evropských zemí, především ve východní a severní Evropě. To je provázeno větším tlakem na rozšiřování výrobních kapacit a – vzhledem k vysoké spotřebě především velkorážové munice a pozemní techniky – potřebou rychlejšího doplňování zásob vojenského materiálu a techniky v arzenálech členských států NATO. Mnohé evropské země, včetně České republiky, v této souvislosti indikují další zvyšování obranných výdajů.</w:t>
      </w:r>
    </w:p>
    <w:p w14:paraId="3ED8C6F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Skupina CSG na tržní vývoj reagovala rozsáhlými investicemi do rozvoje svého podnikání, především do posilování výrobních kapacit a zvyšování produktivity, prosazování technologických inovací, vývoje nových produktů a posilováním své finanční pozice prostřednictvím dluhového financování a emise dluhopisů.</w:t>
      </w:r>
    </w:p>
    <w:p w14:paraId="1D564555" w14:textId="77777777" w:rsid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</w:p>
    <w:p w14:paraId="11AE7F8F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3951">
        <w:rPr>
          <w:rFonts w:ascii="Arial" w:hAnsi="Arial" w:cs="Arial"/>
          <w:color w:val="000000" w:themeColor="text1"/>
          <w:sz w:val="20"/>
          <w:szCs w:val="20"/>
        </w:rPr>
        <w:lastRenderedPageBreak/>
        <w:t>Rozdělení tržeb podle regionů a segmentů</w:t>
      </w:r>
    </w:p>
    <w:p w14:paraId="6E6054D5" w14:textId="77777777" w:rsidR="007B3951" w:rsidRPr="00CE0728" w:rsidRDefault="007B3951" w:rsidP="007B3951">
      <w:pPr>
        <w:spacing w:before="120"/>
        <w:jc w:val="both"/>
        <w:rPr>
          <w:rFonts w:ascii="Arial" w:hAnsi="Arial" w:cs="Arial"/>
          <w:color w:val="000000" w:themeColor="text1"/>
        </w:rPr>
      </w:pPr>
      <w:r w:rsidRPr="00ED7AF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99902E9" wp14:editId="5D0C1323">
            <wp:extent cx="2598420" cy="1682647"/>
            <wp:effectExtent l="0" t="0" r="0" b="0"/>
            <wp:docPr id="1549343617" name="Obrázek 1" descr="Obsah obrázku text, snímek obrazovky, kruh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343617" name="Obrázek 1" descr="Obsah obrázku text, snímek obrazovky, kruh, Písmo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32" r="49767"/>
                    <a:stretch/>
                  </pic:blipFill>
                  <pic:spPr bwMode="auto">
                    <a:xfrm>
                      <a:off x="0" y="0"/>
                      <a:ext cx="2598579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35EF4" w14:textId="77777777" w:rsidR="007B3951" w:rsidRPr="00ED7AF5" w:rsidRDefault="007B3951" w:rsidP="007B3951">
      <w:pPr>
        <w:spacing w:before="120"/>
        <w:jc w:val="both"/>
        <w:rPr>
          <w:rFonts w:ascii="Arial" w:hAnsi="Arial" w:cs="Arial"/>
          <w:color w:val="000000" w:themeColor="text1"/>
        </w:rPr>
      </w:pPr>
      <w:r w:rsidRPr="00ED7AF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A5EDD8" wp14:editId="26A23549">
            <wp:extent cx="2651760" cy="1813358"/>
            <wp:effectExtent l="0" t="0" r="0" b="0"/>
            <wp:docPr id="157592554" name="Obrázek 2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2554" name="Obrázek 2" descr="Obsah obrázku text, snímek obrazovky, Písmo, kruh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36"/>
                    <a:stretch/>
                  </pic:blipFill>
                  <pic:spPr bwMode="auto">
                    <a:xfrm>
                      <a:off x="0" y="0"/>
                      <a:ext cx="2658874" cy="181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E5597" w14:textId="77777777" w:rsidR="007B3951" w:rsidRPr="00ED7AF5" w:rsidRDefault="007B3951" w:rsidP="007B3951">
      <w:pPr>
        <w:spacing w:before="120"/>
        <w:jc w:val="both"/>
        <w:rPr>
          <w:rFonts w:ascii="Arial" w:hAnsi="Arial" w:cs="Arial"/>
          <w:color w:val="000000" w:themeColor="text1"/>
        </w:rPr>
      </w:pPr>
      <w:r w:rsidRPr="00ED7AF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7E305BD" wp14:editId="1B6003CC">
            <wp:extent cx="2758440" cy="1795780"/>
            <wp:effectExtent l="0" t="0" r="3810" b="0"/>
            <wp:docPr id="685226099" name="Obrázek 3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226099" name="Obrázek 3" descr="Obsah obrázku text, snímek obrazovky, Písmo, kruh&#10;&#10;Popis byl vytvořen automatick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89"/>
                    <a:stretch/>
                  </pic:blipFill>
                  <pic:spPr bwMode="auto">
                    <a:xfrm>
                      <a:off x="0" y="0"/>
                      <a:ext cx="2759657" cy="1796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63603" w14:textId="77777777" w:rsidR="007B3951" w:rsidRPr="00ED7AF5" w:rsidRDefault="007B3951" w:rsidP="007B3951">
      <w:pPr>
        <w:rPr>
          <w:rFonts w:ascii="Arial" w:hAnsi="Arial" w:cs="Arial"/>
          <w:b/>
          <w:bCs/>
          <w:color w:val="000000" w:themeColor="text1"/>
        </w:rPr>
      </w:pPr>
    </w:p>
    <w:p w14:paraId="0E72B9E4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Divize CSG </w:t>
      </w:r>
      <w:proofErr w:type="spellStart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 čele růstu Skupiny</w:t>
      </w:r>
    </w:p>
    <w:p w14:paraId="625222C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Hlavním tahounem růstu skupiny CSG byly v roce 2023 společnosti divize CSG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, zaměřené na dodávky výrobků a služeb obranného průmyslu, především pozemní techniky a velkorážové munice. Na celkovém výsledku Skupiny se divize CSG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s tržbami ve výši 1,1 mld. EUR podílela více než ze 60 %.</w:t>
      </w:r>
    </w:p>
    <w:p w14:paraId="040CFE4E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V případě výroby velkorážové munice se podařilo CSG od počátku války na Ukrajině mnohonásobně navýšit její produkci. CSG v loňském roce dále významně investovala do rozšíření svých výrobních kapacit na Slovensku a ve Španělsku. Firmy divize CSG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také dlouhodobě poskytují technologické know-how státům, které usilují o lokalizaci výroby a soběstačnost u tak strategické komodity, jakou se dělostřelecká munice v současnosti stala.</w:t>
      </w:r>
    </w:p>
    <w:p w14:paraId="0184B594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Ve stejném duchu CSG rozšiřuje výrobu a investuje i v segmentu výroby pozemní vojenské techniky, kde se jí úspěšně daří na trhu uplatnit například samohybné houfnice, které jsou produktem vlastního vývoje. Zdeněk Jurák k tomu uvádí: </w:t>
      </w:r>
      <w:r w:rsidRPr="007B395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„U zakázek na vojenskou techniku nejde jen o její prodej, ale také o následný servis. CSG má ambici a know-how zajišťovat životní cyklus své techniky pro zákazníky po celou dobu jejího používání, což by mělo zaručit nejen stabilitu výsledků divize </w:t>
      </w:r>
      <w:proofErr w:type="spellStart"/>
      <w:r w:rsidRPr="007B3951">
        <w:rPr>
          <w:rFonts w:ascii="Arial" w:hAnsi="Arial" w:cs="Arial"/>
          <w:i/>
          <w:iCs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i/>
          <w:iCs/>
          <w:color w:val="000000" w:themeColor="text1"/>
          <w:sz w:val="22"/>
          <w:szCs w:val="22"/>
        </w:rPr>
        <w:t>, ale také dlouhodobě udržet vysokou kvalitativní úroveň techniky na straně zákazníka.“</w:t>
      </w:r>
    </w:p>
    <w:p w14:paraId="5B36ADEE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Prakticky všechny společnosti divize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pokračovaly v minulém roce v náboru nových zaměstnanců. Jen společnost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Excalibur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Army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přijala zhruba 400 pracovníků jak do výrobních profesí, tak do oblastí designu, technologického vývoje a obchodu; nabírala také společnost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Vehicle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a ve společnostech MSM Group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6"/>
      </w: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za poslední rok a půl vzrostl počet zaměstnanců na téměř dvojnásobek.</w:t>
      </w:r>
    </w:p>
    <w:p w14:paraId="5BBB6205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AC47F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Rozvoj nové divize CSG </w:t>
      </w:r>
      <w:proofErr w:type="spellStart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Ammo</w:t>
      </w:r>
      <w:proofErr w:type="spellEnd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+</w:t>
      </w:r>
    </w:p>
    <w:p w14:paraId="725182A7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Zásadním posunem prošel v roce 2023 druhý klíčový pilíř podnikání CSG, jímž je výroba malorážového střeliva.</w:t>
      </w:r>
    </w:p>
    <w:p w14:paraId="3C0E3C2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Většina produkce Skupiny v segmentu malorážové munice (přibližně 87 %) směřovala na civilní trh, přičemž zejména v USA se vloni projevilo oživení zájmu o sportovní a rekreační střelbu (lov), což bylo přínosem zejména pro americké výrobní závody skupiny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Fiocchi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2664D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Právě akvizice společnosti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Fiocchi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Munizioni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v roce 2022 a její plná integrace do skupiny CSG v uplynulém roce položila základ samostatnému pilíři podnikání, který zastřešuje nově vytvořená divize CSG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Ammo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+. Její produkci zajišťují výrobní závody na malorážové střelivo v Itálii, Velké Británii a USA.</w:t>
      </w:r>
    </w:p>
    <w:p w14:paraId="20F70FD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Plná integrace skupiny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Fiocchi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do CSG se promítla i do nárůstu hlavních ukazatelů Skupiny za rok 2023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7"/>
      </w: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Fiocchi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přispělo k celkovým tržbám Skupiny za rok 2023 částkou 330 milionů eur (cca 19 %).</w:t>
      </w:r>
    </w:p>
    <w:p w14:paraId="4127FB2E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Kromě zvýšené poptávky čelila skupina CSG v roce 2023 také změnám dodavatelských řetězců v oblasti distribuce surovinových zdrojů, které si vyžádaly zajištění nových zdrojů klíčových surovin především pro náplně do všech kategorií střeliva.</w:t>
      </w:r>
    </w:p>
    <w:p w14:paraId="35DBFD83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995059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Rostoucí trh letectví podporuje podnikání CSG </w:t>
      </w:r>
      <w:proofErr w:type="spellStart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Aerospace</w:t>
      </w:r>
      <w:proofErr w:type="spellEnd"/>
    </w:p>
    <w:p w14:paraId="3BAC444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Sílící letový provoz nad Evropou v oblastech osobní i nákladní přepravy, nucená změna tras letů vyvolaná uzavřením vzdušného prostoru Ruska pro západní letecké společnosti a zesílená potřeba ochrany vzdušného prostoru především na východní hranici NATO – to vše vytvořilo zvýšený tlak na dodávky všech typů letecké techniky a služeb. Ve skupině CSG z toho v loňském roce těžily společnosti divize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Aerospace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. Patří mezi ně úspěšní výrobci radarových a bezpečnostních systémů, záznamových technologií, systémů pro řízení letového provozu, pro provoz dronů, jakož i letecké opravny. </w:t>
      </w:r>
    </w:p>
    <w:p w14:paraId="5AC4C28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Segment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Aerospace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se na celkovém výsledku hospodaření Skupiny v roce 2023 podílel tržbami ve výši EUR 225 mil., z čehož 63 % tvořily dodávky pro zákazníky v obranném průmyslu, zbylých 37 % pak dodávky pro civilní využití. Radarové systémy pro řízení letového provozu z produkce </w:t>
      </w:r>
      <w:r w:rsidRPr="007B395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pardubické společnosti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Eldis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kupříkladu v současnosti pokrývají více než 90 % vzdušného prostoru Indie. Opravárenské podniky Job Air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Technic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v Mošnově zase patří k předním evropských servisním centrům pro letouny Airbus typu A320 a Boeing řady 737.</w:t>
      </w:r>
    </w:p>
    <w:p w14:paraId="49682B68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56179D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Divize CSG Mobility: příprava na růst</w:t>
      </w:r>
    </w:p>
    <w:p w14:paraId="4DD4ABE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Poptávka po produkci divize CSG Mobility, tvořené primárně kopřivnickou automobilkou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Trucks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a výrobcem brzdových systémů pro kolejová vozidla DAKO-CZ, naráží dlouhodobě na strop výrobních kapacit. Společnost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Trucks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, výrobce nákladních automobilů proslulých pro svou unikátní konstrukci podvozku pro jízdu náročným terénem, proto aktuálně investuje rozsáhlé prostředky do rozšíření výrobního areálu a zvyšování produktivity s cílem zdvojnásobit výrobní kapacitu do roku 2027. </w:t>
      </w:r>
    </w:p>
    <w:p w14:paraId="72D40D97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Na celkových tržbách Skupiny se divize CSG Mobility podílí čtyřmi procenty.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8"/>
      </w:r>
    </w:p>
    <w:p w14:paraId="4C1A550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93D2BC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Nový přírůstek pro divizi CSG Business </w:t>
      </w:r>
      <w:proofErr w:type="spellStart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Projects</w:t>
      </w:r>
      <w:proofErr w:type="spellEnd"/>
    </w:p>
    <w:p w14:paraId="2AC59EF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V prosinci 2023 oznámila CSG akvizici většinového podílu v italské společnosti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Armi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Perazzi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, výrobci luxusních brokovnic pro elitní sportovce a lovce. Značka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Perazzi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se navzdory své relativně limitované produkci těší vysoké prestiži ve světové střelecké komunitě, pro skupinu CSG je proto vítaným obohacením portfolia špičkových řemeslných značek precizního strojírenství, soustředěných v rámci divize CSG Business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Projects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.</w:t>
      </w: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Do té patří mimo jiné společnosti Elton hodinářská, výrobce mechanických hodinek značky Prim, nebo specializovaný výrobce nástaveb, kontejnerů a dalších technologií pro logistiku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Karbox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70B84E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15B8038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Vliv konfliktu na Ukrajině</w:t>
      </w:r>
    </w:p>
    <w:p w14:paraId="3E52D629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Společnosti skupiny CSG patří mezi významné evropské výrobce vojenské techniky a munice, které vlády České republiky a dalších států NATO dodávají v rámci společné pomoci bránící se Ukrajině. Průvodním jevem vojenského konfliktu na Ukrajině je zvýšená potřeba spojeneckých zemí dovybavit se zásobami vojenského materiálu. To vedlo v uplynulých měsících k zásadní proměně přístupu vlád, investorů i veřejnosti k obrannému průmyslu jako celku a k jeho strategické roli coby významného bezpečnostního pilíře pro společenství demokratických států světa.</w:t>
      </w:r>
    </w:p>
    <w:p w14:paraId="0AEEB95E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D3B22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Projekt akvizice </w:t>
      </w:r>
      <w:proofErr w:type="spellStart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Kinetic</w:t>
      </w:r>
      <w:proofErr w:type="spellEnd"/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Group</w:t>
      </w:r>
    </w:p>
    <w:p w14:paraId="0666439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V říjnu 2023 oznámila skupina CSG, že dosáhla dohody o koupi divize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Sporting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Products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(nyní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Kinetic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Group) od společnosti Vista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Outdoor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(NYSE: VSTO).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Kinetic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je předním světovým výrobcem malorážového střeliva se sídlem v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Anoce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v americkém státě Minnesota. CSG si od akvizice slibuje oboustranně široké synergie v obchodních příležitostech na mezinárodních trzích a celkové posílení přítomnosti Skupiny zejména na americkém trhu. Transakce v hodnotě 1,91 miliardy USD podléhá souhlasu příslušných regulátorů a akcionářů společnosti Vista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Outdoor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3B7490" w14:textId="77777777" w:rsid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CA65AC" w14:textId="77777777" w:rsidR="00B64CF2" w:rsidRPr="007B3951" w:rsidRDefault="00B64CF2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F36C17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Investice</w:t>
      </w:r>
    </w:p>
    <w:p w14:paraId="2886758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V roce 2023 zahájila skupiny CSG několik důležitých investičních projektů, které mají přinést podstatné rozšíření výrobních a skladovacích kapacit a také zvýšení efektivity a produktivity za pomoci modernizovaných technologií.</w:t>
      </w:r>
    </w:p>
    <w:p w14:paraId="4957F80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Společnost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Excalibur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Army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započala výstavbu nové montážní haly a administrativního zázemí. Nové prostory budou sloužit především kompletaci pozemní techniky pro bezpečnostní a záchranné složky. Po jejich dokončení se očekává nárůst zaměstnanců o polovinu oproti současnému počtu.</w:t>
      </w:r>
    </w:p>
    <w:p w14:paraId="4ED3675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Také společnost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Vehicle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spustila projekt výstavby nové, moderní a ekologické výrobní haly v rámci areálu v Kopřivnici. V loňském roce probíhaly projekční práce a stavební řízení. Provoz plánované moderní svařovny počítá s instalací nejmodernějších robotických technologií. Projekt, jehož součástí je instalace fotovoltaických panelů na střešních plochách budovy, si vyžádá investice v řádu nízkých stovek miliónů korun a přinese kromě jiného vznik až 60 nových pracovních míst. Další investice na úrovni desítek miliónů korun plánuje společnost vynaložit na rozšíření kapacity současné lakovny. Do provozu by nová hala a lakovna mohly být uvedeny na přelomu letošního a následujícího roku.</w:t>
      </w:r>
    </w:p>
    <w:p w14:paraId="1F30F217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Několik desítek miliónů eur investovala v minulém roce též skupina MSM Group, součást CSG, a to do modernizace technologií 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poloautomatizace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provozu ve svých výrobních závodech na Slovensku a ve Španělsku. Významná část prostředků směřovala na rekonstrukci prostor a robotizaci výroby v závodě ZVS holding – jen produkci závodu ve slovenské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Snině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to umožnilo zvýšit až trojnásobně. Cílem investic byl také výrobní závod VOP Nováky, jenž se díky tomu stal jedním z nejmodernějších pracovišť svého druhu v Evropě.</w:t>
      </w:r>
    </w:p>
    <w:p w14:paraId="33C422A4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Spuštění nového výrobního závodu španělské společnosti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Fábrica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Municiones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de Granada přineslo této španělské dceřiné společnosti MSM zdvojnásobení kapacit produkce.</w:t>
      </w:r>
    </w:p>
    <w:p w14:paraId="0671AF98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6A0EA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Vývoj a inovace</w:t>
      </w:r>
    </w:p>
    <w:p w14:paraId="49C195A8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V roce 2023 pokračovaly investice skupiny CSG do různých oblastí výzkumu a vývoje souvisejících s hlavními směry podnikání. Ve Skupině se vývoji věnuje několik stovek zaměstnanců se zaměřením zejména na obranné a muniční technologie, další pak na technologie pro letectví a dopravu. Spolupracují při tom se špičkovými vědeckými a pracovišti předních českých univerzit, zejména s Univerzitou obrany v Brně a expertními týmy českých ozbrojených složek.</w:t>
      </w:r>
    </w:p>
    <w:p w14:paraId="2297183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Společnost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Vehicle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uvedla nové specializované nástavby pro podvozky Tatra. Pro vozidlo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Starkom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, určené pro elektronický boj a rušení, které si objednala Armáda České republiky, vyrobila společnost pancéřované kabiny pro osádky vozidel a balisticky 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protiminově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chráněné nástavby pro speciální elektronická zařízení a jejich obsluhu. Na projektu firma spolupracovala s VVÚ a dalšími českými firmami, včetně společnosti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Retia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Starkom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je jedním z nejsložitějších vozidel, která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Vehicle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dosud vyrobila.</w:t>
      </w:r>
    </w:p>
    <w:p w14:paraId="1988A2B7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Společnost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Karbox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vloni rovněž představila dvě unikátní mobilní zařízení – EWA (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Emergency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Water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from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Air) a SAWER (Solar Air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Water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Earth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Resource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) – určená k získávání vody ze vzduchu. Vyvinula je ve spolupráci s odborníky z ČVUT v Praze. EWA dokáže získat 25–30 litrů vody denně ve velmi suchém pouštním prostředí a je mnohonásobně účinnější než technologicky srovnatelná zařízení ve světě. SAWER při nasazení v suchých pouštních podmínkách vyprodukuje 280 litrů vody denně s využitím solárních panelů nebo přibližně 590 litrů vody denně při připojení k externímu zdroji energie.</w:t>
      </w:r>
    </w:p>
    <w:p w14:paraId="29D70AD1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Mezi nejvýraznější projekty v oblasti vývoje nových produktů patřilo v loňském roce představení prototypu vozidla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Force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e-Drive, vodíkem poháněného elektromobilu, který společnost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Trucks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vyvíjí v konsorciu vedeném společností ÚJV Řež. Nákladní automobil pro použití v těžebním průmyslu je navržen tak, aby byl nezávislý na vnějších zdrojích elektrické energie: svůj zdroj energie si veze na palubě.</w:t>
      </w:r>
    </w:p>
    <w:p w14:paraId="39C6C094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V loňském roce představila společnost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Trucks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také nákladní automobil Tatra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Force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vybavený systémem automatického řízení (AD). Konečným cílem projektu je vytvořit nákladní vozidlo schopné autonomní jízdy. V současné době testuje automobilka prototyp vozidla s dálkovým ovládáním, které může najít uplatnění v záchranných jednotkách a v průmyslu.</w:t>
      </w:r>
    </w:p>
    <w:p w14:paraId="18D6C0A4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A90303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b/>
          <w:bCs/>
          <w:color w:val="000000" w:themeColor="text1"/>
          <w:sz w:val="22"/>
          <w:szCs w:val="22"/>
        </w:rPr>
        <w:t>Společenská odpovědnost a udržitelnost</w:t>
      </w:r>
    </w:p>
    <w:p w14:paraId="4BE53CBE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CSG pracuje průběžně na naplňování všech indikátorů udržitelného podnikání v souladu s taxonomií EU a mezinárodními standardy v oblasti ESG. Aktuálně sleduje Skupina své udržitelné podnikání podle standardů GRI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9"/>
      </w:r>
      <w:r w:rsidRPr="007B3951">
        <w:rPr>
          <w:rFonts w:ascii="Arial" w:hAnsi="Arial" w:cs="Arial"/>
          <w:color w:val="000000" w:themeColor="text1"/>
          <w:sz w:val="22"/>
          <w:szCs w:val="22"/>
        </w:rPr>
        <w:t>; již v minulém roce vyhodnotila vybrané parametry ESG podle standardu organizace SASB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10"/>
      </w:r>
      <w:r w:rsidRPr="007B3951">
        <w:rPr>
          <w:rFonts w:ascii="Arial" w:hAnsi="Arial" w:cs="Arial"/>
          <w:color w:val="000000" w:themeColor="text1"/>
          <w:sz w:val="22"/>
          <w:szCs w:val="22"/>
        </w:rPr>
        <w:t>, současně připravuje sjednocení svého reportingu se standardy ESRS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11"/>
      </w:r>
      <w:r w:rsidRPr="007B3951">
        <w:rPr>
          <w:rFonts w:ascii="Arial" w:hAnsi="Arial" w:cs="Arial"/>
          <w:color w:val="000000" w:themeColor="text1"/>
          <w:sz w:val="22"/>
          <w:szCs w:val="22"/>
        </w:rPr>
        <w:t>. Skupina se plánuje zavázat k plnění cílů podle iniciativy SBT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12"/>
      </w: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45816C6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Své cíle v oblasti udržitelnosti si skupina CSG stanovuje nejen na úrovni holdingu, ale i v rámci jednotlivých divizí. Pro oblasti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Defence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Aerospace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 zahrnují mj. přechod k pokročilým technologiím snižujícím dopady výroby i výsledných produktů na životní prostředí a k posilování standardů bezpečnosti. Divize CSG </w:t>
      </w:r>
      <w:proofErr w:type="spellStart"/>
      <w:r w:rsidRPr="007B3951">
        <w:rPr>
          <w:rFonts w:ascii="Arial" w:hAnsi="Arial" w:cs="Arial"/>
          <w:color w:val="000000" w:themeColor="text1"/>
          <w:sz w:val="22"/>
          <w:szCs w:val="22"/>
        </w:rPr>
        <w:t>Ammo</w:t>
      </w:r>
      <w:proofErr w:type="spellEnd"/>
      <w:r w:rsidRPr="007B3951">
        <w:rPr>
          <w:rFonts w:ascii="Arial" w:hAnsi="Arial" w:cs="Arial"/>
          <w:color w:val="000000" w:themeColor="text1"/>
          <w:sz w:val="22"/>
          <w:szCs w:val="22"/>
        </w:rPr>
        <w:t>+ se soustřeďuje na zavádění šetrnějších materiálů, včetně plně biodegradabilních, a minimalizaci odpadu. Divize CSG Mobility sází na vývoj nízkoemisních způsobů dopravy na bázi elektromobility a vodíkového pohonu. Výrobní podniky v rámci CSG podporují prodlužování životního cyklu svých dřívějších výrobků širokým spektrem servisních služeb včetně dlouhodobé produkce náhradních dílů. Všechny společnosti Skupiny zavedly nebo zavádějí opatření k posílení své energetické soběstačnosti – instalací vlastních fotovoltaických zdrojů, tepelných čerpadel a kogeneračních soustav poháněných solární energií – vše podle principů „zásady nepoškozovat” (DNSH)</w:t>
      </w:r>
      <w:r w:rsidRPr="007B3951">
        <w:rPr>
          <w:rStyle w:val="Znakapoznpodarou"/>
          <w:color w:val="000000" w:themeColor="text1"/>
          <w:sz w:val="22"/>
          <w:szCs w:val="22"/>
        </w:rPr>
        <w:footnoteReference w:id="13"/>
      </w:r>
      <w:r w:rsidRPr="007B39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6E6F64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Počínaje rokem 2023 platí pro všechny společnosti skupiny CSG nová pravidla zapojování do obecně prospěšných aktivit v místech jejich působení, především ve formě podpory občanských a neziskových iniciativ, kulturních, společenských, vzdělávacích nebo sportovních projektů. Skupina je hrdým partnerem projektu Česká hlava, propagujícího vynikající výsledky českých vědců a inovátorů. CSG také dlouhodobě přispívá na výzkumné projekty Ústavu hematologie a krevní transfúze zaměřené na zlepšování diagnostiky a léčby závažných rakovinových onemocnění. V oblasti vzdělávání podporuje Skupina činnost Vysoké školy CEVRO a formou strategických partnerství konkrétní vědecké projekty špičkových českých a slovenských univerzit technických směrů, mj. ČVUT, VUT, VŠB-TUO, Univerzity obrany, UJEP, VŠE nebo Univerzity Pardubice.</w:t>
      </w:r>
    </w:p>
    <w:p w14:paraId="51B4116A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>Komplexní spolupráce skupiny CSG se složkami integrovaného záchranného systému zahrnuje podporu finanční, materiální i poradenskou.</w:t>
      </w:r>
    </w:p>
    <w:p w14:paraId="040CF14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t xml:space="preserve">Společnosti Skupiny zároveň podporují širokou škálu lokálních projektů nominovaných vlastními zaměstnanci. </w:t>
      </w:r>
      <w:r w:rsidRPr="007B3951">
        <w:rPr>
          <w:rFonts w:ascii="Arial" w:hAnsi="Arial" w:cs="Arial"/>
          <w:i/>
          <w:iCs/>
          <w:color w:val="000000" w:themeColor="text1"/>
          <w:sz w:val="22"/>
          <w:szCs w:val="22"/>
        </w:rPr>
        <w:t>(Úplný přehled podpory je obsahem připracované zprávy o udržitelnosti Skupiny.)</w:t>
      </w:r>
    </w:p>
    <w:p w14:paraId="7F917F4B" w14:textId="77777777" w:rsidR="007B3951" w:rsidRPr="007B3951" w:rsidRDefault="007B3951" w:rsidP="007B3951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951">
        <w:rPr>
          <w:rFonts w:ascii="Arial" w:hAnsi="Arial" w:cs="Arial"/>
          <w:color w:val="000000" w:themeColor="text1"/>
          <w:sz w:val="22"/>
          <w:szCs w:val="22"/>
        </w:rPr>
        <w:lastRenderedPageBreak/>
        <w:t>Ve sportu navázala Skupina nová partnerství se špičkovými sportovci ve střeleckých disciplínách a v biatlonu. Jsou mezi nimi olympijští medailisté a další sportovci z vrcholu světového žebříčku. CSG také podporuje Italskou asociaci biatlonu. Sponzoring sportu obohatilo začátkem letošního nové partnerství CSG s Romanem Staňkem, mladým talentovaným jezdcem závodů Formule 2.</w:t>
      </w:r>
    </w:p>
    <w:p w14:paraId="0BCD512B" w14:textId="77777777" w:rsidR="007B3951" w:rsidRPr="007B3951" w:rsidRDefault="007B3951" w:rsidP="007B3951">
      <w:pPr>
        <w:spacing w:after="200" w:line="276" w:lineRule="auto"/>
        <w:jc w:val="center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5EAF87E8" w14:textId="77777777" w:rsidR="007B3951" w:rsidRPr="007B3951" w:rsidRDefault="007B3951" w:rsidP="007B3951">
      <w:pPr>
        <w:spacing w:after="200" w:line="276" w:lineRule="auto"/>
        <w:jc w:val="center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B3951">
        <w:rPr>
          <w:rFonts w:ascii="Arial" w:eastAsia="Arial" w:hAnsi="Arial" w:cs="Arial"/>
          <w:bCs/>
          <w:color w:val="000000" w:themeColor="text1"/>
          <w:sz w:val="22"/>
          <w:szCs w:val="22"/>
        </w:rPr>
        <w:t># # #</w:t>
      </w:r>
    </w:p>
    <w:p w14:paraId="0EFDAC58" w14:textId="77777777" w:rsidR="007B3951" w:rsidRPr="007B3951" w:rsidRDefault="007B3951" w:rsidP="007B3951">
      <w:pPr>
        <w:spacing w:before="12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7B39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 skupině CSG</w:t>
      </w:r>
    </w:p>
    <w:p w14:paraId="34C97660" w14:textId="77777777" w:rsidR="007B3951" w:rsidRPr="007B3951" w:rsidRDefault="007B3951" w:rsidP="007B3951">
      <w:pPr>
        <w:spacing w:before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 xml:space="preserve">Globální průmyslově-technologická skupina CSG vlastněná českým podnikatelem Michalem Strnadem má klíčové výrobní podniky v České republice, na Slovensku, ve Španělsku, v Itálii, Indii, Velké Británii a USA a své výrobky exportuje do celého světa. CSG soustavně investuje do rozvoje svých společností a zároveň expanduje v hlavních oborech svého podnikání. Součástí skupiny jsou například česká automobilka Tatra </w:t>
      </w:r>
      <w:proofErr w:type="spellStart"/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>Trucks</w:t>
      </w:r>
      <w:proofErr w:type="spellEnd"/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 xml:space="preserve">, významný světový výrobce malorážové munice </w:t>
      </w:r>
      <w:proofErr w:type="spellStart"/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>Fiocchi</w:t>
      </w:r>
      <w:proofErr w:type="spellEnd"/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 xml:space="preserve"> nebo český výrobce radarů </w:t>
      </w:r>
      <w:proofErr w:type="spellStart"/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>Eldis</w:t>
      </w:r>
      <w:proofErr w:type="spellEnd"/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>. V podnicích začleněných do skupiny CSG a v propojených firmách pracuje více než 10 000 zaměstnanců. V roce 2023 dosáhly konsolidované tržby skupiny hodnoty 1,73 mld. EUR. Hlavními obory CSG jsou strojírenství, automobilový, železniční, letecký průmysl, obranný průmysl a výroba malorážové munice. S produkty společností CSG se lze díky silné proexportní orientaci setkat na všech kontinentech.</w:t>
      </w:r>
    </w:p>
    <w:p w14:paraId="2FCF0283" w14:textId="77777777" w:rsidR="007B3951" w:rsidRPr="007B3951" w:rsidRDefault="007B3951" w:rsidP="007B3951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3A039ED" w14:textId="77777777" w:rsidR="007B3951" w:rsidRPr="007B3951" w:rsidRDefault="007B3951" w:rsidP="007B3951">
      <w:pPr>
        <w:spacing w:after="200"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24DB06E0" w14:textId="77777777" w:rsidR="007B3951" w:rsidRPr="007B3951" w:rsidRDefault="007B3951" w:rsidP="007B3951">
      <w:pPr>
        <w:spacing w:after="200"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B3951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Tiskový servis </w:t>
      </w:r>
      <w:proofErr w:type="spellStart"/>
      <w:r w:rsidRPr="007B3951">
        <w:rPr>
          <w:rFonts w:ascii="Arial" w:eastAsia="Arial" w:hAnsi="Arial" w:cs="Arial"/>
          <w:b/>
          <w:color w:val="000000" w:themeColor="text1"/>
          <w:sz w:val="22"/>
          <w:szCs w:val="22"/>
        </w:rPr>
        <w:t>Czechoslovak</w:t>
      </w:r>
      <w:proofErr w:type="spellEnd"/>
      <w:r w:rsidRPr="007B3951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Group a.s.</w:t>
      </w:r>
    </w:p>
    <w:p w14:paraId="01A387AF" w14:textId="77777777" w:rsidR="007B3951" w:rsidRPr="007B3951" w:rsidRDefault="007B3951" w:rsidP="007B3951">
      <w:pPr>
        <w:rPr>
          <w:rStyle w:val="Hypertextovodkaz"/>
          <w:rFonts w:ascii="Arial" w:eastAsia="Arial" w:hAnsi="Arial" w:cs="Arial"/>
          <w:color w:val="000000" w:themeColor="text1"/>
          <w:sz w:val="22"/>
          <w:szCs w:val="22"/>
        </w:rPr>
      </w:pPr>
      <w:r w:rsidRPr="007B3951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Andrej </w:t>
      </w:r>
      <w:proofErr w:type="spellStart"/>
      <w:r w:rsidRPr="007B3951">
        <w:rPr>
          <w:rFonts w:ascii="Arial" w:eastAsia="Arial" w:hAnsi="Arial" w:cs="Arial"/>
          <w:b/>
          <w:color w:val="000000" w:themeColor="text1"/>
          <w:sz w:val="22"/>
          <w:szCs w:val="22"/>
        </w:rPr>
        <w:t>Čírtek</w:t>
      </w:r>
      <w:proofErr w:type="spellEnd"/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br/>
        <w:t xml:space="preserve">tiskový mluvčí </w:t>
      </w:r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br/>
        <w:t xml:space="preserve">mob.: +420 602 494 208 </w:t>
      </w:r>
      <w:r w:rsidRPr="007B3951">
        <w:rPr>
          <w:rFonts w:ascii="Arial" w:eastAsia="Arial" w:hAnsi="Arial" w:cs="Arial"/>
          <w:color w:val="000000" w:themeColor="text1"/>
          <w:sz w:val="22"/>
          <w:szCs w:val="22"/>
        </w:rPr>
        <w:br/>
        <w:t xml:space="preserve">e-mail: </w:t>
      </w:r>
      <w:hyperlink r:id="rId11" w:history="1">
        <w:r w:rsidRPr="007B3951">
          <w:rPr>
            <w:rStyle w:val="Hypertextovodkaz"/>
            <w:rFonts w:ascii="Arial" w:eastAsia="Arial" w:hAnsi="Arial" w:cs="Arial"/>
            <w:color w:val="000000" w:themeColor="text1"/>
            <w:sz w:val="22"/>
            <w:szCs w:val="22"/>
          </w:rPr>
          <w:t>andrej.cirtek@czechoslovakgroup.cz</w:t>
        </w:r>
      </w:hyperlink>
    </w:p>
    <w:p w14:paraId="2568E162" w14:textId="301012F1" w:rsidR="004802C9" w:rsidRPr="00C55576" w:rsidRDefault="004802C9" w:rsidP="00C55576">
      <w:pPr>
        <w:rPr>
          <w:rStyle w:val="Hypertextovodkaz"/>
          <w:rFonts w:eastAsia="Arial"/>
          <w:color w:val="auto"/>
          <w:u w:val="none"/>
        </w:rPr>
      </w:pPr>
    </w:p>
    <w:sectPr w:rsidR="004802C9" w:rsidRPr="00C55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52" w:right="1134" w:bottom="1814" w:left="1134" w:header="1134" w:footer="6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8C5F4" w14:textId="77777777" w:rsidR="00DC3A46" w:rsidRDefault="00DC3A46">
      <w:r>
        <w:separator/>
      </w:r>
    </w:p>
  </w:endnote>
  <w:endnote w:type="continuationSeparator" w:id="0">
    <w:p w14:paraId="6441EEB9" w14:textId="77777777" w:rsidR="00DC3A46" w:rsidRDefault="00DC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27CB2" w14:textId="77777777" w:rsidR="005908B6" w:rsidRDefault="00590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8599" w14:textId="77777777" w:rsidR="005908B6" w:rsidRDefault="00EF3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color w:val="20262E"/>
        <w:sz w:val="14"/>
        <w:szCs w:val="14"/>
      </w:rPr>
      <w:fldChar w:fldCharType="begin"/>
    </w:r>
    <w:r>
      <w:rPr>
        <w:rFonts w:ascii="Arial" w:eastAsia="Arial" w:hAnsi="Arial" w:cs="Arial"/>
        <w:color w:val="20262E"/>
        <w:sz w:val="14"/>
        <w:szCs w:val="14"/>
      </w:rPr>
      <w:instrText>PAGE</w:instrText>
    </w:r>
    <w:r>
      <w:rPr>
        <w:rFonts w:ascii="Arial" w:eastAsia="Arial" w:hAnsi="Arial" w:cs="Arial"/>
        <w:color w:val="20262E"/>
        <w:sz w:val="14"/>
        <w:szCs w:val="14"/>
      </w:rPr>
      <w:fldChar w:fldCharType="separate"/>
    </w:r>
    <w:r w:rsidR="00820186">
      <w:rPr>
        <w:rFonts w:ascii="Arial" w:eastAsia="Arial" w:hAnsi="Arial" w:cs="Arial"/>
        <w:noProof/>
        <w:color w:val="20262E"/>
        <w:sz w:val="14"/>
        <w:szCs w:val="14"/>
      </w:rPr>
      <w:t>1</w:t>
    </w:r>
    <w:r>
      <w:rPr>
        <w:rFonts w:ascii="Arial" w:eastAsia="Arial" w:hAnsi="Arial" w:cs="Arial"/>
        <w:color w:val="20262E"/>
        <w:sz w:val="14"/>
        <w:szCs w:val="14"/>
      </w:rPr>
      <w:fldChar w:fldCharType="end"/>
    </w:r>
    <w:r>
      <w:rPr>
        <w:rFonts w:ascii="Arial" w:eastAsia="Arial" w:hAnsi="Arial" w:cs="Arial"/>
        <w:color w:val="20262E"/>
        <w:sz w:val="14"/>
        <w:szCs w:val="14"/>
      </w:rPr>
      <w:t xml:space="preserve"> / </w:t>
    </w:r>
    <w:r>
      <w:rPr>
        <w:rFonts w:ascii="Arial" w:eastAsia="Arial" w:hAnsi="Arial" w:cs="Arial"/>
        <w:color w:val="20262E"/>
        <w:sz w:val="14"/>
        <w:szCs w:val="14"/>
      </w:rPr>
      <w:fldChar w:fldCharType="begin"/>
    </w:r>
    <w:r>
      <w:rPr>
        <w:rFonts w:ascii="Arial" w:eastAsia="Arial" w:hAnsi="Arial" w:cs="Arial"/>
        <w:color w:val="20262E"/>
        <w:sz w:val="14"/>
        <w:szCs w:val="14"/>
      </w:rPr>
      <w:instrText>NUMPAGES</w:instrText>
    </w:r>
    <w:r>
      <w:rPr>
        <w:rFonts w:ascii="Arial" w:eastAsia="Arial" w:hAnsi="Arial" w:cs="Arial"/>
        <w:color w:val="20262E"/>
        <w:sz w:val="14"/>
        <w:szCs w:val="14"/>
      </w:rPr>
      <w:fldChar w:fldCharType="separate"/>
    </w:r>
    <w:r w:rsidR="00820186">
      <w:rPr>
        <w:rFonts w:ascii="Arial" w:eastAsia="Arial" w:hAnsi="Arial" w:cs="Arial"/>
        <w:noProof/>
        <w:color w:val="20262E"/>
        <w:sz w:val="14"/>
        <w:szCs w:val="14"/>
      </w:rPr>
      <w:t>2</w:t>
    </w:r>
    <w:r>
      <w:rPr>
        <w:rFonts w:ascii="Arial" w:eastAsia="Arial" w:hAnsi="Arial" w:cs="Arial"/>
        <w:color w:val="20262E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5175E" w14:textId="77777777" w:rsidR="005908B6" w:rsidRDefault="00590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B5D1D" w14:textId="77777777" w:rsidR="00DC3A46" w:rsidRDefault="00DC3A46">
      <w:r>
        <w:separator/>
      </w:r>
    </w:p>
  </w:footnote>
  <w:footnote w:type="continuationSeparator" w:id="0">
    <w:p w14:paraId="1FAF4CBB" w14:textId="77777777" w:rsidR="00DC3A46" w:rsidRDefault="00DC3A46">
      <w:r>
        <w:continuationSeparator/>
      </w:r>
    </w:p>
  </w:footnote>
  <w:footnote w:id="1">
    <w:p w14:paraId="4D7E5E4F" w14:textId="77777777" w:rsidR="007B3951" w:rsidRPr="00107B22" w:rsidRDefault="007B3951" w:rsidP="007B3951">
      <w:pPr>
        <w:pStyle w:val="Textpoznpodarou"/>
        <w:rPr>
          <w:rFonts w:ascii="Arial" w:hAnsi="Arial" w:cs="Arial"/>
          <w:sz w:val="16"/>
          <w:szCs w:val="16"/>
        </w:rPr>
      </w:pPr>
      <w:r w:rsidRPr="007041AE">
        <w:rPr>
          <w:rStyle w:val="Znakapoznpodarou"/>
          <w:sz w:val="16"/>
          <w:szCs w:val="16"/>
        </w:rPr>
        <w:footnoteRef/>
      </w:r>
      <w:r w:rsidRPr="007041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Není-li uvedeno jinak, </w:t>
      </w:r>
      <w:r w:rsidRPr="00107B22">
        <w:rPr>
          <w:rFonts w:ascii="Arial" w:hAnsi="Arial" w:cs="Arial"/>
          <w:sz w:val="16"/>
          <w:szCs w:val="16"/>
        </w:rPr>
        <w:t>nezahrnuj</w:t>
      </w:r>
      <w:r>
        <w:rPr>
          <w:rFonts w:ascii="Arial" w:hAnsi="Arial" w:cs="Arial"/>
          <w:sz w:val="16"/>
          <w:szCs w:val="16"/>
        </w:rPr>
        <w:t>í údaje o výsledcích hospodaření CSG obsažené v této zprávě</w:t>
      </w:r>
      <w:r w:rsidRPr="00107B22">
        <w:rPr>
          <w:rFonts w:ascii="Arial" w:hAnsi="Arial" w:cs="Arial"/>
          <w:sz w:val="16"/>
          <w:szCs w:val="16"/>
        </w:rPr>
        <w:t xml:space="preserve"> výkony společnosti Tatra </w:t>
      </w:r>
      <w:proofErr w:type="spellStart"/>
      <w:r w:rsidRPr="00107B22">
        <w:rPr>
          <w:rFonts w:ascii="Arial" w:hAnsi="Arial" w:cs="Arial"/>
          <w:sz w:val="16"/>
          <w:szCs w:val="16"/>
        </w:rPr>
        <w:t>Trucks</w:t>
      </w:r>
      <w:proofErr w:type="spellEnd"/>
      <w:r w:rsidRPr="00107B22">
        <w:rPr>
          <w:rFonts w:ascii="Arial" w:hAnsi="Arial" w:cs="Arial"/>
          <w:sz w:val="16"/>
          <w:szCs w:val="16"/>
        </w:rPr>
        <w:t>, která není součástí konsolidačního celku.</w:t>
      </w:r>
    </w:p>
  </w:footnote>
  <w:footnote w:id="2">
    <w:p w14:paraId="03F4D532" w14:textId="77777777" w:rsidR="007B3951" w:rsidRDefault="007B3951" w:rsidP="007B3951">
      <w:pPr>
        <w:pStyle w:val="Textpoznpodarou"/>
        <w:jc w:val="both"/>
      </w:pPr>
      <w:r w:rsidRPr="00107B22">
        <w:rPr>
          <w:rStyle w:val="Znakapoznpodarou"/>
          <w:sz w:val="16"/>
          <w:szCs w:val="16"/>
        </w:rPr>
        <w:footnoteRef/>
      </w:r>
      <w:r w:rsidRPr="00107B22">
        <w:rPr>
          <w:rFonts w:ascii="Arial" w:hAnsi="Arial" w:cs="Arial"/>
          <w:sz w:val="16"/>
          <w:szCs w:val="16"/>
        </w:rPr>
        <w:t xml:space="preserve"> Pro účely orientačního vyjádření v českých korunách byly hospodářské výsledky Skupiny za rok 2023 přepočteny průměrným směnným kurzem </w:t>
      </w:r>
      <w:bookmarkStart w:id="0" w:name="_Hlk163593188"/>
      <w:r>
        <w:rPr>
          <w:rFonts w:ascii="Arial" w:hAnsi="Arial" w:cs="Arial"/>
          <w:sz w:val="16"/>
          <w:szCs w:val="16"/>
        </w:rPr>
        <w:t>24,007</w:t>
      </w:r>
      <w:r w:rsidRPr="00107B22">
        <w:rPr>
          <w:rFonts w:ascii="Arial" w:hAnsi="Arial" w:cs="Arial"/>
          <w:sz w:val="16"/>
          <w:szCs w:val="16"/>
        </w:rPr>
        <w:t xml:space="preserve"> CZK/EUR</w:t>
      </w:r>
      <w:bookmarkEnd w:id="0"/>
      <w:r w:rsidRPr="00107B22">
        <w:rPr>
          <w:rFonts w:ascii="Arial" w:hAnsi="Arial" w:cs="Arial"/>
          <w:sz w:val="16"/>
          <w:szCs w:val="16"/>
        </w:rPr>
        <w:t xml:space="preserve">. Hospodářské výsledky Skupiny do roku 2022 včetně byly vykazovány v českých korunách. Pro porovnání meziročního vývoje byly výsledky za rok 2022 zpětně přepočteny průměrným směnným kurzem </w:t>
      </w:r>
      <w:r>
        <w:rPr>
          <w:rFonts w:ascii="Arial" w:hAnsi="Arial" w:cs="Arial"/>
          <w:sz w:val="16"/>
          <w:szCs w:val="16"/>
        </w:rPr>
        <w:t>24,565</w:t>
      </w:r>
      <w:r w:rsidRPr="00107B22">
        <w:rPr>
          <w:rFonts w:ascii="Arial" w:hAnsi="Arial" w:cs="Arial"/>
          <w:sz w:val="16"/>
          <w:szCs w:val="16"/>
        </w:rPr>
        <w:t xml:space="preserve"> CZK/EUR.</w:t>
      </w:r>
    </w:p>
  </w:footnote>
  <w:footnote w:id="3">
    <w:p w14:paraId="62A38021" w14:textId="77777777" w:rsidR="007B3951" w:rsidRPr="00A0546B" w:rsidRDefault="007B3951" w:rsidP="007B3951">
      <w:pPr>
        <w:pStyle w:val="Textpoznpodarou"/>
        <w:rPr>
          <w:rFonts w:ascii="Arial" w:hAnsi="Arial" w:cs="Arial"/>
          <w:sz w:val="16"/>
          <w:szCs w:val="16"/>
        </w:rPr>
      </w:pPr>
      <w:r w:rsidRPr="00A0546B">
        <w:rPr>
          <w:rStyle w:val="Znakapoznpodarou"/>
          <w:sz w:val="16"/>
          <w:szCs w:val="16"/>
        </w:rPr>
        <w:footnoteRef/>
      </w:r>
      <w:r w:rsidRPr="00A0546B">
        <w:rPr>
          <w:rFonts w:ascii="Arial" w:hAnsi="Arial" w:cs="Arial"/>
          <w:sz w:val="16"/>
          <w:szCs w:val="16"/>
        </w:rPr>
        <w:t xml:space="preserve"> Na tržbách CSG se v roce 2023 částkou 330 mil. EUR (</w:t>
      </w:r>
      <w:r>
        <w:rPr>
          <w:rFonts w:ascii="Arial" w:hAnsi="Arial" w:cs="Arial"/>
          <w:sz w:val="16"/>
          <w:szCs w:val="16"/>
        </w:rPr>
        <w:t>19</w:t>
      </w:r>
      <w:r w:rsidRPr="00A0546B">
        <w:rPr>
          <w:rFonts w:ascii="Arial" w:hAnsi="Arial" w:cs="Arial"/>
          <w:sz w:val="16"/>
          <w:szCs w:val="16"/>
        </w:rPr>
        <w:t xml:space="preserve"> %) podílela skupina </w:t>
      </w:r>
      <w:proofErr w:type="spellStart"/>
      <w:r w:rsidRPr="00A0546B">
        <w:rPr>
          <w:rFonts w:ascii="Arial" w:hAnsi="Arial" w:cs="Arial"/>
          <w:sz w:val="16"/>
          <w:szCs w:val="16"/>
        </w:rPr>
        <w:t>Fiocchi</w:t>
      </w:r>
      <w:proofErr w:type="spellEnd"/>
      <w:r w:rsidRPr="00A0546B">
        <w:rPr>
          <w:rFonts w:ascii="Arial" w:hAnsi="Arial" w:cs="Arial"/>
          <w:sz w:val="16"/>
          <w:szCs w:val="16"/>
        </w:rPr>
        <w:t>, jež se stala součástí CSG v prosinci 2022.</w:t>
      </w:r>
    </w:p>
  </w:footnote>
  <w:footnote w:id="4">
    <w:p w14:paraId="35776F32" w14:textId="77777777" w:rsidR="007B3951" w:rsidRDefault="007B3951" w:rsidP="007B3951">
      <w:pPr>
        <w:pStyle w:val="Textpoznpodarou"/>
      </w:pPr>
      <w:r w:rsidRPr="00F63CFF">
        <w:rPr>
          <w:rFonts w:ascii="Arial" w:hAnsi="Arial" w:cs="Arial"/>
          <w:sz w:val="16"/>
          <w:szCs w:val="16"/>
          <w:vertAlign w:val="superscript"/>
        </w:rPr>
        <w:footnoteRef/>
      </w:r>
      <w:r w:rsidRPr="00F63C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E05310">
        <w:rPr>
          <w:rFonts w:ascii="Arial" w:hAnsi="Arial" w:cs="Arial"/>
          <w:sz w:val="16"/>
          <w:szCs w:val="16"/>
        </w:rPr>
        <w:t>isk před úroky, daněmi, odpisy a amortizací</w:t>
      </w:r>
    </w:p>
  </w:footnote>
  <w:footnote w:id="5">
    <w:p w14:paraId="41F198A5" w14:textId="77777777" w:rsidR="007B3951" w:rsidRDefault="007B3951" w:rsidP="007B3951">
      <w:pPr>
        <w:pStyle w:val="Textpoznpodarou"/>
      </w:pPr>
      <w:r w:rsidRPr="00F63CFF">
        <w:rPr>
          <w:rFonts w:ascii="Arial" w:hAnsi="Arial" w:cs="Arial"/>
          <w:sz w:val="16"/>
          <w:szCs w:val="16"/>
          <w:vertAlign w:val="superscript"/>
        </w:rPr>
        <w:footnoteRef/>
      </w:r>
      <w:r w:rsidRPr="00F63CFF">
        <w:rPr>
          <w:rFonts w:ascii="Arial" w:hAnsi="Arial" w:cs="Arial"/>
          <w:sz w:val="16"/>
          <w:szCs w:val="16"/>
        </w:rPr>
        <w:t xml:space="preserve"> Složená roční míra růstu</w:t>
      </w:r>
    </w:p>
  </w:footnote>
  <w:footnote w:id="6">
    <w:p w14:paraId="6C79D6B8" w14:textId="77777777" w:rsidR="007B3951" w:rsidRPr="003773DE" w:rsidRDefault="007B3951" w:rsidP="007B3951">
      <w:pPr>
        <w:pStyle w:val="Textpoznpodarou"/>
        <w:rPr>
          <w:rFonts w:ascii="Arial" w:hAnsi="Arial" w:cs="Arial"/>
        </w:rPr>
      </w:pPr>
      <w:r w:rsidRPr="003773DE">
        <w:rPr>
          <w:rStyle w:val="Znakapoznpodarou"/>
          <w:sz w:val="16"/>
          <w:szCs w:val="16"/>
        </w:rPr>
        <w:footnoteRef/>
      </w:r>
      <w:r w:rsidRPr="003773DE">
        <w:rPr>
          <w:rFonts w:ascii="Arial" w:hAnsi="Arial" w:cs="Arial"/>
          <w:sz w:val="16"/>
          <w:szCs w:val="16"/>
        </w:rPr>
        <w:t xml:space="preserve"> MSM Group je </w:t>
      </w:r>
      <w:proofErr w:type="spellStart"/>
      <w:r w:rsidRPr="003773DE">
        <w:rPr>
          <w:rFonts w:ascii="Arial" w:hAnsi="Arial" w:cs="Arial"/>
          <w:sz w:val="16"/>
          <w:szCs w:val="16"/>
        </w:rPr>
        <w:t>subholding</w:t>
      </w:r>
      <w:proofErr w:type="spellEnd"/>
      <w:r w:rsidRPr="003773DE">
        <w:rPr>
          <w:rFonts w:ascii="Arial" w:hAnsi="Arial" w:cs="Arial"/>
          <w:sz w:val="16"/>
          <w:szCs w:val="16"/>
        </w:rPr>
        <w:t xml:space="preserve"> skupiny CSG, součást divize CSG </w:t>
      </w:r>
      <w:proofErr w:type="spellStart"/>
      <w:r w:rsidRPr="003773DE">
        <w:rPr>
          <w:rFonts w:ascii="Arial" w:hAnsi="Arial" w:cs="Arial"/>
          <w:sz w:val="16"/>
          <w:szCs w:val="16"/>
        </w:rPr>
        <w:t>Defence</w:t>
      </w:r>
      <w:proofErr w:type="spellEnd"/>
      <w:r w:rsidRPr="003773DE">
        <w:rPr>
          <w:rFonts w:ascii="Arial" w:hAnsi="Arial" w:cs="Arial"/>
          <w:sz w:val="16"/>
          <w:szCs w:val="16"/>
        </w:rPr>
        <w:t>, který zahrnuje zejména společnosti zabývající se výrobou velkorážové munice na Slovensku a ve Španělsku.</w:t>
      </w:r>
    </w:p>
  </w:footnote>
  <w:footnote w:id="7">
    <w:p w14:paraId="192F3673" w14:textId="77777777" w:rsidR="007B3951" w:rsidRPr="00AB2CD5" w:rsidRDefault="007B3951" w:rsidP="007B3951">
      <w:pPr>
        <w:pStyle w:val="Textpoznpodarou"/>
        <w:rPr>
          <w:rFonts w:ascii="Arial" w:hAnsi="Arial" w:cs="Arial"/>
          <w:sz w:val="16"/>
          <w:szCs w:val="16"/>
        </w:rPr>
      </w:pPr>
      <w:r w:rsidRPr="00AB2CD5">
        <w:rPr>
          <w:rStyle w:val="Znakapoznpodarou"/>
          <w:sz w:val="16"/>
          <w:szCs w:val="16"/>
        </w:rPr>
        <w:footnoteRef/>
      </w:r>
      <w:r w:rsidRPr="00AB2CD5">
        <w:rPr>
          <w:rFonts w:ascii="Arial" w:hAnsi="Arial" w:cs="Arial"/>
          <w:sz w:val="16"/>
          <w:szCs w:val="16"/>
        </w:rPr>
        <w:t xml:space="preserve"> V roce 2022 byly do konsolidovaných výsledků hospodaření CSG zahrnuty výkony </w:t>
      </w:r>
      <w:proofErr w:type="spellStart"/>
      <w:r w:rsidRPr="00AB2CD5">
        <w:rPr>
          <w:rFonts w:ascii="Arial" w:hAnsi="Arial" w:cs="Arial"/>
          <w:sz w:val="16"/>
          <w:szCs w:val="16"/>
        </w:rPr>
        <w:t>Fiocchi</w:t>
      </w:r>
      <w:proofErr w:type="spellEnd"/>
      <w:r w:rsidRPr="00AB2CD5">
        <w:rPr>
          <w:rFonts w:ascii="Arial" w:hAnsi="Arial" w:cs="Arial"/>
          <w:sz w:val="16"/>
          <w:szCs w:val="16"/>
        </w:rPr>
        <w:t xml:space="preserve"> pouze za poslední měsíc roku, rok 2023 je již započítán celý.</w:t>
      </w:r>
    </w:p>
  </w:footnote>
  <w:footnote w:id="8">
    <w:p w14:paraId="434898F1" w14:textId="77777777" w:rsidR="007B3951" w:rsidRPr="003773DE" w:rsidRDefault="007B3951" w:rsidP="007B3951">
      <w:pPr>
        <w:pStyle w:val="Textpoznpodarou"/>
        <w:rPr>
          <w:rFonts w:ascii="Arial" w:hAnsi="Arial" w:cs="Arial"/>
        </w:rPr>
      </w:pPr>
      <w:r w:rsidRPr="003773DE">
        <w:rPr>
          <w:rStyle w:val="Znakapoznpodarou"/>
          <w:sz w:val="16"/>
          <w:szCs w:val="16"/>
        </w:rPr>
        <w:footnoteRef/>
      </w:r>
      <w:r w:rsidRPr="003773DE">
        <w:rPr>
          <w:rFonts w:ascii="Arial" w:hAnsi="Arial" w:cs="Arial"/>
          <w:sz w:val="16"/>
          <w:szCs w:val="16"/>
        </w:rPr>
        <w:t xml:space="preserve"> Výsledky Tatra </w:t>
      </w:r>
      <w:proofErr w:type="spellStart"/>
      <w:r w:rsidRPr="003773DE">
        <w:rPr>
          <w:rFonts w:ascii="Arial" w:hAnsi="Arial" w:cs="Arial"/>
          <w:sz w:val="16"/>
          <w:szCs w:val="16"/>
        </w:rPr>
        <w:t>Trucks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3773DE">
        <w:rPr>
          <w:rFonts w:ascii="Arial" w:hAnsi="Arial" w:cs="Arial"/>
          <w:sz w:val="16"/>
          <w:szCs w:val="16"/>
        </w:rPr>
        <w:t xml:space="preserve"> a.</w:t>
      </w:r>
      <w:r>
        <w:rPr>
          <w:rFonts w:ascii="Arial" w:hAnsi="Arial" w:cs="Arial"/>
          <w:sz w:val="16"/>
          <w:szCs w:val="16"/>
        </w:rPr>
        <w:t xml:space="preserve"> </w:t>
      </w:r>
      <w:r w:rsidRPr="003773DE">
        <w:rPr>
          <w:rFonts w:ascii="Arial" w:hAnsi="Arial" w:cs="Arial"/>
          <w:sz w:val="16"/>
          <w:szCs w:val="16"/>
        </w:rPr>
        <w:t>s.</w:t>
      </w:r>
      <w:r>
        <w:rPr>
          <w:rFonts w:ascii="Arial" w:hAnsi="Arial" w:cs="Arial"/>
          <w:sz w:val="16"/>
          <w:szCs w:val="16"/>
        </w:rPr>
        <w:t>,</w:t>
      </w:r>
      <w:r w:rsidRPr="003773DE">
        <w:rPr>
          <w:rFonts w:ascii="Arial" w:hAnsi="Arial" w:cs="Arial"/>
          <w:sz w:val="16"/>
          <w:szCs w:val="16"/>
        </w:rPr>
        <w:t xml:space="preserve"> nejsou vzhledem k přítomnosti menšinového akcionáře a stanovám společnosti součástí konsolidovaných výsledků skupiny CSG.</w:t>
      </w:r>
    </w:p>
  </w:footnote>
  <w:footnote w:id="9">
    <w:p w14:paraId="5320341C" w14:textId="77777777" w:rsidR="007B3951" w:rsidRPr="00CB5E0F" w:rsidRDefault="007B3951" w:rsidP="007B3951">
      <w:pPr>
        <w:pStyle w:val="Textpoznpodarou"/>
        <w:rPr>
          <w:rFonts w:ascii="Arial" w:hAnsi="Arial" w:cs="Arial"/>
          <w:sz w:val="16"/>
          <w:szCs w:val="16"/>
        </w:rPr>
      </w:pPr>
      <w:r w:rsidRPr="00CB5E0F">
        <w:rPr>
          <w:rStyle w:val="Znakapoznpodarou"/>
          <w:sz w:val="16"/>
          <w:szCs w:val="16"/>
        </w:rPr>
        <w:footnoteRef/>
      </w:r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Global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Reporting </w:t>
      </w:r>
      <w:proofErr w:type="spellStart"/>
      <w:r w:rsidRPr="00CB5E0F">
        <w:rPr>
          <w:rFonts w:ascii="Arial" w:hAnsi="Arial" w:cs="Arial"/>
          <w:sz w:val="16"/>
          <w:szCs w:val="16"/>
        </w:rPr>
        <w:t>Initiative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[https://www.globalreporting.org]</w:t>
      </w:r>
    </w:p>
  </w:footnote>
  <w:footnote w:id="10">
    <w:p w14:paraId="157BF8DB" w14:textId="77777777" w:rsidR="007B3951" w:rsidRPr="00CB5E0F" w:rsidRDefault="007B3951" w:rsidP="007B3951">
      <w:pPr>
        <w:pStyle w:val="Textpoznpodarou"/>
        <w:tabs>
          <w:tab w:val="center" w:pos="4816"/>
        </w:tabs>
        <w:rPr>
          <w:rFonts w:ascii="Arial" w:hAnsi="Arial" w:cs="Arial"/>
          <w:sz w:val="16"/>
          <w:szCs w:val="16"/>
        </w:rPr>
      </w:pPr>
      <w:r w:rsidRPr="00CB5E0F">
        <w:rPr>
          <w:rStyle w:val="Znakapoznpodarou"/>
          <w:sz w:val="16"/>
          <w:szCs w:val="16"/>
        </w:rPr>
        <w:footnoteRef/>
      </w:r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Sustainability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Accounting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Standards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Board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[https://sasb.ifrs.org]</w:t>
      </w:r>
      <w:r w:rsidRPr="00CB5E0F">
        <w:rPr>
          <w:rFonts w:ascii="Arial" w:hAnsi="Arial" w:cs="Arial"/>
          <w:sz w:val="16"/>
          <w:szCs w:val="16"/>
        </w:rPr>
        <w:tab/>
      </w:r>
    </w:p>
  </w:footnote>
  <w:footnote w:id="11">
    <w:p w14:paraId="5006A580" w14:textId="77777777" w:rsidR="007B3951" w:rsidRPr="00CB5E0F" w:rsidRDefault="007B3951" w:rsidP="007B3951">
      <w:pPr>
        <w:pStyle w:val="Textpoznpodarou"/>
        <w:rPr>
          <w:rFonts w:ascii="Arial" w:hAnsi="Arial" w:cs="Arial"/>
          <w:sz w:val="16"/>
          <w:szCs w:val="16"/>
        </w:rPr>
      </w:pPr>
      <w:r w:rsidRPr="00CB5E0F">
        <w:rPr>
          <w:rStyle w:val="Znakapoznpodarou"/>
          <w:sz w:val="16"/>
          <w:szCs w:val="16"/>
        </w:rPr>
        <w:footnoteRef/>
      </w:r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European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Sustainability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Reporting </w:t>
      </w:r>
      <w:proofErr w:type="spellStart"/>
      <w:r w:rsidRPr="00CB5E0F">
        <w:rPr>
          <w:rFonts w:ascii="Arial" w:hAnsi="Arial" w:cs="Arial"/>
          <w:sz w:val="16"/>
          <w:szCs w:val="16"/>
        </w:rPr>
        <w:t>Standards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[https://efrag.org]</w:t>
      </w:r>
    </w:p>
  </w:footnote>
  <w:footnote w:id="12">
    <w:p w14:paraId="2A080554" w14:textId="77777777" w:rsidR="007B3951" w:rsidRDefault="007B3951" w:rsidP="007B3951">
      <w:pPr>
        <w:pStyle w:val="Textpoznpodarou"/>
      </w:pPr>
      <w:r w:rsidRPr="00CB5E0F">
        <w:rPr>
          <w:rStyle w:val="Znakapoznpodarou"/>
          <w:sz w:val="16"/>
          <w:szCs w:val="16"/>
        </w:rPr>
        <w:footnoteRef/>
      </w:r>
      <w:r w:rsidRPr="00CB5E0F">
        <w:rPr>
          <w:rFonts w:ascii="Arial" w:hAnsi="Arial" w:cs="Arial"/>
          <w:sz w:val="16"/>
          <w:szCs w:val="16"/>
        </w:rPr>
        <w:t xml:space="preserve"> Science </w:t>
      </w:r>
      <w:proofErr w:type="spellStart"/>
      <w:r w:rsidRPr="00CB5E0F">
        <w:rPr>
          <w:rFonts w:ascii="Arial" w:hAnsi="Arial" w:cs="Arial"/>
          <w:sz w:val="16"/>
          <w:szCs w:val="16"/>
        </w:rPr>
        <w:t>Based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5E0F">
        <w:rPr>
          <w:rFonts w:ascii="Arial" w:hAnsi="Arial" w:cs="Arial"/>
          <w:sz w:val="16"/>
          <w:szCs w:val="16"/>
        </w:rPr>
        <w:t>Targets</w:t>
      </w:r>
      <w:proofErr w:type="spellEnd"/>
      <w:r w:rsidRPr="00CB5E0F">
        <w:rPr>
          <w:rFonts w:ascii="Arial" w:hAnsi="Arial" w:cs="Arial"/>
          <w:sz w:val="16"/>
          <w:szCs w:val="16"/>
        </w:rPr>
        <w:t xml:space="preserve"> [https://sciencebasedtargets.org]</w:t>
      </w:r>
    </w:p>
  </w:footnote>
  <w:footnote w:id="13">
    <w:p w14:paraId="10C13B97" w14:textId="77777777" w:rsidR="007B3951" w:rsidRPr="008059D1" w:rsidRDefault="007B3951" w:rsidP="007B3951">
      <w:pPr>
        <w:pStyle w:val="Textpoznpodarou"/>
        <w:rPr>
          <w:rFonts w:ascii="Arial" w:hAnsi="Arial" w:cs="Arial"/>
          <w:sz w:val="16"/>
          <w:szCs w:val="16"/>
        </w:rPr>
      </w:pPr>
      <w:r w:rsidRPr="008059D1">
        <w:rPr>
          <w:rStyle w:val="Znakapoznpodarou"/>
          <w:sz w:val="16"/>
          <w:szCs w:val="16"/>
        </w:rPr>
        <w:footnoteRef/>
      </w:r>
      <w:r w:rsidRPr="008059D1">
        <w:rPr>
          <w:rFonts w:ascii="Arial" w:hAnsi="Arial" w:cs="Arial"/>
          <w:sz w:val="16"/>
          <w:szCs w:val="16"/>
        </w:rPr>
        <w:t xml:space="preserve"> Do Not </w:t>
      </w:r>
      <w:proofErr w:type="spellStart"/>
      <w:r w:rsidRPr="008059D1">
        <w:rPr>
          <w:rFonts w:ascii="Arial" w:hAnsi="Arial" w:cs="Arial"/>
          <w:sz w:val="16"/>
          <w:szCs w:val="16"/>
        </w:rPr>
        <w:t>Significant</w:t>
      </w:r>
      <w:proofErr w:type="spellEnd"/>
      <w:r w:rsidRPr="008059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059D1">
        <w:rPr>
          <w:rFonts w:ascii="Arial" w:hAnsi="Arial" w:cs="Arial"/>
          <w:sz w:val="16"/>
          <w:szCs w:val="16"/>
        </w:rPr>
        <w:t>Harm</w:t>
      </w:r>
      <w:proofErr w:type="spellEnd"/>
      <w:r w:rsidRPr="008059D1">
        <w:rPr>
          <w:rFonts w:ascii="Arial" w:hAnsi="Arial" w:cs="Arial"/>
          <w:sz w:val="16"/>
          <w:szCs w:val="16"/>
        </w:rPr>
        <w:t xml:space="preserve"> – zásada </w:t>
      </w:r>
      <w:r>
        <w:rPr>
          <w:rFonts w:ascii="Arial" w:hAnsi="Arial" w:cs="Arial"/>
          <w:sz w:val="16"/>
          <w:szCs w:val="16"/>
        </w:rPr>
        <w:t>sloužící naplňování</w:t>
      </w:r>
      <w:r w:rsidRPr="008059D1">
        <w:rPr>
          <w:rFonts w:ascii="Arial" w:hAnsi="Arial" w:cs="Arial"/>
          <w:sz w:val="16"/>
          <w:szCs w:val="16"/>
        </w:rPr>
        <w:t xml:space="preserve"> cíle </w:t>
      </w:r>
      <w:r>
        <w:rPr>
          <w:rFonts w:ascii="Arial" w:hAnsi="Arial" w:cs="Arial"/>
          <w:sz w:val="16"/>
          <w:szCs w:val="16"/>
        </w:rPr>
        <w:t xml:space="preserve">tzv. </w:t>
      </w:r>
      <w:r w:rsidRPr="008059D1">
        <w:rPr>
          <w:rFonts w:ascii="Arial" w:hAnsi="Arial" w:cs="Arial"/>
          <w:sz w:val="16"/>
          <w:szCs w:val="16"/>
        </w:rPr>
        <w:t xml:space="preserve">Zelené dohody pro Evropu (Green </w:t>
      </w:r>
      <w:proofErr w:type="spellStart"/>
      <w:r w:rsidRPr="008059D1">
        <w:rPr>
          <w:rFonts w:ascii="Arial" w:hAnsi="Arial" w:cs="Arial"/>
          <w:sz w:val="16"/>
          <w:szCs w:val="16"/>
        </w:rPr>
        <w:t>Deal</w:t>
      </w:r>
      <w:proofErr w:type="spellEnd"/>
      <w:r w:rsidRPr="008059D1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564B" w14:textId="77777777" w:rsidR="005908B6" w:rsidRDefault="00590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20E2F" w14:textId="77777777" w:rsidR="005908B6" w:rsidRDefault="00EF39E8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right" w:pos="847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E1CC470" wp14:editId="00A8A38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l="0" t="0" r="0" b="0"/>
              <wp:wrapNone/>
              <wp:docPr id="1" name="Obdélník: se zakulacenými roh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09542C9" w14:textId="77777777" w:rsidR="005908B6" w:rsidRDefault="005908B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1CC470" id="Obdélník: se zakulacenými rohy 1" o:spid="_x0000_s1026" style="position:absolute;margin-left:-.35pt;margin-top:-.35pt;width:595.75pt;height:84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" stroked="f">
              <v:fill r:id="rId2" o:title="" recolor="t" rotate="t" type="frame"/>
              <v:textbox inset="2.53958mm,2.53958mm,2.53958mm,2.53958mm">
                <w:txbxContent>
                  <w:p w14:paraId="609542C9" w14:textId="77777777" w:rsidR="005908B6" w:rsidRDefault="005908B6">
                    <w:pPr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DE370" w14:textId="77777777" w:rsidR="005908B6" w:rsidRDefault="00590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18"/>
    <w:rsid w:val="000177F1"/>
    <w:rsid w:val="00042A39"/>
    <w:rsid w:val="00042CFC"/>
    <w:rsid w:val="00062975"/>
    <w:rsid w:val="000740FC"/>
    <w:rsid w:val="00074125"/>
    <w:rsid w:val="00074215"/>
    <w:rsid w:val="00081DE7"/>
    <w:rsid w:val="000A22D5"/>
    <w:rsid w:val="000A7718"/>
    <w:rsid w:val="000C3A10"/>
    <w:rsid w:val="000E5E72"/>
    <w:rsid w:val="00101B97"/>
    <w:rsid w:val="001061D0"/>
    <w:rsid w:val="00106FC9"/>
    <w:rsid w:val="00107B22"/>
    <w:rsid w:val="00113650"/>
    <w:rsid w:val="00122A3A"/>
    <w:rsid w:val="00127F4E"/>
    <w:rsid w:val="00135F46"/>
    <w:rsid w:val="001B13EF"/>
    <w:rsid w:val="001C5254"/>
    <w:rsid w:val="001D1E9A"/>
    <w:rsid w:val="001D3430"/>
    <w:rsid w:val="001F4B43"/>
    <w:rsid w:val="001F6522"/>
    <w:rsid w:val="00213244"/>
    <w:rsid w:val="00216246"/>
    <w:rsid w:val="00225EC7"/>
    <w:rsid w:val="00230842"/>
    <w:rsid w:val="002323AA"/>
    <w:rsid w:val="0023441F"/>
    <w:rsid w:val="00234E38"/>
    <w:rsid w:val="00240163"/>
    <w:rsid w:val="002810D6"/>
    <w:rsid w:val="002D1F05"/>
    <w:rsid w:val="002D2A52"/>
    <w:rsid w:val="002D35D2"/>
    <w:rsid w:val="002E0265"/>
    <w:rsid w:val="002E3583"/>
    <w:rsid w:val="002E629D"/>
    <w:rsid w:val="002F7E55"/>
    <w:rsid w:val="0030621D"/>
    <w:rsid w:val="003208C2"/>
    <w:rsid w:val="0033258F"/>
    <w:rsid w:val="003353AB"/>
    <w:rsid w:val="00343BF6"/>
    <w:rsid w:val="003526AC"/>
    <w:rsid w:val="0037237B"/>
    <w:rsid w:val="003A0F6E"/>
    <w:rsid w:val="003B3ED4"/>
    <w:rsid w:val="003D3227"/>
    <w:rsid w:val="00404860"/>
    <w:rsid w:val="00437F0B"/>
    <w:rsid w:val="004449EF"/>
    <w:rsid w:val="00450A0F"/>
    <w:rsid w:val="0045347D"/>
    <w:rsid w:val="00453D9A"/>
    <w:rsid w:val="0045519E"/>
    <w:rsid w:val="004720B2"/>
    <w:rsid w:val="004802C9"/>
    <w:rsid w:val="00487327"/>
    <w:rsid w:val="00493307"/>
    <w:rsid w:val="004B3F25"/>
    <w:rsid w:val="004B5F95"/>
    <w:rsid w:val="004F7A03"/>
    <w:rsid w:val="0052608F"/>
    <w:rsid w:val="0055054A"/>
    <w:rsid w:val="005709C6"/>
    <w:rsid w:val="00581CCB"/>
    <w:rsid w:val="005908B6"/>
    <w:rsid w:val="005960C6"/>
    <w:rsid w:val="005B19F4"/>
    <w:rsid w:val="005C1AB1"/>
    <w:rsid w:val="005C5626"/>
    <w:rsid w:val="005E5F79"/>
    <w:rsid w:val="00642D7F"/>
    <w:rsid w:val="00646D8D"/>
    <w:rsid w:val="00665F71"/>
    <w:rsid w:val="00676ADE"/>
    <w:rsid w:val="00684736"/>
    <w:rsid w:val="00694D4E"/>
    <w:rsid w:val="006B2946"/>
    <w:rsid w:val="006C1FCD"/>
    <w:rsid w:val="006E7C33"/>
    <w:rsid w:val="006F485E"/>
    <w:rsid w:val="007041AE"/>
    <w:rsid w:val="00717E82"/>
    <w:rsid w:val="00722558"/>
    <w:rsid w:val="00723C17"/>
    <w:rsid w:val="00747DFD"/>
    <w:rsid w:val="00761EA8"/>
    <w:rsid w:val="00774286"/>
    <w:rsid w:val="00780DD8"/>
    <w:rsid w:val="007A21E0"/>
    <w:rsid w:val="007B3951"/>
    <w:rsid w:val="007B57D6"/>
    <w:rsid w:val="007C688B"/>
    <w:rsid w:val="007E0B6F"/>
    <w:rsid w:val="008059D1"/>
    <w:rsid w:val="00807F76"/>
    <w:rsid w:val="00820186"/>
    <w:rsid w:val="008340C1"/>
    <w:rsid w:val="00840F58"/>
    <w:rsid w:val="00855B28"/>
    <w:rsid w:val="00864FD1"/>
    <w:rsid w:val="008774D3"/>
    <w:rsid w:val="008850CA"/>
    <w:rsid w:val="00896925"/>
    <w:rsid w:val="008A1E6D"/>
    <w:rsid w:val="008A33A5"/>
    <w:rsid w:val="008B0598"/>
    <w:rsid w:val="008C3BC4"/>
    <w:rsid w:val="008D185A"/>
    <w:rsid w:val="008F6A88"/>
    <w:rsid w:val="00910764"/>
    <w:rsid w:val="00914416"/>
    <w:rsid w:val="00947E19"/>
    <w:rsid w:val="0095092F"/>
    <w:rsid w:val="00951993"/>
    <w:rsid w:val="00952648"/>
    <w:rsid w:val="009715E7"/>
    <w:rsid w:val="00995703"/>
    <w:rsid w:val="00996324"/>
    <w:rsid w:val="009B4824"/>
    <w:rsid w:val="009D18BC"/>
    <w:rsid w:val="009E7255"/>
    <w:rsid w:val="009F5564"/>
    <w:rsid w:val="009F5D97"/>
    <w:rsid w:val="00A0546B"/>
    <w:rsid w:val="00A42C79"/>
    <w:rsid w:val="00A46BE1"/>
    <w:rsid w:val="00A549E9"/>
    <w:rsid w:val="00A735E6"/>
    <w:rsid w:val="00A80879"/>
    <w:rsid w:val="00A95838"/>
    <w:rsid w:val="00AB2CD5"/>
    <w:rsid w:val="00AD0EFB"/>
    <w:rsid w:val="00AE7509"/>
    <w:rsid w:val="00AF53F0"/>
    <w:rsid w:val="00AF7F4A"/>
    <w:rsid w:val="00B038A7"/>
    <w:rsid w:val="00B1191D"/>
    <w:rsid w:val="00B34B85"/>
    <w:rsid w:val="00B64CF2"/>
    <w:rsid w:val="00B83609"/>
    <w:rsid w:val="00BB60F4"/>
    <w:rsid w:val="00BD2881"/>
    <w:rsid w:val="00BF3E79"/>
    <w:rsid w:val="00BF6DB1"/>
    <w:rsid w:val="00C213AB"/>
    <w:rsid w:val="00C34D85"/>
    <w:rsid w:val="00C55576"/>
    <w:rsid w:val="00C61264"/>
    <w:rsid w:val="00C6128E"/>
    <w:rsid w:val="00C61936"/>
    <w:rsid w:val="00CA6BF9"/>
    <w:rsid w:val="00CB5E0F"/>
    <w:rsid w:val="00CB6FC1"/>
    <w:rsid w:val="00CE6E61"/>
    <w:rsid w:val="00CE7C9E"/>
    <w:rsid w:val="00CF4025"/>
    <w:rsid w:val="00D00221"/>
    <w:rsid w:val="00D155EC"/>
    <w:rsid w:val="00D23B32"/>
    <w:rsid w:val="00D23CEF"/>
    <w:rsid w:val="00D4231B"/>
    <w:rsid w:val="00D42B87"/>
    <w:rsid w:val="00D53450"/>
    <w:rsid w:val="00D62C59"/>
    <w:rsid w:val="00D92966"/>
    <w:rsid w:val="00DA6B9D"/>
    <w:rsid w:val="00DA76AF"/>
    <w:rsid w:val="00DB2584"/>
    <w:rsid w:val="00DC3A46"/>
    <w:rsid w:val="00DC49A6"/>
    <w:rsid w:val="00DD71CC"/>
    <w:rsid w:val="00E011EA"/>
    <w:rsid w:val="00E05310"/>
    <w:rsid w:val="00E10B16"/>
    <w:rsid w:val="00E1300D"/>
    <w:rsid w:val="00E14954"/>
    <w:rsid w:val="00E32E9B"/>
    <w:rsid w:val="00EB1F5D"/>
    <w:rsid w:val="00EC43E6"/>
    <w:rsid w:val="00ED3400"/>
    <w:rsid w:val="00EE5EA6"/>
    <w:rsid w:val="00EE7004"/>
    <w:rsid w:val="00EE73DD"/>
    <w:rsid w:val="00EF39E8"/>
    <w:rsid w:val="00EF4818"/>
    <w:rsid w:val="00F009C0"/>
    <w:rsid w:val="00F40B4E"/>
    <w:rsid w:val="00F43EAD"/>
    <w:rsid w:val="00F50370"/>
    <w:rsid w:val="00F55309"/>
    <w:rsid w:val="00F622CC"/>
    <w:rsid w:val="00F62FBF"/>
    <w:rsid w:val="00F63CFF"/>
    <w:rsid w:val="00F91FB9"/>
    <w:rsid w:val="00F93A2E"/>
    <w:rsid w:val="00FA56F8"/>
    <w:rsid w:val="00FA5AB9"/>
    <w:rsid w:val="00FA7AA3"/>
    <w:rsid w:val="00FC5518"/>
    <w:rsid w:val="00FD262F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01F8"/>
  <w15:docId w15:val="{452D54D3-7FC1-415E-A1F4-2D61D47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line="259" w:lineRule="auto"/>
      <w:outlineLvl w:val="0"/>
    </w:pPr>
    <w:rPr>
      <w:rFonts w:ascii="Helvetica Neue" w:eastAsia="Helvetica Neue" w:hAnsi="Helvetica Neue" w:cs="Helvetica Neue"/>
      <w:color w:val="0079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E10B16"/>
  </w:style>
  <w:style w:type="character" w:styleId="Hypertextovodkaz">
    <w:name w:val="Hyperlink"/>
    <w:basedOn w:val="Standardnpsmoodstavce"/>
    <w:uiPriority w:val="99"/>
    <w:unhideWhenUsed/>
    <w:rsid w:val="00D42B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B8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nhideWhenUsed/>
    <w:rsid w:val="00AF53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53F0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AF53F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A2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22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22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.cirtek@czechoslovakgrou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cuments\202402\&#352;ablona%20TZ%20C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1apYMftXg7s4EJMyPXLR2oruoA==">CgMxLjAyCGguZ2pkZ3hzOABqKQoUc3VnZ2VzdC5reTdlazM2MWtndWYSEVZpb2xhIFJpY2h0ZXJvdsOhaikKFHN1Z2dlc3QuYTNjbTBrODB4NzRzEhFWaW9sYSBSaWNodGVyb3bDoWopChRzdWdnZXN0LnBnc216bWt1ZnFiahIRVmlvbGEgUmljaHRlcm92w6FqKQoUc3VnZ2VzdC42aDAzaWRlbHRkNzcSEVZpb2xhIFJpY2h0ZXJvdsOhciExcmRkNDNBU3JGQ3laM0ZhUjk1cHdyci1Db0lIbENSaFc=</go:docsCustomData>
</go:gDocsCustomXmlDataStorage>
</file>

<file path=customXml/itemProps1.xml><?xml version="1.0" encoding="utf-8"?>
<ds:datastoreItem xmlns:ds="http://schemas.openxmlformats.org/officeDocument/2006/customXml" ds:itemID="{9329BF01-4CCC-49CA-9EDE-AD3D91116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TZ CSG</Template>
  <TotalTime>12</TotalTime>
  <Pages>8</Pages>
  <Words>2835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Cirtek</dc:creator>
  <cp:lastModifiedBy>Jaroslav Martínek, PP Partners</cp:lastModifiedBy>
  <cp:revision>5</cp:revision>
  <dcterms:created xsi:type="dcterms:W3CDTF">2024-04-08T12:53:00Z</dcterms:created>
  <dcterms:modified xsi:type="dcterms:W3CDTF">2024-04-10T05:42:00Z</dcterms:modified>
</cp:coreProperties>
</file>