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BDAC4" w14:textId="199C76EC" w:rsidR="0045591A" w:rsidRDefault="0045591A" w:rsidP="009A2B53">
      <w:pPr>
        <w:rPr>
          <w:b/>
          <w:lang w:val="nb-NO"/>
        </w:rPr>
      </w:pPr>
    </w:p>
    <w:p w14:paraId="228B0371" w14:textId="77777777" w:rsidR="0045591A" w:rsidRDefault="0045591A" w:rsidP="009A2B53">
      <w:pPr>
        <w:rPr>
          <w:b/>
          <w:lang w:val="nb-NO"/>
        </w:rPr>
      </w:pPr>
    </w:p>
    <w:p w14:paraId="6F495D8E" w14:textId="780F9E61" w:rsidR="009A2B53" w:rsidRPr="0045591A" w:rsidRDefault="009A2B53" w:rsidP="009A2B53">
      <w:pPr>
        <w:rPr>
          <w:rFonts w:asciiTheme="majorHAnsi" w:hAnsiTheme="majorHAnsi" w:cstheme="majorHAnsi"/>
          <w:b/>
          <w:color w:val="44546A" w:themeColor="text2"/>
          <w:sz w:val="32"/>
          <w:szCs w:val="32"/>
          <w:lang w:val="nb-NO"/>
        </w:rPr>
      </w:pPr>
      <w:r w:rsidRPr="0045591A">
        <w:rPr>
          <w:rFonts w:asciiTheme="majorHAnsi" w:hAnsiTheme="majorHAnsi" w:cstheme="majorHAnsi"/>
          <w:b/>
          <w:color w:val="44546A" w:themeColor="text2"/>
          <w:sz w:val="32"/>
          <w:szCs w:val="32"/>
          <w:lang w:val="nb-NO"/>
        </w:rPr>
        <w:t>Vedlegg 1 – Gode råd ved entreprenørstyrt samspill</w:t>
      </w:r>
    </w:p>
    <w:p w14:paraId="6C970E50" w14:textId="77777777" w:rsidR="009A2B53" w:rsidRPr="009A2B53" w:rsidRDefault="009A2B53" w:rsidP="0020190D">
      <w:pPr>
        <w:pStyle w:val="Ingenmellomrom"/>
        <w:rPr>
          <w:lang w:val="nb-NO"/>
        </w:rPr>
      </w:pPr>
    </w:p>
    <w:p w14:paraId="7A0D0B78" w14:textId="77777777" w:rsidR="009A2B53" w:rsidRPr="009A2B53" w:rsidRDefault="009A2B53" w:rsidP="0020190D">
      <w:pPr>
        <w:pStyle w:val="Ingenmellomrom"/>
        <w:rPr>
          <w:lang w:val="nb-NO"/>
        </w:rPr>
      </w:pPr>
      <w:r w:rsidRPr="009A2B53">
        <w:rPr>
          <w:lang w:val="nb-NO"/>
        </w:rPr>
        <w:t xml:space="preserve">RIF og AiN fremhever følgende viktige punkter som byggherren bør ivareta ved valg av entreprenørstyrt samspill. </w:t>
      </w:r>
    </w:p>
    <w:p w14:paraId="617DF6E6" w14:textId="77777777" w:rsidR="009A2B53" w:rsidRPr="009A2B53" w:rsidRDefault="009A2B53" w:rsidP="0020190D">
      <w:pPr>
        <w:pStyle w:val="Ingenmellomrom"/>
        <w:rPr>
          <w:lang w:val="nb-NO"/>
        </w:rPr>
      </w:pPr>
    </w:p>
    <w:p w14:paraId="3875BC95" w14:textId="77777777" w:rsidR="009A2B53" w:rsidRPr="009A2B53" w:rsidRDefault="009A2B53" w:rsidP="0020190D">
      <w:pPr>
        <w:pStyle w:val="Ingenmellomrom"/>
        <w:numPr>
          <w:ilvl w:val="0"/>
          <w:numId w:val="3"/>
        </w:numPr>
        <w:rPr>
          <w:lang w:val="nb-NO"/>
        </w:rPr>
      </w:pPr>
      <w:r w:rsidRPr="009A2B53">
        <w:rPr>
          <w:lang w:val="nb-NO"/>
        </w:rPr>
        <w:t>Byggherren må ved anskaffelse av rådgivere/arkitekt ta stilling til om disse senere skal tiltransporteres entreprenør, eller om entreprenør skal stå fritt til å tilby egne rådgivere/arkitekt.</w:t>
      </w:r>
    </w:p>
    <w:p w14:paraId="17D0709B" w14:textId="77777777" w:rsidR="009A2B53" w:rsidRPr="009A2B53" w:rsidRDefault="009A2B53" w:rsidP="0020190D">
      <w:pPr>
        <w:pStyle w:val="Ingenmellomrom"/>
        <w:rPr>
          <w:lang w:val="nb-NO"/>
        </w:rPr>
      </w:pPr>
    </w:p>
    <w:p w14:paraId="327CA0EF" w14:textId="77777777" w:rsidR="009A2B53" w:rsidRPr="009A2B53" w:rsidRDefault="009A2B53" w:rsidP="0020190D">
      <w:pPr>
        <w:pStyle w:val="Ingenmellomrom"/>
        <w:numPr>
          <w:ilvl w:val="0"/>
          <w:numId w:val="3"/>
        </w:numPr>
        <w:rPr>
          <w:lang w:val="nb-NO"/>
        </w:rPr>
      </w:pPr>
      <w:r w:rsidRPr="009A2B53">
        <w:rPr>
          <w:lang w:val="nb-NO"/>
        </w:rPr>
        <w:t>Der entreprenøren selv kan velge rådgiver/arkitekt, bør byggherren:</w:t>
      </w:r>
    </w:p>
    <w:p w14:paraId="7840516D" w14:textId="77777777" w:rsidR="0020190D" w:rsidRDefault="0020190D" w:rsidP="0020190D">
      <w:pPr>
        <w:pStyle w:val="Ingenmellomrom"/>
        <w:ind w:left="720"/>
        <w:rPr>
          <w:lang w:val="nb-NO"/>
        </w:rPr>
      </w:pPr>
    </w:p>
    <w:p w14:paraId="7236B442" w14:textId="3DAEDC25" w:rsidR="009A2B53" w:rsidRPr="009A2B53" w:rsidRDefault="009A2B53" w:rsidP="0020190D">
      <w:pPr>
        <w:pStyle w:val="Ingenmellomrom"/>
        <w:numPr>
          <w:ilvl w:val="1"/>
          <w:numId w:val="3"/>
        </w:numPr>
        <w:rPr>
          <w:lang w:val="nb-NO"/>
        </w:rPr>
      </w:pPr>
      <w:r w:rsidRPr="009A2B53">
        <w:rPr>
          <w:lang w:val="nb-NO"/>
        </w:rPr>
        <w:t>Sikre at rådgivere og arkitekt innen alle relevante fag fremgår allerede av entreprenørens tilbud</w:t>
      </w:r>
    </w:p>
    <w:p w14:paraId="259B5A30" w14:textId="77777777" w:rsidR="0020190D" w:rsidRDefault="0020190D" w:rsidP="0020190D">
      <w:pPr>
        <w:pStyle w:val="Ingenmellomrom"/>
        <w:ind w:left="720"/>
        <w:rPr>
          <w:lang w:val="nb-NO"/>
        </w:rPr>
      </w:pPr>
    </w:p>
    <w:p w14:paraId="37AE3419" w14:textId="5680C892" w:rsidR="009A2B53" w:rsidRPr="009A2B53" w:rsidRDefault="009A2B53" w:rsidP="0020190D">
      <w:pPr>
        <w:pStyle w:val="Ingenmellomrom"/>
        <w:numPr>
          <w:ilvl w:val="1"/>
          <w:numId w:val="3"/>
        </w:numPr>
        <w:rPr>
          <w:lang w:val="nb-NO"/>
        </w:rPr>
      </w:pPr>
      <w:r w:rsidRPr="009A2B53">
        <w:rPr>
          <w:lang w:val="nb-NO"/>
        </w:rPr>
        <w:t>Kvalifikasjonsvurdering av entreprenør bør også omfatte rådgivere/arkitekt</w:t>
      </w:r>
    </w:p>
    <w:p w14:paraId="47CC5138" w14:textId="77777777" w:rsidR="0020190D" w:rsidRDefault="0020190D" w:rsidP="0020190D">
      <w:pPr>
        <w:pStyle w:val="Ingenmellomrom"/>
        <w:ind w:left="720"/>
        <w:rPr>
          <w:lang w:val="nb-NO"/>
        </w:rPr>
      </w:pPr>
    </w:p>
    <w:p w14:paraId="3111811E" w14:textId="53DFB269" w:rsidR="009A2B53" w:rsidRPr="009A2B53" w:rsidRDefault="009A2B53" w:rsidP="0020190D">
      <w:pPr>
        <w:pStyle w:val="Ingenmellomrom"/>
        <w:numPr>
          <w:ilvl w:val="1"/>
          <w:numId w:val="3"/>
        </w:numPr>
        <w:rPr>
          <w:lang w:val="nb-NO"/>
        </w:rPr>
      </w:pPr>
      <w:r w:rsidRPr="009A2B53">
        <w:rPr>
          <w:lang w:val="nb-NO"/>
        </w:rPr>
        <w:t>Tildelingsvurdering av entreprenør, bør også omfatte evaluering av kvaliteten på tilbudte rådgivere/arkitekt</w:t>
      </w:r>
    </w:p>
    <w:p w14:paraId="0793342B" w14:textId="77777777" w:rsidR="009A2B53" w:rsidRPr="009A2B53" w:rsidRDefault="009A2B53" w:rsidP="0020190D">
      <w:pPr>
        <w:pStyle w:val="Ingenmellomrom"/>
        <w:rPr>
          <w:lang w:val="nb-NO"/>
        </w:rPr>
      </w:pPr>
    </w:p>
    <w:p w14:paraId="3545080C" w14:textId="77777777" w:rsidR="009A2B53" w:rsidRPr="009A2B53" w:rsidRDefault="009A2B53" w:rsidP="0020190D">
      <w:pPr>
        <w:pStyle w:val="Ingenmellomrom"/>
        <w:numPr>
          <w:ilvl w:val="0"/>
          <w:numId w:val="3"/>
        </w:numPr>
        <w:rPr>
          <w:lang w:val="nb-NO"/>
        </w:rPr>
      </w:pPr>
      <w:r w:rsidRPr="009A2B53">
        <w:rPr>
          <w:lang w:val="nb-NO"/>
        </w:rPr>
        <w:t>Byggherren bør sikre at entreprenøren ikke har prisformat med kritiske underleverandører som vil motvirke et reelt samspill i prosjektet. Fastpriskontrakter hos underleverandører hvor pris har vært avgjørende ved innkjøpet, er et eksempel på vederlagsformat hos underleverandør som vil kunne motvirke samspill. Vederlagsformatet basert på målsummer og incitamenter er eksempler på vederlagsformatet som vil kunne virke positivt for samspillet.</w:t>
      </w:r>
    </w:p>
    <w:p w14:paraId="34529791" w14:textId="77777777" w:rsidR="009A2B53" w:rsidRPr="009A2B53" w:rsidRDefault="009A2B53" w:rsidP="0020190D">
      <w:pPr>
        <w:pStyle w:val="Ingenmellomrom"/>
        <w:rPr>
          <w:lang w:val="nb-NO"/>
        </w:rPr>
      </w:pPr>
    </w:p>
    <w:p w14:paraId="5F8D5C08" w14:textId="77777777" w:rsidR="009A2B53" w:rsidRPr="009A2B53" w:rsidRDefault="009A2B53" w:rsidP="0020190D">
      <w:pPr>
        <w:pStyle w:val="Ingenmellomrom"/>
        <w:numPr>
          <w:ilvl w:val="0"/>
          <w:numId w:val="3"/>
        </w:numPr>
        <w:rPr>
          <w:lang w:val="nb-NO"/>
        </w:rPr>
      </w:pPr>
      <w:r w:rsidRPr="009A2B53">
        <w:rPr>
          <w:lang w:val="nb-NO"/>
        </w:rPr>
        <w:t>Byggherren bør påse at prosjektet organiseres og gjennomføres slik at kritiske underleverandører til totalentreprenøren, som de prosjekterende, trekkes inn i samspillet.</w:t>
      </w:r>
    </w:p>
    <w:p w14:paraId="4D108E40" w14:textId="77777777" w:rsidR="009A2B53" w:rsidRPr="009A2B53" w:rsidRDefault="009A2B53" w:rsidP="0020190D">
      <w:pPr>
        <w:pStyle w:val="Ingenmellomrom"/>
        <w:rPr>
          <w:lang w:val="nb-NO"/>
        </w:rPr>
      </w:pPr>
    </w:p>
    <w:p w14:paraId="0F2E03F2" w14:textId="77777777" w:rsidR="009A2B53" w:rsidRPr="009A2B53" w:rsidRDefault="009A2B53" w:rsidP="0020190D">
      <w:pPr>
        <w:pStyle w:val="Ingenmellomrom"/>
        <w:numPr>
          <w:ilvl w:val="0"/>
          <w:numId w:val="3"/>
        </w:numPr>
        <w:rPr>
          <w:lang w:val="nb-NO"/>
        </w:rPr>
      </w:pPr>
      <w:r w:rsidRPr="009A2B53">
        <w:rPr>
          <w:lang w:val="nb-NO"/>
        </w:rPr>
        <w:t>Prosjekteringslederfunksjon og styring av prosjekteringen er av stor viktighet i et prosjekt med mange aktører. Det må sikres at denne rollen fylles og ivaretas på en god måte.</w:t>
      </w:r>
    </w:p>
    <w:p w14:paraId="4F72E5E1" w14:textId="19F91664" w:rsidR="00C17839" w:rsidRDefault="000C4A55" w:rsidP="0020190D">
      <w:pPr>
        <w:pStyle w:val="Ingenmellomrom"/>
        <w:rPr>
          <w:lang w:val="nb-NO"/>
        </w:rPr>
      </w:pPr>
    </w:p>
    <w:p w14:paraId="03DCAE08" w14:textId="440D291F" w:rsidR="00D1073F" w:rsidRDefault="00D1073F" w:rsidP="0020190D">
      <w:pPr>
        <w:pStyle w:val="Ingenmellomrom"/>
        <w:rPr>
          <w:lang w:val="nb-NO"/>
        </w:rPr>
      </w:pPr>
    </w:p>
    <w:p w14:paraId="47EF574A" w14:textId="43F4813B" w:rsidR="00D1073F" w:rsidRDefault="00D1073F" w:rsidP="0020190D">
      <w:pPr>
        <w:pStyle w:val="Ingenmellomrom"/>
        <w:rPr>
          <w:lang w:val="nb-NO"/>
        </w:rPr>
      </w:pPr>
    </w:p>
    <w:p w14:paraId="160E9BFD" w14:textId="4982ED6F" w:rsidR="00D1073F" w:rsidRDefault="00D1073F" w:rsidP="0020190D">
      <w:pPr>
        <w:pStyle w:val="Ingenmellomrom"/>
        <w:rPr>
          <w:lang w:val="nb-NO"/>
        </w:rPr>
      </w:pPr>
    </w:p>
    <w:p w14:paraId="3EDBA1D4" w14:textId="0ADC0814" w:rsidR="00D1073F" w:rsidRDefault="00D1073F" w:rsidP="0020190D">
      <w:pPr>
        <w:pStyle w:val="Ingenmellomrom"/>
        <w:rPr>
          <w:lang w:val="nb-NO"/>
        </w:rPr>
      </w:pPr>
    </w:p>
    <w:p w14:paraId="362E9460" w14:textId="33FEE7B0" w:rsidR="00D1073F" w:rsidRDefault="00D1073F" w:rsidP="0020190D">
      <w:pPr>
        <w:pStyle w:val="Ingenmellomrom"/>
        <w:rPr>
          <w:lang w:val="nb-NO"/>
        </w:rPr>
      </w:pPr>
    </w:p>
    <w:p w14:paraId="215487DC" w14:textId="77777777" w:rsidR="00D1073F" w:rsidRDefault="00D1073F" w:rsidP="00D1073F">
      <w:pPr>
        <w:pStyle w:val="Default"/>
        <w:spacing w:line="300" w:lineRule="auto"/>
        <w:jc w:val="both"/>
        <w:rPr>
          <w:rFonts w:asciiTheme="minorHAnsi" w:hAnsiTheme="minorHAnsi" w:cs="Times New Roman"/>
          <w:bCs/>
          <w:sz w:val="22"/>
          <w:szCs w:val="22"/>
        </w:rPr>
      </w:pPr>
    </w:p>
    <w:p w14:paraId="0E51F667" w14:textId="77777777" w:rsidR="00D1073F" w:rsidRDefault="00D1073F" w:rsidP="00D1073F">
      <w:pPr>
        <w:pStyle w:val="Default"/>
        <w:spacing w:line="300" w:lineRule="auto"/>
        <w:jc w:val="both"/>
        <w:rPr>
          <w:rFonts w:asciiTheme="minorHAnsi" w:hAnsiTheme="minorHAnsi" w:cs="Times New Roman"/>
          <w:bCs/>
          <w:sz w:val="22"/>
          <w:szCs w:val="22"/>
        </w:rPr>
      </w:pPr>
    </w:p>
    <w:p w14:paraId="6CBC1F3D" w14:textId="77777777" w:rsidR="00D1073F" w:rsidRDefault="00D1073F" w:rsidP="00D1073F">
      <w:pPr>
        <w:pStyle w:val="Default"/>
        <w:spacing w:line="300" w:lineRule="auto"/>
        <w:jc w:val="both"/>
        <w:rPr>
          <w:rFonts w:asciiTheme="minorHAnsi" w:hAnsiTheme="minorHAnsi" w:cs="Times New Roman"/>
          <w:bCs/>
          <w:sz w:val="22"/>
          <w:szCs w:val="22"/>
        </w:rPr>
      </w:pPr>
    </w:p>
    <w:p w14:paraId="1EFE2D92" w14:textId="77777777" w:rsidR="00D1073F" w:rsidRDefault="00D1073F" w:rsidP="00D1073F">
      <w:pPr>
        <w:pStyle w:val="Default"/>
        <w:spacing w:line="300" w:lineRule="auto"/>
        <w:jc w:val="both"/>
        <w:rPr>
          <w:rFonts w:asciiTheme="minorHAnsi" w:hAnsiTheme="minorHAnsi" w:cs="Times New Roman"/>
          <w:bCs/>
          <w:sz w:val="22"/>
          <w:szCs w:val="22"/>
        </w:rPr>
      </w:pPr>
    </w:p>
    <w:p w14:paraId="289DD0B0" w14:textId="77777777" w:rsidR="00D1073F" w:rsidRDefault="00D1073F" w:rsidP="00D1073F">
      <w:pPr>
        <w:pStyle w:val="Default"/>
        <w:spacing w:line="300" w:lineRule="auto"/>
        <w:jc w:val="both"/>
        <w:rPr>
          <w:rFonts w:asciiTheme="minorHAnsi" w:hAnsiTheme="minorHAnsi" w:cs="Times New Roman"/>
          <w:bCs/>
          <w:sz w:val="22"/>
          <w:szCs w:val="22"/>
        </w:rPr>
      </w:pPr>
    </w:p>
    <w:p w14:paraId="283E1014" w14:textId="31FDBC03" w:rsidR="00D1073F" w:rsidRPr="00C35DA6" w:rsidRDefault="00D1073F" w:rsidP="00D1073F">
      <w:pPr>
        <w:pStyle w:val="Default"/>
        <w:spacing w:line="300" w:lineRule="auto"/>
        <w:jc w:val="both"/>
        <w:rPr>
          <w:rFonts w:asciiTheme="minorHAnsi" w:hAnsiTheme="minorHAnsi" w:cstheme="minorHAnsi"/>
          <w:bCs/>
          <w:sz w:val="22"/>
          <w:szCs w:val="22"/>
        </w:rPr>
      </w:pPr>
      <w:r w:rsidRPr="00C35DA6">
        <w:rPr>
          <w:rFonts w:asciiTheme="minorHAnsi" w:hAnsiTheme="minorHAnsi" w:cs="Times New Roman"/>
          <w:bCs/>
          <w:sz w:val="22"/>
          <w:szCs w:val="22"/>
        </w:rPr>
        <w:t>V</w:t>
      </w:r>
      <w:r w:rsidRPr="00C35DA6">
        <w:rPr>
          <w:rFonts w:asciiTheme="minorHAnsi" w:hAnsiTheme="minorHAnsi" w:cstheme="minorHAnsi"/>
          <w:bCs/>
          <w:sz w:val="22"/>
          <w:szCs w:val="22"/>
        </w:rPr>
        <w:t xml:space="preserve">ersjon </w:t>
      </w:r>
      <w:r w:rsidR="00596EB8">
        <w:rPr>
          <w:rFonts w:asciiTheme="minorHAnsi" w:hAnsiTheme="minorHAnsi" w:cstheme="minorHAnsi"/>
          <w:bCs/>
          <w:sz w:val="22"/>
          <w:szCs w:val="22"/>
        </w:rPr>
        <w:t>juni 2020</w:t>
      </w:r>
    </w:p>
    <w:p w14:paraId="550B2959" w14:textId="77777777" w:rsidR="00D1073F" w:rsidRPr="009A2B53" w:rsidRDefault="00D1073F" w:rsidP="0020190D">
      <w:pPr>
        <w:pStyle w:val="Ingenmellomrom"/>
        <w:rPr>
          <w:lang w:val="nb-NO"/>
        </w:rPr>
      </w:pPr>
    </w:p>
    <w:sectPr w:rsidR="00D1073F" w:rsidRPr="009A2B53" w:rsidSect="00031BD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E461B" w14:textId="77777777" w:rsidR="000C4A55" w:rsidRDefault="000C4A55" w:rsidP="0045591A">
      <w:pPr>
        <w:spacing w:after="0" w:line="240" w:lineRule="auto"/>
      </w:pPr>
      <w:r>
        <w:separator/>
      </w:r>
    </w:p>
  </w:endnote>
  <w:endnote w:type="continuationSeparator" w:id="0">
    <w:p w14:paraId="4F229DF2" w14:textId="77777777" w:rsidR="000C4A55" w:rsidRDefault="000C4A55" w:rsidP="0045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FD062" w14:textId="77777777" w:rsidR="000C4A55" w:rsidRDefault="000C4A55" w:rsidP="0045591A">
      <w:pPr>
        <w:spacing w:after="0" w:line="240" w:lineRule="auto"/>
      </w:pPr>
      <w:r>
        <w:separator/>
      </w:r>
    </w:p>
  </w:footnote>
  <w:footnote w:type="continuationSeparator" w:id="0">
    <w:p w14:paraId="60361500" w14:textId="77777777" w:rsidR="000C4A55" w:rsidRDefault="000C4A55" w:rsidP="00455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4519E" w14:textId="6F192CE5" w:rsidR="0045591A" w:rsidRDefault="0045591A">
    <w:pPr>
      <w:pStyle w:val="Topptekst"/>
    </w:pPr>
    <w:r w:rsidRPr="00E44BF8">
      <w:rPr>
        <w:noProof/>
        <w:lang w:eastAsia="nb-NO"/>
      </w:rPr>
      <w:drawing>
        <wp:inline distT="0" distB="0" distL="0" distR="0" wp14:anchorId="69170A19" wp14:editId="33EB4FAD">
          <wp:extent cx="2705100" cy="645160"/>
          <wp:effectExtent l="0" t="0" r="0" b="2540"/>
          <wp:docPr id="4" name="Bilde 1" descr="F:\ARKIV - AIN 2013\1 Produkt-Leveranse\12   Juridisk\124   Konkurransespørsmål LOA\RIF brev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KIV - AIN 2013\1 Produkt-Leveranse\12   Juridisk\124   Konkurransespørsmål LOA\RIF brev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569" cy="671745"/>
                  </a:xfrm>
                  <a:prstGeom prst="rect">
                    <a:avLst/>
                  </a:prstGeom>
                  <a:noFill/>
                  <a:ln>
                    <a:noFill/>
                  </a:ln>
                </pic:spPr>
              </pic:pic>
            </a:graphicData>
          </a:graphic>
        </wp:inline>
      </w:drawing>
    </w:r>
    <w:r w:rsidR="00AC0B1B">
      <w:rPr>
        <w:noProof/>
      </w:rPr>
      <w:drawing>
        <wp:inline distT="0" distB="0" distL="0" distR="0" wp14:anchorId="718CB650" wp14:editId="5DF6BFA4">
          <wp:extent cx="3028950" cy="43203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7944" cy="4404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951D0"/>
    <w:multiLevelType w:val="hybridMultilevel"/>
    <w:tmpl w:val="C7DCD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81052A"/>
    <w:multiLevelType w:val="hybridMultilevel"/>
    <w:tmpl w:val="6C00CEFE"/>
    <w:lvl w:ilvl="0" w:tplc="04140001">
      <w:start w:val="1"/>
      <w:numFmt w:val="bullet"/>
      <w:lvlText w:val=""/>
      <w:lvlJc w:val="left"/>
      <w:pPr>
        <w:ind w:left="1440" w:hanging="360"/>
      </w:pPr>
      <w:rPr>
        <w:rFonts w:ascii="Symbol" w:hAnsi="Symbol" w:hint="default"/>
      </w:rPr>
    </w:lvl>
    <w:lvl w:ilvl="1" w:tplc="04140001">
      <w:start w:val="1"/>
      <w:numFmt w:val="bullet"/>
      <w:lvlText w:val=""/>
      <w:lvlJc w:val="left"/>
      <w:pPr>
        <w:ind w:left="2160" w:hanging="360"/>
      </w:pPr>
      <w:rPr>
        <w:rFonts w:ascii="Symbol" w:hAnsi="Symbol"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3FF9005A"/>
    <w:multiLevelType w:val="hybridMultilevel"/>
    <w:tmpl w:val="70F6196C"/>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53"/>
    <w:rsid w:val="00031BDE"/>
    <w:rsid w:val="000C4A55"/>
    <w:rsid w:val="00164212"/>
    <w:rsid w:val="001F03D2"/>
    <w:rsid w:val="0020190D"/>
    <w:rsid w:val="0045591A"/>
    <w:rsid w:val="00596EB8"/>
    <w:rsid w:val="009A2B53"/>
    <w:rsid w:val="009E3149"/>
    <w:rsid w:val="00A4253F"/>
    <w:rsid w:val="00AC0B1B"/>
    <w:rsid w:val="00D1073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E85D"/>
  <w15:chartTrackingRefBased/>
  <w15:docId w15:val="{9FD63729-CDC0-4FF9-9BAB-034EA35C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5591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591A"/>
  </w:style>
  <w:style w:type="paragraph" w:styleId="Bunntekst">
    <w:name w:val="footer"/>
    <w:basedOn w:val="Normal"/>
    <w:link w:val="BunntekstTegn"/>
    <w:uiPriority w:val="99"/>
    <w:unhideWhenUsed/>
    <w:rsid w:val="0045591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591A"/>
  </w:style>
  <w:style w:type="paragraph" w:styleId="Ingenmellomrom">
    <w:name w:val="No Spacing"/>
    <w:uiPriority w:val="1"/>
    <w:qFormat/>
    <w:rsid w:val="0020190D"/>
    <w:pPr>
      <w:spacing w:after="0" w:line="240" w:lineRule="auto"/>
    </w:pPr>
  </w:style>
  <w:style w:type="paragraph" w:customStyle="1" w:styleId="Default">
    <w:name w:val="Default"/>
    <w:rsid w:val="00D1073F"/>
    <w:pPr>
      <w:autoSpaceDE w:val="0"/>
      <w:autoSpaceDN w:val="0"/>
      <w:adjustRightInd w:val="0"/>
      <w:spacing w:after="0" w:line="240" w:lineRule="auto"/>
    </w:pPr>
    <w:rPr>
      <w:rFonts w:ascii="Calibri" w:hAnsi="Calibri" w:cs="Calibri"/>
      <w:color w:val="000000"/>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9F0F0899FEB2428E2EFBD3C59DE85E" ma:contentTypeVersion="12" ma:contentTypeDescription="Opprett et nytt dokument." ma:contentTypeScope="" ma:versionID="3716eecf023bb5b3d1928e6f4de17c4c">
  <xsd:schema xmlns:xsd="http://www.w3.org/2001/XMLSchema" xmlns:xs="http://www.w3.org/2001/XMLSchema" xmlns:p="http://schemas.microsoft.com/office/2006/metadata/properties" xmlns:ns2="2df2c5f7-94a2-4e10-8a26-b52b784ab168" xmlns:ns3="4b333767-ee9b-4500-a30f-849fdfd3ee1a" targetNamespace="http://schemas.microsoft.com/office/2006/metadata/properties" ma:root="true" ma:fieldsID="c08df0b2b0b6db9c45dd5e9cf5098d8c" ns2:_="" ns3:_="">
    <xsd:import namespace="2df2c5f7-94a2-4e10-8a26-b52b784ab168"/>
    <xsd:import namespace="4b333767-ee9b-4500-a30f-849fdfd3ee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2c5f7-94a2-4e10-8a26-b52b784ab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333767-ee9b-4500-a30f-849fdfd3ee1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1DB4C-42C0-4E00-9E7C-B18EA985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2c5f7-94a2-4e10-8a26-b52b784ab168"/>
    <ds:schemaRef ds:uri="4b333767-ee9b-4500-a30f-849fdfd3e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31926-5ED8-496F-AC7D-11EF44411E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A70C7-DB4A-4C66-8021-51D3106E4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Bakker</dc:creator>
  <cp:keywords/>
  <dc:description/>
  <cp:lastModifiedBy>Anette Bakker</cp:lastModifiedBy>
  <cp:revision>4</cp:revision>
  <dcterms:created xsi:type="dcterms:W3CDTF">2020-07-01T13:17:00Z</dcterms:created>
  <dcterms:modified xsi:type="dcterms:W3CDTF">2020-07-03T12:00:00Z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0x010100B79F0F0899FEB2428E2EFBD3C59DE85E</vt:lpwstr>
  </property>
</Properties>
</file>