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A2CA" w14:textId="4623D3AF" w:rsidR="00D03972" w:rsidRPr="0035728D" w:rsidRDefault="00D03972" w:rsidP="00C42DAF">
      <w:pPr>
        <w:spacing w:after="0" w:line="240" w:lineRule="auto"/>
        <w:outlineLvl w:val="2"/>
        <w:rPr>
          <w:rFonts w:ascii="Arial" w:eastAsia="Times New Roman" w:hAnsi="Arial" w:cs="Arial"/>
          <w:b/>
          <w:bCs/>
          <w:color w:val="000000" w:themeColor="text1"/>
          <w:sz w:val="18"/>
          <w:szCs w:val="20"/>
          <w:lang w:eastAsia="en-GB"/>
        </w:rPr>
      </w:pPr>
      <w:r w:rsidRPr="0035728D">
        <w:rPr>
          <w:rFonts w:ascii="Arial" w:eastAsia="Times New Roman" w:hAnsi="Arial" w:cs="Arial"/>
          <w:b/>
          <w:bCs/>
          <w:color w:val="000000" w:themeColor="text1"/>
          <w:sz w:val="18"/>
          <w:szCs w:val="20"/>
          <w:lang w:eastAsia="en-GB"/>
        </w:rPr>
        <w:t>Cash Back Offer – terms and conditions</w:t>
      </w:r>
    </w:p>
    <w:p w14:paraId="195EF4A7" w14:textId="77777777" w:rsidR="00D03972" w:rsidRPr="0035728D" w:rsidRDefault="00D03972" w:rsidP="00D03972">
      <w:pPr>
        <w:spacing w:after="0" w:line="240" w:lineRule="auto"/>
        <w:outlineLvl w:val="2"/>
        <w:rPr>
          <w:rFonts w:ascii="Arial" w:eastAsia="Times New Roman" w:hAnsi="Arial" w:cs="Arial"/>
          <w:b/>
          <w:bCs/>
          <w:color w:val="000000" w:themeColor="text1"/>
          <w:sz w:val="18"/>
          <w:szCs w:val="20"/>
          <w:lang w:eastAsia="en-GB"/>
        </w:rPr>
      </w:pPr>
    </w:p>
    <w:p w14:paraId="43576294" w14:textId="398AA193" w:rsidR="004E6920" w:rsidRDefault="004E6920" w:rsidP="004E6920">
      <w:pPr>
        <w:spacing w:after="0" w:line="300" w:lineRule="atLeast"/>
        <w:rPr>
          <w:rFonts w:ascii="Arial" w:eastAsia="Times New Roman" w:hAnsi="Arial" w:cs="Arial"/>
          <w:b/>
          <w:bCs/>
          <w:color w:val="000000" w:themeColor="text1"/>
          <w:sz w:val="18"/>
          <w:szCs w:val="20"/>
          <w:lang w:eastAsia="en-GB"/>
        </w:rPr>
      </w:pPr>
      <w:r w:rsidRPr="007804D0">
        <w:rPr>
          <w:rFonts w:ascii="Arial" w:eastAsia="Times New Roman" w:hAnsi="Arial" w:cs="Arial"/>
          <w:b/>
          <w:bCs/>
          <w:color w:val="000000" w:themeColor="text1"/>
          <w:sz w:val="18"/>
          <w:szCs w:val="20"/>
          <w:lang w:eastAsia="en-GB"/>
        </w:rPr>
        <w:t xml:space="preserve">This Cash Back Offer (the “Offer”) is available when you </w:t>
      </w:r>
      <w:r w:rsidR="00ED3E67">
        <w:rPr>
          <w:rFonts w:ascii="Arial" w:eastAsia="Times New Roman" w:hAnsi="Arial" w:cs="Arial"/>
          <w:b/>
          <w:bCs/>
          <w:color w:val="000000" w:themeColor="text1"/>
          <w:sz w:val="18"/>
          <w:szCs w:val="20"/>
          <w:lang w:eastAsia="en-GB"/>
        </w:rPr>
        <w:t xml:space="preserve">apply to </w:t>
      </w:r>
      <w:r>
        <w:rPr>
          <w:rFonts w:ascii="Arial" w:eastAsia="Times New Roman" w:hAnsi="Arial" w:cs="Arial"/>
          <w:b/>
          <w:bCs/>
          <w:color w:val="000000" w:themeColor="text1"/>
          <w:sz w:val="18"/>
          <w:szCs w:val="20"/>
          <w:lang w:eastAsia="en-GB"/>
        </w:rPr>
        <w:t>m</w:t>
      </w:r>
      <w:r w:rsidR="00D93BE1">
        <w:rPr>
          <w:rFonts w:ascii="Arial" w:eastAsia="Times New Roman" w:hAnsi="Arial" w:cs="Arial"/>
          <w:b/>
          <w:bCs/>
          <w:color w:val="000000" w:themeColor="text1"/>
          <w:sz w:val="18"/>
          <w:szCs w:val="20"/>
          <w:lang w:eastAsia="en-GB"/>
        </w:rPr>
        <w:t>ake a</w:t>
      </w:r>
      <w:r w:rsidR="00E608E0">
        <w:rPr>
          <w:rFonts w:ascii="Arial" w:eastAsia="Times New Roman" w:hAnsi="Arial" w:cs="Arial"/>
          <w:b/>
          <w:bCs/>
          <w:color w:val="000000" w:themeColor="text1"/>
          <w:sz w:val="18"/>
          <w:szCs w:val="20"/>
          <w:lang w:eastAsia="en-GB"/>
        </w:rPr>
        <w:t xml:space="preserve"> Qualifying Transfer and</w:t>
      </w:r>
      <w:r w:rsidR="007846FB">
        <w:rPr>
          <w:rFonts w:ascii="Arial" w:eastAsia="Times New Roman" w:hAnsi="Arial" w:cs="Arial"/>
          <w:b/>
          <w:bCs/>
          <w:color w:val="000000" w:themeColor="text1"/>
          <w:sz w:val="18"/>
          <w:szCs w:val="20"/>
          <w:lang w:eastAsia="en-GB"/>
        </w:rPr>
        <w:t xml:space="preserve"> </w:t>
      </w:r>
      <w:r w:rsidR="00E608E0">
        <w:rPr>
          <w:rFonts w:ascii="Arial" w:eastAsia="Times New Roman" w:hAnsi="Arial" w:cs="Arial"/>
          <w:b/>
          <w:bCs/>
          <w:color w:val="000000" w:themeColor="text1"/>
          <w:sz w:val="18"/>
          <w:szCs w:val="20"/>
          <w:lang w:eastAsia="en-GB"/>
        </w:rPr>
        <w:t>/</w:t>
      </w:r>
      <w:r w:rsidR="007846FB">
        <w:rPr>
          <w:rFonts w:ascii="Arial" w:eastAsia="Times New Roman" w:hAnsi="Arial" w:cs="Arial"/>
          <w:b/>
          <w:bCs/>
          <w:color w:val="000000" w:themeColor="text1"/>
          <w:sz w:val="18"/>
          <w:szCs w:val="20"/>
          <w:lang w:eastAsia="en-GB"/>
        </w:rPr>
        <w:t xml:space="preserve"> </w:t>
      </w:r>
      <w:r w:rsidR="00E608E0">
        <w:rPr>
          <w:rFonts w:ascii="Arial" w:eastAsia="Times New Roman" w:hAnsi="Arial" w:cs="Arial"/>
          <w:b/>
          <w:bCs/>
          <w:color w:val="000000" w:themeColor="text1"/>
          <w:sz w:val="18"/>
          <w:szCs w:val="20"/>
          <w:lang w:eastAsia="en-GB"/>
        </w:rPr>
        <w:t xml:space="preserve">or </w:t>
      </w:r>
      <w:r w:rsidR="00300311">
        <w:rPr>
          <w:rFonts w:ascii="Arial" w:eastAsia="Times New Roman" w:hAnsi="Arial" w:cs="Arial"/>
          <w:b/>
          <w:bCs/>
          <w:color w:val="000000" w:themeColor="text1"/>
          <w:sz w:val="18"/>
          <w:szCs w:val="20"/>
          <w:lang w:eastAsia="en-GB"/>
        </w:rPr>
        <w:t xml:space="preserve">make a </w:t>
      </w:r>
      <w:r w:rsidR="00E608E0">
        <w:rPr>
          <w:rFonts w:ascii="Arial" w:eastAsia="Times New Roman" w:hAnsi="Arial" w:cs="Arial"/>
          <w:b/>
          <w:bCs/>
          <w:color w:val="000000" w:themeColor="text1"/>
          <w:sz w:val="18"/>
          <w:szCs w:val="20"/>
          <w:lang w:eastAsia="en-GB"/>
        </w:rPr>
        <w:t xml:space="preserve">Qualifying Contribution </w:t>
      </w:r>
      <w:r w:rsidR="00663864">
        <w:rPr>
          <w:rFonts w:ascii="Arial" w:eastAsia="Times New Roman" w:hAnsi="Arial" w:cs="Arial"/>
          <w:b/>
          <w:bCs/>
          <w:color w:val="000000" w:themeColor="text1"/>
          <w:sz w:val="18"/>
          <w:szCs w:val="20"/>
          <w:lang w:eastAsia="en-GB"/>
        </w:rPr>
        <w:t xml:space="preserve">(‘deposit’) </w:t>
      </w:r>
      <w:r w:rsidRPr="007804D0">
        <w:rPr>
          <w:rFonts w:ascii="Arial" w:eastAsia="Times New Roman" w:hAnsi="Arial" w:cs="Arial"/>
          <w:b/>
          <w:bCs/>
          <w:color w:val="000000" w:themeColor="text1"/>
          <w:sz w:val="18"/>
          <w:szCs w:val="20"/>
          <w:lang w:eastAsia="en-GB"/>
        </w:rPr>
        <w:t xml:space="preserve">between </w:t>
      </w:r>
      <w:r w:rsidR="00161ADC">
        <w:rPr>
          <w:rFonts w:ascii="Arial" w:eastAsia="Times New Roman" w:hAnsi="Arial" w:cs="Arial"/>
          <w:b/>
          <w:bCs/>
          <w:color w:val="000000" w:themeColor="text1"/>
          <w:sz w:val="18"/>
          <w:szCs w:val="20"/>
          <w:lang w:eastAsia="en-GB"/>
        </w:rPr>
        <w:t>22 December</w:t>
      </w:r>
      <w:r>
        <w:rPr>
          <w:rFonts w:ascii="Arial" w:eastAsia="Times New Roman" w:hAnsi="Arial" w:cs="Arial"/>
          <w:b/>
          <w:bCs/>
          <w:color w:val="000000" w:themeColor="text1"/>
          <w:sz w:val="18"/>
          <w:szCs w:val="20"/>
          <w:lang w:eastAsia="en-GB"/>
        </w:rPr>
        <w:t xml:space="preserve"> 2025</w:t>
      </w:r>
      <w:r w:rsidRPr="007804D0">
        <w:rPr>
          <w:rFonts w:ascii="Arial" w:eastAsia="Times New Roman" w:hAnsi="Arial" w:cs="Arial"/>
          <w:b/>
          <w:bCs/>
          <w:color w:val="000000" w:themeColor="text1"/>
          <w:sz w:val="18"/>
          <w:szCs w:val="20"/>
          <w:lang w:eastAsia="en-GB"/>
        </w:rPr>
        <w:t xml:space="preserve"> and midnight on </w:t>
      </w:r>
      <w:r w:rsidR="00161ADC">
        <w:rPr>
          <w:rFonts w:ascii="Arial" w:eastAsia="Times New Roman" w:hAnsi="Arial" w:cs="Arial"/>
          <w:b/>
          <w:bCs/>
          <w:color w:val="000000" w:themeColor="text1"/>
          <w:sz w:val="18"/>
          <w:szCs w:val="20"/>
          <w:lang w:eastAsia="en-GB"/>
        </w:rPr>
        <w:t>5 April 2026</w:t>
      </w:r>
      <w:r w:rsidR="00E608E0">
        <w:rPr>
          <w:rFonts w:ascii="Arial" w:eastAsia="Times New Roman" w:hAnsi="Arial" w:cs="Arial"/>
          <w:b/>
          <w:bCs/>
          <w:color w:val="000000" w:themeColor="text1"/>
          <w:sz w:val="18"/>
          <w:szCs w:val="20"/>
          <w:lang w:eastAsia="en-GB"/>
        </w:rPr>
        <w:t>, as defined in Point 2 below</w:t>
      </w:r>
      <w:r w:rsidRPr="007804D0">
        <w:rPr>
          <w:rFonts w:ascii="Arial" w:eastAsia="Times New Roman" w:hAnsi="Arial" w:cs="Arial"/>
          <w:b/>
          <w:bCs/>
          <w:color w:val="000000" w:themeColor="text1"/>
          <w:sz w:val="18"/>
          <w:szCs w:val="20"/>
          <w:lang w:eastAsia="en-GB"/>
        </w:rPr>
        <w:t>.</w:t>
      </w:r>
    </w:p>
    <w:p w14:paraId="5FED139C" w14:textId="1CF2892D" w:rsidR="003D537C" w:rsidRPr="0035728D" w:rsidRDefault="003D537C" w:rsidP="003D537C">
      <w:pPr>
        <w:spacing w:after="0" w:line="300" w:lineRule="atLeast"/>
        <w:rPr>
          <w:rFonts w:ascii="Arial" w:eastAsia="Times New Roman" w:hAnsi="Arial" w:cs="Arial"/>
          <w:color w:val="000000" w:themeColor="text1"/>
          <w:sz w:val="18"/>
          <w:szCs w:val="20"/>
          <w:lang w:eastAsia="en-GB"/>
        </w:rPr>
      </w:pPr>
      <w:r>
        <w:rPr>
          <w:rFonts w:ascii="Arial" w:eastAsia="Times New Roman" w:hAnsi="Arial" w:cs="Arial"/>
          <w:color w:val="000000" w:themeColor="text1"/>
          <w:sz w:val="18"/>
          <w:szCs w:val="20"/>
          <w:lang w:eastAsia="en-GB"/>
        </w:rPr>
        <w:tab/>
      </w:r>
      <w:r>
        <w:rPr>
          <w:rFonts w:ascii="Arial" w:eastAsia="Times New Roman" w:hAnsi="Arial" w:cs="Arial"/>
          <w:color w:val="000000" w:themeColor="text1"/>
          <w:sz w:val="18"/>
          <w:szCs w:val="20"/>
          <w:lang w:eastAsia="en-GB"/>
        </w:rPr>
        <w:tab/>
      </w:r>
    </w:p>
    <w:p w14:paraId="54888558" w14:textId="07238627" w:rsidR="00C95F39" w:rsidRDefault="00D03972" w:rsidP="00D03972">
      <w:pPr>
        <w:pStyle w:val="Default"/>
        <w:numPr>
          <w:ilvl w:val="0"/>
          <w:numId w:val="1"/>
        </w:numPr>
        <w:spacing w:before="100" w:after="100" w:line="360" w:lineRule="auto"/>
        <w:rPr>
          <w:rFonts w:ascii="Arial" w:eastAsia="Times New Roman" w:hAnsi="Arial" w:cs="Arial"/>
          <w:color w:val="000000" w:themeColor="text1"/>
          <w:sz w:val="18"/>
          <w:szCs w:val="20"/>
          <w:lang w:eastAsia="en-GB"/>
        </w:rPr>
      </w:pPr>
      <w:r w:rsidRPr="0035728D">
        <w:rPr>
          <w:rFonts w:ascii="Arial" w:eastAsia="Times New Roman" w:hAnsi="Arial" w:cs="Arial"/>
          <w:color w:val="000000" w:themeColor="text1"/>
          <w:sz w:val="18"/>
          <w:szCs w:val="20"/>
          <w:lang w:eastAsia="en-GB"/>
        </w:rPr>
        <w:t>The promoter of this offer is Financial Administration Services Limited (“</w:t>
      </w:r>
      <w:r w:rsidRPr="0035728D">
        <w:rPr>
          <w:rFonts w:ascii="Arial" w:eastAsia="Times New Roman" w:hAnsi="Arial" w:cs="Arial"/>
          <w:b/>
          <w:color w:val="000000" w:themeColor="text1"/>
          <w:sz w:val="18"/>
          <w:szCs w:val="20"/>
          <w:lang w:eastAsia="en-GB"/>
        </w:rPr>
        <w:t>Fidelity</w:t>
      </w:r>
      <w:r w:rsidRPr="0035728D">
        <w:rPr>
          <w:rFonts w:ascii="Arial" w:eastAsia="Times New Roman" w:hAnsi="Arial" w:cs="Arial"/>
          <w:color w:val="000000" w:themeColor="text1"/>
          <w:sz w:val="18"/>
          <w:szCs w:val="20"/>
          <w:lang w:eastAsia="en-GB"/>
        </w:rPr>
        <w:t>”</w:t>
      </w:r>
      <w:r w:rsidR="00F345BC" w:rsidRPr="0035728D">
        <w:rPr>
          <w:rFonts w:ascii="Arial" w:eastAsia="Times New Roman" w:hAnsi="Arial" w:cs="Arial"/>
          <w:color w:val="000000" w:themeColor="text1"/>
          <w:sz w:val="18"/>
          <w:szCs w:val="20"/>
          <w:lang w:eastAsia="en-GB"/>
        </w:rPr>
        <w:t xml:space="preserve">), </w:t>
      </w:r>
      <w:r w:rsidR="00F345BC">
        <w:rPr>
          <w:rFonts w:ascii="Arial" w:eastAsia="Times New Roman" w:hAnsi="Arial" w:cs="Arial"/>
          <w:color w:val="000000" w:themeColor="text1"/>
          <w:sz w:val="18"/>
          <w:szCs w:val="20"/>
          <w:lang w:eastAsia="en-GB"/>
        </w:rPr>
        <w:t>Beech</w:t>
      </w:r>
      <w:r w:rsidR="007B7F54" w:rsidRPr="007B7F54">
        <w:rPr>
          <w:rFonts w:ascii="Arial" w:eastAsia="Times New Roman" w:hAnsi="Arial" w:cs="Arial"/>
          <w:color w:val="000000" w:themeColor="text1"/>
          <w:sz w:val="18"/>
          <w:szCs w:val="20"/>
          <w:lang w:eastAsia="en-GB"/>
        </w:rPr>
        <w:t xml:space="preserve"> Gate, Millfield Lane, Lower Kingswood, Tadworth, Surrey, KT20 6RP.</w:t>
      </w:r>
    </w:p>
    <w:p w14:paraId="62BD1023" w14:textId="77777777" w:rsidR="00E608E0" w:rsidRDefault="00E608E0" w:rsidP="0080486D">
      <w:pPr>
        <w:pStyle w:val="Default"/>
        <w:numPr>
          <w:ilvl w:val="0"/>
          <w:numId w:val="1"/>
        </w:numPr>
        <w:spacing w:before="100" w:after="100" w:line="360" w:lineRule="auto"/>
        <w:rPr>
          <w:rFonts w:ascii="Arial" w:eastAsia="Times New Roman" w:hAnsi="Arial" w:cs="Arial"/>
          <w:color w:val="000000" w:themeColor="text1"/>
          <w:sz w:val="18"/>
          <w:szCs w:val="20"/>
          <w:lang w:eastAsia="en-GB"/>
        </w:rPr>
      </w:pPr>
      <w:r>
        <w:rPr>
          <w:rFonts w:ascii="Arial" w:eastAsia="Times New Roman" w:hAnsi="Arial" w:cs="Arial"/>
          <w:color w:val="000000" w:themeColor="text1"/>
          <w:sz w:val="18"/>
          <w:szCs w:val="20"/>
          <w:lang w:eastAsia="en-GB"/>
        </w:rPr>
        <w:t xml:space="preserve">You will qualify for the offer if: </w:t>
      </w:r>
    </w:p>
    <w:p w14:paraId="42A58E25" w14:textId="18977DDC" w:rsidR="00E608E0" w:rsidRDefault="00E608E0" w:rsidP="00E608E0">
      <w:pPr>
        <w:pStyle w:val="Default"/>
        <w:numPr>
          <w:ilvl w:val="1"/>
          <w:numId w:val="1"/>
        </w:numPr>
        <w:spacing w:before="100" w:after="100" w:line="360" w:lineRule="auto"/>
        <w:ind w:left="1080"/>
        <w:rPr>
          <w:rFonts w:ascii="Arial" w:hAnsi="Arial" w:cs="Arial"/>
          <w:color w:val="000000" w:themeColor="text1"/>
          <w:sz w:val="18"/>
          <w:szCs w:val="18"/>
        </w:rPr>
      </w:pPr>
      <w:r>
        <w:rPr>
          <w:rFonts w:ascii="Arial" w:hAnsi="Arial" w:cs="Arial"/>
          <w:color w:val="000000" w:themeColor="text1"/>
          <w:sz w:val="18"/>
          <w:szCs w:val="18"/>
        </w:rPr>
        <w:t>You c</w:t>
      </w:r>
      <w:r w:rsidRPr="005153E1">
        <w:rPr>
          <w:rFonts w:ascii="Arial" w:hAnsi="Arial" w:cs="Arial"/>
          <w:color w:val="000000" w:themeColor="text1"/>
          <w:sz w:val="18"/>
          <w:szCs w:val="18"/>
        </w:rPr>
        <w:t>om</w:t>
      </w:r>
      <w:r>
        <w:rPr>
          <w:rFonts w:ascii="Arial" w:hAnsi="Arial" w:cs="Arial"/>
          <w:color w:val="000000" w:themeColor="text1"/>
          <w:sz w:val="18"/>
          <w:szCs w:val="18"/>
        </w:rPr>
        <w:t>plete</w:t>
      </w:r>
      <w:r w:rsidRPr="005153E1">
        <w:rPr>
          <w:rFonts w:ascii="Arial" w:hAnsi="Arial" w:cs="Arial"/>
          <w:color w:val="000000" w:themeColor="text1"/>
          <w:sz w:val="18"/>
          <w:szCs w:val="18"/>
        </w:rPr>
        <w:t xml:space="preserve"> a transfer of pension</w:t>
      </w:r>
      <w:r w:rsidR="00B10D8A">
        <w:rPr>
          <w:rFonts w:ascii="Arial" w:hAnsi="Arial" w:cs="Arial"/>
          <w:color w:val="000000" w:themeColor="text1"/>
          <w:sz w:val="18"/>
          <w:szCs w:val="18"/>
        </w:rPr>
        <w:t xml:space="preserve"> and</w:t>
      </w:r>
      <w:r w:rsidR="00333CDB">
        <w:rPr>
          <w:rFonts w:ascii="Arial" w:hAnsi="Arial" w:cs="Arial"/>
          <w:color w:val="000000" w:themeColor="text1"/>
          <w:sz w:val="18"/>
          <w:szCs w:val="18"/>
        </w:rPr>
        <w:t xml:space="preserve"> </w:t>
      </w:r>
      <w:r w:rsidR="00663864">
        <w:rPr>
          <w:rFonts w:ascii="Arial" w:hAnsi="Arial" w:cs="Arial"/>
          <w:color w:val="000000" w:themeColor="text1"/>
          <w:sz w:val="18"/>
          <w:szCs w:val="18"/>
        </w:rPr>
        <w:t>/</w:t>
      </w:r>
      <w:r w:rsidR="00B10D8A">
        <w:rPr>
          <w:rFonts w:ascii="Arial" w:hAnsi="Arial" w:cs="Arial"/>
          <w:color w:val="000000" w:themeColor="text1"/>
          <w:sz w:val="18"/>
          <w:szCs w:val="18"/>
        </w:rPr>
        <w:t xml:space="preserve"> or ISA</w:t>
      </w:r>
      <w:r w:rsidRPr="005153E1">
        <w:rPr>
          <w:rFonts w:ascii="Arial" w:hAnsi="Arial" w:cs="Arial"/>
          <w:color w:val="000000" w:themeColor="text1"/>
          <w:sz w:val="18"/>
          <w:szCs w:val="18"/>
        </w:rPr>
        <w:t xml:space="preserve"> assets from other providers to Fidelity Personal Investing. </w:t>
      </w:r>
      <w:r>
        <w:rPr>
          <w:rFonts w:ascii="Arial" w:hAnsi="Arial" w:cs="Arial"/>
          <w:color w:val="000000" w:themeColor="text1"/>
          <w:sz w:val="18"/>
          <w:szCs w:val="18"/>
        </w:rPr>
        <w:t>To t</w:t>
      </w:r>
      <w:r w:rsidRPr="005153E1">
        <w:rPr>
          <w:rFonts w:ascii="Arial" w:hAnsi="Arial" w:cs="Arial"/>
          <w:color w:val="000000" w:themeColor="text1"/>
          <w:sz w:val="18"/>
          <w:szCs w:val="18"/>
        </w:rPr>
        <w:t xml:space="preserve">ransfer assets, you must submit a correctly completed transfer application form online or by paper </w:t>
      </w:r>
      <w:r w:rsidR="00ED3E67">
        <w:rPr>
          <w:rFonts w:ascii="Arial" w:hAnsi="Arial" w:cs="Arial"/>
          <w:color w:val="000000" w:themeColor="text1"/>
          <w:sz w:val="18"/>
          <w:szCs w:val="18"/>
        </w:rPr>
        <w:t xml:space="preserve">between </w:t>
      </w:r>
      <w:r w:rsidR="00161ADC">
        <w:rPr>
          <w:rFonts w:ascii="Arial" w:hAnsi="Arial" w:cs="Arial"/>
          <w:color w:val="000000" w:themeColor="text1"/>
          <w:sz w:val="18"/>
          <w:szCs w:val="18"/>
        </w:rPr>
        <w:t>22 December</w:t>
      </w:r>
      <w:r w:rsidR="00ED3E67">
        <w:rPr>
          <w:rFonts w:ascii="Arial" w:hAnsi="Arial" w:cs="Arial"/>
          <w:color w:val="000000" w:themeColor="text1"/>
          <w:sz w:val="18"/>
          <w:szCs w:val="18"/>
        </w:rPr>
        <w:t xml:space="preserve"> 2025 and </w:t>
      </w:r>
      <w:r w:rsidR="00FE0E21">
        <w:rPr>
          <w:rFonts w:ascii="Arial" w:hAnsi="Arial" w:cs="Arial"/>
          <w:color w:val="000000" w:themeColor="text1"/>
          <w:sz w:val="18"/>
          <w:szCs w:val="18"/>
        </w:rPr>
        <w:t>midnight on</w:t>
      </w:r>
      <w:r w:rsidR="00FE0E21" w:rsidRPr="005153E1">
        <w:rPr>
          <w:rFonts w:ascii="Arial" w:hAnsi="Arial" w:cs="Arial"/>
          <w:color w:val="000000" w:themeColor="text1"/>
          <w:sz w:val="18"/>
          <w:szCs w:val="18"/>
        </w:rPr>
        <w:t xml:space="preserve"> </w:t>
      </w:r>
      <w:r w:rsidR="00161ADC">
        <w:rPr>
          <w:rFonts w:ascii="Arial" w:hAnsi="Arial" w:cs="Arial"/>
          <w:color w:val="000000" w:themeColor="text1"/>
          <w:sz w:val="18"/>
          <w:szCs w:val="18"/>
        </w:rPr>
        <w:t>5 April 2026</w:t>
      </w:r>
      <w:r>
        <w:rPr>
          <w:rFonts w:ascii="Arial" w:hAnsi="Arial" w:cs="Arial"/>
          <w:color w:val="000000" w:themeColor="text1"/>
          <w:sz w:val="18"/>
          <w:szCs w:val="18"/>
        </w:rPr>
        <w:t xml:space="preserve"> (</w:t>
      </w:r>
      <w:r w:rsidRPr="00E608E0">
        <w:rPr>
          <w:rFonts w:ascii="Arial" w:hAnsi="Arial" w:cs="Arial"/>
          <w:b/>
          <w:bCs/>
          <w:color w:val="000000" w:themeColor="text1"/>
          <w:sz w:val="18"/>
          <w:szCs w:val="18"/>
        </w:rPr>
        <w:t xml:space="preserve">“Qualifying </w:t>
      </w:r>
      <w:r>
        <w:rPr>
          <w:rFonts w:ascii="Arial" w:hAnsi="Arial" w:cs="Arial"/>
          <w:b/>
          <w:bCs/>
          <w:color w:val="000000" w:themeColor="text1"/>
          <w:sz w:val="18"/>
          <w:szCs w:val="18"/>
        </w:rPr>
        <w:t>Transfer</w:t>
      </w:r>
      <w:r w:rsidRPr="00E608E0">
        <w:rPr>
          <w:rFonts w:ascii="Arial" w:hAnsi="Arial" w:cs="Arial"/>
          <w:b/>
          <w:bCs/>
          <w:color w:val="000000" w:themeColor="text1"/>
          <w:sz w:val="18"/>
          <w:szCs w:val="18"/>
        </w:rPr>
        <w:t>”</w:t>
      </w:r>
      <w:r w:rsidRPr="00BC5D9C">
        <w:rPr>
          <w:rFonts w:ascii="Arial" w:hAnsi="Arial" w:cs="Arial"/>
          <w:color w:val="000000" w:themeColor="text1"/>
          <w:sz w:val="18"/>
          <w:szCs w:val="18"/>
        </w:rPr>
        <w:t>);</w:t>
      </w:r>
      <w:r>
        <w:rPr>
          <w:rFonts w:ascii="Arial" w:hAnsi="Arial" w:cs="Arial"/>
          <w:color w:val="000000" w:themeColor="text1"/>
          <w:sz w:val="18"/>
          <w:szCs w:val="18"/>
        </w:rPr>
        <w:t xml:space="preserve"> or </w:t>
      </w:r>
    </w:p>
    <w:p w14:paraId="7D78AC04" w14:textId="150D8F74" w:rsidR="00FA7A67" w:rsidRPr="00E608E0" w:rsidRDefault="00E608E0" w:rsidP="00BA1BAC">
      <w:pPr>
        <w:pStyle w:val="Default"/>
        <w:numPr>
          <w:ilvl w:val="1"/>
          <w:numId w:val="1"/>
        </w:numPr>
        <w:spacing w:before="100" w:after="100" w:line="360" w:lineRule="auto"/>
        <w:ind w:left="1080"/>
        <w:rPr>
          <w:rFonts w:ascii="Arial" w:hAnsi="Arial" w:cs="Arial"/>
          <w:b/>
          <w:bCs/>
          <w:color w:val="000000" w:themeColor="text1"/>
          <w:sz w:val="18"/>
          <w:szCs w:val="18"/>
        </w:rPr>
      </w:pPr>
      <w:r>
        <w:rPr>
          <w:rFonts w:ascii="Arial" w:hAnsi="Arial" w:cs="Arial"/>
          <w:color w:val="000000" w:themeColor="text1"/>
          <w:sz w:val="18"/>
          <w:szCs w:val="18"/>
        </w:rPr>
        <w:t xml:space="preserve">You </w:t>
      </w:r>
      <w:r w:rsidR="00A91B85">
        <w:rPr>
          <w:rFonts w:ascii="Arial" w:hAnsi="Arial" w:cs="Arial"/>
          <w:color w:val="000000" w:themeColor="text1"/>
          <w:sz w:val="18"/>
          <w:szCs w:val="18"/>
        </w:rPr>
        <w:t>deposit a</w:t>
      </w:r>
      <w:r w:rsidR="00CA4896">
        <w:rPr>
          <w:rFonts w:ascii="Arial" w:hAnsi="Arial" w:cs="Arial"/>
          <w:color w:val="000000" w:themeColor="text1"/>
          <w:sz w:val="18"/>
          <w:szCs w:val="18"/>
        </w:rPr>
        <w:t xml:space="preserve"> </w:t>
      </w:r>
      <w:r w:rsidR="003D537C">
        <w:rPr>
          <w:rFonts w:ascii="Arial" w:hAnsi="Arial" w:cs="Arial"/>
          <w:color w:val="000000" w:themeColor="text1"/>
          <w:sz w:val="18"/>
          <w:szCs w:val="18"/>
        </w:rPr>
        <w:t xml:space="preserve">lump sum </w:t>
      </w:r>
      <w:r w:rsidR="005C44E3">
        <w:rPr>
          <w:rFonts w:ascii="Arial" w:hAnsi="Arial" w:cs="Arial"/>
          <w:color w:val="000000" w:themeColor="text1"/>
          <w:sz w:val="18"/>
          <w:szCs w:val="18"/>
        </w:rPr>
        <w:t>in</w:t>
      </w:r>
      <w:r w:rsidR="00BA1BAC">
        <w:rPr>
          <w:rFonts w:ascii="Arial" w:hAnsi="Arial" w:cs="Arial"/>
          <w:color w:val="000000" w:themeColor="text1"/>
          <w:sz w:val="18"/>
          <w:szCs w:val="18"/>
        </w:rPr>
        <w:t xml:space="preserve">to a new or existing </w:t>
      </w:r>
      <w:r w:rsidR="004808E9">
        <w:rPr>
          <w:rFonts w:ascii="Arial" w:hAnsi="Arial" w:cs="Arial"/>
          <w:color w:val="000000" w:themeColor="text1"/>
          <w:sz w:val="18"/>
          <w:szCs w:val="18"/>
        </w:rPr>
        <w:t xml:space="preserve">Fidelity </w:t>
      </w:r>
      <w:r w:rsidR="001A205F">
        <w:rPr>
          <w:rFonts w:ascii="Arial" w:hAnsi="Arial" w:cs="Arial"/>
          <w:color w:val="000000" w:themeColor="text1"/>
          <w:sz w:val="18"/>
          <w:szCs w:val="18"/>
        </w:rPr>
        <w:t>Self-Invested Personal Pension (</w:t>
      </w:r>
      <w:r w:rsidR="004808E9">
        <w:rPr>
          <w:rFonts w:ascii="Arial" w:hAnsi="Arial" w:cs="Arial"/>
          <w:color w:val="000000" w:themeColor="text1"/>
          <w:sz w:val="18"/>
          <w:szCs w:val="18"/>
        </w:rPr>
        <w:t>SIPP</w:t>
      </w:r>
      <w:r w:rsidR="001A205F">
        <w:rPr>
          <w:rFonts w:ascii="Arial" w:hAnsi="Arial" w:cs="Arial"/>
          <w:color w:val="000000" w:themeColor="text1"/>
          <w:sz w:val="18"/>
          <w:szCs w:val="18"/>
        </w:rPr>
        <w:t>)</w:t>
      </w:r>
      <w:r w:rsidR="004808E9">
        <w:rPr>
          <w:rFonts w:ascii="Arial" w:hAnsi="Arial" w:cs="Arial"/>
          <w:color w:val="000000" w:themeColor="text1"/>
          <w:sz w:val="18"/>
          <w:szCs w:val="18"/>
        </w:rPr>
        <w:t xml:space="preserve"> </w:t>
      </w:r>
      <w:r w:rsidR="00B10D8A">
        <w:rPr>
          <w:rFonts w:ascii="Arial" w:hAnsi="Arial" w:cs="Arial"/>
          <w:color w:val="000000" w:themeColor="text1"/>
          <w:sz w:val="18"/>
          <w:szCs w:val="18"/>
        </w:rPr>
        <w:t xml:space="preserve">or ISA </w:t>
      </w:r>
      <w:r w:rsidR="004808E9">
        <w:rPr>
          <w:rFonts w:ascii="Arial" w:hAnsi="Arial" w:cs="Arial"/>
          <w:color w:val="000000" w:themeColor="text1"/>
          <w:sz w:val="18"/>
          <w:szCs w:val="18"/>
        </w:rPr>
        <w:t>online (</w:t>
      </w:r>
      <w:r w:rsidR="00BA1BAC">
        <w:rPr>
          <w:rFonts w:ascii="Arial" w:hAnsi="Arial" w:cs="Arial"/>
          <w:color w:val="000000" w:themeColor="text1"/>
          <w:sz w:val="18"/>
          <w:szCs w:val="18"/>
        </w:rPr>
        <w:t xml:space="preserve">through </w:t>
      </w:r>
      <w:r w:rsidR="004808E9">
        <w:rPr>
          <w:rFonts w:ascii="Arial" w:hAnsi="Arial" w:cs="Arial"/>
          <w:color w:val="000000" w:themeColor="text1"/>
          <w:sz w:val="18"/>
          <w:szCs w:val="18"/>
        </w:rPr>
        <w:t xml:space="preserve">the </w:t>
      </w:r>
      <w:r w:rsidR="00BA1BAC">
        <w:rPr>
          <w:rFonts w:ascii="Arial" w:hAnsi="Arial" w:cs="Arial"/>
          <w:color w:val="000000" w:themeColor="text1"/>
          <w:sz w:val="18"/>
          <w:szCs w:val="18"/>
        </w:rPr>
        <w:t>Fidelity Personal Investing</w:t>
      </w:r>
      <w:r w:rsidR="004808E9">
        <w:rPr>
          <w:rFonts w:ascii="Arial" w:hAnsi="Arial" w:cs="Arial"/>
          <w:color w:val="000000" w:themeColor="text1"/>
          <w:sz w:val="18"/>
          <w:szCs w:val="18"/>
        </w:rPr>
        <w:t xml:space="preserve"> web site: Fidelity.co.uk)</w:t>
      </w:r>
      <w:r w:rsidR="007417DF">
        <w:rPr>
          <w:rFonts w:ascii="Arial" w:hAnsi="Arial" w:cs="Arial"/>
          <w:color w:val="000000" w:themeColor="text1"/>
          <w:sz w:val="18"/>
          <w:szCs w:val="18"/>
        </w:rPr>
        <w:t xml:space="preserve"> </w:t>
      </w:r>
      <w:r w:rsidR="000A292E">
        <w:rPr>
          <w:rFonts w:ascii="Arial" w:hAnsi="Arial" w:cs="Arial"/>
          <w:color w:val="000000" w:themeColor="text1"/>
          <w:sz w:val="18"/>
          <w:szCs w:val="18"/>
        </w:rPr>
        <w:t xml:space="preserve">between </w:t>
      </w:r>
      <w:r w:rsidR="00161ADC">
        <w:rPr>
          <w:rFonts w:ascii="Arial" w:hAnsi="Arial" w:cs="Arial"/>
          <w:color w:val="000000" w:themeColor="text1"/>
          <w:sz w:val="18"/>
          <w:szCs w:val="18"/>
        </w:rPr>
        <w:t>22 December 2025</w:t>
      </w:r>
      <w:r w:rsidR="000A292E">
        <w:rPr>
          <w:rFonts w:ascii="Arial" w:hAnsi="Arial" w:cs="Arial"/>
          <w:color w:val="000000" w:themeColor="text1"/>
          <w:sz w:val="18"/>
          <w:szCs w:val="18"/>
        </w:rPr>
        <w:t xml:space="preserve"> and midnight on </w:t>
      </w:r>
      <w:r w:rsidR="00161ADC">
        <w:rPr>
          <w:rFonts w:ascii="Arial" w:hAnsi="Arial" w:cs="Arial"/>
          <w:color w:val="000000" w:themeColor="text1"/>
          <w:sz w:val="18"/>
          <w:szCs w:val="18"/>
        </w:rPr>
        <w:t>5 April 2026</w:t>
      </w:r>
      <w:r w:rsidR="00B27075">
        <w:rPr>
          <w:rFonts w:ascii="Arial" w:hAnsi="Arial" w:cs="Arial"/>
          <w:color w:val="000000" w:themeColor="text1"/>
          <w:sz w:val="18"/>
          <w:szCs w:val="18"/>
        </w:rPr>
        <w:t>.</w:t>
      </w:r>
      <w:r w:rsidR="00FA7A67">
        <w:rPr>
          <w:rFonts w:ascii="Arial" w:hAnsi="Arial" w:cs="Arial"/>
          <w:color w:val="000000" w:themeColor="text1"/>
          <w:sz w:val="18"/>
          <w:szCs w:val="18"/>
        </w:rPr>
        <w:t xml:space="preserve"> </w:t>
      </w:r>
      <w:r>
        <w:rPr>
          <w:rFonts w:ascii="Arial" w:hAnsi="Arial" w:cs="Arial"/>
          <w:color w:val="000000" w:themeColor="text1"/>
          <w:sz w:val="18"/>
          <w:szCs w:val="18"/>
        </w:rPr>
        <w:t>(</w:t>
      </w:r>
      <w:r w:rsidRPr="00E608E0">
        <w:rPr>
          <w:rFonts w:ascii="Arial" w:hAnsi="Arial" w:cs="Arial"/>
          <w:b/>
          <w:bCs/>
          <w:color w:val="000000" w:themeColor="text1"/>
          <w:sz w:val="18"/>
          <w:szCs w:val="18"/>
        </w:rPr>
        <w:t xml:space="preserve">“Qualifying </w:t>
      </w:r>
      <w:r>
        <w:rPr>
          <w:rFonts w:ascii="Arial" w:hAnsi="Arial" w:cs="Arial"/>
          <w:b/>
          <w:bCs/>
          <w:color w:val="000000" w:themeColor="text1"/>
          <w:sz w:val="18"/>
          <w:szCs w:val="18"/>
        </w:rPr>
        <w:t>Contribution</w:t>
      </w:r>
      <w:r w:rsidRPr="00E608E0">
        <w:rPr>
          <w:rFonts w:ascii="Arial" w:hAnsi="Arial" w:cs="Arial"/>
          <w:b/>
          <w:bCs/>
          <w:color w:val="000000" w:themeColor="text1"/>
          <w:sz w:val="18"/>
          <w:szCs w:val="18"/>
        </w:rPr>
        <w:t>”</w:t>
      </w:r>
      <w:r w:rsidRPr="00BC5D9C">
        <w:rPr>
          <w:rFonts w:ascii="Arial" w:hAnsi="Arial" w:cs="Arial"/>
          <w:color w:val="000000" w:themeColor="text1"/>
          <w:sz w:val="18"/>
          <w:szCs w:val="18"/>
        </w:rPr>
        <w:t>)</w:t>
      </w:r>
      <w:r w:rsidRPr="00E608E0">
        <w:rPr>
          <w:rFonts w:ascii="Arial" w:hAnsi="Arial" w:cs="Arial"/>
          <w:color w:val="000000" w:themeColor="text1"/>
          <w:sz w:val="18"/>
          <w:szCs w:val="18"/>
        </w:rPr>
        <w:t>; or</w:t>
      </w:r>
    </w:p>
    <w:p w14:paraId="23030FAD" w14:textId="26992A39" w:rsidR="00E608E0" w:rsidRDefault="00E608E0" w:rsidP="00BA1BAC">
      <w:pPr>
        <w:pStyle w:val="Default"/>
        <w:numPr>
          <w:ilvl w:val="1"/>
          <w:numId w:val="1"/>
        </w:numPr>
        <w:spacing w:before="100" w:after="100" w:line="360" w:lineRule="auto"/>
        <w:ind w:left="1080"/>
        <w:rPr>
          <w:rFonts w:ascii="Arial" w:hAnsi="Arial" w:cs="Arial"/>
          <w:color w:val="000000" w:themeColor="text1"/>
          <w:sz w:val="18"/>
          <w:szCs w:val="18"/>
        </w:rPr>
      </w:pPr>
      <w:r>
        <w:rPr>
          <w:rFonts w:ascii="Arial" w:hAnsi="Arial" w:cs="Arial"/>
          <w:color w:val="000000" w:themeColor="text1"/>
          <w:sz w:val="18"/>
          <w:szCs w:val="18"/>
        </w:rPr>
        <w:t>You do</w:t>
      </w:r>
      <w:r w:rsidR="00984118">
        <w:rPr>
          <w:rFonts w:ascii="Arial" w:hAnsi="Arial" w:cs="Arial"/>
          <w:color w:val="000000" w:themeColor="text1"/>
          <w:sz w:val="18"/>
          <w:szCs w:val="18"/>
        </w:rPr>
        <w:t xml:space="preserve"> a</w:t>
      </w:r>
      <w:r w:rsidR="00BA1BAC">
        <w:rPr>
          <w:rFonts w:ascii="Arial" w:hAnsi="Arial" w:cs="Arial"/>
          <w:color w:val="000000" w:themeColor="text1"/>
          <w:sz w:val="18"/>
          <w:szCs w:val="18"/>
        </w:rPr>
        <w:t xml:space="preserve"> combination of (</w:t>
      </w:r>
      <w:r w:rsidR="00952097">
        <w:rPr>
          <w:rFonts w:ascii="Arial" w:hAnsi="Arial" w:cs="Arial"/>
          <w:color w:val="000000" w:themeColor="text1"/>
          <w:sz w:val="18"/>
          <w:szCs w:val="18"/>
        </w:rPr>
        <w:t>a</w:t>
      </w:r>
      <w:r w:rsidR="00BA1BAC">
        <w:rPr>
          <w:rFonts w:ascii="Arial" w:hAnsi="Arial" w:cs="Arial"/>
          <w:color w:val="000000" w:themeColor="text1"/>
          <w:sz w:val="18"/>
          <w:szCs w:val="18"/>
        </w:rPr>
        <w:t>) and (</w:t>
      </w:r>
      <w:r w:rsidR="00952097">
        <w:rPr>
          <w:rFonts w:ascii="Arial" w:hAnsi="Arial" w:cs="Arial"/>
          <w:color w:val="000000" w:themeColor="text1"/>
          <w:sz w:val="18"/>
          <w:szCs w:val="18"/>
        </w:rPr>
        <w:t>b</w:t>
      </w:r>
      <w:r w:rsidR="00BA1BAC">
        <w:rPr>
          <w:rFonts w:ascii="Arial" w:hAnsi="Arial" w:cs="Arial"/>
          <w:color w:val="000000" w:themeColor="text1"/>
          <w:sz w:val="18"/>
          <w:szCs w:val="18"/>
        </w:rPr>
        <w:t>) above</w:t>
      </w:r>
      <w:r w:rsidR="00650582">
        <w:rPr>
          <w:rFonts w:ascii="Arial" w:hAnsi="Arial" w:cs="Arial"/>
          <w:color w:val="000000" w:themeColor="text1"/>
          <w:sz w:val="18"/>
          <w:szCs w:val="18"/>
        </w:rPr>
        <w:t xml:space="preserve">; and </w:t>
      </w:r>
    </w:p>
    <w:p w14:paraId="2D88682D" w14:textId="2DEB576A" w:rsidR="00E608E0" w:rsidRDefault="00650582" w:rsidP="00BA1BAC">
      <w:pPr>
        <w:pStyle w:val="Default"/>
        <w:numPr>
          <w:ilvl w:val="1"/>
          <w:numId w:val="1"/>
        </w:numPr>
        <w:spacing w:before="100" w:after="100" w:line="360" w:lineRule="auto"/>
        <w:ind w:left="1080"/>
        <w:rPr>
          <w:rFonts w:ascii="Arial" w:hAnsi="Arial" w:cs="Arial"/>
          <w:color w:val="000000" w:themeColor="text1"/>
          <w:sz w:val="18"/>
          <w:szCs w:val="18"/>
        </w:rPr>
      </w:pPr>
      <w:r>
        <w:rPr>
          <w:rFonts w:ascii="Arial" w:hAnsi="Arial" w:cs="Arial"/>
          <w:color w:val="000000" w:themeColor="text1"/>
          <w:sz w:val="18"/>
          <w:szCs w:val="18"/>
        </w:rPr>
        <w:t>T</w:t>
      </w:r>
      <w:r w:rsidR="00E608E0">
        <w:rPr>
          <w:rFonts w:ascii="Arial" w:hAnsi="Arial" w:cs="Arial"/>
          <w:color w:val="000000" w:themeColor="text1"/>
          <w:sz w:val="18"/>
          <w:szCs w:val="18"/>
        </w:rPr>
        <w:t xml:space="preserve">he </w:t>
      </w:r>
      <w:r w:rsidR="00D93BE1" w:rsidRPr="00E608E0">
        <w:rPr>
          <w:rFonts w:ascii="Arial" w:hAnsi="Arial" w:cs="Arial"/>
          <w:b/>
          <w:bCs/>
          <w:color w:val="000000" w:themeColor="text1"/>
          <w:sz w:val="18"/>
          <w:szCs w:val="18"/>
        </w:rPr>
        <w:t xml:space="preserve">Qualifying </w:t>
      </w:r>
      <w:r w:rsidR="00E608E0" w:rsidRPr="00E608E0">
        <w:rPr>
          <w:rFonts w:ascii="Arial" w:hAnsi="Arial" w:cs="Arial"/>
          <w:b/>
          <w:bCs/>
          <w:color w:val="000000" w:themeColor="text1"/>
          <w:sz w:val="18"/>
          <w:szCs w:val="18"/>
        </w:rPr>
        <w:t>Transfer</w:t>
      </w:r>
      <w:r w:rsidR="00E608E0">
        <w:rPr>
          <w:rFonts w:ascii="Arial" w:hAnsi="Arial" w:cs="Arial"/>
          <w:color w:val="000000" w:themeColor="text1"/>
          <w:sz w:val="18"/>
          <w:szCs w:val="18"/>
        </w:rPr>
        <w:t xml:space="preserve"> and</w:t>
      </w:r>
      <w:r w:rsidR="007846FB">
        <w:rPr>
          <w:rFonts w:ascii="Arial" w:hAnsi="Arial" w:cs="Arial"/>
          <w:color w:val="000000" w:themeColor="text1"/>
          <w:sz w:val="18"/>
          <w:szCs w:val="18"/>
        </w:rPr>
        <w:t xml:space="preserve"> </w:t>
      </w:r>
      <w:r w:rsidR="00E608E0">
        <w:rPr>
          <w:rFonts w:ascii="Arial" w:hAnsi="Arial" w:cs="Arial"/>
          <w:color w:val="000000" w:themeColor="text1"/>
          <w:sz w:val="18"/>
          <w:szCs w:val="18"/>
        </w:rPr>
        <w:t>/</w:t>
      </w:r>
      <w:r w:rsidR="007846FB">
        <w:rPr>
          <w:rFonts w:ascii="Arial" w:hAnsi="Arial" w:cs="Arial"/>
          <w:color w:val="000000" w:themeColor="text1"/>
          <w:sz w:val="18"/>
          <w:szCs w:val="18"/>
        </w:rPr>
        <w:t xml:space="preserve"> </w:t>
      </w:r>
      <w:r w:rsidR="00E608E0">
        <w:rPr>
          <w:rFonts w:ascii="Arial" w:hAnsi="Arial" w:cs="Arial"/>
          <w:color w:val="000000" w:themeColor="text1"/>
          <w:sz w:val="18"/>
          <w:szCs w:val="18"/>
        </w:rPr>
        <w:t xml:space="preserve">or </w:t>
      </w:r>
      <w:r w:rsidR="00E608E0" w:rsidRPr="00E608E0">
        <w:rPr>
          <w:rFonts w:ascii="Arial" w:hAnsi="Arial" w:cs="Arial"/>
          <w:b/>
          <w:bCs/>
          <w:color w:val="000000" w:themeColor="text1"/>
          <w:sz w:val="18"/>
          <w:szCs w:val="18"/>
        </w:rPr>
        <w:t>Qualifying Contribution</w:t>
      </w:r>
      <w:r w:rsidR="00E608E0">
        <w:rPr>
          <w:rFonts w:ascii="Arial" w:hAnsi="Arial" w:cs="Arial"/>
          <w:color w:val="000000" w:themeColor="text1"/>
          <w:sz w:val="18"/>
          <w:szCs w:val="18"/>
        </w:rPr>
        <w:t xml:space="preserve"> have a</w:t>
      </w:r>
      <w:r w:rsidR="007846FB">
        <w:rPr>
          <w:rFonts w:ascii="Arial" w:hAnsi="Arial" w:cs="Arial"/>
          <w:color w:val="000000" w:themeColor="text1"/>
          <w:sz w:val="18"/>
          <w:szCs w:val="18"/>
        </w:rPr>
        <w:t xml:space="preserve">n aggregated </w:t>
      </w:r>
      <w:r>
        <w:rPr>
          <w:rFonts w:ascii="Arial" w:hAnsi="Arial" w:cs="Arial"/>
          <w:color w:val="000000" w:themeColor="text1"/>
          <w:sz w:val="18"/>
          <w:szCs w:val="18"/>
        </w:rPr>
        <w:t>v</w:t>
      </w:r>
      <w:r w:rsidR="00E608E0">
        <w:rPr>
          <w:rFonts w:ascii="Arial" w:hAnsi="Arial" w:cs="Arial"/>
          <w:color w:val="000000" w:themeColor="text1"/>
          <w:sz w:val="18"/>
          <w:szCs w:val="18"/>
        </w:rPr>
        <w:t>alue of at least £</w:t>
      </w:r>
      <w:r w:rsidR="00B10D8A">
        <w:rPr>
          <w:rFonts w:ascii="Arial" w:hAnsi="Arial" w:cs="Arial"/>
          <w:color w:val="000000" w:themeColor="text1"/>
          <w:sz w:val="18"/>
          <w:szCs w:val="18"/>
        </w:rPr>
        <w:t>50</w:t>
      </w:r>
      <w:r w:rsidR="00E608E0">
        <w:rPr>
          <w:rFonts w:ascii="Arial" w:hAnsi="Arial" w:cs="Arial"/>
          <w:color w:val="000000" w:themeColor="text1"/>
          <w:sz w:val="18"/>
          <w:szCs w:val="18"/>
        </w:rPr>
        <w:t>,000</w:t>
      </w:r>
    </w:p>
    <w:p w14:paraId="147063BA" w14:textId="38D6ACA0" w:rsidR="00C95F39" w:rsidRPr="0035728D" w:rsidRDefault="005E3504" w:rsidP="00D03972">
      <w:pPr>
        <w:pStyle w:val="Default"/>
        <w:numPr>
          <w:ilvl w:val="0"/>
          <w:numId w:val="1"/>
        </w:numPr>
        <w:spacing w:before="100" w:after="100" w:line="360" w:lineRule="auto"/>
        <w:rPr>
          <w:rFonts w:ascii="Arial" w:hAnsi="Arial" w:cs="Arial"/>
          <w:color w:val="000000" w:themeColor="text1"/>
          <w:sz w:val="18"/>
          <w:szCs w:val="18"/>
        </w:rPr>
      </w:pPr>
      <w:r>
        <w:rPr>
          <w:rFonts w:ascii="Arial" w:hAnsi="Arial" w:cs="Arial"/>
          <w:color w:val="000000" w:themeColor="text1"/>
          <w:sz w:val="18"/>
          <w:szCs w:val="20"/>
        </w:rPr>
        <w:t xml:space="preserve">This offer is not open to those that transfer </w:t>
      </w:r>
      <w:r w:rsidR="00650582">
        <w:rPr>
          <w:rFonts w:ascii="Arial" w:hAnsi="Arial" w:cs="Arial"/>
          <w:color w:val="000000" w:themeColor="text1"/>
          <w:sz w:val="18"/>
          <w:szCs w:val="20"/>
        </w:rPr>
        <w:t xml:space="preserve">or contribute </w:t>
      </w:r>
      <w:r>
        <w:rPr>
          <w:rFonts w:ascii="Arial" w:hAnsi="Arial" w:cs="Arial"/>
          <w:color w:val="000000" w:themeColor="text1"/>
          <w:sz w:val="18"/>
          <w:szCs w:val="20"/>
        </w:rPr>
        <w:t xml:space="preserve">via an adviser or </w:t>
      </w:r>
      <w:r w:rsidR="00E364E4">
        <w:rPr>
          <w:rFonts w:ascii="Arial" w:hAnsi="Arial" w:cs="Arial"/>
          <w:color w:val="000000" w:themeColor="text1"/>
          <w:sz w:val="18"/>
          <w:szCs w:val="20"/>
        </w:rPr>
        <w:t>intermediary</w:t>
      </w:r>
      <w:r>
        <w:rPr>
          <w:rFonts w:ascii="Arial" w:hAnsi="Arial" w:cs="Arial"/>
          <w:color w:val="000000" w:themeColor="text1"/>
          <w:sz w:val="18"/>
          <w:szCs w:val="20"/>
        </w:rPr>
        <w:t>.</w:t>
      </w:r>
      <w:r w:rsidR="00D03972" w:rsidRPr="0035728D">
        <w:rPr>
          <w:rFonts w:ascii="Arial" w:hAnsi="Arial" w:cs="Arial"/>
          <w:color w:val="000000" w:themeColor="text1"/>
          <w:sz w:val="18"/>
          <w:szCs w:val="20"/>
        </w:rPr>
        <w:t xml:space="preserve"> </w:t>
      </w:r>
    </w:p>
    <w:p w14:paraId="36AE997B" w14:textId="556A9F19" w:rsidR="00C95F39" w:rsidRPr="0035728D" w:rsidRDefault="00C95F39" w:rsidP="00D03972">
      <w:pPr>
        <w:pStyle w:val="Default"/>
        <w:numPr>
          <w:ilvl w:val="0"/>
          <w:numId w:val="1"/>
        </w:numPr>
        <w:spacing w:before="100" w:after="100" w:line="360" w:lineRule="auto"/>
        <w:rPr>
          <w:rFonts w:ascii="Arial" w:hAnsi="Arial" w:cs="Arial"/>
          <w:color w:val="000000" w:themeColor="text1"/>
          <w:sz w:val="18"/>
          <w:szCs w:val="18"/>
        </w:rPr>
      </w:pPr>
      <w:r w:rsidRPr="0035728D">
        <w:rPr>
          <w:rFonts w:ascii="Arial" w:hAnsi="Arial" w:cs="Arial"/>
          <w:color w:val="000000" w:themeColor="text1"/>
          <w:sz w:val="18"/>
          <w:szCs w:val="18"/>
        </w:rPr>
        <w:t xml:space="preserve">Cash </w:t>
      </w:r>
      <w:r w:rsidR="001E1C38">
        <w:rPr>
          <w:rFonts w:ascii="Arial" w:hAnsi="Arial" w:cs="Arial"/>
          <w:color w:val="000000" w:themeColor="text1"/>
          <w:sz w:val="18"/>
          <w:szCs w:val="18"/>
        </w:rPr>
        <w:t>B</w:t>
      </w:r>
      <w:r w:rsidRPr="0035728D">
        <w:rPr>
          <w:rFonts w:ascii="Arial" w:hAnsi="Arial" w:cs="Arial"/>
          <w:color w:val="000000" w:themeColor="text1"/>
          <w:sz w:val="18"/>
          <w:szCs w:val="18"/>
        </w:rPr>
        <w:t xml:space="preserve">ack will be </w:t>
      </w:r>
      <w:r w:rsidR="00CA4896" w:rsidRPr="0035728D">
        <w:rPr>
          <w:rFonts w:ascii="Arial" w:hAnsi="Arial" w:cs="Arial"/>
          <w:color w:val="000000" w:themeColor="text1"/>
          <w:sz w:val="18"/>
          <w:szCs w:val="18"/>
        </w:rPr>
        <w:t>paid in the amounts noted in the table in section 9</w:t>
      </w:r>
      <w:r w:rsidR="00CA4896">
        <w:rPr>
          <w:rFonts w:ascii="Arial" w:hAnsi="Arial" w:cs="Arial"/>
          <w:color w:val="000000" w:themeColor="text1"/>
          <w:sz w:val="18"/>
          <w:szCs w:val="18"/>
        </w:rPr>
        <w:t xml:space="preserve"> and will be based on the </w:t>
      </w:r>
      <w:r w:rsidR="004F7846">
        <w:rPr>
          <w:rFonts w:ascii="Arial" w:hAnsi="Arial" w:cs="Arial"/>
          <w:color w:val="000000" w:themeColor="text1"/>
          <w:sz w:val="18"/>
          <w:szCs w:val="18"/>
        </w:rPr>
        <w:t xml:space="preserve">total </w:t>
      </w:r>
      <w:r w:rsidR="00650582">
        <w:rPr>
          <w:rFonts w:ascii="Arial" w:hAnsi="Arial" w:cs="Arial"/>
          <w:color w:val="auto"/>
          <w:sz w:val="18"/>
          <w:szCs w:val="18"/>
          <w:lang w:eastAsia="en-GB"/>
        </w:rPr>
        <w:t xml:space="preserve">combined sum of </w:t>
      </w:r>
      <w:r w:rsidR="00CA4896">
        <w:rPr>
          <w:rFonts w:ascii="Arial" w:hAnsi="Arial" w:cs="Arial"/>
          <w:color w:val="auto"/>
          <w:sz w:val="18"/>
          <w:szCs w:val="18"/>
          <w:lang w:eastAsia="en-GB"/>
        </w:rPr>
        <w:t xml:space="preserve">all transfers applied for and </w:t>
      </w:r>
      <w:r w:rsidR="00650582">
        <w:rPr>
          <w:rFonts w:ascii="Arial" w:hAnsi="Arial" w:cs="Arial"/>
          <w:color w:val="auto"/>
          <w:sz w:val="18"/>
          <w:szCs w:val="18"/>
          <w:lang w:eastAsia="en-GB"/>
        </w:rPr>
        <w:t xml:space="preserve">lump sum </w:t>
      </w:r>
      <w:r w:rsidR="001A205F">
        <w:rPr>
          <w:rFonts w:ascii="Arial" w:hAnsi="Arial" w:cs="Arial"/>
          <w:color w:val="auto"/>
          <w:sz w:val="18"/>
          <w:szCs w:val="18"/>
          <w:lang w:eastAsia="en-GB"/>
        </w:rPr>
        <w:t xml:space="preserve">deposits </w:t>
      </w:r>
      <w:r w:rsidR="00CA4896">
        <w:rPr>
          <w:rFonts w:ascii="Arial" w:hAnsi="Arial" w:cs="Arial"/>
          <w:color w:val="auto"/>
          <w:sz w:val="18"/>
          <w:szCs w:val="18"/>
          <w:lang w:eastAsia="en-GB"/>
        </w:rPr>
        <w:t xml:space="preserve">into </w:t>
      </w:r>
      <w:r w:rsidR="00D0146D">
        <w:rPr>
          <w:rFonts w:ascii="Arial" w:hAnsi="Arial" w:cs="Arial"/>
          <w:color w:val="auto"/>
          <w:sz w:val="18"/>
          <w:szCs w:val="18"/>
          <w:lang w:eastAsia="en-GB"/>
        </w:rPr>
        <w:t xml:space="preserve">Fidelity’s </w:t>
      </w:r>
      <w:r w:rsidR="007846FB">
        <w:rPr>
          <w:rFonts w:ascii="Arial" w:hAnsi="Arial" w:cs="Arial"/>
          <w:color w:val="auto"/>
          <w:sz w:val="18"/>
          <w:szCs w:val="18"/>
          <w:lang w:eastAsia="en-GB"/>
        </w:rPr>
        <w:t>SIPP</w:t>
      </w:r>
      <w:r w:rsidR="001A205F">
        <w:rPr>
          <w:rFonts w:ascii="Arial" w:hAnsi="Arial" w:cs="Arial"/>
          <w:color w:val="auto"/>
          <w:sz w:val="18"/>
          <w:szCs w:val="18"/>
          <w:lang w:eastAsia="en-GB"/>
        </w:rPr>
        <w:t xml:space="preserve"> and </w:t>
      </w:r>
      <w:r w:rsidR="00B27075">
        <w:rPr>
          <w:rFonts w:ascii="Arial" w:hAnsi="Arial" w:cs="Arial"/>
          <w:color w:val="auto"/>
          <w:sz w:val="18"/>
          <w:szCs w:val="18"/>
          <w:lang w:eastAsia="en-GB"/>
        </w:rPr>
        <w:t xml:space="preserve">/ </w:t>
      </w:r>
      <w:r w:rsidR="001A205F">
        <w:rPr>
          <w:rFonts w:ascii="Arial" w:hAnsi="Arial" w:cs="Arial"/>
          <w:color w:val="auto"/>
          <w:sz w:val="18"/>
          <w:szCs w:val="18"/>
          <w:lang w:eastAsia="en-GB"/>
        </w:rPr>
        <w:t>or ISA</w:t>
      </w:r>
      <w:r w:rsidR="00CA4896">
        <w:rPr>
          <w:rFonts w:ascii="Arial" w:hAnsi="Arial" w:cs="Arial"/>
          <w:color w:val="auto"/>
          <w:sz w:val="18"/>
          <w:szCs w:val="18"/>
          <w:lang w:eastAsia="en-GB"/>
        </w:rPr>
        <w:t xml:space="preserve">, </w:t>
      </w:r>
      <w:r w:rsidR="00650582">
        <w:rPr>
          <w:rFonts w:ascii="Arial" w:hAnsi="Arial" w:cs="Arial"/>
          <w:color w:val="auto"/>
          <w:sz w:val="18"/>
          <w:szCs w:val="18"/>
          <w:lang w:eastAsia="en-GB"/>
        </w:rPr>
        <w:t>during the Offer period</w:t>
      </w:r>
      <w:r w:rsidR="00CA4896">
        <w:rPr>
          <w:rFonts w:ascii="Arial" w:hAnsi="Arial" w:cs="Arial"/>
          <w:color w:val="auto"/>
          <w:sz w:val="18"/>
          <w:szCs w:val="18"/>
          <w:lang w:eastAsia="en-GB"/>
        </w:rPr>
        <w:t>. If the aggregated value is less than £</w:t>
      </w:r>
      <w:r w:rsidR="001A205F">
        <w:rPr>
          <w:rFonts w:ascii="Arial" w:hAnsi="Arial" w:cs="Arial"/>
          <w:color w:val="auto"/>
          <w:sz w:val="18"/>
          <w:szCs w:val="18"/>
          <w:lang w:eastAsia="en-GB"/>
        </w:rPr>
        <w:t>50</w:t>
      </w:r>
      <w:r w:rsidR="00CA4896">
        <w:rPr>
          <w:rFonts w:ascii="Arial" w:hAnsi="Arial" w:cs="Arial"/>
          <w:color w:val="auto"/>
          <w:sz w:val="18"/>
          <w:szCs w:val="18"/>
          <w:lang w:eastAsia="en-GB"/>
        </w:rPr>
        <w:t xml:space="preserve">,000 you will not receive any cashback. The </w:t>
      </w:r>
      <w:r w:rsidRPr="00C51708">
        <w:rPr>
          <w:rFonts w:ascii="Arial" w:hAnsi="Arial" w:cs="Arial"/>
          <w:color w:val="000000" w:themeColor="text1"/>
          <w:sz w:val="18"/>
          <w:szCs w:val="18"/>
        </w:rPr>
        <w:t>minimum trans</w:t>
      </w:r>
      <w:r w:rsidR="008E4989" w:rsidRPr="00C51708">
        <w:rPr>
          <w:rFonts w:ascii="Arial" w:hAnsi="Arial" w:cs="Arial"/>
          <w:color w:val="000000" w:themeColor="text1"/>
          <w:sz w:val="18"/>
          <w:szCs w:val="18"/>
        </w:rPr>
        <w:t>fer value is £100</w:t>
      </w:r>
      <w:r w:rsidR="000C7382">
        <w:rPr>
          <w:rFonts w:ascii="Arial" w:hAnsi="Arial" w:cs="Arial"/>
          <w:color w:val="000000" w:themeColor="text1"/>
          <w:sz w:val="18"/>
          <w:szCs w:val="18"/>
        </w:rPr>
        <w:t xml:space="preserve"> unless </w:t>
      </w:r>
      <w:r w:rsidRPr="00C51708">
        <w:rPr>
          <w:rFonts w:ascii="Arial" w:hAnsi="Arial" w:cs="Arial"/>
          <w:color w:val="000000" w:themeColor="text1"/>
          <w:sz w:val="18"/>
          <w:szCs w:val="18"/>
        </w:rPr>
        <w:t xml:space="preserve">you’re immediately going to start taking money from </w:t>
      </w:r>
      <w:r w:rsidR="000519AA">
        <w:rPr>
          <w:rFonts w:ascii="Arial" w:hAnsi="Arial" w:cs="Arial"/>
          <w:color w:val="000000" w:themeColor="text1"/>
          <w:sz w:val="18"/>
          <w:szCs w:val="18"/>
        </w:rPr>
        <w:t>your SIPP</w:t>
      </w:r>
      <w:r w:rsidR="00667F89">
        <w:rPr>
          <w:rFonts w:ascii="Arial" w:hAnsi="Arial" w:cs="Arial"/>
          <w:color w:val="000000" w:themeColor="text1"/>
          <w:sz w:val="18"/>
          <w:szCs w:val="18"/>
        </w:rPr>
        <w:t xml:space="preserve"> after the transfer</w:t>
      </w:r>
      <w:r w:rsidRPr="00C51708">
        <w:rPr>
          <w:rFonts w:ascii="Arial" w:hAnsi="Arial" w:cs="Arial"/>
          <w:color w:val="000000" w:themeColor="text1"/>
          <w:sz w:val="18"/>
          <w:szCs w:val="18"/>
        </w:rPr>
        <w:t xml:space="preserve">, </w:t>
      </w:r>
      <w:r w:rsidR="00697CC9" w:rsidRPr="00C51708">
        <w:rPr>
          <w:rFonts w:ascii="Arial" w:hAnsi="Arial" w:cs="Arial"/>
          <w:color w:val="000000" w:themeColor="text1"/>
          <w:sz w:val="18"/>
          <w:szCs w:val="18"/>
        </w:rPr>
        <w:t xml:space="preserve">known as pension drawdown, </w:t>
      </w:r>
      <w:r w:rsidRPr="00C51708">
        <w:rPr>
          <w:rFonts w:ascii="Arial" w:hAnsi="Arial" w:cs="Arial"/>
          <w:color w:val="000000" w:themeColor="text1"/>
          <w:sz w:val="18"/>
          <w:szCs w:val="18"/>
        </w:rPr>
        <w:t>the</w:t>
      </w:r>
      <w:r w:rsidR="000667DF">
        <w:rPr>
          <w:rFonts w:ascii="Arial" w:hAnsi="Arial" w:cs="Arial"/>
          <w:color w:val="000000" w:themeColor="text1"/>
          <w:sz w:val="18"/>
          <w:szCs w:val="18"/>
        </w:rPr>
        <w:t>n</w:t>
      </w:r>
      <w:r w:rsidRPr="00C51708">
        <w:rPr>
          <w:rFonts w:ascii="Arial" w:hAnsi="Arial" w:cs="Arial"/>
          <w:color w:val="000000" w:themeColor="text1"/>
          <w:sz w:val="18"/>
          <w:szCs w:val="18"/>
        </w:rPr>
        <w:t xml:space="preserve"> </w:t>
      </w:r>
      <w:r w:rsidR="000667DF">
        <w:rPr>
          <w:rFonts w:ascii="Arial" w:hAnsi="Arial" w:cs="Arial"/>
          <w:color w:val="000000" w:themeColor="text1"/>
          <w:sz w:val="18"/>
          <w:szCs w:val="18"/>
        </w:rPr>
        <w:t xml:space="preserve">the </w:t>
      </w:r>
      <w:r w:rsidRPr="00C51708">
        <w:rPr>
          <w:rFonts w:ascii="Arial" w:hAnsi="Arial" w:cs="Arial"/>
          <w:color w:val="000000" w:themeColor="text1"/>
          <w:sz w:val="18"/>
          <w:szCs w:val="18"/>
        </w:rPr>
        <w:t>minimum is £50,000.</w:t>
      </w:r>
    </w:p>
    <w:p w14:paraId="6342E563" w14:textId="77777777" w:rsidR="00765046" w:rsidRPr="0035728D" w:rsidRDefault="00765046" w:rsidP="00D03972">
      <w:pPr>
        <w:pStyle w:val="Default"/>
        <w:numPr>
          <w:ilvl w:val="0"/>
          <w:numId w:val="1"/>
        </w:numPr>
        <w:spacing w:before="100" w:after="100" w:line="360" w:lineRule="auto"/>
        <w:rPr>
          <w:rFonts w:ascii="Arial" w:hAnsi="Arial" w:cs="Arial"/>
          <w:color w:val="000000" w:themeColor="text1"/>
          <w:sz w:val="18"/>
          <w:szCs w:val="20"/>
        </w:rPr>
      </w:pPr>
      <w:r w:rsidRPr="0035728D">
        <w:rPr>
          <w:rFonts w:ascii="Arial" w:hAnsi="Arial" w:cs="Arial"/>
          <w:color w:val="000000" w:themeColor="text1"/>
          <w:sz w:val="18"/>
          <w:szCs w:val="20"/>
        </w:rPr>
        <w:t>The following types of transfer will qualify for the Offer:</w:t>
      </w:r>
    </w:p>
    <w:p w14:paraId="3D27D9E6" w14:textId="27D9F70D" w:rsidR="001B7291" w:rsidRDefault="001B7291" w:rsidP="001B7291">
      <w:pPr>
        <w:pStyle w:val="Default"/>
        <w:numPr>
          <w:ilvl w:val="1"/>
          <w:numId w:val="1"/>
        </w:numPr>
        <w:spacing w:before="100" w:after="100" w:line="360" w:lineRule="auto"/>
        <w:rPr>
          <w:rFonts w:ascii="Arial" w:hAnsi="Arial" w:cs="Arial"/>
          <w:color w:val="000000" w:themeColor="text1"/>
          <w:sz w:val="18"/>
          <w:szCs w:val="18"/>
        </w:rPr>
      </w:pPr>
      <w:bookmarkStart w:id="0" w:name="_Hlk215141162"/>
      <w:r w:rsidRPr="0035728D">
        <w:rPr>
          <w:rFonts w:ascii="Arial" w:eastAsia="Times New Roman" w:hAnsi="Arial" w:cs="Arial"/>
          <w:b/>
          <w:bCs/>
          <w:color w:val="000000" w:themeColor="text1"/>
          <w:sz w:val="18"/>
          <w:szCs w:val="18"/>
          <w:lang w:eastAsia="en-GB"/>
        </w:rPr>
        <w:t>Cash transfer</w:t>
      </w:r>
      <w:r w:rsidR="00663864">
        <w:rPr>
          <w:rFonts w:ascii="Arial" w:eastAsia="Times New Roman" w:hAnsi="Arial" w:cs="Arial"/>
          <w:b/>
          <w:bCs/>
          <w:color w:val="000000" w:themeColor="text1"/>
          <w:sz w:val="18"/>
          <w:szCs w:val="18"/>
          <w:lang w:eastAsia="en-GB"/>
        </w:rPr>
        <w:t xml:space="preserve"> </w:t>
      </w:r>
      <w:r w:rsidRPr="0035728D">
        <w:rPr>
          <w:rFonts w:ascii="Arial" w:eastAsia="Times New Roman" w:hAnsi="Arial" w:cs="Arial"/>
          <w:color w:val="000000" w:themeColor="text1"/>
          <w:sz w:val="18"/>
          <w:szCs w:val="18"/>
          <w:lang w:eastAsia="en-GB"/>
        </w:rPr>
        <w:t>– If you transfer in cash</w:t>
      </w:r>
      <w:r w:rsidRPr="0035728D">
        <w:rPr>
          <w:rFonts w:ascii="Arial" w:hAnsi="Arial" w:cs="Arial"/>
          <w:color w:val="000000" w:themeColor="text1"/>
          <w:sz w:val="18"/>
          <w:szCs w:val="18"/>
        </w:rPr>
        <w:t xml:space="preserve"> within </w:t>
      </w:r>
      <w:r w:rsidR="00CD44E1">
        <w:rPr>
          <w:rFonts w:ascii="Arial" w:hAnsi="Arial" w:cs="Arial"/>
          <w:color w:val="000000" w:themeColor="text1"/>
          <w:sz w:val="18"/>
          <w:szCs w:val="18"/>
        </w:rPr>
        <w:t>a</w:t>
      </w:r>
      <w:r w:rsidR="00663864">
        <w:rPr>
          <w:rFonts w:ascii="Arial" w:hAnsi="Arial" w:cs="Arial"/>
          <w:color w:val="000000" w:themeColor="text1"/>
          <w:sz w:val="18"/>
          <w:szCs w:val="18"/>
        </w:rPr>
        <w:t>n ISA or</w:t>
      </w:r>
      <w:r w:rsidR="00CD44E1">
        <w:rPr>
          <w:rFonts w:ascii="Arial" w:hAnsi="Arial" w:cs="Arial"/>
          <w:color w:val="000000" w:themeColor="text1"/>
          <w:sz w:val="18"/>
          <w:szCs w:val="18"/>
        </w:rPr>
        <w:t xml:space="preserve"> </w:t>
      </w:r>
      <w:r w:rsidRPr="0035728D">
        <w:rPr>
          <w:rFonts w:ascii="Arial" w:hAnsi="Arial" w:cs="Arial"/>
          <w:color w:val="000000" w:themeColor="text1"/>
          <w:sz w:val="18"/>
          <w:szCs w:val="18"/>
        </w:rPr>
        <w:t>pension, the provider you are transferring from will sell your investments and send the proceeds directly to us. We will hold them as cash within</w:t>
      </w:r>
      <w:r w:rsidR="009648E9">
        <w:rPr>
          <w:rFonts w:ascii="Arial" w:hAnsi="Arial" w:cs="Arial"/>
          <w:color w:val="000000" w:themeColor="text1"/>
          <w:sz w:val="18"/>
          <w:szCs w:val="18"/>
        </w:rPr>
        <w:t xml:space="preserve"> your </w:t>
      </w:r>
      <w:r w:rsidR="00663864">
        <w:rPr>
          <w:rFonts w:ascii="Arial" w:hAnsi="Arial" w:cs="Arial"/>
          <w:color w:val="000000" w:themeColor="text1"/>
          <w:sz w:val="18"/>
          <w:szCs w:val="18"/>
        </w:rPr>
        <w:t xml:space="preserve">account </w:t>
      </w:r>
      <w:r w:rsidRPr="0035728D">
        <w:rPr>
          <w:rFonts w:ascii="Arial" w:hAnsi="Arial" w:cs="Arial"/>
          <w:color w:val="000000" w:themeColor="text1"/>
          <w:sz w:val="18"/>
          <w:szCs w:val="18"/>
        </w:rPr>
        <w:t xml:space="preserve">until you decide what you would like to invest in. </w:t>
      </w:r>
    </w:p>
    <w:bookmarkEnd w:id="0"/>
    <w:p w14:paraId="1FA2E3F0" w14:textId="4BCB7A40" w:rsidR="00B70F48" w:rsidRDefault="000F773A" w:rsidP="00B70F48">
      <w:pPr>
        <w:pStyle w:val="Default"/>
        <w:numPr>
          <w:ilvl w:val="1"/>
          <w:numId w:val="1"/>
        </w:numPr>
        <w:spacing w:before="100" w:after="100" w:line="360" w:lineRule="auto"/>
        <w:rPr>
          <w:rFonts w:ascii="Arial" w:hAnsi="Arial" w:cs="Arial"/>
          <w:color w:val="000000" w:themeColor="text1"/>
          <w:sz w:val="18"/>
          <w:szCs w:val="18"/>
        </w:rPr>
      </w:pPr>
      <w:r w:rsidRPr="009E1706">
        <w:rPr>
          <w:rFonts w:ascii="Arial" w:eastAsia="Times New Roman" w:hAnsi="Arial" w:cs="Arial"/>
          <w:b/>
          <w:bCs/>
          <w:color w:val="000000" w:themeColor="text1"/>
          <w:sz w:val="18"/>
          <w:szCs w:val="18"/>
          <w:lang w:eastAsia="en-GB"/>
        </w:rPr>
        <w:t xml:space="preserve">Re-registration </w:t>
      </w:r>
      <w:r w:rsidRPr="00A52702">
        <w:rPr>
          <w:rFonts w:ascii="Arial" w:eastAsia="Times New Roman" w:hAnsi="Arial" w:cs="Arial"/>
          <w:color w:val="000000" w:themeColor="text1"/>
          <w:sz w:val="18"/>
          <w:szCs w:val="18"/>
          <w:lang w:eastAsia="en-GB"/>
        </w:rPr>
        <w:t>–</w:t>
      </w:r>
      <w:r w:rsidRPr="009E1706">
        <w:rPr>
          <w:rFonts w:ascii="Arial" w:eastAsia="Times New Roman" w:hAnsi="Arial" w:cs="Arial"/>
          <w:b/>
          <w:bCs/>
          <w:color w:val="000000" w:themeColor="text1"/>
          <w:sz w:val="18"/>
          <w:szCs w:val="18"/>
          <w:lang w:eastAsia="en-GB"/>
        </w:rPr>
        <w:t xml:space="preserve"> </w:t>
      </w:r>
      <w:r w:rsidRPr="009E1706">
        <w:rPr>
          <w:rFonts w:ascii="Arial" w:eastAsia="Times New Roman" w:hAnsi="Arial" w:cs="Arial"/>
          <w:color w:val="000000" w:themeColor="text1"/>
          <w:sz w:val="18"/>
          <w:szCs w:val="18"/>
          <w:lang w:eastAsia="en-GB"/>
        </w:rPr>
        <w:t>With this type of transfer, you can keep the same investments as long as they're available on our platform</w:t>
      </w:r>
      <w:r w:rsidRPr="00F912AB">
        <w:rPr>
          <w:rFonts w:ascii="Arial" w:eastAsia="Times New Roman" w:hAnsi="Arial" w:cs="Arial"/>
          <w:color w:val="000000" w:themeColor="text1"/>
          <w:sz w:val="18"/>
          <w:szCs w:val="18"/>
          <w:lang w:eastAsia="en-GB"/>
        </w:rPr>
        <w:t xml:space="preserve">. Where required, we will work with your existing provider to convert your units into a share class we can support before transferring them to us. Please note that a further conversion may be required to move you into the cheapest available share class on our platform. If a cheaper share class is available, we will also convert any existing holdings of that share class in your account. During this time, you will not be out of the market, and you may temporarily be converted into a share class with higher charges to facilitate the transfer. The share class conversion activity might take a few </w:t>
      </w:r>
      <w:proofErr w:type="gramStart"/>
      <w:r w:rsidRPr="00F912AB">
        <w:rPr>
          <w:rFonts w:ascii="Arial" w:eastAsia="Times New Roman" w:hAnsi="Arial" w:cs="Arial"/>
          <w:color w:val="000000" w:themeColor="text1"/>
          <w:sz w:val="18"/>
          <w:szCs w:val="18"/>
          <w:lang w:eastAsia="en-GB"/>
        </w:rPr>
        <w:t>days</w:t>
      </w:r>
      <w:proofErr w:type="gramEnd"/>
      <w:r w:rsidRPr="00F912AB">
        <w:rPr>
          <w:rFonts w:ascii="Arial" w:eastAsia="Times New Roman" w:hAnsi="Arial" w:cs="Arial"/>
          <w:color w:val="000000" w:themeColor="text1"/>
          <w:sz w:val="18"/>
          <w:szCs w:val="18"/>
          <w:lang w:eastAsia="en-GB"/>
        </w:rPr>
        <w:t xml:space="preserve"> and you will probably have a different number of units in the fund after you move as the prices of different share classes of the same fund are normally different.</w:t>
      </w:r>
      <w:r w:rsidR="00EF4F59" w:rsidRPr="00EF4F59">
        <w:rPr>
          <w:rFonts w:ascii="Arial" w:hAnsi="Arial" w:cs="Arial"/>
          <w:color w:val="000000" w:themeColor="text1"/>
          <w:sz w:val="18"/>
          <w:szCs w:val="18"/>
        </w:rPr>
        <w:t xml:space="preserve"> </w:t>
      </w:r>
    </w:p>
    <w:p w14:paraId="705F0F67" w14:textId="6298D2FE" w:rsidR="00F912AB" w:rsidRPr="00C34688" w:rsidRDefault="0022367D" w:rsidP="00CA4896">
      <w:pPr>
        <w:pStyle w:val="Default"/>
        <w:spacing w:before="100" w:after="100" w:line="360" w:lineRule="auto"/>
        <w:ind w:left="1211"/>
        <w:rPr>
          <w:rFonts w:ascii="Arial" w:eastAsia="Times New Roman" w:hAnsi="Arial" w:cs="Arial"/>
          <w:color w:val="000000" w:themeColor="text1"/>
          <w:sz w:val="18"/>
          <w:szCs w:val="18"/>
          <w:lang w:eastAsia="en-GB"/>
        </w:rPr>
      </w:pPr>
      <w:bookmarkStart w:id="1" w:name="_Hlk135740822"/>
      <w:r w:rsidRPr="00C34688">
        <w:rPr>
          <w:rFonts w:ascii="Arial" w:eastAsia="Times New Roman" w:hAnsi="Arial" w:cs="Arial"/>
          <w:color w:val="000000" w:themeColor="text1"/>
          <w:sz w:val="18"/>
          <w:szCs w:val="18"/>
          <w:lang w:eastAsia="en-GB"/>
        </w:rPr>
        <w:t xml:space="preserve">If you hold an investment </w:t>
      </w:r>
      <w:r w:rsidR="001A205F">
        <w:rPr>
          <w:rFonts w:ascii="Arial" w:eastAsia="Times New Roman" w:hAnsi="Arial" w:cs="Arial"/>
          <w:color w:val="000000" w:themeColor="text1"/>
          <w:sz w:val="18"/>
          <w:szCs w:val="18"/>
          <w:lang w:eastAsia="en-GB"/>
        </w:rPr>
        <w:t xml:space="preserve">in a pension or ISA </w:t>
      </w:r>
      <w:r w:rsidRPr="00C34688">
        <w:rPr>
          <w:rFonts w:ascii="Arial" w:eastAsia="Times New Roman" w:hAnsi="Arial" w:cs="Arial"/>
          <w:color w:val="000000" w:themeColor="text1"/>
          <w:sz w:val="18"/>
          <w:szCs w:val="18"/>
          <w:lang w:eastAsia="en-GB"/>
        </w:rPr>
        <w:t xml:space="preserve">that is not available through our </w:t>
      </w:r>
      <w:r w:rsidR="009648E9">
        <w:rPr>
          <w:rFonts w:ascii="Arial" w:eastAsia="Times New Roman" w:hAnsi="Arial" w:cs="Arial"/>
          <w:color w:val="000000" w:themeColor="text1"/>
          <w:sz w:val="18"/>
          <w:szCs w:val="18"/>
          <w:lang w:eastAsia="en-GB"/>
        </w:rPr>
        <w:t>p</w:t>
      </w:r>
      <w:r w:rsidRPr="00C34688">
        <w:rPr>
          <w:rFonts w:ascii="Arial" w:eastAsia="Times New Roman" w:hAnsi="Arial" w:cs="Arial"/>
          <w:color w:val="000000" w:themeColor="text1"/>
          <w:sz w:val="18"/>
          <w:szCs w:val="18"/>
          <w:lang w:eastAsia="en-GB"/>
        </w:rPr>
        <w:t>latform or is otherwise unable to be re-registered* it will be moved to us as a cash transfer (see above).</w:t>
      </w:r>
      <w:r w:rsidR="00C34688">
        <w:rPr>
          <w:rFonts w:ascii="Arial" w:eastAsia="Times New Roman" w:hAnsi="Arial" w:cs="Arial"/>
          <w:color w:val="000000" w:themeColor="text1"/>
          <w:sz w:val="18"/>
          <w:szCs w:val="18"/>
          <w:lang w:eastAsia="en-GB"/>
        </w:rPr>
        <w:t xml:space="preserve"> </w:t>
      </w:r>
      <w:bookmarkEnd w:id="1"/>
      <w:r w:rsidR="00EF4F59" w:rsidRPr="00C34688">
        <w:rPr>
          <w:rFonts w:ascii="Arial" w:eastAsia="Times New Roman" w:hAnsi="Arial" w:cs="Arial"/>
          <w:color w:val="000000" w:themeColor="text1"/>
          <w:sz w:val="18"/>
          <w:szCs w:val="18"/>
          <w:lang w:eastAsia="en-GB"/>
        </w:rPr>
        <w:t xml:space="preserve">A re-registration does not count as a “disposal” for capital gains tax purposes, even if we switch your </w:t>
      </w:r>
      <w:r w:rsidR="00EF4F59" w:rsidRPr="00C34688">
        <w:rPr>
          <w:rFonts w:ascii="Arial" w:eastAsia="Times New Roman" w:hAnsi="Arial" w:cs="Arial"/>
          <w:color w:val="000000" w:themeColor="text1"/>
          <w:sz w:val="18"/>
          <w:szCs w:val="18"/>
          <w:lang w:eastAsia="en-GB"/>
        </w:rPr>
        <w:lastRenderedPageBreak/>
        <w:t>investment into a different share class.</w:t>
      </w:r>
      <w:r w:rsidR="00F912AB" w:rsidRPr="00C34688">
        <w:rPr>
          <w:rFonts w:ascii="Arial" w:eastAsia="Times New Roman" w:hAnsi="Arial" w:cs="Arial"/>
          <w:color w:val="000000" w:themeColor="text1"/>
          <w:sz w:val="18"/>
          <w:szCs w:val="18"/>
          <w:lang w:eastAsia="en-GB"/>
        </w:rPr>
        <w:t xml:space="preserve"> Please note that the minimum SIPP re-registration value is </w:t>
      </w:r>
      <w:r w:rsidR="00F912AB" w:rsidRPr="00954116">
        <w:rPr>
          <w:rFonts w:ascii="Arial" w:eastAsia="Times New Roman" w:hAnsi="Arial" w:cs="Arial"/>
          <w:color w:val="000000" w:themeColor="text1"/>
          <w:sz w:val="18"/>
          <w:szCs w:val="18"/>
          <w:lang w:eastAsia="en-GB"/>
        </w:rPr>
        <w:t>£100</w:t>
      </w:r>
      <w:r w:rsidR="00F912AB" w:rsidRPr="00C34688">
        <w:rPr>
          <w:rFonts w:ascii="Arial" w:eastAsia="Times New Roman" w:hAnsi="Arial" w:cs="Arial"/>
          <w:color w:val="000000" w:themeColor="text1"/>
          <w:sz w:val="18"/>
          <w:szCs w:val="18"/>
          <w:lang w:eastAsia="en-GB"/>
        </w:rPr>
        <w:t>.</w:t>
      </w:r>
    </w:p>
    <w:p w14:paraId="6B44D123" w14:textId="04ED7C91" w:rsidR="00F81708" w:rsidRDefault="00B174D9" w:rsidP="003C57B2">
      <w:pPr>
        <w:pStyle w:val="Default"/>
        <w:spacing w:before="100" w:after="100" w:line="360" w:lineRule="auto"/>
        <w:ind w:left="1440"/>
        <w:rPr>
          <w:rFonts w:ascii="Arial" w:hAnsi="Arial" w:cs="Arial"/>
          <w:sz w:val="18"/>
          <w:szCs w:val="18"/>
          <w:lang w:val="en"/>
        </w:rPr>
      </w:pPr>
      <w:r>
        <w:rPr>
          <w:rFonts w:ascii="Arial" w:hAnsi="Arial" w:cs="Arial"/>
          <w:color w:val="000000" w:themeColor="text1"/>
          <w:sz w:val="18"/>
          <w:szCs w:val="18"/>
        </w:rPr>
        <w:t>*</w:t>
      </w:r>
      <w:r w:rsidR="000F773A" w:rsidRPr="0035728D">
        <w:rPr>
          <w:rFonts w:ascii="Arial" w:hAnsi="Arial" w:cs="Arial"/>
          <w:color w:val="000000" w:themeColor="text1"/>
          <w:sz w:val="18"/>
          <w:szCs w:val="18"/>
        </w:rPr>
        <w:t xml:space="preserve">Re-registration is not available for some products on the Fidelity Investment Platform. For example, </w:t>
      </w:r>
      <w:proofErr w:type="gramStart"/>
      <w:r w:rsidR="000F773A" w:rsidRPr="0035728D">
        <w:rPr>
          <w:rFonts w:ascii="Arial" w:hAnsi="Arial" w:cs="Arial"/>
          <w:color w:val="000000" w:themeColor="text1"/>
          <w:sz w:val="18"/>
          <w:szCs w:val="18"/>
        </w:rPr>
        <w:t xml:space="preserve">a </w:t>
      </w:r>
      <w:r w:rsidR="000F773A" w:rsidRPr="00736A7E">
        <w:rPr>
          <w:rFonts w:ascii="Arial" w:hAnsi="Arial" w:cs="Arial"/>
          <w:color w:val="000000" w:themeColor="text1"/>
          <w:sz w:val="18"/>
          <w:szCs w:val="18"/>
        </w:rPr>
        <w:t>number of</w:t>
      </w:r>
      <w:proofErr w:type="gramEnd"/>
      <w:r w:rsidR="000F773A" w:rsidRPr="00736A7E">
        <w:rPr>
          <w:rFonts w:ascii="Arial" w:hAnsi="Arial" w:cs="Arial"/>
          <w:color w:val="000000" w:themeColor="text1"/>
          <w:sz w:val="18"/>
          <w:szCs w:val="18"/>
        </w:rPr>
        <w:t xml:space="preserve"> offshore funds cannot be re-registered. </w:t>
      </w:r>
      <w:r w:rsidR="00597E87">
        <w:rPr>
          <w:rFonts w:ascii="Arial" w:hAnsi="Arial" w:cs="Arial"/>
          <w:color w:val="000000" w:themeColor="text1"/>
          <w:sz w:val="18"/>
          <w:szCs w:val="18"/>
        </w:rPr>
        <w:t xml:space="preserve">You can check what </w:t>
      </w:r>
      <w:r w:rsidR="00F81708">
        <w:rPr>
          <w:rFonts w:ascii="Arial" w:hAnsi="Arial" w:cs="Arial"/>
          <w:color w:val="000000" w:themeColor="text1"/>
          <w:sz w:val="18"/>
          <w:szCs w:val="18"/>
        </w:rPr>
        <w:t>assets</w:t>
      </w:r>
      <w:r w:rsidR="00597E87">
        <w:rPr>
          <w:rFonts w:ascii="Arial" w:hAnsi="Arial" w:cs="Arial"/>
          <w:color w:val="000000" w:themeColor="text1"/>
          <w:sz w:val="18"/>
          <w:szCs w:val="18"/>
        </w:rPr>
        <w:t xml:space="preserve"> are available </w:t>
      </w:r>
      <w:r w:rsidR="00F81708">
        <w:rPr>
          <w:rFonts w:ascii="Arial" w:hAnsi="Arial" w:cs="Arial"/>
          <w:color w:val="000000" w:themeColor="text1"/>
          <w:sz w:val="18"/>
          <w:szCs w:val="18"/>
        </w:rPr>
        <w:t xml:space="preserve">on our platform </w:t>
      </w:r>
      <w:hyperlink r:id="rId8" w:history="1">
        <w:r w:rsidR="00F81708" w:rsidRPr="00F81708">
          <w:rPr>
            <w:rStyle w:val="Hyperlink"/>
            <w:rFonts w:ascii="Arial" w:hAnsi="Arial" w:cs="Arial"/>
            <w:sz w:val="18"/>
            <w:szCs w:val="18"/>
          </w:rPr>
          <w:t>here</w:t>
        </w:r>
      </w:hyperlink>
      <w:r w:rsidR="00F81708">
        <w:rPr>
          <w:rFonts w:ascii="Arial" w:hAnsi="Arial" w:cs="Arial"/>
          <w:color w:val="000000" w:themeColor="text1"/>
          <w:sz w:val="18"/>
          <w:szCs w:val="18"/>
        </w:rPr>
        <w:t xml:space="preserve"> </w:t>
      </w:r>
      <w:r w:rsidR="00597E87">
        <w:rPr>
          <w:rFonts w:ascii="Arial" w:hAnsi="Arial" w:cs="Arial"/>
          <w:color w:val="000000" w:themeColor="text1"/>
          <w:sz w:val="18"/>
          <w:szCs w:val="18"/>
        </w:rPr>
        <w:t xml:space="preserve"> </w:t>
      </w:r>
      <w:r w:rsidR="000F773A" w:rsidRPr="00736A7E">
        <w:rPr>
          <w:rFonts w:ascii="Arial" w:hAnsi="Arial" w:cs="Arial"/>
          <w:sz w:val="18"/>
          <w:szCs w:val="18"/>
          <w:lang w:val="en"/>
        </w:rPr>
        <w:t xml:space="preserve"> </w:t>
      </w:r>
    </w:p>
    <w:p w14:paraId="0B785A8E" w14:textId="77777777" w:rsidR="006B2E4D" w:rsidRDefault="00D03972" w:rsidP="00A942BD">
      <w:pPr>
        <w:pStyle w:val="ListParagraph"/>
        <w:numPr>
          <w:ilvl w:val="0"/>
          <w:numId w:val="1"/>
        </w:numPr>
        <w:rPr>
          <w:rFonts w:ascii="Arial" w:hAnsi="Arial" w:cs="Arial"/>
          <w:color w:val="000000" w:themeColor="text1"/>
          <w:sz w:val="18"/>
          <w:szCs w:val="20"/>
        </w:rPr>
      </w:pPr>
      <w:r w:rsidRPr="00A942BD">
        <w:rPr>
          <w:rFonts w:ascii="Arial" w:eastAsia="Times New Roman" w:hAnsi="Arial" w:cs="Arial"/>
          <w:color w:val="000000" w:themeColor="text1"/>
          <w:sz w:val="18"/>
          <w:szCs w:val="20"/>
          <w:lang w:eastAsia="en-GB"/>
        </w:rPr>
        <w:t>This</w:t>
      </w:r>
      <w:r w:rsidRPr="00A942BD">
        <w:rPr>
          <w:rFonts w:ascii="Arial" w:hAnsi="Arial" w:cs="Arial"/>
          <w:color w:val="000000" w:themeColor="text1"/>
          <w:sz w:val="18"/>
          <w:szCs w:val="20"/>
        </w:rPr>
        <w:t xml:space="preserve"> Offer </w:t>
      </w:r>
      <w:r w:rsidRPr="00A942BD">
        <w:rPr>
          <w:rFonts w:ascii="Arial" w:hAnsi="Arial" w:cs="Arial"/>
          <w:b/>
          <w:color w:val="000000" w:themeColor="text1"/>
          <w:sz w:val="18"/>
          <w:szCs w:val="20"/>
        </w:rPr>
        <w:t>excludes</w:t>
      </w:r>
      <w:r w:rsidRPr="00A942BD">
        <w:rPr>
          <w:rFonts w:ascii="Arial" w:hAnsi="Arial" w:cs="Arial"/>
          <w:color w:val="000000" w:themeColor="text1"/>
          <w:sz w:val="18"/>
          <w:szCs w:val="20"/>
        </w:rPr>
        <w:t xml:space="preserve">: </w:t>
      </w:r>
    </w:p>
    <w:p w14:paraId="457345CE" w14:textId="02162ED6" w:rsidR="008A36F3" w:rsidRPr="00A67C0B" w:rsidRDefault="00D03972" w:rsidP="00A67C0B">
      <w:pPr>
        <w:pStyle w:val="Default"/>
        <w:numPr>
          <w:ilvl w:val="1"/>
          <w:numId w:val="1"/>
        </w:numPr>
        <w:spacing w:before="100" w:after="100" w:line="360" w:lineRule="auto"/>
        <w:rPr>
          <w:rFonts w:ascii="Arial" w:hAnsi="Arial" w:cs="Arial"/>
          <w:color w:val="000000" w:themeColor="text1"/>
          <w:sz w:val="18"/>
          <w:szCs w:val="20"/>
        </w:rPr>
      </w:pPr>
      <w:r w:rsidRPr="00A67C0B">
        <w:rPr>
          <w:rFonts w:ascii="Arial" w:hAnsi="Arial" w:cs="Arial"/>
          <w:color w:val="000000" w:themeColor="text1"/>
          <w:sz w:val="18"/>
          <w:szCs w:val="20"/>
        </w:rPr>
        <w:t>transfer</w:t>
      </w:r>
      <w:r w:rsidR="00372932" w:rsidRPr="00A67C0B">
        <w:rPr>
          <w:rFonts w:ascii="Arial" w:hAnsi="Arial" w:cs="Arial"/>
          <w:color w:val="000000" w:themeColor="text1"/>
          <w:sz w:val="18"/>
          <w:szCs w:val="20"/>
        </w:rPr>
        <w:t>s</w:t>
      </w:r>
      <w:r w:rsidRPr="00A67C0B">
        <w:rPr>
          <w:rFonts w:ascii="Arial" w:hAnsi="Arial" w:cs="Arial"/>
          <w:color w:val="000000" w:themeColor="text1"/>
          <w:sz w:val="18"/>
          <w:szCs w:val="20"/>
        </w:rPr>
        <w:t xml:space="preserve"> of assets</w:t>
      </w:r>
      <w:r w:rsidR="00CA2CD7">
        <w:rPr>
          <w:rFonts w:ascii="Arial" w:hAnsi="Arial" w:cs="Arial"/>
          <w:color w:val="000000" w:themeColor="text1"/>
          <w:sz w:val="18"/>
          <w:szCs w:val="20"/>
        </w:rPr>
        <w:t>, or lump sum deposits of cash,</w:t>
      </w:r>
      <w:r w:rsidRPr="00A67C0B">
        <w:rPr>
          <w:rFonts w:ascii="Arial" w:hAnsi="Arial" w:cs="Arial"/>
          <w:color w:val="000000" w:themeColor="text1"/>
          <w:sz w:val="18"/>
          <w:szCs w:val="20"/>
        </w:rPr>
        <w:t xml:space="preserve"> held in a product/account provided or administered by any company within Fidelity’s group of companies including, without limitation, </w:t>
      </w:r>
      <w:r w:rsidR="008A36F3" w:rsidRPr="00A67C0B">
        <w:rPr>
          <w:rFonts w:ascii="Arial" w:hAnsi="Arial" w:cs="Arial"/>
          <w:color w:val="000000" w:themeColor="text1"/>
          <w:sz w:val="18"/>
          <w:szCs w:val="20"/>
        </w:rPr>
        <w:t xml:space="preserve">certain legacy products such as the Fidelity Personal Pension and Fidelity Adviser Solutions SIPP provided by Standard Life, and the EBS </w:t>
      </w:r>
      <w:proofErr w:type="gramStart"/>
      <w:r w:rsidR="008A36F3" w:rsidRPr="00A67C0B">
        <w:rPr>
          <w:rFonts w:ascii="Arial" w:hAnsi="Arial" w:cs="Arial"/>
          <w:color w:val="000000" w:themeColor="text1"/>
          <w:sz w:val="18"/>
          <w:szCs w:val="20"/>
        </w:rPr>
        <w:t>SIPP;</w:t>
      </w:r>
      <w:proofErr w:type="gramEnd"/>
    </w:p>
    <w:p w14:paraId="0B9B9C98" w14:textId="436E112B" w:rsidR="00DD3243" w:rsidRPr="0035728D" w:rsidRDefault="00DD3243" w:rsidP="006B2E4D">
      <w:pPr>
        <w:pStyle w:val="Default"/>
        <w:numPr>
          <w:ilvl w:val="1"/>
          <w:numId w:val="1"/>
        </w:numPr>
        <w:spacing w:before="100" w:after="100" w:line="360" w:lineRule="auto"/>
        <w:rPr>
          <w:rFonts w:ascii="Arial" w:hAnsi="Arial" w:cs="Arial"/>
          <w:color w:val="000000" w:themeColor="text1"/>
          <w:sz w:val="18"/>
          <w:szCs w:val="20"/>
        </w:rPr>
      </w:pPr>
      <w:r>
        <w:rPr>
          <w:rFonts w:ascii="Arial" w:hAnsi="Arial" w:cs="Arial"/>
          <w:color w:val="000000" w:themeColor="text1"/>
          <w:sz w:val="18"/>
          <w:szCs w:val="20"/>
        </w:rPr>
        <w:t xml:space="preserve">transfer of shares from Fidelity Stock Plan </w:t>
      </w:r>
      <w:proofErr w:type="gramStart"/>
      <w:r>
        <w:rPr>
          <w:rFonts w:ascii="Arial" w:hAnsi="Arial" w:cs="Arial"/>
          <w:color w:val="000000" w:themeColor="text1"/>
          <w:sz w:val="18"/>
          <w:szCs w:val="20"/>
        </w:rPr>
        <w:t>Services;</w:t>
      </w:r>
      <w:proofErr w:type="gramEnd"/>
    </w:p>
    <w:p w14:paraId="01B16679" w14:textId="692C9903" w:rsidR="006B2E4D" w:rsidRPr="0035728D" w:rsidRDefault="00D03972" w:rsidP="006B2E4D">
      <w:pPr>
        <w:pStyle w:val="Default"/>
        <w:numPr>
          <w:ilvl w:val="1"/>
          <w:numId w:val="1"/>
        </w:numPr>
        <w:spacing w:before="100" w:after="100" w:line="360" w:lineRule="auto"/>
        <w:rPr>
          <w:rFonts w:ascii="Arial" w:hAnsi="Arial" w:cs="Arial"/>
          <w:color w:val="000000" w:themeColor="text1"/>
          <w:sz w:val="18"/>
          <w:szCs w:val="20"/>
        </w:rPr>
      </w:pPr>
      <w:r w:rsidRPr="0035728D">
        <w:rPr>
          <w:rFonts w:ascii="Arial" w:hAnsi="Arial" w:cs="Arial"/>
          <w:color w:val="000000" w:themeColor="text1"/>
          <w:sz w:val="18"/>
          <w:szCs w:val="20"/>
        </w:rPr>
        <w:t xml:space="preserve">transfers of assets currently held </w:t>
      </w:r>
      <w:r w:rsidR="003B1F5E" w:rsidRPr="0035728D">
        <w:rPr>
          <w:rFonts w:ascii="Arial" w:hAnsi="Arial" w:cs="Arial"/>
          <w:color w:val="000000" w:themeColor="text1"/>
          <w:sz w:val="18"/>
          <w:szCs w:val="20"/>
        </w:rPr>
        <w:t xml:space="preserve">through </w:t>
      </w:r>
      <w:r w:rsidRPr="0035728D">
        <w:rPr>
          <w:rFonts w:ascii="Arial" w:hAnsi="Arial" w:cs="Arial"/>
          <w:color w:val="000000" w:themeColor="text1"/>
          <w:sz w:val="18"/>
          <w:szCs w:val="20"/>
        </w:rPr>
        <w:t>Fidelity</w:t>
      </w:r>
      <w:r w:rsidR="00E0394F">
        <w:rPr>
          <w:rFonts w:ascii="Arial" w:hAnsi="Arial" w:cs="Arial"/>
          <w:color w:val="000000" w:themeColor="text1"/>
          <w:sz w:val="18"/>
          <w:szCs w:val="20"/>
        </w:rPr>
        <w:t xml:space="preserve"> </w:t>
      </w:r>
      <w:r w:rsidR="00E0394F" w:rsidRPr="00E0394F">
        <w:rPr>
          <w:rFonts w:ascii="Arial" w:hAnsi="Arial" w:cs="Arial"/>
          <w:color w:val="000000" w:themeColor="text1"/>
          <w:sz w:val="18"/>
          <w:szCs w:val="20"/>
        </w:rPr>
        <w:t xml:space="preserve">Adviser </w:t>
      </w:r>
      <w:r w:rsidR="0030427C">
        <w:rPr>
          <w:rFonts w:ascii="Arial" w:hAnsi="Arial" w:cs="Arial"/>
          <w:color w:val="000000" w:themeColor="text1"/>
          <w:sz w:val="18"/>
          <w:szCs w:val="20"/>
        </w:rPr>
        <w:t>S</w:t>
      </w:r>
      <w:r w:rsidR="00E0394F" w:rsidRPr="00E0394F">
        <w:rPr>
          <w:rFonts w:ascii="Arial" w:hAnsi="Arial" w:cs="Arial"/>
          <w:color w:val="000000" w:themeColor="text1"/>
          <w:sz w:val="18"/>
          <w:szCs w:val="20"/>
        </w:rPr>
        <w:t>olutions (formerly FundsNetwork</w:t>
      </w:r>
      <w:proofErr w:type="gramStart"/>
      <w:r w:rsidR="00E0394F" w:rsidRPr="00E0394F">
        <w:rPr>
          <w:rFonts w:ascii="Arial" w:hAnsi="Arial" w:cs="Arial"/>
          <w:color w:val="000000" w:themeColor="text1"/>
          <w:sz w:val="18"/>
          <w:szCs w:val="20"/>
        </w:rPr>
        <w:t>)</w:t>
      </w:r>
      <w:r w:rsidRPr="0035728D">
        <w:rPr>
          <w:rFonts w:ascii="Arial" w:hAnsi="Arial" w:cs="Arial"/>
          <w:color w:val="000000" w:themeColor="text1"/>
          <w:sz w:val="18"/>
          <w:szCs w:val="20"/>
        </w:rPr>
        <w:t>;</w:t>
      </w:r>
      <w:proofErr w:type="gramEnd"/>
      <w:r w:rsidRPr="0035728D">
        <w:rPr>
          <w:rFonts w:ascii="Arial" w:hAnsi="Arial" w:cs="Arial"/>
          <w:color w:val="000000" w:themeColor="text1"/>
          <w:sz w:val="18"/>
          <w:szCs w:val="20"/>
        </w:rPr>
        <w:t xml:space="preserve"> </w:t>
      </w:r>
    </w:p>
    <w:p w14:paraId="0DB4ED07" w14:textId="7AC131C0" w:rsidR="006B2E4D" w:rsidRPr="0035728D" w:rsidRDefault="00D03972" w:rsidP="006B2E4D">
      <w:pPr>
        <w:pStyle w:val="Default"/>
        <w:numPr>
          <w:ilvl w:val="1"/>
          <w:numId w:val="1"/>
        </w:numPr>
        <w:spacing w:before="100" w:after="100" w:line="360" w:lineRule="auto"/>
        <w:rPr>
          <w:rFonts w:ascii="Arial" w:hAnsi="Arial" w:cs="Arial"/>
          <w:color w:val="000000" w:themeColor="text1"/>
          <w:sz w:val="18"/>
          <w:szCs w:val="20"/>
        </w:rPr>
      </w:pPr>
      <w:r w:rsidRPr="0035728D">
        <w:rPr>
          <w:rFonts w:ascii="Arial" w:hAnsi="Arial" w:cs="Arial"/>
          <w:color w:val="000000" w:themeColor="text1"/>
          <w:sz w:val="18"/>
          <w:szCs w:val="20"/>
          <w:lang w:eastAsia="en-GB"/>
        </w:rPr>
        <w:t xml:space="preserve">transfers from </w:t>
      </w:r>
      <w:r w:rsidRPr="0035728D">
        <w:rPr>
          <w:rFonts w:ascii="Arial" w:hAnsi="Arial" w:cs="Arial"/>
          <w:color w:val="000000" w:themeColor="text1"/>
          <w:sz w:val="18"/>
          <w:szCs w:val="20"/>
        </w:rPr>
        <w:t>any defined contribution pension scheme in</w:t>
      </w:r>
      <w:r w:rsidR="003C5E4F" w:rsidRPr="0035728D">
        <w:rPr>
          <w:rFonts w:ascii="Arial" w:hAnsi="Arial" w:cs="Arial"/>
          <w:color w:val="000000" w:themeColor="text1"/>
          <w:sz w:val="18"/>
          <w:szCs w:val="20"/>
        </w:rPr>
        <w:t>vestments held</w:t>
      </w:r>
      <w:r w:rsidR="004C0483">
        <w:rPr>
          <w:rFonts w:ascii="Arial" w:hAnsi="Arial" w:cs="Arial"/>
          <w:color w:val="000000" w:themeColor="text1"/>
          <w:sz w:val="18"/>
          <w:szCs w:val="20"/>
        </w:rPr>
        <w:t xml:space="preserve"> with, or in relation to, </w:t>
      </w:r>
      <w:r w:rsidR="004C0483" w:rsidRPr="004C0483">
        <w:rPr>
          <w:rFonts w:ascii="Arial" w:hAnsi="Arial" w:cs="Arial"/>
          <w:color w:val="000000" w:themeColor="text1"/>
          <w:sz w:val="18"/>
          <w:szCs w:val="20"/>
        </w:rPr>
        <w:t xml:space="preserve">a </w:t>
      </w:r>
      <w:r w:rsidR="00951649" w:rsidRPr="004C0483">
        <w:rPr>
          <w:rFonts w:ascii="Arial" w:hAnsi="Arial" w:cs="Arial"/>
          <w:color w:val="000000" w:themeColor="text1"/>
          <w:sz w:val="18"/>
          <w:szCs w:val="20"/>
        </w:rPr>
        <w:t xml:space="preserve">current employer </w:t>
      </w:r>
      <w:r w:rsidR="003C5E4F" w:rsidRPr="004C0483">
        <w:rPr>
          <w:rFonts w:ascii="Arial" w:hAnsi="Arial" w:cs="Arial"/>
          <w:color w:val="000000" w:themeColor="text1"/>
          <w:sz w:val="18"/>
          <w:szCs w:val="20"/>
        </w:rPr>
        <w:t>through</w:t>
      </w:r>
      <w:r w:rsidR="006B2E4D" w:rsidRPr="0035728D">
        <w:rPr>
          <w:rFonts w:ascii="Arial" w:hAnsi="Arial" w:cs="Arial"/>
          <w:color w:val="000000" w:themeColor="text1"/>
          <w:sz w:val="18"/>
          <w:szCs w:val="20"/>
        </w:rPr>
        <w:t>, or administered by, a</w:t>
      </w:r>
      <w:r w:rsidR="003C5E4F" w:rsidRPr="0035728D">
        <w:rPr>
          <w:rFonts w:ascii="Arial" w:hAnsi="Arial" w:cs="Arial"/>
          <w:color w:val="000000" w:themeColor="text1"/>
          <w:sz w:val="18"/>
          <w:szCs w:val="20"/>
        </w:rPr>
        <w:t xml:space="preserve"> Fidelity</w:t>
      </w:r>
      <w:r w:rsidR="006B2E4D" w:rsidRPr="0035728D">
        <w:rPr>
          <w:rFonts w:ascii="Arial" w:hAnsi="Arial" w:cs="Arial"/>
          <w:color w:val="000000" w:themeColor="text1"/>
          <w:sz w:val="18"/>
          <w:szCs w:val="20"/>
        </w:rPr>
        <w:t xml:space="preserve"> group </w:t>
      </w:r>
      <w:proofErr w:type="gramStart"/>
      <w:r w:rsidR="006B2E4D" w:rsidRPr="0035728D">
        <w:rPr>
          <w:rFonts w:ascii="Arial" w:hAnsi="Arial" w:cs="Arial"/>
          <w:color w:val="000000" w:themeColor="text1"/>
          <w:sz w:val="18"/>
          <w:szCs w:val="20"/>
        </w:rPr>
        <w:t>company;</w:t>
      </w:r>
      <w:proofErr w:type="gramEnd"/>
      <w:r w:rsidR="00776C0E" w:rsidRPr="0035728D">
        <w:rPr>
          <w:rFonts w:ascii="Arial" w:hAnsi="Arial" w:cs="Arial"/>
          <w:color w:val="000000" w:themeColor="text1"/>
          <w:sz w:val="18"/>
          <w:szCs w:val="20"/>
        </w:rPr>
        <w:t xml:space="preserve"> </w:t>
      </w:r>
    </w:p>
    <w:p w14:paraId="70F5DA71" w14:textId="77777777" w:rsidR="006B2E4D" w:rsidRDefault="00D564B1" w:rsidP="006B2E4D">
      <w:pPr>
        <w:pStyle w:val="Default"/>
        <w:numPr>
          <w:ilvl w:val="1"/>
          <w:numId w:val="1"/>
        </w:numPr>
        <w:spacing w:before="100" w:after="100" w:line="360" w:lineRule="auto"/>
        <w:rPr>
          <w:rFonts w:ascii="Arial" w:hAnsi="Arial" w:cs="Arial"/>
          <w:color w:val="000000" w:themeColor="text1"/>
          <w:sz w:val="18"/>
          <w:szCs w:val="20"/>
        </w:rPr>
      </w:pPr>
      <w:r w:rsidRPr="000E5392">
        <w:rPr>
          <w:rFonts w:ascii="Arial" w:hAnsi="Arial" w:cs="Arial"/>
          <w:color w:val="000000" w:themeColor="text1"/>
          <w:sz w:val="18"/>
          <w:szCs w:val="20"/>
        </w:rPr>
        <w:t xml:space="preserve">transfers of any defined benefit, safeguarded benefit or otherwise guaranteed </w:t>
      </w:r>
      <w:proofErr w:type="gramStart"/>
      <w:r w:rsidRPr="000E5392">
        <w:rPr>
          <w:rFonts w:ascii="Arial" w:hAnsi="Arial" w:cs="Arial"/>
          <w:color w:val="000000" w:themeColor="text1"/>
          <w:sz w:val="18"/>
          <w:szCs w:val="20"/>
        </w:rPr>
        <w:t>pensions</w:t>
      </w:r>
      <w:r w:rsidR="006B2E4D" w:rsidRPr="000E5392">
        <w:rPr>
          <w:rFonts w:ascii="Arial" w:hAnsi="Arial" w:cs="Arial"/>
          <w:color w:val="000000" w:themeColor="text1"/>
          <w:sz w:val="18"/>
          <w:szCs w:val="20"/>
        </w:rPr>
        <w:t>;</w:t>
      </w:r>
      <w:proofErr w:type="gramEnd"/>
      <w:r w:rsidR="006B2E4D" w:rsidRPr="000E5392">
        <w:rPr>
          <w:rFonts w:ascii="Arial" w:hAnsi="Arial" w:cs="Arial"/>
          <w:color w:val="000000" w:themeColor="text1"/>
          <w:sz w:val="18"/>
          <w:szCs w:val="20"/>
        </w:rPr>
        <w:t xml:space="preserve"> </w:t>
      </w:r>
    </w:p>
    <w:p w14:paraId="7B916C0B" w14:textId="54444795" w:rsidR="00B27075" w:rsidRPr="000E5392" w:rsidRDefault="00B27075" w:rsidP="006B2E4D">
      <w:pPr>
        <w:pStyle w:val="Default"/>
        <w:numPr>
          <w:ilvl w:val="1"/>
          <w:numId w:val="1"/>
        </w:numPr>
        <w:spacing w:before="100" w:after="100" w:line="360" w:lineRule="auto"/>
        <w:rPr>
          <w:rFonts w:ascii="Arial" w:hAnsi="Arial" w:cs="Arial"/>
          <w:color w:val="000000" w:themeColor="text1"/>
          <w:sz w:val="18"/>
          <w:szCs w:val="20"/>
        </w:rPr>
      </w:pPr>
      <w:r>
        <w:rPr>
          <w:rFonts w:ascii="Arial" w:hAnsi="Arial" w:cs="Arial"/>
          <w:color w:val="000000" w:themeColor="text1"/>
          <w:sz w:val="18"/>
          <w:szCs w:val="18"/>
        </w:rPr>
        <w:t xml:space="preserve">tax relief paid by HMRC into a SIPP </w:t>
      </w:r>
      <w:proofErr w:type="gramStart"/>
      <w:r>
        <w:rPr>
          <w:rFonts w:ascii="Arial" w:hAnsi="Arial" w:cs="Arial"/>
          <w:color w:val="000000" w:themeColor="text1"/>
          <w:sz w:val="18"/>
          <w:szCs w:val="18"/>
        </w:rPr>
        <w:t>account;</w:t>
      </w:r>
      <w:proofErr w:type="gramEnd"/>
    </w:p>
    <w:p w14:paraId="22CA1B09" w14:textId="03C174AD" w:rsidR="006B2E4D" w:rsidRDefault="000E5392" w:rsidP="006B2E4D">
      <w:pPr>
        <w:pStyle w:val="Default"/>
        <w:numPr>
          <w:ilvl w:val="1"/>
          <w:numId w:val="1"/>
        </w:numPr>
        <w:spacing w:before="100" w:after="100" w:line="360" w:lineRule="auto"/>
        <w:rPr>
          <w:rFonts w:ascii="Arial" w:hAnsi="Arial" w:cs="Arial"/>
          <w:color w:val="000000" w:themeColor="text1"/>
          <w:sz w:val="18"/>
          <w:szCs w:val="20"/>
        </w:rPr>
      </w:pPr>
      <w:r w:rsidRPr="000E5392">
        <w:rPr>
          <w:rFonts w:ascii="Arial" w:hAnsi="Arial" w:cs="Arial"/>
          <w:color w:val="000000" w:themeColor="text1"/>
          <w:sz w:val="18"/>
          <w:szCs w:val="20"/>
        </w:rPr>
        <w:t>l</w:t>
      </w:r>
      <w:r w:rsidR="009F54C7" w:rsidRPr="000E5392">
        <w:rPr>
          <w:rFonts w:ascii="Arial" w:hAnsi="Arial" w:cs="Arial"/>
          <w:color w:val="000000" w:themeColor="text1"/>
          <w:sz w:val="18"/>
          <w:szCs w:val="20"/>
        </w:rPr>
        <w:t>ump sum</w:t>
      </w:r>
      <w:r w:rsidR="009F54C7">
        <w:rPr>
          <w:rFonts w:ascii="Arial" w:hAnsi="Arial" w:cs="Arial"/>
          <w:color w:val="000000" w:themeColor="text1"/>
          <w:sz w:val="18"/>
          <w:szCs w:val="20"/>
        </w:rPr>
        <w:t xml:space="preserve"> contributions</w:t>
      </w:r>
      <w:r w:rsidR="000A44FC">
        <w:rPr>
          <w:rFonts w:ascii="Arial" w:hAnsi="Arial" w:cs="Arial"/>
          <w:color w:val="000000" w:themeColor="text1"/>
          <w:sz w:val="18"/>
          <w:szCs w:val="20"/>
        </w:rPr>
        <w:t xml:space="preserve"> and/</w:t>
      </w:r>
      <w:r w:rsidR="009F54C7">
        <w:rPr>
          <w:rFonts w:ascii="Arial" w:hAnsi="Arial" w:cs="Arial"/>
          <w:color w:val="000000" w:themeColor="text1"/>
          <w:sz w:val="18"/>
          <w:szCs w:val="20"/>
        </w:rPr>
        <w:t xml:space="preserve">or </w:t>
      </w:r>
      <w:r w:rsidR="006B2E4D" w:rsidRPr="0035728D">
        <w:rPr>
          <w:rFonts w:ascii="Arial" w:hAnsi="Arial" w:cs="Arial"/>
          <w:color w:val="000000" w:themeColor="text1"/>
          <w:sz w:val="18"/>
          <w:szCs w:val="20"/>
        </w:rPr>
        <w:t>transfers</w:t>
      </w:r>
      <w:r w:rsidR="009F7215">
        <w:rPr>
          <w:rFonts w:ascii="Arial" w:hAnsi="Arial" w:cs="Arial"/>
          <w:color w:val="000000" w:themeColor="text1"/>
          <w:sz w:val="18"/>
          <w:szCs w:val="20"/>
        </w:rPr>
        <w:t xml:space="preserve"> which are linked to an adviser or </w:t>
      </w:r>
      <w:proofErr w:type="gramStart"/>
      <w:r w:rsidR="009F7215">
        <w:rPr>
          <w:rFonts w:ascii="Arial" w:hAnsi="Arial" w:cs="Arial"/>
          <w:color w:val="000000" w:themeColor="text1"/>
          <w:sz w:val="18"/>
          <w:szCs w:val="20"/>
        </w:rPr>
        <w:t>intermediary</w:t>
      </w:r>
      <w:r w:rsidR="00901E50">
        <w:rPr>
          <w:rFonts w:ascii="Arial" w:hAnsi="Arial" w:cs="Arial"/>
          <w:color w:val="000000" w:themeColor="text1"/>
          <w:sz w:val="18"/>
          <w:szCs w:val="20"/>
        </w:rPr>
        <w:t>;</w:t>
      </w:r>
      <w:proofErr w:type="gramEnd"/>
      <w:r w:rsidR="006B2E4D" w:rsidRPr="0035728D">
        <w:rPr>
          <w:rFonts w:ascii="Arial" w:hAnsi="Arial" w:cs="Arial"/>
          <w:color w:val="000000" w:themeColor="text1"/>
          <w:sz w:val="18"/>
          <w:szCs w:val="20"/>
        </w:rPr>
        <w:t xml:space="preserve"> </w:t>
      </w:r>
      <w:r w:rsidR="00D564B1" w:rsidRPr="0035728D">
        <w:rPr>
          <w:rFonts w:ascii="Arial" w:hAnsi="Arial" w:cs="Arial"/>
          <w:color w:val="000000" w:themeColor="text1"/>
          <w:sz w:val="18"/>
          <w:szCs w:val="20"/>
        </w:rPr>
        <w:t xml:space="preserve"> </w:t>
      </w:r>
    </w:p>
    <w:p w14:paraId="3E7BF705" w14:textId="35A1655D" w:rsidR="00DD4667" w:rsidRDefault="0029465E" w:rsidP="006B2E4D">
      <w:pPr>
        <w:pStyle w:val="Default"/>
        <w:numPr>
          <w:ilvl w:val="1"/>
          <w:numId w:val="1"/>
        </w:numPr>
        <w:spacing w:before="100" w:after="100" w:line="360" w:lineRule="auto"/>
        <w:rPr>
          <w:rFonts w:ascii="Arial" w:hAnsi="Arial" w:cs="Arial"/>
          <w:color w:val="000000" w:themeColor="text1"/>
          <w:sz w:val="18"/>
          <w:szCs w:val="20"/>
        </w:rPr>
      </w:pPr>
      <w:r>
        <w:rPr>
          <w:rFonts w:ascii="Arial" w:hAnsi="Arial" w:cs="Arial"/>
          <w:color w:val="000000" w:themeColor="text1"/>
          <w:sz w:val="18"/>
          <w:szCs w:val="20"/>
        </w:rPr>
        <w:t xml:space="preserve">lump sum contributions and/or </w:t>
      </w:r>
      <w:r w:rsidR="00DD4667" w:rsidRPr="0035728D">
        <w:rPr>
          <w:rFonts w:ascii="Arial" w:hAnsi="Arial" w:cs="Arial"/>
          <w:color w:val="000000" w:themeColor="text1"/>
          <w:sz w:val="18"/>
          <w:szCs w:val="20"/>
        </w:rPr>
        <w:t xml:space="preserve">transfer of </w:t>
      </w:r>
      <w:r w:rsidR="00A67C0B">
        <w:rPr>
          <w:rFonts w:ascii="Arial" w:hAnsi="Arial" w:cs="Arial"/>
          <w:color w:val="000000" w:themeColor="text1"/>
          <w:sz w:val="18"/>
          <w:szCs w:val="20"/>
        </w:rPr>
        <w:t xml:space="preserve">assets into the </w:t>
      </w:r>
      <w:r w:rsidR="00DD4667" w:rsidRPr="0035728D">
        <w:rPr>
          <w:rFonts w:ascii="Arial" w:hAnsi="Arial" w:cs="Arial"/>
          <w:color w:val="000000" w:themeColor="text1"/>
          <w:sz w:val="18"/>
          <w:szCs w:val="20"/>
        </w:rPr>
        <w:t>Junior SIPP</w:t>
      </w:r>
      <w:r w:rsidR="006A2E3B">
        <w:rPr>
          <w:rFonts w:ascii="Arial" w:hAnsi="Arial" w:cs="Arial"/>
          <w:color w:val="000000" w:themeColor="text1"/>
          <w:sz w:val="18"/>
          <w:szCs w:val="20"/>
        </w:rPr>
        <w:t>,</w:t>
      </w:r>
      <w:r w:rsidR="006A2E3B" w:rsidRPr="006A2E3B">
        <w:rPr>
          <w:rFonts w:ascii="Arial" w:eastAsia="Times New Roman" w:hAnsi="Arial" w:cs="Arial"/>
          <w:color w:val="000000" w:themeColor="text1"/>
          <w:sz w:val="18"/>
          <w:szCs w:val="18"/>
        </w:rPr>
        <w:t xml:space="preserve"> </w:t>
      </w:r>
      <w:r w:rsidR="006A2E3B" w:rsidRPr="00370F93">
        <w:rPr>
          <w:rFonts w:ascii="Arial" w:eastAsia="Times New Roman" w:hAnsi="Arial" w:cs="Arial"/>
          <w:color w:val="000000" w:themeColor="text1"/>
          <w:sz w:val="18"/>
          <w:szCs w:val="18"/>
        </w:rPr>
        <w:t>Junior ISA, or Lifetime ISA</w:t>
      </w:r>
      <w:r w:rsidR="00CA4896">
        <w:rPr>
          <w:rFonts w:ascii="Arial" w:hAnsi="Arial" w:cs="Arial"/>
          <w:color w:val="000000" w:themeColor="text1"/>
          <w:sz w:val="18"/>
          <w:szCs w:val="20"/>
        </w:rPr>
        <w:t>;</w:t>
      </w:r>
      <w:r w:rsidR="007846FB">
        <w:rPr>
          <w:rFonts w:ascii="Arial" w:hAnsi="Arial" w:cs="Arial"/>
          <w:color w:val="000000" w:themeColor="text1"/>
          <w:sz w:val="18"/>
          <w:szCs w:val="20"/>
        </w:rPr>
        <w:t xml:space="preserve"> and</w:t>
      </w:r>
    </w:p>
    <w:p w14:paraId="34C050FC" w14:textId="36A6A898" w:rsidR="00E81492" w:rsidRDefault="00DD4667" w:rsidP="00E81492">
      <w:pPr>
        <w:pStyle w:val="Default"/>
        <w:numPr>
          <w:ilvl w:val="1"/>
          <w:numId w:val="1"/>
        </w:numPr>
        <w:spacing w:before="100" w:after="100" w:line="360" w:lineRule="auto"/>
        <w:rPr>
          <w:rFonts w:ascii="Arial" w:hAnsi="Arial" w:cs="Arial"/>
          <w:color w:val="000000" w:themeColor="text1"/>
          <w:sz w:val="18"/>
          <w:szCs w:val="20"/>
        </w:rPr>
      </w:pPr>
      <w:r w:rsidRPr="0035728D">
        <w:rPr>
          <w:rFonts w:ascii="Arial" w:hAnsi="Arial" w:cs="Arial"/>
          <w:color w:val="000000" w:themeColor="text1"/>
          <w:sz w:val="18"/>
          <w:szCs w:val="20"/>
        </w:rPr>
        <w:t>the lodgemen</w:t>
      </w:r>
      <w:r w:rsidR="00E81492">
        <w:rPr>
          <w:rFonts w:ascii="Arial" w:hAnsi="Arial" w:cs="Arial"/>
          <w:color w:val="000000" w:themeColor="text1"/>
          <w:sz w:val="18"/>
          <w:szCs w:val="20"/>
        </w:rPr>
        <w:t>t</w:t>
      </w:r>
      <w:r w:rsidRPr="0035728D">
        <w:rPr>
          <w:rFonts w:ascii="Arial" w:hAnsi="Arial" w:cs="Arial"/>
          <w:color w:val="000000" w:themeColor="text1"/>
          <w:sz w:val="18"/>
          <w:szCs w:val="20"/>
        </w:rPr>
        <w:t xml:space="preserve"> of certificated shares</w:t>
      </w:r>
    </w:p>
    <w:p w14:paraId="329EB114" w14:textId="77777777" w:rsidR="00694CAC" w:rsidRDefault="00694CAC" w:rsidP="00694CAC">
      <w:pPr>
        <w:pStyle w:val="Default"/>
        <w:spacing w:before="100" w:after="100" w:line="360" w:lineRule="auto"/>
        <w:ind w:left="1440"/>
        <w:rPr>
          <w:rFonts w:ascii="Arial" w:hAnsi="Arial" w:cs="Arial"/>
          <w:color w:val="000000" w:themeColor="text1"/>
          <w:sz w:val="18"/>
          <w:szCs w:val="20"/>
        </w:rPr>
      </w:pPr>
    </w:p>
    <w:p w14:paraId="1534C824" w14:textId="7F555973" w:rsidR="00D03972" w:rsidRPr="0035728D" w:rsidRDefault="00D03972" w:rsidP="006B2E4D">
      <w:pPr>
        <w:pStyle w:val="Default"/>
        <w:numPr>
          <w:ilvl w:val="0"/>
          <w:numId w:val="1"/>
        </w:numPr>
        <w:spacing w:before="100" w:after="100" w:line="360" w:lineRule="auto"/>
        <w:rPr>
          <w:rFonts w:ascii="Arial" w:hAnsi="Arial" w:cs="Arial"/>
          <w:color w:val="000000" w:themeColor="text1"/>
          <w:sz w:val="18"/>
          <w:szCs w:val="20"/>
        </w:rPr>
      </w:pPr>
      <w:r w:rsidRPr="0035728D">
        <w:rPr>
          <w:rFonts w:ascii="Arial" w:hAnsi="Arial" w:cs="Arial"/>
          <w:color w:val="000000" w:themeColor="text1"/>
          <w:sz w:val="18"/>
          <w:szCs w:val="20"/>
        </w:rPr>
        <w:t xml:space="preserve">The Offer will also not apply to assets </w:t>
      </w:r>
      <w:r w:rsidR="00CA2CD7">
        <w:rPr>
          <w:rFonts w:ascii="Arial" w:hAnsi="Arial" w:cs="Arial"/>
          <w:color w:val="000000" w:themeColor="text1"/>
          <w:sz w:val="18"/>
          <w:szCs w:val="20"/>
        </w:rPr>
        <w:t xml:space="preserve">(including cash) </w:t>
      </w:r>
      <w:r w:rsidRPr="0035728D">
        <w:rPr>
          <w:rFonts w:ascii="Arial" w:hAnsi="Arial" w:cs="Arial"/>
          <w:color w:val="000000" w:themeColor="text1"/>
          <w:sz w:val="18"/>
          <w:szCs w:val="20"/>
        </w:rPr>
        <w:t>that are currently held in a product/account provided or administered by any company within Fidelity’s group of companies which are transferred to</w:t>
      </w:r>
      <w:r w:rsidR="00E24C7D">
        <w:rPr>
          <w:rFonts w:ascii="Arial" w:hAnsi="Arial" w:cs="Arial"/>
          <w:color w:val="000000" w:themeColor="text1"/>
          <w:sz w:val="18"/>
          <w:szCs w:val="20"/>
        </w:rPr>
        <w:t xml:space="preserve"> or deposited at</w:t>
      </w:r>
      <w:r w:rsidRPr="0035728D">
        <w:rPr>
          <w:rFonts w:ascii="Arial" w:hAnsi="Arial" w:cs="Arial"/>
          <w:color w:val="000000" w:themeColor="text1"/>
          <w:sz w:val="18"/>
          <w:szCs w:val="20"/>
        </w:rPr>
        <w:t xml:space="preserve"> another provider and then moved to </w:t>
      </w:r>
      <w:r w:rsidR="00BF5C02" w:rsidRPr="00BF5C02">
        <w:rPr>
          <w:rFonts w:ascii="Arial" w:hAnsi="Arial" w:cs="Arial"/>
          <w:color w:val="000000" w:themeColor="text1"/>
          <w:sz w:val="18"/>
          <w:szCs w:val="20"/>
        </w:rPr>
        <w:t>Fidelity Personal Investing.</w:t>
      </w:r>
    </w:p>
    <w:p w14:paraId="24EEC8F3" w14:textId="10FBB74B" w:rsidR="00D03972" w:rsidRPr="0035728D" w:rsidRDefault="00D03972" w:rsidP="00D03972">
      <w:pPr>
        <w:pStyle w:val="Default"/>
        <w:numPr>
          <w:ilvl w:val="0"/>
          <w:numId w:val="1"/>
        </w:numPr>
        <w:spacing w:before="100" w:after="100" w:line="360" w:lineRule="auto"/>
        <w:rPr>
          <w:rFonts w:ascii="Arial" w:hAnsi="Arial" w:cs="Arial"/>
          <w:color w:val="000000" w:themeColor="text1"/>
          <w:sz w:val="18"/>
          <w:szCs w:val="18"/>
        </w:rPr>
      </w:pPr>
      <w:r w:rsidRPr="0035728D">
        <w:rPr>
          <w:rFonts w:ascii="Arial" w:hAnsi="Arial" w:cs="Arial"/>
          <w:color w:val="000000" w:themeColor="text1"/>
          <w:sz w:val="18"/>
          <w:szCs w:val="18"/>
        </w:rPr>
        <w:t xml:space="preserve">Any other </w:t>
      </w:r>
      <w:r w:rsidR="000A44FC">
        <w:rPr>
          <w:rFonts w:ascii="Arial" w:hAnsi="Arial" w:cs="Arial"/>
          <w:color w:val="000000" w:themeColor="text1"/>
          <w:sz w:val="18"/>
          <w:szCs w:val="18"/>
        </w:rPr>
        <w:t xml:space="preserve">new </w:t>
      </w:r>
      <w:r w:rsidR="007846FB">
        <w:rPr>
          <w:rFonts w:ascii="Arial" w:hAnsi="Arial" w:cs="Arial"/>
          <w:color w:val="000000" w:themeColor="text1"/>
          <w:sz w:val="18"/>
          <w:szCs w:val="18"/>
        </w:rPr>
        <w:t xml:space="preserve">investments </w:t>
      </w:r>
      <w:r w:rsidR="00FB3156" w:rsidRPr="00880ADC">
        <w:rPr>
          <w:rFonts w:ascii="Arial" w:hAnsi="Arial" w:cs="Arial"/>
          <w:color w:val="000000" w:themeColor="text1"/>
          <w:sz w:val="18"/>
          <w:szCs w:val="18"/>
        </w:rPr>
        <w:t xml:space="preserve">that do not involve a transfer </w:t>
      </w:r>
      <w:r w:rsidR="007846FB" w:rsidRPr="00880ADC">
        <w:rPr>
          <w:rFonts w:ascii="Arial" w:hAnsi="Arial" w:cs="Arial"/>
          <w:color w:val="000000" w:themeColor="text1"/>
          <w:sz w:val="18"/>
          <w:szCs w:val="18"/>
        </w:rPr>
        <w:t xml:space="preserve">or lump sum contribution </w:t>
      </w:r>
      <w:r w:rsidR="00FB3156" w:rsidRPr="00880ADC">
        <w:rPr>
          <w:rFonts w:ascii="Arial" w:hAnsi="Arial" w:cs="Arial"/>
          <w:color w:val="000000" w:themeColor="text1"/>
          <w:sz w:val="18"/>
          <w:szCs w:val="18"/>
        </w:rPr>
        <w:t>in accordance</w:t>
      </w:r>
      <w:r w:rsidR="00FB3156">
        <w:rPr>
          <w:rFonts w:ascii="Arial" w:hAnsi="Arial" w:cs="Arial"/>
          <w:color w:val="000000" w:themeColor="text1"/>
          <w:sz w:val="18"/>
          <w:szCs w:val="18"/>
        </w:rPr>
        <w:t xml:space="preserve"> with paragraph 2</w:t>
      </w:r>
      <w:r w:rsidR="00873EED">
        <w:rPr>
          <w:rFonts w:ascii="Arial" w:hAnsi="Arial" w:cs="Arial"/>
          <w:color w:val="000000" w:themeColor="text1"/>
          <w:sz w:val="18"/>
          <w:szCs w:val="18"/>
        </w:rPr>
        <w:t xml:space="preserve"> above, subject to the exclusions in paragraphs 5 and 6,</w:t>
      </w:r>
      <w:r w:rsidR="00FB3156">
        <w:rPr>
          <w:rFonts w:ascii="Arial" w:hAnsi="Arial" w:cs="Arial"/>
          <w:color w:val="000000" w:themeColor="text1"/>
          <w:sz w:val="18"/>
          <w:szCs w:val="18"/>
        </w:rPr>
        <w:t xml:space="preserve"> </w:t>
      </w:r>
      <w:r w:rsidRPr="0035728D">
        <w:rPr>
          <w:rFonts w:ascii="Arial" w:hAnsi="Arial" w:cs="Arial"/>
          <w:color w:val="000000" w:themeColor="text1"/>
          <w:sz w:val="18"/>
          <w:szCs w:val="18"/>
        </w:rPr>
        <w:t xml:space="preserve">will not qualify for the Offer. </w:t>
      </w:r>
    </w:p>
    <w:p w14:paraId="6EF0DC3C" w14:textId="2DA274AF" w:rsidR="004A084F" w:rsidRDefault="007D3B09" w:rsidP="00FA2654">
      <w:pPr>
        <w:pStyle w:val="Default"/>
        <w:numPr>
          <w:ilvl w:val="0"/>
          <w:numId w:val="1"/>
        </w:numPr>
        <w:spacing w:before="100" w:after="100" w:line="360" w:lineRule="auto"/>
        <w:rPr>
          <w:rFonts w:ascii="Arial" w:hAnsi="Arial" w:cs="Arial"/>
          <w:color w:val="auto"/>
          <w:sz w:val="18"/>
          <w:szCs w:val="18"/>
          <w:lang w:eastAsia="en-GB"/>
        </w:rPr>
      </w:pPr>
      <w:bookmarkStart w:id="2" w:name="_Hlk168996674"/>
      <w:r w:rsidRPr="00523B19">
        <w:rPr>
          <w:rFonts w:ascii="Arial" w:hAnsi="Arial" w:cs="Arial"/>
          <w:color w:val="000000" w:themeColor="text1"/>
          <w:sz w:val="18"/>
          <w:szCs w:val="18"/>
        </w:rPr>
        <w:t>A</w:t>
      </w:r>
      <w:r w:rsidR="005C44E3">
        <w:rPr>
          <w:rFonts w:ascii="Arial" w:hAnsi="Arial" w:cs="Arial"/>
          <w:color w:val="000000" w:themeColor="text1"/>
          <w:sz w:val="18"/>
          <w:szCs w:val="18"/>
        </w:rPr>
        <w:t xml:space="preserve">ny </w:t>
      </w:r>
      <w:r w:rsidR="007846FB">
        <w:rPr>
          <w:rFonts w:ascii="Arial" w:hAnsi="Arial" w:cs="Arial"/>
          <w:color w:val="000000" w:themeColor="text1"/>
          <w:sz w:val="18"/>
          <w:szCs w:val="18"/>
        </w:rPr>
        <w:t xml:space="preserve">qualifying </w:t>
      </w:r>
      <w:r w:rsidRPr="00523B19">
        <w:rPr>
          <w:rFonts w:ascii="Arial" w:hAnsi="Arial" w:cs="Arial"/>
          <w:color w:val="000000" w:themeColor="text1"/>
          <w:sz w:val="18"/>
          <w:szCs w:val="18"/>
        </w:rPr>
        <w:t xml:space="preserve">assets will be subject to the </w:t>
      </w:r>
      <w:r w:rsidR="00DD7966">
        <w:rPr>
          <w:rFonts w:ascii="Arial" w:hAnsi="Arial" w:cs="Arial"/>
          <w:color w:val="000000" w:themeColor="text1"/>
          <w:sz w:val="18"/>
          <w:szCs w:val="18"/>
        </w:rPr>
        <w:t xml:space="preserve">product applicable </w:t>
      </w:r>
      <w:r w:rsidR="00523B19">
        <w:rPr>
          <w:rFonts w:ascii="Arial" w:hAnsi="Arial" w:cs="Arial"/>
          <w:color w:val="000000" w:themeColor="text1"/>
          <w:sz w:val="18"/>
          <w:szCs w:val="18"/>
        </w:rPr>
        <w:t>Fidelity Personal Investing</w:t>
      </w:r>
      <w:r w:rsidR="00DD7966">
        <w:rPr>
          <w:rFonts w:ascii="Arial" w:hAnsi="Arial" w:cs="Arial"/>
          <w:color w:val="000000" w:themeColor="text1"/>
          <w:sz w:val="18"/>
          <w:szCs w:val="18"/>
        </w:rPr>
        <w:t xml:space="preserve"> </w:t>
      </w:r>
      <w:r w:rsidR="00523B19" w:rsidRPr="00E924C2">
        <w:rPr>
          <w:rFonts w:ascii="Arial" w:hAnsi="Arial" w:cs="Arial"/>
          <w:color w:val="auto"/>
          <w:sz w:val="18"/>
          <w:szCs w:val="18"/>
        </w:rPr>
        <w:t>client terms</w:t>
      </w:r>
      <w:r w:rsidR="00523B19">
        <w:rPr>
          <w:rFonts w:ascii="Arial" w:hAnsi="Arial" w:cs="Arial"/>
          <w:color w:val="auto"/>
          <w:sz w:val="18"/>
          <w:szCs w:val="18"/>
        </w:rPr>
        <w:t xml:space="preserve">. </w:t>
      </w:r>
      <w:bookmarkStart w:id="3" w:name="_Hlk86410031"/>
    </w:p>
    <w:p w14:paraId="41830806" w14:textId="3BF39E1C" w:rsidR="007846FB" w:rsidRDefault="003D3BE0" w:rsidP="007846FB">
      <w:pPr>
        <w:pStyle w:val="Default"/>
        <w:numPr>
          <w:ilvl w:val="0"/>
          <w:numId w:val="1"/>
        </w:numPr>
        <w:spacing w:before="100" w:after="100" w:line="360" w:lineRule="auto"/>
        <w:rPr>
          <w:rFonts w:ascii="Arial" w:hAnsi="Arial" w:cs="Arial"/>
          <w:color w:val="auto"/>
          <w:sz w:val="18"/>
          <w:szCs w:val="18"/>
          <w:lang w:eastAsia="en-GB"/>
        </w:rPr>
      </w:pPr>
      <w:r w:rsidRPr="00523B19">
        <w:rPr>
          <w:rFonts w:ascii="Arial" w:hAnsi="Arial" w:cs="Arial"/>
          <w:color w:val="auto"/>
          <w:sz w:val="18"/>
          <w:szCs w:val="18"/>
        </w:rPr>
        <w:t>The</w:t>
      </w:r>
      <w:r w:rsidRPr="00523B19">
        <w:rPr>
          <w:rFonts w:ascii="Arial" w:hAnsi="Arial" w:cs="Arial"/>
          <w:color w:val="auto"/>
          <w:sz w:val="18"/>
          <w:szCs w:val="18"/>
          <w:lang w:eastAsia="en-GB"/>
        </w:rPr>
        <w:t xml:space="preserve"> amount of your Cash Back payment will be determined by reference to the “Total Value” as set out in the table below. </w:t>
      </w:r>
      <w:r w:rsidR="007846FB" w:rsidRPr="00523B19">
        <w:rPr>
          <w:rFonts w:ascii="Arial" w:hAnsi="Arial" w:cs="Arial"/>
          <w:color w:val="auto"/>
          <w:sz w:val="18"/>
          <w:szCs w:val="18"/>
          <w:lang w:eastAsia="en-GB"/>
        </w:rPr>
        <w:t>T</w:t>
      </w:r>
      <w:r w:rsidR="007846FB">
        <w:rPr>
          <w:rFonts w:ascii="Arial" w:hAnsi="Arial" w:cs="Arial"/>
          <w:color w:val="auto"/>
          <w:sz w:val="18"/>
          <w:szCs w:val="18"/>
          <w:lang w:eastAsia="en-GB"/>
        </w:rPr>
        <w:t xml:space="preserve">his is based </w:t>
      </w:r>
      <w:r w:rsidR="007846FB" w:rsidRPr="009F54C7">
        <w:rPr>
          <w:rFonts w:ascii="Arial" w:hAnsi="Arial" w:cs="Arial"/>
          <w:color w:val="auto"/>
          <w:sz w:val="18"/>
          <w:szCs w:val="18"/>
          <w:lang w:eastAsia="en-GB"/>
        </w:rPr>
        <w:t>on the</w:t>
      </w:r>
      <w:r w:rsidR="00CA64A4" w:rsidRPr="009F54C7">
        <w:rPr>
          <w:rFonts w:ascii="Arial" w:hAnsi="Arial" w:cs="Arial"/>
          <w:color w:val="auto"/>
          <w:sz w:val="18"/>
          <w:szCs w:val="18"/>
          <w:lang w:eastAsia="en-GB"/>
        </w:rPr>
        <w:t xml:space="preserve"> total </w:t>
      </w:r>
      <w:r w:rsidR="007846FB" w:rsidRPr="009F54C7">
        <w:rPr>
          <w:rFonts w:ascii="Arial" w:hAnsi="Arial" w:cs="Arial"/>
          <w:color w:val="auto"/>
          <w:sz w:val="18"/>
          <w:szCs w:val="18"/>
          <w:lang w:eastAsia="en-GB"/>
        </w:rPr>
        <w:t>combined sum of</w:t>
      </w:r>
      <w:r w:rsidR="007846FB">
        <w:rPr>
          <w:rFonts w:ascii="Arial" w:hAnsi="Arial" w:cs="Arial"/>
          <w:color w:val="auto"/>
          <w:sz w:val="18"/>
          <w:szCs w:val="18"/>
          <w:lang w:eastAsia="en-GB"/>
        </w:rPr>
        <w:t xml:space="preserve"> </w:t>
      </w:r>
      <w:r w:rsidR="00CA64A4">
        <w:rPr>
          <w:rFonts w:ascii="Arial" w:hAnsi="Arial" w:cs="Arial"/>
          <w:color w:val="auto"/>
          <w:sz w:val="18"/>
          <w:szCs w:val="18"/>
          <w:lang w:eastAsia="en-GB"/>
        </w:rPr>
        <w:t xml:space="preserve">all </w:t>
      </w:r>
      <w:r w:rsidR="007846FB">
        <w:rPr>
          <w:rFonts w:ascii="Arial" w:hAnsi="Arial" w:cs="Arial"/>
          <w:color w:val="auto"/>
          <w:sz w:val="18"/>
          <w:szCs w:val="18"/>
          <w:lang w:eastAsia="en-GB"/>
        </w:rPr>
        <w:t>Qualifying Contributions and</w:t>
      </w:r>
      <w:r w:rsidR="00CA64A4">
        <w:rPr>
          <w:rFonts w:ascii="Arial" w:hAnsi="Arial" w:cs="Arial"/>
          <w:color w:val="auto"/>
          <w:sz w:val="18"/>
          <w:szCs w:val="18"/>
          <w:lang w:eastAsia="en-GB"/>
        </w:rPr>
        <w:t xml:space="preserve"> </w:t>
      </w:r>
      <w:r w:rsidR="007846FB">
        <w:rPr>
          <w:rFonts w:ascii="Arial" w:hAnsi="Arial" w:cs="Arial"/>
          <w:color w:val="auto"/>
          <w:sz w:val="18"/>
          <w:szCs w:val="18"/>
          <w:lang w:eastAsia="en-GB"/>
        </w:rPr>
        <w:t xml:space="preserve">Qualifying Transfers applied for during the Offer period. If you have </w:t>
      </w:r>
      <w:r w:rsidR="00990FCF">
        <w:rPr>
          <w:rFonts w:ascii="Arial" w:hAnsi="Arial" w:cs="Arial"/>
          <w:color w:val="auto"/>
          <w:sz w:val="18"/>
          <w:szCs w:val="18"/>
          <w:lang w:eastAsia="en-GB"/>
        </w:rPr>
        <w:t>transferred a pension</w:t>
      </w:r>
      <w:r w:rsidR="00B61FBC">
        <w:rPr>
          <w:rFonts w:ascii="Arial" w:hAnsi="Arial" w:cs="Arial"/>
          <w:color w:val="auto"/>
          <w:sz w:val="18"/>
          <w:szCs w:val="18"/>
          <w:lang w:eastAsia="en-GB"/>
        </w:rPr>
        <w:t xml:space="preserve"> or ISA </w:t>
      </w:r>
      <w:r w:rsidR="00990FCF">
        <w:rPr>
          <w:rFonts w:ascii="Arial" w:hAnsi="Arial" w:cs="Arial"/>
          <w:color w:val="auto"/>
          <w:sz w:val="18"/>
          <w:szCs w:val="18"/>
          <w:lang w:eastAsia="en-GB"/>
        </w:rPr>
        <w:t xml:space="preserve">this will be </w:t>
      </w:r>
      <w:r w:rsidR="007846FB">
        <w:rPr>
          <w:rFonts w:ascii="Arial" w:hAnsi="Arial" w:cs="Arial"/>
          <w:color w:val="auto"/>
          <w:sz w:val="18"/>
          <w:szCs w:val="18"/>
          <w:lang w:eastAsia="en-GB"/>
        </w:rPr>
        <w:t xml:space="preserve">calculated </w:t>
      </w:r>
      <w:r w:rsidR="007846FB" w:rsidRPr="00523B19">
        <w:rPr>
          <w:rFonts w:ascii="Arial" w:hAnsi="Arial" w:cs="Arial"/>
          <w:color w:val="auto"/>
          <w:sz w:val="18"/>
          <w:szCs w:val="18"/>
          <w:lang w:eastAsia="en-GB"/>
        </w:rPr>
        <w:t>as at the date of completion of the transfer of your eligible assets (“</w:t>
      </w:r>
      <w:r w:rsidR="007846FB" w:rsidRPr="00FA4BB7">
        <w:rPr>
          <w:rFonts w:ascii="Arial" w:hAnsi="Arial" w:cs="Arial"/>
          <w:b/>
          <w:bCs/>
          <w:color w:val="auto"/>
          <w:sz w:val="18"/>
          <w:szCs w:val="18"/>
          <w:lang w:eastAsia="en-GB"/>
        </w:rPr>
        <w:t>Transfer Date</w:t>
      </w:r>
      <w:r w:rsidR="007846FB" w:rsidRPr="00523B19">
        <w:rPr>
          <w:rFonts w:ascii="Arial" w:hAnsi="Arial" w:cs="Arial"/>
          <w:color w:val="auto"/>
          <w:sz w:val="18"/>
          <w:szCs w:val="18"/>
          <w:lang w:eastAsia="en-GB"/>
        </w:rPr>
        <w:t xml:space="preserve">”). </w:t>
      </w:r>
      <w:r w:rsidR="00990FCF" w:rsidRPr="00523B19">
        <w:rPr>
          <w:rFonts w:ascii="Arial" w:hAnsi="Arial" w:cs="Arial"/>
          <w:color w:val="auto"/>
          <w:sz w:val="18"/>
          <w:szCs w:val="18"/>
          <w:lang w:eastAsia="en-GB"/>
        </w:rPr>
        <w:t xml:space="preserve">If you transfer more </w:t>
      </w:r>
      <w:r w:rsidR="00990FCF" w:rsidRPr="00231CB1">
        <w:rPr>
          <w:rFonts w:ascii="Arial" w:hAnsi="Arial" w:cs="Arial"/>
          <w:color w:val="auto"/>
          <w:sz w:val="18"/>
          <w:szCs w:val="18"/>
          <w:lang w:eastAsia="en-GB"/>
        </w:rPr>
        <w:t xml:space="preserve">than one </w:t>
      </w:r>
      <w:r w:rsidR="00990FCF" w:rsidRPr="007E6A0F">
        <w:rPr>
          <w:rFonts w:ascii="Arial" w:hAnsi="Arial" w:cs="Arial"/>
          <w:color w:val="auto"/>
          <w:sz w:val="18"/>
          <w:szCs w:val="18"/>
          <w:lang w:eastAsia="en-GB"/>
        </w:rPr>
        <w:t>product</w:t>
      </w:r>
      <w:r w:rsidR="00990FCF" w:rsidRPr="00231CB1">
        <w:rPr>
          <w:rFonts w:ascii="Arial" w:hAnsi="Arial" w:cs="Arial"/>
          <w:color w:val="auto"/>
          <w:sz w:val="18"/>
          <w:szCs w:val="18"/>
          <w:lang w:eastAsia="en-GB"/>
        </w:rPr>
        <w:t xml:space="preserve"> the Transfer</w:t>
      </w:r>
      <w:r w:rsidR="00990FCF" w:rsidRPr="00523B19">
        <w:rPr>
          <w:rFonts w:ascii="Arial" w:hAnsi="Arial" w:cs="Arial"/>
          <w:color w:val="auto"/>
          <w:sz w:val="18"/>
          <w:szCs w:val="18"/>
          <w:lang w:eastAsia="en-GB"/>
        </w:rPr>
        <w:t xml:space="preserve"> Date will be the date when all the transfers have been completed.</w:t>
      </w:r>
    </w:p>
    <w:p w14:paraId="5A998B29" w14:textId="0F9E4287" w:rsidR="003D3BE0" w:rsidRDefault="003D3BE0" w:rsidP="00990FCF">
      <w:pPr>
        <w:pStyle w:val="Default"/>
        <w:spacing w:before="100" w:after="100" w:line="360" w:lineRule="auto"/>
        <w:ind w:left="720"/>
        <w:rPr>
          <w:rFonts w:ascii="Arial" w:hAnsi="Arial" w:cs="Arial"/>
          <w:color w:val="auto"/>
          <w:sz w:val="18"/>
          <w:szCs w:val="18"/>
          <w:lang w:eastAsia="en-GB"/>
        </w:rPr>
      </w:pPr>
    </w:p>
    <w:tbl>
      <w:tblPr>
        <w:tblStyle w:val="TableGrid"/>
        <w:tblW w:w="0" w:type="auto"/>
        <w:tblLook w:val="04A0" w:firstRow="1" w:lastRow="0" w:firstColumn="1" w:lastColumn="0" w:noHBand="0" w:noVBand="1"/>
      </w:tblPr>
      <w:tblGrid>
        <w:gridCol w:w="4621"/>
        <w:gridCol w:w="4621"/>
      </w:tblGrid>
      <w:tr w:rsidR="00826841" w:rsidRPr="00E924C2" w14:paraId="784FFA3E" w14:textId="77777777" w:rsidTr="0001123F">
        <w:tc>
          <w:tcPr>
            <w:tcW w:w="4621" w:type="dxa"/>
          </w:tcPr>
          <w:bookmarkEnd w:id="2"/>
          <w:p w14:paraId="5A5E0092" w14:textId="18A9294A" w:rsidR="00826841" w:rsidRPr="00990FCF" w:rsidRDefault="00826841" w:rsidP="0001123F">
            <w:pPr>
              <w:pStyle w:val="Default"/>
              <w:spacing w:before="100" w:after="100" w:line="360" w:lineRule="auto"/>
              <w:rPr>
                <w:rFonts w:ascii="Arial" w:hAnsi="Arial" w:cs="Arial"/>
                <w:b/>
                <w:bCs/>
                <w:color w:val="auto"/>
                <w:sz w:val="18"/>
                <w:szCs w:val="22"/>
              </w:rPr>
            </w:pPr>
            <w:r w:rsidRPr="00990FCF">
              <w:rPr>
                <w:rFonts w:ascii="Arial" w:hAnsi="Arial" w:cs="Arial"/>
                <w:b/>
                <w:bCs/>
                <w:color w:val="auto"/>
                <w:sz w:val="18"/>
                <w:szCs w:val="22"/>
              </w:rPr>
              <w:t>Total Value</w:t>
            </w:r>
          </w:p>
        </w:tc>
        <w:tc>
          <w:tcPr>
            <w:tcW w:w="4621" w:type="dxa"/>
          </w:tcPr>
          <w:p w14:paraId="6348BB8D" w14:textId="77777777" w:rsidR="00826841" w:rsidRPr="00990FCF" w:rsidRDefault="00826841" w:rsidP="0001123F">
            <w:pPr>
              <w:pStyle w:val="Default"/>
              <w:spacing w:before="100" w:after="100" w:line="360" w:lineRule="auto"/>
              <w:rPr>
                <w:rFonts w:ascii="Arial" w:hAnsi="Arial" w:cs="Arial"/>
                <w:b/>
                <w:bCs/>
                <w:color w:val="auto"/>
                <w:sz w:val="18"/>
                <w:szCs w:val="22"/>
              </w:rPr>
            </w:pPr>
            <w:r w:rsidRPr="00990FCF">
              <w:rPr>
                <w:rFonts w:ascii="Arial" w:hAnsi="Arial" w:cs="Arial"/>
                <w:b/>
                <w:bCs/>
                <w:color w:val="auto"/>
                <w:sz w:val="18"/>
                <w:szCs w:val="22"/>
              </w:rPr>
              <w:t>Cash Back Amount</w:t>
            </w:r>
          </w:p>
        </w:tc>
      </w:tr>
      <w:tr w:rsidR="00826841" w:rsidRPr="00E924C2" w14:paraId="1232B974" w14:textId="77777777" w:rsidTr="0001123F">
        <w:tc>
          <w:tcPr>
            <w:tcW w:w="4621" w:type="dxa"/>
          </w:tcPr>
          <w:p w14:paraId="2F401D8D" w14:textId="4029639A" w:rsidR="00826841" w:rsidRPr="00E924C2" w:rsidRDefault="00056017" w:rsidP="0001123F">
            <w:pPr>
              <w:pStyle w:val="Default"/>
              <w:spacing w:before="100" w:after="100" w:line="360" w:lineRule="auto"/>
              <w:rPr>
                <w:rFonts w:ascii="Arial" w:hAnsi="Arial" w:cs="Arial"/>
                <w:color w:val="auto"/>
                <w:sz w:val="18"/>
                <w:szCs w:val="22"/>
              </w:rPr>
            </w:pPr>
            <w:r w:rsidRPr="00056017">
              <w:rPr>
                <w:rFonts w:ascii="Arial" w:hAnsi="Arial" w:cs="Arial"/>
                <w:color w:val="auto"/>
                <w:sz w:val="18"/>
                <w:szCs w:val="22"/>
              </w:rPr>
              <w:t>£50</w:t>
            </w:r>
            <w:r>
              <w:rPr>
                <w:rFonts w:ascii="Arial" w:hAnsi="Arial" w:cs="Arial"/>
                <w:color w:val="auto"/>
                <w:sz w:val="18"/>
                <w:szCs w:val="22"/>
              </w:rPr>
              <w:t xml:space="preserve">,000 </w:t>
            </w:r>
            <w:r w:rsidRPr="00056017">
              <w:rPr>
                <w:rFonts w:ascii="Arial" w:hAnsi="Arial" w:cs="Arial"/>
                <w:color w:val="auto"/>
                <w:sz w:val="18"/>
                <w:szCs w:val="22"/>
              </w:rPr>
              <w:t>-</w:t>
            </w:r>
            <w:r>
              <w:rPr>
                <w:rFonts w:ascii="Arial" w:hAnsi="Arial" w:cs="Arial"/>
                <w:color w:val="auto"/>
                <w:sz w:val="18"/>
                <w:szCs w:val="22"/>
              </w:rPr>
              <w:t xml:space="preserve"> </w:t>
            </w:r>
            <w:r w:rsidRPr="00056017">
              <w:rPr>
                <w:rFonts w:ascii="Arial" w:hAnsi="Arial" w:cs="Arial"/>
                <w:color w:val="auto"/>
                <w:sz w:val="18"/>
                <w:szCs w:val="22"/>
              </w:rPr>
              <w:t>£74</w:t>
            </w:r>
            <w:r>
              <w:rPr>
                <w:rFonts w:ascii="Arial" w:hAnsi="Arial" w:cs="Arial"/>
                <w:color w:val="auto"/>
                <w:sz w:val="18"/>
                <w:szCs w:val="22"/>
              </w:rPr>
              <w:t xml:space="preserve">,999 </w:t>
            </w:r>
          </w:p>
        </w:tc>
        <w:tc>
          <w:tcPr>
            <w:tcW w:w="4621" w:type="dxa"/>
          </w:tcPr>
          <w:p w14:paraId="49BA7BF8" w14:textId="459F2324" w:rsidR="00826841" w:rsidRPr="00E924C2" w:rsidRDefault="00BB0FD7" w:rsidP="0001123F">
            <w:pPr>
              <w:pStyle w:val="Default"/>
              <w:spacing w:before="100" w:after="100" w:line="360" w:lineRule="auto"/>
              <w:rPr>
                <w:rFonts w:ascii="Arial" w:hAnsi="Arial" w:cs="Arial"/>
                <w:color w:val="auto"/>
                <w:sz w:val="18"/>
                <w:szCs w:val="22"/>
              </w:rPr>
            </w:pPr>
            <w:r>
              <w:rPr>
                <w:rFonts w:ascii="Arial" w:hAnsi="Arial" w:cs="Arial"/>
                <w:color w:val="auto"/>
                <w:sz w:val="18"/>
                <w:szCs w:val="22"/>
              </w:rPr>
              <w:t>£</w:t>
            </w:r>
            <w:r w:rsidR="00161ADC">
              <w:rPr>
                <w:rFonts w:ascii="Arial" w:hAnsi="Arial" w:cs="Arial"/>
                <w:color w:val="auto"/>
                <w:sz w:val="18"/>
                <w:szCs w:val="22"/>
              </w:rPr>
              <w:t>300</w:t>
            </w:r>
          </w:p>
        </w:tc>
      </w:tr>
      <w:tr w:rsidR="000C381F" w:rsidRPr="00E924C2" w14:paraId="5E3F5F2C" w14:textId="77777777" w:rsidTr="0001123F">
        <w:tc>
          <w:tcPr>
            <w:tcW w:w="4621" w:type="dxa"/>
          </w:tcPr>
          <w:p w14:paraId="0B67C2A7" w14:textId="4849BEDF" w:rsidR="000C381F" w:rsidRPr="00E924C2" w:rsidRDefault="00056017" w:rsidP="0001123F">
            <w:pPr>
              <w:pStyle w:val="Default"/>
              <w:spacing w:before="100" w:after="100" w:line="360" w:lineRule="auto"/>
              <w:rPr>
                <w:rFonts w:ascii="Arial" w:hAnsi="Arial" w:cs="Arial"/>
                <w:color w:val="auto"/>
                <w:sz w:val="18"/>
                <w:szCs w:val="22"/>
              </w:rPr>
            </w:pPr>
            <w:r w:rsidRPr="00056017">
              <w:rPr>
                <w:rFonts w:ascii="Arial" w:hAnsi="Arial" w:cs="Arial"/>
                <w:color w:val="auto"/>
                <w:sz w:val="18"/>
                <w:szCs w:val="22"/>
              </w:rPr>
              <w:t>£75</w:t>
            </w:r>
            <w:r>
              <w:rPr>
                <w:rFonts w:ascii="Arial" w:hAnsi="Arial" w:cs="Arial"/>
                <w:color w:val="auto"/>
                <w:sz w:val="18"/>
                <w:szCs w:val="22"/>
              </w:rPr>
              <w:t>,000</w:t>
            </w:r>
            <w:r w:rsidRPr="00056017">
              <w:rPr>
                <w:rFonts w:ascii="Arial" w:hAnsi="Arial" w:cs="Arial"/>
                <w:color w:val="auto"/>
                <w:sz w:val="18"/>
                <w:szCs w:val="22"/>
              </w:rPr>
              <w:t xml:space="preserve"> - £99</w:t>
            </w:r>
            <w:r>
              <w:rPr>
                <w:rFonts w:ascii="Arial" w:hAnsi="Arial" w:cs="Arial"/>
                <w:color w:val="auto"/>
                <w:sz w:val="18"/>
                <w:szCs w:val="22"/>
              </w:rPr>
              <w:t xml:space="preserve">,999 </w:t>
            </w:r>
          </w:p>
        </w:tc>
        <w:tc>
          <w:tcPr>
            <w:tcW w:w="4621" w:type="dxa"/>
          </w:tcPr>
          <w:p w14:paraId="26A33545" w14:textId="2BC52813" w:rsidR="000C381F" w:rsidRPr="00E924C2" w:rsidRDefault="00BB0FD7" w:rsidP="0001123F">
            <w:pPr>
              <w:pStyle w:val="Default"/>
              <w:spacing w:before="100" w:after="100" w:line="360" w:lineRule="auto"/>
              <w:rPr>
                <w:rFonts w:ascii="Arial" w:hAnsi="Arial" w:cs="Arial"/>
                <w:color w:val="auto"/>
                <w:sz w:val="18"/>
                <w:szCs w:val="22"/>
              </w:rPr>
            </w:pPr>
            <w:r>
              <w:rPr>
                <w:rFonts w:ascii="Arial" w:hAnsi="Arial" w:cs="Arial"/>
                <w:color w:val="auto"/>
                <w:sz w:val="18"/>
                <w:szCs w:val="22"/>
              </w:rPr>
              <w:t>£</w:t>
            </w:r>
            <w:r w:rsidR="00161ADC">
              <w:rPr>
                <w:rFonts w:ascii="Arial" w:hAnsi="Arial" w:cs="Arial"/>
                <w:color w:val="auto"/>
                <w:sz w:val="18"/>
                <w:szCs w:val="22"/>
              </w:rPr>
              <w:t>600</w:t>
            </w:r>
          </w:p>
        </w:tc>
      </w:tr>
      <w:tr w:rsidR="00826841" w:rsidRPr="00E924C2" w14:paraId="6260FF05" w14:textId="77777777" w:rsidTr="0001123F">
        <w:tc>
          <w:tcPr>
            <w:tcW w:w="4621" w:type="dxa"/>
          </w:tcPr>
          <w:p w14:paraId="5FBFBDEC" w14:textId="2251F55F" w:rsidR="00826841" w:rsidRPr="00E924C2" w:rsidRDefault="00826841" w:rsidP="0001123F">
            <w:pPr>
              <w:pStyle w:val="Default"/>
              <w:spacing w:before="100" w:after="100" w:line="360" w:lineRule="auto"/>
              <w:rPr>
                <w:rFonts w:ascii="Arial" w:hAnsi="Arial" w:cs="Arial"/>
                <w:color w:val="auto"/>
                <w:sz w:val="18"/>
                <w:szCs w:val="22"/>
              </w:rPr>
            </w:pPr>
            <w:r w:rsidRPr="00E924C2">
              <w:rPr>
                <w:rFonts w:ascii="Arial" w:hAnsi="Arial" w:cs="Arial"/>
                <w:color w:val="auto"/>
                <w:sz w:val="18"/>
                <w:szCs w:val="22"/>
              </w:rPr>
              <w:lastRenderedPageBreak/>
              <w:t>£</w:t>
            </w:r>
            <w:r>
              <w:rPr>
                <w:rFonts w:ascii="Arial" w:hAnsi="Arial" w:cs="Arial"/>
                <w:color w:val="auto"/>
                <w:sz w:val="18"/>
                <w:szCs w:val="22"/>
              </w:rPr>
              <w:t>100</w:t>
            </w:r>
            <w:r w:rsidRPr="00E924C2">
              <w:rPr>
                <w:rFonts w:ascii="Arial" w:hAnsi="Arial" w:cs="Arial"/>
                <w:color w:val="auto"/>
                <w:sz w:val="18"/>
                <w:szCs w:val="22"/>
              </w:rPr>
              <w:t>,000</w:t>
            </w:r>
            <w:r>
              <w:rPr>
                <w:rFonts w:ascii="Arial" w:hAnsi="Arial" w:cs="Arial"/>
                <w:color w:val="auto"/>
                <w:sz w:val="18"/>
                <w:szCs w:val="22"/>
              </w:rPr>
              <w:t xml:space="preserve"> </w:t>
            </w:r>
            <w:r w:rsidRPr="00E924C2">
              <w:rPr>
                <w:rFonts w:ascii="Arial" w:hAnsi="Arial" w:cs="Arial"/>
                <w:color w:val="auto"/>
                <w:sz w:val="18"/>
                <w:szCs w:val="22"/>
              </w:rPr>
              <w:t>-</w:t>
            </w:r>
            <w:r>
              <w:rPr>
                <w:rFonts w:ascii="Arial" w:hAnsi="Arial" w:cs="Arial"/>
                <w:color w:val="auto"/>
                <w:sz w:val="18"/>
                <w:szCs w:val="22"/>
              </w:rPr>
              <w:t xml:space="preserve"> </w:t>
            </w:r>
            <w:r w:rsidRPr="00E924C2">
              <w:rPr>
                <w:rFonts w:ascii="Arial" w:hAnsi="Arial" w:cs="Arial"/>
                <w:color w:val="auto"/>
                <w:sz w:val="18"/>
                <w:szCs w:val="22"/>
              </w:rPr>
              <w:t>£</w:t>
            </w:r>
            <w:r w:rsidR="003E5FB9">
              <w:rPr>
                <w:rFonts w:ascii="Arial" w:hAnsi="Arial" w:cs="Arial"/>
                <w:color w:val="auto"/>
                <w:sz w:val="18"/>
                <w:szCs w:val="22"/>
              </w:rPr>
              <w:t>2</w:t>
            </w:r>
            <w:r>
              <w:rPr>
                <w:rFonts w:ascii="Arial" w:hAnsi="Arial" w:cs="Arial"/>
                <w:color w:val="auto"/>
                <w:sz w:val="18"/>
                <w:szCs w:val="22"/>
              </w:rPr>
              <w:t>49,</w:t>
            </w:r>
            <w:r w:rsidRPr="00E924C2">
              <w:rPr>
                <w:rFonts w:ascii="Arial" w:hAnsi="Arial" w:cs="Arial"/>
                <w:color w:val="auto"/>
                <w:sz w:val="18"/>
                <w:szCs w:val="22"/>
              </w:rPr>
              <w:t>999</w:t>
            </w:r>
          </w:p>
        </w:tc>
        <w:tc>
          <w:tcPr>
            <w:tcW w:w="4621" w:type="dxa"/>
          </w:tcPr>
          <w:p w14:paraId="59E5DD20" w14:textId="047E439B" w:rsidR="00826841" w:rsidRPr="00E924C2" w:rsidRDefault="00BB0FD7" w:rsidP="0001123F">
            <w:pPr>
              <w:pStyle w:val="Default"/>
              <w:spacing w:before="100" w:after="100" w:line="360" w:lineRule="auto"/>
              <w:rPr>
                <w:rFonts w:ascii="Arial" w:hAnsi="Arial" w:cs="Arial"/>
                <w:color w:val="auto"/>
                <w:sz w:val="18"/>
                <w:szCs w:val="22"/>
              </w:rPr>
            </w:pPr>
            <w:r>
              <w:rPr>
                <w:rFonts w:ascii="Arial" w:hAnsi="Arial" w:cs="Arial"/>
                <w:color w:val="auto"/>
                <w:sz w:val="18"/>
                <w:szCs w:val="22"/>
              </w:rPr>
              <w:t>£</w:t>
            </w:r>
            <w:r w:rsidR="00161ADC">
              <w:rPr>
                <w:rFonts w:ascii="Arial" w:hAnsi="Arial" w:cs="Arial"/>
                <w:color w:val="auto"/>
                <w:sz w:val="18"/>
                <w:szCs w:val="22"/>
              </w:rPr>
              <w:t>1,000</w:t>
            </w:r>
          </w:p>
        </w:tc>
      </w:tr>
      <w:tr w:rsidR="00826841" w:rsidRPr="00AD7DD1" w14:paraId="755518BC" w14:textId="77777777" w:rsidTr="0001123F">
        <w:tc>
          <w:tcPr>
            <w:tcW w:w="4621" w:type="dxa"/>
          </w:tcPr>
          <w:p w14:paraId="3E246052" w14:textId="653E8F5E" w:rsidR="00826841" w:rsidRPr="00AD7DD1" w:rsidRDefault="00826841" w:rsidP="0001123F">
            <w:pPr>
              <w:pStyle w:val="Default"/>
              <w:spacing w:before="100" w:after="100" w:line="360" w:lineRule="auto"/>
              <w:rPr>
                <w:rFonts w:ascii="Arial" w:hAnsi="Arial" w:cs="Arial"/>
                <w:color w:val="auto"/>
                <w:sz w:val="18"/>
                <w:szCs w:val="22"/>
              </w:rPr>
            </w:pPr>
            <w:r w:rsidRPr="00AD7DD1">
              <w:rPr>
                <w:rFonts w:ascii="Arial" w:hAnsi="Arial" w:cs="Arial"/>
                <w:color w:val="auto"/>
                <w:sz w:val="18"/>
                <w:szCs w:val="22"/>
              </w:rPr>
              <w:t>£</w:t>
            </w:r>
            <w:r w:rsidR="003E5FB9">
              <w:rPr>
                <w:rFonts w:ascii="Arial" w:hAnsi="Arial" w:cs="Arial"/>
                <w:color w:val="auto"/>
                <w:sz w:val="18"/>
                <w:szCs w:val="22"/>
              </w:rPr>
              <w:t>2</w:t>
            </w:r>
            <w:r>
              <w:rPr>
                <w:rFonts w:ascii="Arial" w:hAnsi="Arial" w:cs="Arial"/>
                <w:color w:val="auto"/>
                <w:sz w:val="18"/>
                <w:szCs w:val="22"/>
              </w:rPr>
              <w:t>5</w:t>
            </w:r>
            <w:r w:rsidRPr="00AD7DD1">
              <w:rPr>
                <w:rFonts w:ascii="Arial" w:hAnsi="Arial" w:cs="Arial"/>
                <w:color w:val="auto"/>
                <w:sz w:val="18"/>
                <w:szCs w:val="22"/>
              </w:rPr>
              <w:t>0,000</w:t>
            </w:r>
            <w:r>
              <w:rPr>
                <w:rFonts w:ascii="Arial" w:hAnsi="Arial" w:cs="Arial"/>
                <w:color w:val="auto"/>
                <w:sz w:val="18"/>
                <w:szCs w:val="22"/>
              </w:rPr>
              <w:t xml:space="preserve"> </w:t>
            </w:r>
            <w:r w:rsidRPr="00AD7DD1">
              <w:rPr>
                <w:rFonts w:ascii="Arial" w:hAnsi="Arial" w:cs="Arial"/>
                <w:color w:val="auto"/>
                <w:sz w:val="18"/>
                <w:szCs w:val="22"/>
              </w:rPr>
              <w:t>-</w:t>
            </w:r>
            <w:r>
              <w:rPr>
                <w:rFonts w:ascii="Arial" w:hAnsi="Arial" w:cs="Arial"/>
                <w:color w:val="auto"/>
                <w:sz w:val="18"/>
                <w:szCs w:val="22"/>
              </w:rPr>
              <w:t xml:space="preserve"> </w:t>
            </w:r>
            <w:r w:rsidRPr="00AD7DD1">
              <w:rPr>
                <w:rFonts w:ascii="Arial" w:hAnsi="Arial" w:cs="Arial"/>
                <w:color w:val="auto"/>
                <w:sz w:val="18"/>
                <w:szCs w:val="22"/>
              </w:rPr>
              <w:t>£</w:t>
            </w:r>
            <w:r w:rsidR="00604589">
              <w:rPr>
                <w:rFonts w:ascii="Arial" w:hAnsi="Arial" w:cs="Arial"/>
                <w:color w:val="auto"/>
                <w:sz w:val="18"/>
                <w:szCs w:val="22"/>
              </w:rPr>
              <w:t>499</w:t>
            </w:r>
            <w:r w:rsidRPr="00AD7DD1">
              <w:rPr>
                <w:rFonts w:ascii="Arial" w:hAnsi="Arial" w:cs="Arial"/>
                <w:color w:val="auto"/>
                <w:sz w:val="18"/>
                <w:szCs w:val="22"/>
              </w:rPr>
              <w:t>,999</w:t>
            </w:r>
          </w:p>
        </w:tc>
        <w:tc>
          <w:tcPr>
            <w:tcW w:w="4621" w:type="dxa"/>
          </w:tcPr>
          <w:p w14:paraId="14900D26" w14:textId="7AF439B1" w:rsidR="00826841" w:rsidRPr="00AD7DD1" w:rsidRDefault="00BB0FD7" w:rsidP="0001123F">
            <w:pPr>
              <w:pStyle w:val="Default"/>
              <w:spacing w:before="100" w:after="100" w:line="360" w:lineRule="auto"/>
              <w:rPr>
                <w:rFonts w:ascii="Arial" w:hAnsi="Arial" w:cs="Arial"/>
                <w:color w:val="auto"/>
                <w:sz w:val="18"/>
                <w:szCs w:val="22"/>
              </w:rPr>
            </w:pPr>
            <w:r>
              <w:rPr>
                <w:rFonts w:ascii="Arial" w:hAnsi="Arial" w:cs="Arial"/>
                <w:color w:val="auto"/>
                <w:sz w:val="18"/>
                <w:szCs w:val="22"/>
              </w:rPr>
              <w:t>£</w:t>
            </w:r>
            <w:r w:rsidR="00F12478">
              <w:rPr>
                <w:rFonts w:ascii="Arial" w:hAnsi="Arial" w:cs="Arial"/>
                <w:color w:val="auto"/>
                <w:sz w:val="18"/>
                <w:szCs w:val="22"/>
              </w:rPr>
              <w:t>1,</w:t>
            </w:r>
            <w:r w:rsidR="00161ADC">
              <w:rPr>
                <w:rFonts w:ascii="Arial" w:hAnsi="Arial" w:cs="Arial"/>
                <w:color w:val="auto"/>
                <w:sz w:val="18"/>
                <w:szCs w:val="22"/>
              </w:rPr>
              <w:t>500</w:t>
            </w:r>
          </w:p>
        </w:tc>
      </w:tr>
      <w:tr w:rsidR="00826841" w:rsidRPr="00AD7DD1" w14:paraId="01C7E401" w14:textId="77777777" w:rsidTr="0001123F">
        <w:trPr>
          <w:trHeight w:val="229"/>
        </w:trPr>
        <w:tc>
          <w:tcPr>
            <w:tcW w:w="4621" w:type="dxa"/>
          </w:tcPr>
          <w:p w14:paraId="5CA2CB66" w14:textId="68C92633" w:rsidR="00826841" w:rsidRPr="00AD7DD1" w:rsidRDefault="00826841" w:rsidP="0001123F">
            <w:pPr>
              <w:pStyle w:val="Default"/>
              <w:spacing w:before="100" w:after="100" w:line="360" w:lineRule="auto"/>
              <w:rPr>
                <w:rFonts w:ascii="Arial" w:hAnsi="Arial" w:cs="Arial"/>
                <w:color w:val="auto"/>
                <w:sz w:val="18"/>
                <w:szCs w:val="22"/>
              </w:rPr>
            </w:pPr>
            <w:r w:rsidRPr="00AD7DD1">
              <w:rPr>
                <w:rFonts w:ascii="Arial" w:hAnsi="Arial" w:cs="Arial"/>
                <w:color w:val="auto"/>
                <w:sz w:val="18"/>
                <w:szCs w:val="22"/>
              </w:rPr>
              <w:t>£</w:t>
            </w:r>
            <w:r w:rsidR="00604589">
              <w:rPr>
                <w:rFonts w:ascii="Arial" w:hAnsi="Arial" w:cs="Arial"/>
                <w:color w:val="auto"/>
                <w:sz w:val="18"/>
                <w:szCs w:val="22"/>
              </w:rPr>
              <w:t>500</w:t>
            </w:r>
            <w:r w:rsidRPr="00AD7DD1">
              <w:rPr>
                <w:rFonts w:ascii="Arial" w:hAnsi="Arial" w:cs="Arial"/>
                <w:color w:val="auto"/>
                <w:sz w:val="18"/>
                <w:szCs w:val="22"/>
              </w:rPr>
              <w:t>,000</w:t>
            </w:r>
            <w:r>
              <w:rPr>
                <w:rFonts w:ascii="Arial" w:hAnsi="Arial" w:cs="Arial"/>
                <w:color w:val="auto"/>
                <w:sz w:val="18"/>
                <w:szCs w:val="22"/>
              </w:rPr>
              <w:t xml:space="preserve"> </w:t>
            </w:r>
            <w:r w:rsidRPr="00AD7DD1">
              <w:rPr>
                <w:rFonts w:ascii="Arial" w:hAnsi="Arial" w:cs="Arial"/>
                <w:color w:val="auto"/>
                <w:sz w:val="18"/>
                <w:szCs w:val="22"/>
              </w:rPr>
              <w:t>-</w:t>
            </w:r>
            <w:r>
              <w:rPr>
                <w:rFonts w:ascii="Arial" w:hAnsi="Arial" w:cs="Arial"/>
                <w:color w:val="auto"/>
                <w:sz w:val="18"/>
                <w:szCs w:val="22"/>
              </w:rPr>
              <w:t xml:space="preserve"> </w:t>
            </w:r>
            <w:r w:rsidR="00723206">
              <w:rPr>
                <w:rFonts w:ascii="Arial" w:hAnsi="Arial" w:cs="Arial"/>
                <w:color w:val="auto"/>
                <w:sz w:val="18"/>
                <w:szCs w:val="22"/>
              </w:rPr>
              <w:t>£</w:t>
            </w:r>
            <w:r w:rsidR="00604589">
              <w:rPr>
                <w:rFonts w:ascii="Arial" w:hAnsi="Arial" w:cs="Arial"/>
                <w:color w:val="auto"/>
                <w:sz w:val="18"/>
                <w:szCs w:val="22"/>
              </w:rPr>
              <w:t>749</w:t>
            </w:r>
            <w:r w:rsidRPr="00AD7DD1">
              <w:rPr>
                <w:rFonts w:ascii="Arial" w:hAnsi="Arial" w:cs="Arial"/>
                <w:color w:val="auto"/>
                <w:sz w:val="18"/>
                <w:szCs w:val="22"/>
              </w:rPr>
              <w:t>,999</w:t>
            </w:r>
          </w:p>
        </w:tc>
        <w:tc>
          <w:tcPr>
            <w:tcW w:w="4621" w:type="dxa"/>
          </w:tcPr>
          <w:p w14:paraId="6C61DF7E" w14:textId="12706617" w:rsidR="00826841" w:rsidRPr="00AD7DD1" w:rsidRDefault="00BB0FD7" w:rsidP="0001123F">
            <w:pPr>
              <w:pStyle w:val="Default"/>
              <w:spacing w:before="100" w:after="100" w:line="360" w:lineRule="auto"/>
              <w:rPr>
                <w:rFonts w:ascii="Arial" w:hAnsi="Arial" w:cs="Arial"/>
                <w:color w:val="auto"/>
                <w:sz w:val="18"/>
                <w:szCs w:val="22"/>
              </w:rPr>
            </w:pPr>
            <w:r>
              <w:rPr>
                <w:rFonts w:ascii="Arial" w:hAnsi="Arial" w:cs="Arial"/>
                <w:color w:val="auto"/>
                <w:sz w:val="18"/>
                <w:szCs w:val="22"/>
              </w:rPr>
              <w:t>£1,</w:t>
            </w:r>
            <w:r w:rsidR="00161ADC">
              <w:rPr>
                <w:rFonts w:ascii="Arial" w:hAnsi="Arial" w:cs="Arial"/>
                <w:color w:val="auto"/>
                <w:sz w:val="18"/>
                <w:szCs w:val="22"/>
              </w:rPr>
              <w:t>800</w:t>
            </w:r>
          </w:p>
        </w:tc>
      </w:tr>
      <w:tr w:rsidR="00826841" w:rsidRPr="00AD7DD1" w14:paraId="2DB2DCB5" w14:textId="77777777" w:rsidTr="0001123F">
        <w:trPr>
          <w:trHeight w:val="229"/>
        </w:trPr>
        <w:tc>
          <w:tcPr>
            <w:tcW w:w="4621" w:type="dxa"/>
          </w:tcPr>
          <w:p w14:paraId="6C82BE52" w14:textId="184B3E87" w:rsidR="00826841" w:rsidRPr="00AD7DD1" w:rsidRDefault="00826841" w:rsidP="0001123F">
            <w:pPr>
              <w:pStyle w:val="Default"/>
              <w:spacing w:before="100" w:after="100" w:line="360" w:lineRule="auto"/>
              <w:rPr>
                <w:rFonts w:ascii="Arial" w:hAnsi="Arial" w:cs="Arial"/>
                <w:color w:val="auto"/>
                <w:sz w:val="18"/>
                <w:szCs w:val="22"/>
              </w:rPr>
            </w:pPr>
            <w:r>
              <w:rPr>
                <w:rFonts w:ascii="Arial" w:hAnsi="Arial" w:cs="Arial"/>
                <w:color w:val="auto"/>
                <w:sz w:val="18"/>
                <w:szCs w:val="22"/>
              </w:rPr>
              <w:t>£</w:t>
            </w:r>
            <w:r w:rsidR="00604589">
              <w:rPr>
                <w:rFonts w:ascii="Arial" w:hAnsi="Arial" w:cs="Arial"/>
                <w:color w:val="auto"/>
                <w:sz w:val="18"/>
                <w:szCs w:val="22"/>
              </w:rPr>
              <w:t>750,000</w:t>
            </w:r>
            <w:r>
              <w:rPr>
                <w:rFonts w:ascii="Arial" w:hAnsi="Arial" w:cs="Arial"/>
                <w:color w:val="auto"/>
                <w:sz w:val="18"/>
                <w:szCs w:val="22"/>
              </w:rPr>
              <w:t xml:space="preserve"> </w:t>
            </w:r>
            <w:r w:rsidR="00F12478">
              <w:rPr>
                <w:rFonts w:ascii="Arial" w:hAnsi="Arial" w:cs="Arial"/>
                <w:color w:val="auto"/>
                <w:sz w:val="18"/>
                <w:szCs w:val="22"/>
              </w:rPr>
              <w:t>- £999,999</w:t>
            </w:r>
          </w:p>
        </w:tc>
        <w:tc>
          <w:tcPr>
            <w:tcW w:w="4621" w:type="dxa"/>
          </w:tcPr>
          <w:p w14:paraId="6ECC4653" w14:textId="1D8EFA9F" w:rsidR="00826841" w:rsidRPr="00AD7DD1" w:rsidRDefault="00BB0FD7" w:rsidP="0001123F">
            <w:pPr>
              <w:pStyle w:val="Default"/>
              <w:spacing w:before="100" w:after="100" w:line="360" w:lineRule="auto"/>
              <w:rPr>
                <w:rFonts w:ascii="Arial" w:hAnsi="Arial" w:cs="Arial"/>
                <w:color w:val="auto"/>
                <w:sz w:val="18"/>
                <w:szCs w:val="22"/>
              </w:rPr>
            </w:pPr>
            <w:r>
              <w:rPr>
                <w:rFonts w:ascii="Arial" w:hAnsi="Arial" w:cs="Arial"/>
                <w:color w:val="auto"/>
                <w:sz w:val="18"/>
                <w:szCs w:val="22"/>
              </w:rPr>
              <w:t>£</w:t>
            </w:r>
            <w:r w:rsidR="00161ADC">
              <w:rPr>
                <w:rFonts w:ascii="Arial" w:hAnsi="Arial" w:cs="Arial"/>
                <w:color w:val="auto"/>
                <w:sz w:val="18"/>
                <w:szCs w:val="22"/>
              </w:rPr>
              <w:t>2,000</w:t>
            </w:r>
          </w:p>
        </w:tc>
      </w:tr>
      <w:tr w:rsidR="00F12478" w:rsidRPr="00AD7DD1" w14:paraId="649A82CF" w14:textId="77777777" w:rsidTr="0001123F">
        <w:trPr>
          <w:trHeight w:val="229"/>
        </w:trPr>
        <w:tc>
          <w:tcPr>
            <w:tcW w:w="4621" w:type="dxa"/>
          </w:tcPr>
          <w:p w14:paraId="3AD56B41" w14:textId="55DCF5D8" w:rsidR="00F12478" w:rsidRDefault="00F12478" w:rsidP="0001123F">
            <w:pPr>
              <w:pStyle w:val="Default"/>
              <w:spacing w:before="100" w:after="100" w:line="360" w:lineRule="auto"/>
              <w:rPr>
                <w:rFonts w:ascii="Arial" w:hAnsi="Arial" w:cs="Arial"/>
                <w:color w:val="auto"/>
                <w:sz w:val="18"/>
                <w:szCs w:val="22"/>
              </w:rPr>
            </w:pPr>
            <w:r>
              <w:rPr>
                <w:rFonts w:ascii="Arial" w:hAnsi="Arial" w:cs="Arial"/>
                <w:color w:val="auto"/>
                <w:sz w:val="18"/>
                <w:szCs w:val="22"/>
              </w:rPr>
              <w:t xml:space="preserve">£1,000,000 or over </w:t>
            </w:r>
          </w:p>
        </w:tc>
        <w:tc>
          <w:tcPr>
            <w:tcW w:w="4621" w:type="dxa"/>
          </w:tcPr>
          <w:p w14:paraId="28807F25" w14:textId="7067A724" w:rsidR="00F12478" w:rsidRDefault="00F12478" w:rsidP="0001123F">
            <w:pPr>
              <w:pStyle w:val="Default"/>
              <w:spacing w:before="100" w:after="100" w:line="360" w:lineRule="auto"/>
              <w:rPr>
                <w:rFonts w:ascii="Arial" w:hAnsi="Arial" w:cs="Arial"/>
                <w:color w:val="auto"/>
                <w:sz w:val="18"/>
                <w:szCs w:val="22"/>
              </w:rPr>
            </w:pPr>
            <w:r>
              <w:rPr>
                <w:rFonts w:ascii="Arial" w:hAnsi="Arial" w:cs="Arial"/>
                <w:color w:val="auto"/>
                <w:sz w:val="18"/>
                <w:szCs w:val="22"/>
              </w:rPr>
              <w:t>£</w:t>
            </w:r>
            <w:r w:rsidR="00056017">
              <w:rPr>
                <w:rFonts w:ascii="Arial" w:hAnsi="Arial" w:cs="Arial"/>
                <w:color w:val="auto"/>
                <w:sz w:val="18"/>
                <w:szCs w:val="22"/>
              </w:rPr>
              <w:t>3,000</w:t>
            </w:r>
          </w:p>
        </w:tc>
      </w:tr>
      <w:bookmarkEnd w:id="3"/>
    </w:tbl>
    <w:p w14:paraId="452A4A4F" w14:textId="77777777" w:rsidR="00D03972" w:rsidRPr="00AD7DD1" w:rsidRDefault="00D03972" w:rsidP="00D03972">
      <w:pPr>
        <w:spacing w:before="165" w:after="0" w:line="300" w:lineRule="atLeast"/>
        <w:rPr>
          <w:sz w:val="20"/>
        </w:rPr>
      </w:pPr>
    </w:p>
    <w:p w14:paraId="0271A340" w14:textId="1EBDFF9F" w:rsidR="00693AC4" w:rsidRPr="00353564" w:rsidRDefault="00693AC4" w:rsidP="003C103F">
      <w:pPr>
        <w:pStyle w:val="Default"/>
        <w:numPr>
          <w:ilvl w:val="0"/>
          <w:numId w:val="1"/>
        </w:numPr>
        <w:spacing w:before="100" w:after="100" w:line="360" w:lineRule="auto"/>
        <w:rPr>
          <w:rFonts w:ascii="Arial" w:hAnsi="Arial" w:cs="Arial"/>
          <w:color w:val="auto"/>
          <w:sz w:val="18"/>
          <w:szCs w:val="20"/>
          <w:lang w:eastAsia="en-GB"/>
        </w:rPr>
      </w:pPr>
      <w:r w:rsidRPr="00AD7DD1">
        <w:rPr>
          <w:rFonts w:ascii="Arial" w:hAnsi="Arial" w:cs="Arial"/>
          <w:color w:val="auto"/>
          <w:sz w:val="18"/>
          <w:szCs w:val="20"/>
          <w:lang w:eastAsia="en-GB"/>
        </w:rPr>
        <w:t xml:space="preserve">Cash </w:t>
      </w:r>
      <w:r w:rsidR="001E1C38">
        <w:rPr>
          <w:rFonts w:ascii="Arial" w:hAnsi="Arial" w:cs="Arial"/>
          <w:color w:val="auto"/>
          <w:sz w:val="18"/>
          <w:szCs w:val="20"/>
          <w:lang w:eastAsia="en-GB"/>
        </w:rPr>
        <w:t>B</w:t>
      </w:r>
      <w:r w:rsidRPr="00AD7DD1">
        <w:rPr>
          <w:rFonts w:ascii="Arial" w:hAnsi="Arial" w:cs="Arial"/>
          <w:color w:val="auto"/>
          <w:sz w:val="18"/>
          <w:szCs w:val="20"/>
          <w:lang w:eastAsia="en-GB"/>
        </w:rPr>
        <w:t>ack payments will be</w:t>
      </w:r>
      <w:r w:rsidR="00353564">
        <w:rPr>
          <w:rFonts w:ascii="Arial" w:hAnsi="Arial" w:cs="Arial"/>
          <w:color w:val="auto"/>
          <w:sz w:val="18"/>
          <w:szCs w:val="20"/>
          <w:lang w:eastAsia="en-GB"/>
        </w:rPr>
        <w:t xml:space="preserve"> paid </w:t>
      </w:r>
      <w:r w:rsidRPr="00AD7DD1">
        <w:rPr>
          <w:rFonts w:ascii="Arial" w:hAnsi="Arial" w:cs="Arial"/>
          <w:color w:val="auto"/>
          <w:sz w:val="18"/>
          <w:szCs w:val="20"/>
          <w:lang w:eastAsia="en-GB"/>
        </w:rPr>
        <w:t>to you</w:t>
      </w:r>
      <w:r w:rsidR="00353564">
        <w:rPr>
          <w:rFonts w:ascii="Arial" w:hAnsi="Arial" w:cs="Arial"/>
          <w:color w:val="auto"/>
          <w:sz w:val="18"/>
          <w:szCs w:val="20"/>
          <w:lang w:eastAsia="en-GB"/>
        </w:rPr>
        <w:t>r Cash Management Account (CMA)</w:t>
      </w:r>
      <w:r w:rsidR="0055770A" w:rsidRPr="00AD7DD1">
        <w:rPr>
          <w:rFonts w:ascii="Arial" w:hAnsi="Arial" w:cs="Arial"/>
          <w:color w:val="auto"/>
          <w:sz w:val="18"/>
          <w:szCs w:val="20"/>
          <w:lang w:eastAsia="en-GB"/>
        </w:rPr>
        <w:t xml:space="preserve"> within 90 days</w:t>
      </w:r>
      <w:r w:rsidRPr="00AD7DD1">
        <w:rPr>
          <w:rFonts w:ascii="Arial" w:hAnsi="Arial" w:cs="Arial"/>
          <w:color w:val="auto"/>
          <w:sz w:val="18"/>
          <w:szCs w:val="20"/>
          <w:lang w:eastAsia="en-GB"/>
        </w:rPr>
        <w:t xml:space="preserve"> </w:t>
      </w:r>
      <w:r w:rsidR="00353564">
        <w:rPr>
          <w:rFonts w:ascii="Arial" w:hAnsi="Arial" w:cs="Arial"/>
          <w:color w:val="auto"/>
          <w:sz w:val="18"/>
          <w:szCs w:val="20"/>
          <w:lang w:eastAsia="en-GB"/>
        </w:rPr>
        <w:t xml:space="preserve">following </w:t>
      </w:r>
      <w:r w:rsidRPr="00AD7DD1">
        <w:rPr>
          <w:rFonts w:ascii="Arial" w:hAnsi="Arial" w:cs="Arial"/>
          <w:color w:val="auto"/>
          <w:sz w:val="18"/>
          <w:szCs w:val="20"/>
          <w:lang w:eastAsia="en-GB"/>
        </w:rPr>
        <w:t>closure of the Offer (</w:t>
      </w:r>
      <w:r w:rsidR="00BF5C02">
        <w:rPr>
          <w:rFonts w:ascii="Arial" w:hAnsi="Arial" w:cs="Arial"/>
          <w:color w:val="auto"/>
          <w:sz w:val="18"/>
          <w:szCs w:val="20"/>
          <w:lang w:eastAsia="en-GB"/>
        </w:rPr>
        <w:t>5 April 2026</w:t>
      </w:r>
      <w:r w:rsidR="00C10DCE" w:rsidRPr="00AD7DD1">
        <w:rPr>
          <w:rFonts w:ascii="Arial" w:hAnsi="Arial" w:cs="Arial"/>
          <w:color w:val="auto"/>
          <w:sz w:val="18"/>
          <w:szCs w:val="20"/>
          <w:lang w:eastAsia="en-GB"/>
        </w:rPr>
        <w:t xml:space="preserve">). </w:t>
      </w:r>
      <w:r w:rsidR="00974F58" w:rsidRPr="00AD7DD1">
        <w:rPr>
          <w:rFonts w:ascii="Arial" w:hAnsi="Arial" w:cs="Arial"/>
          <w:color w:val="auto"/>
          <w:sz w:val="18"/>
          <w:szCs w:val="20"/>
          <w:lang w:eastAsia="en-GB"/>
        </w:rPr>
        <w:t xml:space="preserve">If </w:t>
      </w:r>
      <w:r w:rsidR="00990FCF">
        <w:rPr>
          <w:rFonts w:ascii="Arial" w:hAnsi="Arial" w:cs="Arial"/>
          <w:color w:val="auto"/>
          <w:sz w:val="18"/>
          <w:szCs w:val="20"/>
          <w:lang w:eastAsia="en-GB"/>
        </w:rPr>
        <w:t xml:space="preserve">the </w:t>
      </w:r>
      <w:r w:rsidR="00974F58" w:rsidRPr="00AD7DD1">
        <w:rPr>
          <w:rFonts w:ascii="Arial" w:hAnsi="Arial" w:cs="Arial"/>
          <w:color w:val="auto"/>
          <w:sz w:val="18"/>
          <w:szCs w:val="20"/>
          <w:lang w:eastAsia="en-GB"/>
        </w:rPr>
        <w:t xml:space="preserve">transfer </w:t>
      </w:r>
      <w:r w:rsidR="001E1C38">
        <w:rPr>
          <w:rFonts w:ascii="Arial" w:hAnsi="Arial" w:cs="Arial"/>
          <w:color w:val="auto"/>
          <w:sz w:val="18"/>
          <w:szCs w:val="20"/>
          <w:lang w:eastAsia="en-GB"/>
        </w:rPr>
        <w:t xml:space="preserve">of </w:t>
      </w:r>
      <w:proofErr w:type="gramStart"/>
      <w:r w:rsidR="001E1C38">
        <w:rPr>
          <w:rFonts w:ascii="Arial" w:hAnsi="Arial" w:cs="Arial"/>
          <w:color w:val="auto"/>
          <w:sz w:val="18"/>
          <w:szCs w:val="20"/>
          <w:lang w:eastAsia="en-GB"/>
        </w:rPr>
        <w:t>all of</w:t>
      </w:r>
      <w:proofErr w:type="gramEnd"/>
      <w:r w:rsidR="001E1C38">
        <w:rPr>
          <w:rFonts w:ascii="Arial" w:hAnsi="Arial" w:cs="Arial"/>
          <w:color w:val="auto"/>
          <w:sz w:val="18"/>
          <w:szCs w:val="20"/>
          <w:lang w:eastAsia="en-GB"/>
        </w:rPr>
        <w:t xml:space="preserve"> your eligible assets </w:t>
      </w:r>
      <w:r w:rsidR="00974F58" w:rsidRPr="00AD7DD1">
        <w:rPr>
          <w:rFonts w:ascii="Arial" w:hAnsi="Arial" w:cs="Arial"/>
          <w:color w:val="auto"/>
          <w:sz w:val="18"/>
          <w:szCs w:val="20"/>
          <w:lang w:eastAsia="en-GB"/>
        </w:rPr>
        <w:t>ha</w:t>
      </w:r>
      <w:r w:rsidR="00990FCF">
        <w:rPr>
          <w:rFonts w:ascii="Arial" w:hAnsi="Arial" w:cs="Arial"/>
          <w:color w:val="auto"/>
          <w:sz w:val="18"/>
          <w:szCs w:val="20"/>
          <w:lang w:eastAsia="en-GB"/>
        </w:rPr>
        <w:t xml:space="preserve">s </w:t>
      </w:r>
      <w:r w:rsidR="00974F58" w:rsidRPr="00AD7DD1">
        <w:rPr>
          <w:rFonts w:ascii="Arial" w:hAnsi="Arial" w:cs="Arial"/>
          <w:color w:val="auto"/>
          <w:sz w:val="18"/>
          <w:szCs w:val="20"/>
          <w:lang w:eastAsia="en-GB"/>
        </w:rPr>
        <w:t>not completed by then, we will pay within</w:t>
      </w:r>
      <w:r w:rsidRPr="00AD7DD1">
        <w:rPr>
          <w:rFonts w:ascii="Arial" w:hAnsi="Arial" w:cs="Arial"/>
          <w:color w:val="auto"/>
          <w:sz w:val="18"/>
          <w:szCs w:val="20"/>
          <w:lang w:eastAsia="en-GB"/>
        </w:rPr>
        <w:t xml:space="preserve"> 90 days of your </w:t>
      </w:r>
      <w:r w:rsidR="001E1C38">
        <w:rPr>
          <w:rFonts w:ascii="Arial" w:hAnsi="Arial" w:cs="Arial"/>
          <w:color w:val="auto"/>
          <w:sz w:val="18"/>
          <w:szCs w:val="20"/>
          <w:lang w:eastAsia="en-GB"/>
        </w:rPr>
        <w:t>Transfer Date</w:t>
      </w:r>
      <w:r w:rsidR="00832773">
        <w:rPr>
          <w:rFonts w:ascii="Arial" w:hAnsi="Arial" w:cs="Arial"/>
          <w:color w:val="auto"/>
          <w:sz w:val="18"/>
          <w:szCs w:val="20"/>
          <w:lang w:eastAsia="en-GB"/>
        </w:rPr>
        <w:t xml:space="preserve">. </w:t>
      </w:r>
      <w:r w:rsidR="005A324B" w:rsidRPr="00AD7DD1">
        <w:rPr>
          <w:rFonts w:ascii="Arial" w:eastAsia="Times New Roman" w:hAnsi="Arial" w:cs="Arial"/>
          <w:color w:val="auto"/>
          <w:sz w:val="18"/>
          <w:szCs w:val="20"/>
          <w:lang w:eastAsia="en-GB"/>
        </w:rPr>
        <w:t>The CMA is a separate account in your name that helps manage cash</w:t>
      </w:r>
      <w:r w:rsidR="00353564">
        <w:rPr>
          <w:rFonts w:ascii="Arial" w:eastAsia="Times New Roman" w:hAnsi="Arial" w:cs="Arial"/>
          <w:color w:val="auto"/>
          <w:sz w:val="18"/>
          <w:szCs w:val="20"/>
          <w:lang w:eastAsia="en-GB"/>
        </w:rPr>
        <w:t>.</w:t>
      </w:r>
      <w:r w:rsidR="005A324B" w:rsidRPr="00AD7DD1">
        <w:rPr>
          <w:rFonts w:ascii="Arial" w:eastAsia="Times New Roman" w:hAnsi="Arial" w:cs="Arial"/>
          <w:color w:val="auto"/>
          <w:sz w:val="18"/>
          <w:szCs w:val="20"/>
          <w:lang w:eastAsia="en-GB"/>
        </w:rPr>
        <w:t xml:space="preserve"> </w:t>
      </w:r>
      <w:r w:rsidR="00B43CAC" w:rsidRPr="00AD7DD1">
        <w:rPr>
          <w:rFonts w:ascii="Arial" w:hAnsi="Arial" w:cs="Arial"/>
          <w:sz w:val="18"/>
          <w:szCs w:val="18"/>
        </w:rPr>
        <w:t xml:space="preserve">The </w:t>
      </w:r>
      <w:r w:rsidR="00841B7F">
        <w:rPr>
          <w:rFonts w:ascii="Arial" w:hAnsi="Arial" w:cs="Arial"/>
          <w:sz w:val="18"/>
          <w:szCs w:val="18"/>
        </w:rPr>
        <w:t>Cash Back</w:t>
      </w:r>
      <w:r w:rsidR="00353564">
        <w:rPr>
          <w:rFonts w:ascii="Arial" w:hAnsi="Arial" w:cs="Arial"/>
          <w:sz w:val="18"/>
          <w:szCs w:val="18"/>
        </w:rPr>
        <w:t xml:space="preserve"> </w:t>
      </w:r>
      <w:r w:rsidR="00B43CAC" w:rsidRPr="00AD7DD1">
        <w:rPr>
          <w:rFonts w:ascii="Arial" w:hAnsi="Arial" w:cs="Arial"/>
          <w:sz w:val="18"/>
          <w:szCs w:val="18"/>
        </w:rPr>
        <w:t>can be kept in your C</w:t>
      </w:r>
      <w:r w:rsidR="00AE0997">
        <w:rPr>
          <w:rFonts w:ascii="Arial" w:hAnsi="Arial" w:cs="Arial"/>
          <w:sz w:val="18"/>
          <w:szCs w:val="18"/>
        </w:rPr>
        <w:t xml:space="preserve">MA </w:t>
      </w:r>
      <w:r w:rsidR="00B43CAC" w:rsidRPr="00AD7DD1">
        <w:rPr>
          <w:rFonts w:ascii="Arial" w:hAnsi="Arial" w:cs="Arial"/>
          <w:sz w:val="18"/>
          <w:szCs w:val="18"/>
        </w:rPr>
        <w:t>for fee collection, withdrawn or moved into whichever Fidelity Personal Investing account you choose. If moved into an ISA or SIPP, it</w:t>
      </w:r>
      <w:r w:rsidR="00AA2C09" w:rsidRPr="00AD7DD1">
        <w:rPr>
          <w:rFonts w:ascii="Arial" w:hAnsi="Arial" w:cs="Arial"/>
          <w:sz w:val="18"/>
          <w:szCs w:val="18"/>
        </w:rPr>
        <w:t xml:space="preserve"> will </w:t>
      </w:r>
      <w:r w:rsidR="00B43CAC" w:rsidRPr="00AD7DD1">
        <w:rPr>
          <w:rFonts w:ascii="Arial" w:hAnsi="Arial" w:cs="Arial"/>
          <w:sz w:val="18"/>
          <w:szCs w:val="18"/>
        </w:rPr>
        <w:t>count towards your annual allowance.</w:t>
      </w:r>
    </w:p>
    <w:p w14:paraId="5C908CF7" w14:textId="6818B3F3" w:rsidR="007D1094" w:rsidRPr="00E924C2" w:rsidRDefault="005D510E" w:rsidP="003C103F">
      <w:pPr>
        <w:pStyle w:val="Default"/>
        <w:numPr>
          <w:ilvl w:val="0"/>
          <w:numId w:val="1"/>
        </w:numPr>
        <w:spacing w:before="100" w:after="100" w:line="360" w:lineRule="auto"/>
        <w:rPr>
          <w:rFonts w:ascii="Arial" w:eastAsia="Times New Roman" w:hAnsi="Arial" w:cs="Arial"/>
          <w:color w:val="auto"/>
          <w:sz w:val="18"/>
          <w:szCs w:val="20"/>
          <w:lang w:eastAsia="en-GB"/>
        </w:rPr>
      </w:pPr>
      <w:r w:rsidRPr="00AD7DD1">
        <w:rPr>
          <w:rFonts w:ascii="Arial" w:eastAsia="Times New Roman" w:hAnsi="Arial" w:cs="Arial"/>
          <w:color w:val="auto"/>
          <w:sz w:val="18"/>
          <w:szCs w:val="20"/>
          <w:lang w:eastAsia="en-GB"/>
        </w:rPr>
        <w:t>We ask that the</w:t>
      </w:r>
      <w:r w:rsidR="00D03972" w:rsidRPr="00AD7DD1">
        <w:rPr>
          <w:rFonts w:ascii="Arial" w:eastAsia="Times New Roman" w:hAnsi="Arial" w:cs="Arial"/>
          <w:color w:val="auto"/>
          <w:sz w:val="18"/>
          <w:szCs w:val="20"/>
          <w:lang w:eastAsia="en-GB"/>
        </w:rPr>
        <w:t xml:space="preserve"> assets you </w:t>
      </w:r>
      <w:r w:rsidR="00832773">
        <w:rPr>
          <w:rFonts w:ascii="Arial" w:eastAsia="Times New Roman" w:hAnsi="Arial" w:cs="Arial"/>
          <w:color w:val="auto"/>
          <w:sz w:val="18"/>
          <w:szCs w:val="20"/>
          <w:lang w:eastAsia="en-GB"/>
        </w:rPr>
        <w:t xml:space="preserve">contribute or </w:t>
      </w:r>
      <w:r w:rsidR="00D03972" w:rsidRPr="00AD7DD1">
        <w:rPr>
          <w:rFonts w:ascii="Arial" w:eastAsia="Times New Roman" w:hAnsi="Arial" w:cs="Arial"/>
          <w:color w:val="auto"/>
          <w:sz w:val="18"/>
          <w:szCs w:val="20"/>
          <w:lang w:eastAsia="en-GB"/>
        </w:rPr>
        <w:t xml:space="preserve">move to us as part of this Offer be held with us for at least 18 months and must not be linked to </w:t>
      </w:r>
      <w:r w:rsidR="00286AD8">
        <w:rPr>
          <w:rFonts w:ascii="Arial" w:eastAsia="Times New Roman" w:hAnsi="Arial" w:cs="Arial"/>
          <w:color w:val="auto"/>
          <w:sz w:val="18"/>
          <w:szCs w:val="20"/>
          <w:lang w:eastAsia="en-GB"/>
        </w:rPr>
        <w:t>any</w:t>
      </w:r>
      <w:r w:rsidR="00A45529">
        <w:rPr>
          <w:rFonts w:ascii="Arial" w:eastAsia="Times New Roman" w:hAnsi="Arial" w:cs="Arial"/>
          <w:color w:val="auto"/>
          <w:sz w:val="18"/>
          <w:szCs w:val="20"/>
          <w:lang w:eastAsia="en-GB"/>
        </w:rPr>
        <w:t xml:space="preserve"> </w:t>
      </w:r>
      <w:r w:rsidR="00D03972" w:rsidRPr="00AD7DD1">
        <w:rPr>
          <w:rFonts w:ascii="Arial" w:eastAsia="Times New Roman" w:hAnsi="Arial" w:cs="Arial"/>
          <w:color w:val="auto"/>
          <w:sz w:val="18"/>
          <w:szCs w:val="20"/>
          <w:lang w:eastAsia="en-GB"/>
        </w:rPr>
        <w:t xml:space="preserve">adviser </w:t>
      </w:r>
      <w:r w:rsidR="001B0799" w:rsidRPr="00AD7DD1">
        <w:rPr>
          <w:rFonts w:ascii="Arial" w:eastAsia="Times New Roman" w:hAnsi="Arial" w:cs="Arial"/>
          <w:color w:val="auto"/>
          <w:sz w:val="18"/>
          <w:szCs w:val="20"/>
          <w:lang w:eastAsia="en-GB"/>
        </w:rPr>
        <w:t>or intermediary</w:t>
      </w:r>
      <w:r w:rsidR="00286AD8">
        <w:rPr>
          <w:rFonts w:ascii="Arial" w:eastAsia="Times New Roman" w:hAnsi="Arial" w:cs="Arial"/>
          <w:color w:val="auto"/>
          <w:sz w:val="18"/>
          <w:szCs w:val="20"/>
          <w:lang w:eastAsia="en-GB"/>
        </w:rPr>
        <w:t xml:space="preserve"> other than a Fidelity adviser</w:t>
      </w:r>
      <w:r w:rsidR="001B0799" w:rsidRPr="00AD7DD1">
        <w:rPr>
          <w:rFonts w:ascii="Arial" w:eastAsia="Times New Roman" w:hAnsi="Arial" w:cs="Arial"/>
          <w:color w:val="auto"/>
          <w:sz w:val="18"/>
          <w:szCs w:val="20"/>
          <w:lang w:eastAsia="en-GB"/>
        </w:rPr>
        <w:t xml:space="preserve"> </w:t>
      </w:r>
      <w:r w:rsidR="00D03972" w:rsidRPr="00AD7DD1">
        <w:rPr>
          <w:rFonts w:ascii="Arial" w:eastAsia="Times New Roman" w:hAnsi="Arial" w:cs="Arial"/>
          <w:color w:val="auto"/>
          <w:sz w:val="18"/>
          <w:szCs w:val="20"/>
          <w:lang w:eastAsia="en-GB"/>
        </w:rPr>
        <w:t>during this period. If you transfer</w:t>
      </w:r>
      <w:r w:rsidR="00A10FDD" w:rsidRPr="00AD7DD1">
        <w:rPr>
          <w:rFonts w:ascii="Arial" w:eastAsia="Times New Roman" w:hAnsi="Arial" w:cs="Arial"/>
          <w:color w:val="auto"/>
          <w:sz w:val="18"/>
          <w:szCs w:val="20"/>
          <w:lang w:eastAsia="en-GB"/>
        </w:rPr>
        <w:t xml:space="preserve"> or re-</w:t>
      </w:r>
      <w:r w:rsidR="004654FD" w:rsidRPr="00AD7DD1">
        <w:rPr>
          <w:rFonts w:ascii="Arial" w:eastAsia="Times New Roman" w:hAnsi="Arial" w:cs="Arial"/>
          <w:color w:val="auto"/>
          <w:sz w:val="18"/>
          <w:szCs w:val="20"/>
          <w:lang w:eastAsia="en-GB"/>
        </w:rPr>
        <w:t>register</w:t>
      </w:r>
      <w:r w:rsidR="00D03972" w:rsidRPr="00AD7DD1">
        <w:rPr>
          <w:rFonts w:ascii="Arial" w:eastAsia="Times New Roman" w:hAnsi="Arial" w:cs="Arial"/>
          <w:color w:val="auto"/>
          <w:sz w:val="18"/>
          <w:szCs w:val="20"/>
          <w:lang w:eastAsia="en-GB"/>
        </w:rPr>
        <w:t xml:space="preserve"> your assets to another provider within this 18-month period, Fidelity reserves the right to reclaim any </w:t>
      </w:r>
      <w:r w:rsidR="00841B7F">
        <w:rPr>
          <w:rFonts w:ascii="Arial" w:eastAsia="Times New Roman" w:hAnsi="Arial" w:cs="Arial"/>
          <w:color w:val="auto"/>
          <w:sz w:val="18"/>
          <w:szCs w:val="20"/>
          <w:lang w:eastAsia="en-GB"/>
        </w:rPr>
        <w:t>C</w:t>
      </w:r>
      <w:r w:rsidR="00D03972" w:rsidRPr="00AD7DD1">
        <w:rPr>
          <w:rFonts w:ascii="Arial" w:eastAsia="Times New Roman" w:hAnsi="Arial" w:cs="Arial"/>
          <w:color w:val="auto"/>
          <w:sz w:val="18"/>
          <w:szCs w:val="20"/>
          <w:lang w:eastAsia="en-GB"/>
        </w:rPr>
        <w:t>ash</w:t>
      </w:r>
      <w:r w:rsidR="00D03972" w:rsidRPr="00E924C2">
        <w:rPr>
          <w:rFonts w:ascii="Arial" w:eastAsia="Times New Roman" w:hAnsi="Arial" w:cs="Arial"/>
          <w:color w:val="auto"/>
          <w:sz w:val="18"/>
          <w:szCs w:val="20"/>
          <w:lang w:eastAsia="en-GB"/>
        </w:rPr>
        <w:t xml:space="preserve"> </w:t>
      </w:r>
      <w:r w:rsidR="00841B7F">
        <w:rPr>
          <w:rFonts w:ascii="Arial" w:eastAsia="Times New Roman" w:hAnsi="Arial" w:cs="Arial"/>
          <w:color w:val="auto"/>
          <w:sz w:val="18"/>
          <w:szCs w:val="20"/>
          <w:lang w:eastAsia="en-GB"/>
        </w:rPr>
        <w:t>B</w:t>
      </w:r>
      <w:r w:rsidR="00D03972" w:rsidRPr="00E924C2">
        <w:rPr>
          <w:rFonts w:ascii="Arial" w:eastAsia="Times New Roman" w:hAnsi="Arial" w:cs="Arial"/>
          <w:color w:val="auto"/>
          <w:sz w:val="18"/>
          <w:szCs w:val="20"/>
          <w:lang w:eastAsia="en-GB"/>
        </w:rPr>
        <w:t xml:space="preserve">ack payment that was made to you as part of this Offer. </w:t>
      </w:r>
      <w:r w:rsidR="00841B7F">
        <w:rPr>
          <w:rFonts w:ascii="Arial" w:eastAsia="Times New Roman" w:hAnsi="Arial" w:cs="Arial"/>
          <w:color w:val="auto"/>
          <w:sz w:val="18"/>
          <w:szCs w:val="20"/>
          <w:lang w:eastAsia="en-GB"/>
        </w:rPr>
        <w:t xml:space="preserve">For the avoidance doubt, if during this period you link to a Fidelity adviser and your assets are transferred to </w:t>
      </w:r>
      <w:r w:rsidR="00841B7F" w:rsidRPr="001E1654">
        <w:rPr>
          <w:rFonts w:ascii="Arial" w:eastAsia="Times New Roman" w:hAnsi="Arial" w:cs="Arial"/>
          <w:color w:val="auto"/>
          <w:sz w:val="18"/>
          <w:szCs w:val="20"/>
          <w:lang w:eastAsia="en-GB"/>
        </w:rPr>
        <w:t>Fidelity</w:t>
      </w:r>
      <w:r w:rsidR="00E0394F" w:rsidRPr="001E1654">
        <w:rPr>
          <w:rFonts w:ascii="Arial" w:eastAsia="Times New Roman" w:hAnsi="Arial" w:cs="Arial"/>
          <w:color w:val="auto"/>
          <w:sz w:val="18"/>
          <w:szCs w:val="20"/>
          <w:lang w:eastAsia="en-GB"/>
        </w:rPr>
        <w:t xml:space="preserve"> Adviser </w:t>
      </w:r>
      <w:r w:rsidR="0030427C" w:rsidRPr="001E1654">
        <w:rPr>
          <w:rFonts w:ascii="Arial" w:eastAsia="Times New Roman" w:hAnsi="Arial" w:cs="Arial"/>
          <w:color w:val="auto"/>
          <w:sz w:val="18"/>
          <w:szCs w:val="20"/>
          <w:lang w:eastAsia="en-GB"/>
        </w:rPr>
        <w:t>S</w:t>
      </w:r>
      <w:r w:rsidR="00E0394F" w:rsidRPr="001E1654">
        <w:rPr>
          <w:rFonts w:ascii="Arial" w:eastAsia="Times New Roman" w:hAnsi="Arial" w:cs="Arial"/>
          <w:color w:val="auto"/>
          <w:sz w:val="18"/>
          <w:szCs w:val="20"/>
          <w:lang w:eastAsia="en-GB"/>
        </w:rPr>
        <w:t>olutions (formerly</w:t>
      </w:r>
      <w:r w:rsidR="00E0394F" w:rsidRPr="001E1654">
        <w:t xml:space="preserve"> </w:t>
      </w:r>
      <w:r w:rsidR="00841B7F" w:rsidRPr="001E1654">
        <w:rPr>
          <w:rFonts w:ascii="Arial" w:eastAsia="Times New Roman" w:hAnsi="Arial" w:cs="Arial"/>
          <w:color w:val="auto"/>
          <w:sz w:val="18"/>
          <w:szCs w:val="20"/>
          <w:lang w:eastAsia="en-GB"/>
        </w:rPr>
        <w:t>FundsNetwork</w:t>
      </w:r>
      <w:r w:rsidR="00E0394F" w:rsidRPr="001E1654">
        <w:rPr>
          <w:rFonts w:ascii="Arial" w:eastAsia="Times New Roman" w:hAnsi="Arial" w:cs="Arial"/>
          <w:color w:val="auto"/>
          <w:sz w:val="18"/>
          <w:szCs w:val="20"/>
          <w:lang w:eastAsia="en-GB"/>
        </w:rPr>
        <w:t>) t</w:t>
      </w:r>
      <w:r w:rsidR="00841B7F" w:rsidRPr="001E1654">
        <w:rPr>
          <w:rFonts w:ascii="Arial" w:eastAsia="Times New Roman" w:hAnsi="Arial" w:cs="Arial"/>
          <w:color w:val="auto"/>
          <w:sz w:val="18"/>
          <w:szCs w:val="20"/>
          <w:lang w:eastAsia="en-GB"/>
        </w:rPr>
        <w:t xml:space="preserve">his does not constitute a transfer to another provider. </w:t>
      </w:r>
      <w:r w:rsidR="00D03972" w:rsidRPr="001E1654">
        <w:rPr>
          <w:rFonts w:ascii="Arial" w:eastAsia="Times New Roman" w:hAnsi="Arial" w:cs="Arial"/>
          <w:color w:val="auto"/>
          <w:sz w:val="18"/>
          <w:szCs w:val="20"/>
          <w:lang w:eastAsia="en-GB"/>
        </w:rPr>
        <w:t xml:space="preserve">Fidelity </w:t>
      </w:r>
      <w:r w:rsidR="0029080F">
        <w:rPr>
          <w:rFonts w:ascii="Arial" w:eastAsia="Times New Roman" w:hAnsi="Arial" w:cs="Arial"/>
          <w:color w:val="auto"/>
          <w:sz w:val="18"/>
          <w:szCs w:val="20"/>
          <w:lang w:eastAsia="en-GB"/>
        </w:rPr>
        <w:t xml:space="preserve">may </w:t>
      </w:r>
      <w:r w:rsidR="00841B7F" w:rsidRPr="001E1654">
        <w:rPr>
          <w:rFonts w:ascii="Arial" w:eastAsia="Times New Roman" w:hAnsi="Arial" w:cs="Arial"/>
          <w:color w:val="auto"/>
          <w:sz w:val="18"/>
          <w:szCs w:val="20"/>
          <w:lang w:eastAsia="en-GB"/>
        </w:rPr>
        <w:t>reclaim any Cash Back</w:t>
      </w:r>
      <w:r w:rsidR="00D03972" w:rsidRPr="001E1654">
        <w:rPr>
          <w:rFonts w:ascii="Arial" w:eastAsia="Times New Roman" w:hAnsi="Arial" w:cs="Arial"/>
          <w:color w:val="auto"/>
          <w:sz w:val="18"/>
          <w:szCs w:val="20"/>
          <w:lang w:eastAsia="en-GB"/>
        </w:rPr>
        <w:t xml:space="preserve"> by withholding an amount prior to transferring or re-registering your assets to another provider. We will not reclaim </w:t>
      </w:r>
      <w:r w:rsidR="00841B7F" w:rsidRPr="001E1654">
        <w:rPr>
          <w:rFonts w:ascii="Arial" w:eastAsia="Times New Roman" w:hAnsi="Arial" w:cs="Arial"/>
          <w:color w:val="auto"/>
          <w:sz w:val="18"/>
          <w:szCs w:val="20"/>
          <w:lang w:eastAsia="en-GB"/>
        </w:rPr>
        <w:t>any</w:t>
      </w:r>
      <w:r w:rsidR="00D03972" w:rsidRPr="001E1654">
        <w:rPr>
          <w:rFonts w:ascii="Arial" w:eastAsia="Times New Roman" w:hAnsi="Arial" w:cs="Arial"/>
          <w:color w:val="auto"/>
          <w:sz w:val="18"/>
          <w:szCs w:val="20"/>
          <w:lang w:eastAsia="en-GB"/>
        </w:rPr>
        <w:t xml:space="preserve"> </w:t>
      </w:r>
      <w:r w:rsidR="00841B7F" w:rsidRPr="001E1654">
        <w:rPr>
          <w:rFonts w:ascii="Arial" w:eastAsia="Times New Roman" w:hAnsi="Arial" w:cs="Arial"/>
          <w:color w:val="auto"/>
          <w:sz w:val="18"/>
          <w:szCs w:val="20"/>
          <w:lang w:eastAsia="en-GB"/>
        </w:rPr>
        <w:t>C</w:t>
      </w:r>
      <w:r w:rsidR="00D03972" w:rsidRPr="001E1654">
        <w:rPr>
          <w:rFonts w:ascii="Arial" w:eastAsia="Times New Roman" w:hAnsi="Arial" w:cs="Arial"/>
          <w:color w:val="auto"/>
          <w:sz w:val="18"/>
          <w:szCs w:val="20"/>
          <w:lang w:eastAsia="en-GB"/>
        </w:rPr>
        <w:t xml:space="preserve">ash </w:t>
      </w:r>
      <w:r w:rsidR="009A7894" w:rsidRPr="001E1654">
        <w:rPr>
          <w:rFonts w:ascii="Arial" w:eastAsia="Times New Roman" w:hAnsi="Arial" w:cs="Arial"/>
          <w:color w:val="auto"/>
          <w:sz w:val="18"/>
          <w:szCs w:val="20"/>
          <w:lang w:eastAsia="en-GB"/>
        </w:rPr>
        <w:t>Back from</w:t>
      </w:r>
      <w:r w:rsidR="00D03972" w:rsidRPr="001E1654">
        <w:rPr>
          <w:rFonts w:ascii="Arial" w:eastAsia="Times New Roman" w:hAnsi="Arial" w:cs="Arial"/>
          <w:color w:val="auto"/>
          <w:sz w:val="18"/>
          <w:szCs w:val="20"/>
          <w:lang w:eastAsia="en-GB"/>
        </w:rPr>
        <w:t xml:space="preserve"> assets within a SIPP, </w:t>
      </w:r>
      <w:r w:rsidR="00CB0872" w:rsidRPr="001E1654">
        <w:rPr>
          <w:rFonts w:ascii="Arial" w:eastAsia="Times New Roman" w:hAnsi="Arial" w:cs="Arial"/>
          <w:color w:val="auto"/>
          <w:sz w:val="18"/>
          <w:szCs w:val="20"/>
          <w:lang w:eastAsia="en-GB"/>
        </w:rPr>
        <w:t xml:space="preserve">other </w:t>
      </w:r>
      <w:r w:rsidR="00D03972" w:rsidRPr="001E1654">
        <w:rPr>
          <w:rFonts w:ascii="Arial" w:eastAsia="Times New Roman" w:hAnsi="Arial" w:cs="Arial"/>
          <w:color w:val="auto"/>
          <w:sz w:val="18"/>
          <w:szCs w:val="20"/>
          <w:lang w:eastAsia="en-GB"/>
        </w:rPr>
        <w:t>pension or ISA.</w:t>
      </w:r>
      <w:r w:rsidR="00D03972" w:rsidRPr="00E924C2">
        <w:rPr>
          <w:rFonts w:ascii="Arial" w:eastAsia="Times New Roman" w:hAnsi="Arial" w:cs="Arial"/>
          <w:color w:val="auto"/>
          <w:sz w:val="18"/>
          <w:szCs w:val="20"/>
          <w:lang w:eastAsia="en-GB"/>
        </w:rPr>
        <w:t xml:space="preserve"> Withdrawals from your account/s or income payment will not</w:t>
      </w:r>
      <w:r w:rsidR="00AA2C09">
        <w:rPr>
          <w:rFonts w:ascii="Arial" w:eastAsia="Times New Roman" w:hAnsi="Arial" w:cs="Arial"/>
          <w:color w:val="auto"/>
          <w:sz w:val="18"/>
          <w:szCs w:val="20"/>
          <w:lang w:eastAsia="en-GB"/>
        </w:rPr>
        <w:t xml:space="preserve"> </w:t>
      </w:r>
      <w:r w:rsidR="00D03972" w:rsidRPr="00E924C2">
        <w:rPr>
          <w:rFonts w:ascii="Arial" w:eastAsia="Times New Roman" w:hAnsi="Arial" w:cs="Arial"/>
          <w:color w:val="auto"/>
          <w:sz w:val="18"/>
          <w:szCs w:val="20"/>
          <w:lang w:eastAsia="en-GB"/>
        </w:rPr>
        <w:t>count as transfers for the purposes of this condition and will not result in our reclaiming your cash back payment.</w:t>
      </w:r>
    </w:p>
    <w:p w14:paraId="5B723BEE" w14:textId="77777777" w:rsidR="003C103F" w:rsidRDefault="003C103F" w:rsidP="007D1094">
      <w:pPr>
        <w:pStyle w:val="Default"/>
        <w:spacing w:before="100" w:after="100" w:line="360" w:lineRule="auto"/>
        <w:rPr>
          <w:rFonts w:ascii="Arial" w:hAnsi="Arial" w:cs="Arial"/>
          <w:color w:val="auto"/>
          <w:sz w:val="18"/>
          <w:lang w:eastAsia="en-GB"/>
        </w:rPr>
      </w:pPr>
    </w:p>
    <w:p w14:paraId="307CBAD9" w14:textId="5D97523F" w:rsidR="007D1094" w:rsidRDefault="007D1094" w:rsidP="007D1094">
      <w:pPr>
        <w:pStyle w:val="Default"/>
        <w:spacing w:before="100" w:after="100" w:line="360" w:lineRule="auto"/>
        <w:rPr>
          <w:rFonts w:ascii="Arial" w:hAnsi="Arial" w:cs="Arial"/>
          <w:color w:val="auto"/>
          <w:sz w:val="18"/>
          <w:lang w:eastAsia="en-GB"/>
        </w:rPr>
      </w:pPr>
      <w:r w:rsidRPr="00E924C2">
        <w:rPr>
          <w:rFonts w:ascii="Arial" w:hAnsi="Arial" w:cs="Arial"/>
          <w:color w:val="auto"/>
          <w:sz w:val="18"/>
          <w:lang w:eastAsia="en-GB"/>
        </w:rPr>
        <w:t>We promote offers on a regular basis. However</w:t>
      </w:r>
      <w:r w:rsidR="00AD7DD1">
        <w:rPr>
          <w:rFonts w:ascii="Arial" w:hAnsi="Arial" w:cs="Arial"/>
          <w:color w:val="auto"/>
          <w:sz w:val="18"/>
          <w:lang w:eastAsia="en-GB"/>
        </w:rPr>
        <w:t>,</w:t>
      </w:r>
      <w:r w:rsidRPr="00E924C2">
        <w:rPr>
          <w:rFonts w:ascii="Arial" w:hAnsi="Arial" w:cs="Arial"/>
          <w:color w:val="auto"/>
          <w:sz w:val="18"/>
          <w:lang w:eastAsia="en-GB"/>
        </w:rPr>
        <w:t xml:space="preserve"> it is important that you take enough time to decide whether </w:t>
      </w:r>
      <w:r w:rsidR="00DA3785">
        <w:rPr>
          <w:rFonts w:ascii="Arial" w:hAnsi="Arial" w:cs="Arial"/>
          <w:color w:val="auto"/>
          <w:sz w:val="18"/>
          <w:lang w:eastAsia="en-GB"/>
        </w:rPr>
        <w:t xml:space="preserve">making </w:t>
      </w:r>
      <w:r w:rsidR="00ED6B9D">
        <w:rPr>
          <w:rFonts w:ascii="Arial" w:hAnsi="Arial" w:cs="Arial"/>
          <w:color w:val="auto"/>
          <w:sz w:val="18"/>
          <w:lang w:eastAsia="en-GB"/>
        </w:rPr>
        <w:t xml:space="preserve">a lump sum contribution or </w:t>
      </w:r>
      <w:r w:rsidRPr="00E924C2">
        <w:rPr>
          <w:rFonts w:ascii="Arial" w:hAnsi="Arial" w:cs="Arial"/>
          <w:color w:val="auto"/>
          <w:sz w:val="18"/>
          <w:lang w:eastAsia="en-GB"/>
        </w:rPr>
        <w:t xml:space="preserve">transferring your </w:t>
      </w:r>
      <w:r w:rsidR="00B53287">
        <w:rPr>
          <w:rFonts w:ascii="Arial" w:hAnsi="Arial" w:cs="Arial"/>
          <w:color w:val="auto"/>
          <w:sz w:val="18"/>
          <w:lang w:eastAsia="en-GB"/>
        </w:rPr>
        <w:t>investment</w:t>
      </w:r>
      <w:r w:rsidR="0080115D">
        <w:rPr>
          <w:rFonts w:ascii="Arial" w:hAnsi="Arial" w:cs="Arial"/>
          <w:color w:val="auto"/>
          <w:sz w:val="18"/>
          <w:lang w:eastAsia="en-GB"/>
        </w:rPr>
        <w:t>(s)</w:t>
      </w:r>
      <w:r w:rsidR="00B53287">
        <w:rPr>
          <w:rFonts w:ascii="Arial" w:hAnsi="Arial" w:cs="Arial"/>
          <w:color w:val="auto"/>
          <w:sz w:val="18"/>
          <w:lang w:eastAsia="en-GB"/>
        </w:rPr>
        <w:t xml:space="preserve"> to us </w:t>
      </w:r>
      <w:r w:rsidRPr="00E924C2">
        <w:rPr>
          <w:rFonts w:ascii="Arial" w:hAnsi="Arial" w:cs="Arial"/>
          <w:color w:val="auto"/>
          <w:sz w:val="18"/>
          <w:lang w:eastAsia="en-GB"/>
        </w:rPr>
        <w:t xml:space="preserve">is right for you. If you need more time and wish to qualify for </w:t>
      </w:r>
      <w:r w:rsidR="008F7D80">
        <w:rPr>
          <w:rFonts w:ascii="Arial" w:hAnsi="Arial" w:cs="Arial"/>
          <w:color w:val="auto"/>
          <w:sz w:val="18"/>
          <w:lang w:eastAsia="en-GB"/>
        </w:rPr>
        <w:t xml:space="preserve">an </w:t>
      </w:r>
      <w:r w:rsidRPr="00E924C2">
        <w:rPr>
          <w:rFonts w:ascii="Arial" w:hAnsi="Arial" w:cs="Arial"/>
          <w:color w:val="auto"/>
          <w:sz w:val="18"/>
          <w:lang w:eastAsia="en-GB"/>
        </w:rPr>
        <w:t xml:space="preserve">offer, please wait until the next offer period. </w:t>
      </w:r>
    </w:p>
    <w:p w14:paraId="2A538A01" w14:textId="77777777" w:rsidR="007B7F54" w:rsidRPr="00E924C2" w:rsidRDefault="007B7F54" w:rsidP="007D1094">
      <w:pPr>
        <w:pStyle w:val="Default"/>
        <w:spacing w:before="100" w:after="100" w:line="360" w:lineRule="auto"/>
        <w:rPr>
          <w:rFonts w:ascii="Arial" w:hAnsi="Arial" w:cs="Arial"/>
          <w:color w:val="auto"/>
          <w:sz w:val="18"/>
          <w:lang w:eastAsia="en-GB"/>
        </w:rPr>
      </w:pPr>
    </w:p>
    <w:p w14:paraId="3C18DC84" w14:textId="4AF4A619" w:rsidR="00A039DE" w:rsidRDefault="00E51ADB" w:rsidP="007D1094">
      <w:pPr>
        <w:pStyle w:val="Default"/>
        <w:spacing w:before="100" w:after="100" w:line="360" w:lineRule="auto"/>
        <w:rPr>
          <w:rFonts w:ascii="Arial" w:eastAsia="Times New Roman" w:hAnsi="Arial" w:cs="Arial"/>
          <w:color w:val="auto"/>
          <w:sz w:val="18"/>
          <w:szCs w:val="20"/>
          <w:lang w:eastAsia="en-GB"/>
        </w:rPr>
      </w:pPr>
      <w:r w:rsidRPr="00E924C2">
        <w:rPr>
          <w:rFonts w:ascii="Arial" w:eastAsia="Times New Roman" w:hAnsi="Arial" w:cs="Arial"/>
          <w:color w:val="auto"/>
          <w:sz w:val="18"/>
          <w:szCs w:val="20"/>
          <w:lang w:eastAsia="en-GB"/>
        </w:rPr>
        <w:t>Issued by Financial Administration Services Limited, which is authorised and regulated in the UK by the Financial Conduct Authority. Fidelity, Fidelity International, the Fidelity Intern</w:t>
      </w:r>
      <w:r w:rsidR="007D1094" w:rsidRPr="00E924C2">
        <w:rPr>
          <w:rFonts w:ascii="Arial" w:eastAsia="Times New Roman" w:hAnsi="Arial" w:cs="Arial"/>
          <w:color w:val="auto"/>
          <w:sz w:val="18"/>
          <w:szCs w:val="20"/>
          <w:lang w:eastAsia="en-GB"/>
        </w:rPr>
        <w:t>ational logo and the F symbol ar</w:t>
      </w:r>
      <w:r w:rsidRPr="00E924C2">
        <w:rPr>
          <w:rFonts w:ascii="Arial" w:eastAsia="Times New Roman" w:hAnsi="Arial" w:cs="Arial"/>
          <w:color w:val="auto"/>
          <w:sz w:val="18"/>
          <w:szCs w:val="20"/>
          <w:lang w:eastAsia="en-GB"/>
        </w:rPr>
        <w:t>e trademarks of FIL Limited.</w:t>
      </w:r>
    </w:p>
    <w:p w14:paraId="20D08AF2" w14:textId="77777777" w:rsidR="00513359" w:rsidRDefault="00513359" w:rsidP="007D1094">
      <w:pPr>
        <w:pStyle w:val="Default"/>
        <w:spacing w:before="100" w:after="100" w:line="360" w:lineRule="auto"/>
        <w:rPr>
          <w:rFonts w:ascii="Arial" w:eastAsia="Times New Roman" w:hAnsi="Arial" w:cs="Arial"/>
          <w:color w:val="auto"/>
          <w:sz w:val="18"/>
          <w:szCs w:val="20"/>
          <w:lang w:eastAsia="en-GB"/>
        </w:rPr>
      </w:pPr>
    </w:p>
    <w:p w14:paraId="7EA7A659" w14:textId="6077FBA7" w:rsidR="003942A5" w:rsidRPr="00A2215B" w:rsidRDefault="00BF5C02" w:rsidP="00A2215B">
      <w:pPr>
        <w:rPr>
          <w:rFonts w:ascii="Arial" w:hAnsi="Arial" w:cs="Arial"/>
          <w:sz w:val="18"/>
          <w:szCs w:val="18"/>
        </w:rPr>
      </w:pPr>
      <w:r w:rsidRPr="00247173">
        <w:rPr>
          <w:rFonts w:ascii="Arial" w:hAnsi="Arial" w:cs="Arial"/>
          <w:sz w:val="18"/>
          <w:szCs w:val="18"/>
        </w:rPr>
        <w:t>UKM</w:t>
      </w:r>
      <w:r>
        <w:rPr>
          <w:rFonts w:ascii="Arial" w:hAnsi="Arial" w:cs="Arial"/>
          <w:sz w:val="18"/>
          <w:szCs w:val="18"/>
        </w:rPr>
        <w:t>1125</w:t>
      </w:r>
      <w:r w:rsidR="00B53287" w:rsidRPr="00247173">
        <w:rPr>
          <w:rFonts w:ascii="Arial" w:hAnsi="Arial" w:cs="Arial"/>
          <w:sz w:val="18"/>
          <w:szCs w:val="18"/>
        </w:rPr>
        <w:t>/</w:t>
      </w:r>
      <w:r w:rsidR="001E38C7">
        <w:rPr>
          <w:rFonts w:ascii="Arial" w:hAnsi="Arial" w:cs="Arial"/>
          <w:sz w:val="18"/>
          <w:szCs w:val="18"/>
        </w:rPr>
        <w:t>415967</w:t>
      </w:r>
      <w:r w:rsidR="006465D5" w:rsidRPr="00247173">
        <w:rPr>
          <w:rFonts w:ascii="Arial" w:hAnsi="Arial" w:cs="Arial"/>
          <w:sz w:val="18"/>
          <w:szCs w:val="18"/>
        </w:rPr>
        <w:t>/</w:t>
      </w:r>
      <w:r w:rsidR="00A91B85" w:rsidRPr="00A91B85">
        <w:rPr>
          <w:rFonts w:ascii="Arial" w:hAnsi="Arial" w:cs="Arial"/>
          <w:sz w:val="18"/>
          <w:szCs w:val="18"/>
        </w:rPr>
        <w:t>CSO13119/050426</w:t>
      </w:r>
    </w:p>
    <w:sectPr w:rsidR="003942A5" w:rsidRPr="00A221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899E" w14:textId="77777777" w:rsidR="0003019C" w:rsidRDefault="0003019C" w:rsidP="00177F00">
      <w:pPr>
        <w:spacing w:after="0" w:line="240" w:lineRule="auto"/>
      </w:pPr>
      <w:r>
        <w:separator/>
      </w:r>
    </w:p>
  </w:endnote>
  <w:endnote w:type="continuationSeparator" w:id="0">
    <w:p w14:paraId="1F7BC6B6" w14:textId="77777777" w:rsidR="0003019C" w:rsidRDefault="0003019C" w:rsidP="0017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E4A0" w14:textId="77777777" w:rsidR="0003019C" w:rsidRDefault="0003019C" w:rsidP="00177F00">
      <w:pPr>
        <w:spacing w:after="0" w:line="240" w:lineRule="auto"/>
      </w:pPr>
      <w:r>
        <w:separator/>
      </w:r>
    </w:p>
  </w:footnote>
  <w:footnote w:type="continuationSeparator" w:id="0">
    <w:p w14:paraId="672CCA1C" w14:textId="77777777" w:rsidR="0003019C" w:rsidRDefault="0003019C" w:rsidP="00177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17E"/>
    <w:multiLevelType w:val="hybridMultilevel"/>
    <w:tmpl w:val="31444ECE"/>
    <w:lvl w:ilvl="0" w:tplc="0809000F">
      <w:start w:val="1"/>
      <w:numFmt w:val="decimal"/>
      <w:lvlText w:val="%1."/>
      <w:lvlJc w:val="left"/>
      <w:pPr>
        <w:ind w:left="720" w:hanging="360"/>
      </w:pPr>
      <w:rPr>
        <w:rFonts w:eastAsia="Times New Roman"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A981E06"/>
    <w:multiLevelType w:val="hybridMultilevel"/>
    <w:tmpl w:val="6F523886"/>
    <w:lvl w:ilvl="0" w:tplc="0809000F">
      <w:start w:val="1"/>
      <w:numFmt w:val="decimal"/>
      <w:lvlText w:val="%1."/>
      <w:lvlJc w:val="left"/>
      <w:pPr>
        <w:ind w:left="720" w:hanging="360"/>
      </w:pPr>
      <w:rPr>
        <w:rFonts w:hint="default"/>
      </w:rPr>
    </w:lvl>
    <w:lvl w:ilvl="1" w:tplc="DB2819AC">
      <w:start w:val="1"/>
      <w:numFmt w:val="lowerLetter"/>
      <w:lvlText w:val="%2."/>
      <w:lvlJc w:val="left"/>
      <w:pPr>
        <w:ind w:left="1211"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E51494"/>
    <w:multiLevelType w:val="hybridMultilevel"/>
    <w:tmpl w:val="5AA84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60EA8"/>
    <w:multiLevelType w:val="hybridMultilevel"/>
    <w:tmpl w:val="AF6A1E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D2404"/>
    <w:multiLevelType w:val="hybridMultilevel"/>
    <w:tmpl w:val="23D04B90"/>
    <w:lvl w:ilvl="0" w:tplc="B57862E4">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FA7B8A"/>
    <w:multiLevelType w:val="hybridMultilevel"/>
    <w:tmpl w:val="31444ECE"/>
    <w:lvl w:ilvl="0" w:tplc="0809000F">
      <w:start w:val="1"/>
      <w:numFmt w:val="decimal"/>
      <w:lvlText w:val="%1."/>
      <w:lvlJc w:val="left"/>
      <w:pPr>
        <w:ind w:left="720" w:hanging="360"/>
      </w:pPr>
      <w:rPr>
        <w:rFonts w:eastAsia="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D56B7B"/>
    <w:multiLevelType w:val="hybridMultilevel"/>
    <w:tmpl w:val="37C4B1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1EA1784"/>
    <w:multiLevelType w:val="hybridMultilevel"/>
    <w:tmpl w:val="59E06212"/>
    <w:lvl w:ilvl="0" w:tplc="79BCB42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71484699">
    <w:abstractNumId w:val="1"/>
  </w:num>
  <w:num w:numId="2" w16cid:durableId="1146973336">
    <w:abstractNumId w:val="5"/>
  </w:num>
  <w:num w:numId="3" w16cid:durableId="2119639626">
    <w:abstractNumId w:val="7"/>
  </w:num>
  <w:num w:numId="4" w16cid:durableId="1903246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3395022">
    <w:abstractNumId w:val="0"/>
  </w:num>
  <w:num w:numId="6" w16cid:durableId="516968521">
    <w:abstractNumId w:val="2"/>
  </w:num>
  <w:num w:numId="7" w16cid:durableId="1043020460">
    <w:abstractNumId w:val="3"/>
  </w:num>
  <w:num w:numId="8" w16cid:durableId="61028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151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972"/>
    <w:rsid w:val="00001E20"/>
    <w:rsid w:val="00007527"/>
    <w:rsid w:val="00011440"/>
    <w:rsid w:val="00014753"/>
    <w:rsid w:val="000223FF"/>
    <w:rsid w:val="00026856"/>
    <w:rsid w:val="0003019C"/>
    <w:rsid w:val="0003064A"/>
    <w:rsid w:val="00032542"/>
    <w:rsid w:val="000404B2"/>
    <w:rsid w:val="00043CCC"/>
    <w:rsid w:val="000519AA"/>
    <w:rsid w:val="00055957"/>
    <w:rsid w:val="00056017"/>
    <w:rsid w:val="0005618D"/>
    <w:rsid w:val="000611C1"/>
    <w:rsid w:val="00065C42"/>
    <w:rsid w:val="00066282"/>
    <w:rsid w:val="000663B9"/>
    <w:rsid w:val="000667DF"/>
    <w:rsid w:val="0007433B"/>
    <w:rsid w:val="000831A0"/>
    <w:rsid w:val="00084A91"/>
    <w:rsid w:val="00091FD6"/>
    <w:rsid w:val="000A266A"/>
    <w:rsid w:val="000A2739"/>
    <w:rsid w:val="000A292E"/>
    <w:rsid w:val="000A44FC"/>
    <w:rsid w:val="000A7B9A"/>
    <w:rsid w:val="000B208E"/>
    <w:rsid w:val="000B4107"/>
    <w:rsid w:val="000B4495"/>
    <w:rsid w:val="000C1238"/>
    <w:rsid w:val="000C334E"/>
    <w:rsid w:val="000C381F"/>
    <w:rsid w:val="000C63D0"/>
    <w:rsid w:val="000C7382"/>
    <w:rsid w:val="000D0A12"/>
    <w:rsid w:val="000D728A"/>
    <w:rsid w:val="000E2D77"/>
    <w:rsid w:val="000E5392"/>
    <w:rsid w:val="000E7967"/>
    <w:rsid w:val="000E7DC3"/>
    <w:rsid w:val="000F2E4D"/>
    <w:rsid w:val="000F773A"/>
    <w:rsid w:val="00100A76"/>
    <w:rsid w:val="001120C0"/>
    <w:rsid w:val="00117209"/>
    <w:rsid w:val="00125530"/>
    <w:rsid w:val="0013138B"/>
    <w:rsid w:val="00144631"/>
    <w:rsid w:val="00150F8B"/>
    <w:rsid w:val="001579B4"/>
    <w:rsid w:val="00161ADC"/>
    <w:rsid w:val="001664EB"/>
    <w:rsid w:val="00170A30"/>
    <w:rsid w:val="00177F00"/>
    <w:rsid w:val="0018041E"/>
    <w:rsid w:val="00182926"/>
    <w:rsid w:val="001A1B90"/>
    <w:rsid w:val="001A205F"/>
    <w:rsid w:val="001B0799"/>
    <w:rsid w:val="001B7291"/>
    <w:rsid w:val="001C19D8"/>
    <w:rsid w:val="001C62D3"/>
    <w:rsid w:val="001D2A2A"/>
    <w:rsid w:val="001E1654"/>
    <w:rsid w:val="001E1C38"/>
    <w:rsid w:val="001E251F"/>
    <w:rsid w:val="001E38C7"/>
    <w:rsid w:val="001E7586"/>
    <w:rsid w:val="001F4067"/>
    <w:rsid w:val="001F43D5"/>
    <w:rsid w:val="001F5DF8"/>
    <w:rsid w:val="00204EBA"/>
    <w:rsid w:val="0021692E"/>
    <w:rsid w:val="0022227E"/>
    <w:rsid w:val="0022367D"/>
    <w:rsid w:val="00226DE2"/>
    <w:rsid w:val="00230C02"/>
    <w:rsid w:val="00233971"/>
    <w:rsid w:val="00236946"/>
    <w:rsid w:val="00247173"/>
    <w:rsid w:val="00250188"/>
    <w:rsid w:val="00265BE0"/>
    <w:rsid w:val="0027010C"/>
    <w:rsid w:val="0027142E"/>
    <w:rsid w:val="002728C5"/>
    <w:rsid w:val="00285D95"/>
    <w:rsid w:val="00286AD8"/>
    <w:rsid w:val="0029080F"/>
    <w:rsid w:val="002913D2"/>
    <w:rsid w:val="0029465E"/>
    <w:rsid w:val="002B173A"/>
    <w:rsid w:val="002C08AB"/>
    <w:rsid w:val="002D32E1"/>
    <w:rsid w:val="002E5321"/>
    <w:rsid w:val="002F6F52"/>
    <w:rsid w:val="00300311"/>
    <w:rsid w:val="0030427C"/>
    <w:rsid w:val="00316C79"/>
    <w:rsid w:val="0032760C"/>
    <w:rsid w:val="00330EC5"/>
    <w:rsid w:val="00333CDB"/>
    <w:rsid w:val="00334251"/>
    <w:rsid w:val="003349DD"/>
    <w:rsid w:val="003458D3"/>
    <w:rsid w:val="00347120"/>
    <w:rsid w:val="00353564"/>
    <w:rsid w:val="00354046"/>
    <w:rsid w:val="0035728D"/>
    <w:rsid w:val="003631EB"/>
    <w:rsid w:val="00372932"/>
    <w:rsid w:val="0038608B"/>
    <w:rsid w:val="003942A5"/>
    <w:rsid w:val="003B1F5E"/>
    <w:rsid w:val="003B3115"/>
    <w:rsid w:val="003C103F"/>
    <w:rsid w:val="003C57B2"/>
    <w:rsid w:val="003C5E4F"/>
    <w:rsid w:val="003D3BE0"/>
    <w:rsid w:val="003D50DB"/>
    <w:rsid w:val="003D537C"/>
    <w:rsid w:val="003E5FB9"/>
    <w:rsid w:val="003E6550"/>
    <w:rsid w:val="003E66E4"/>
    <w:rsid w:val="003F063A"/>
    <w:rsid w:val="003F0DFD"/>
    <w:rsid w:val="003F0E56"/>
    <w:rsid w:val="003F11C4"/>
    <w:rsid w:val="003F4BB3"/>
    <w:rsid w:val="003F55B9"/>
    <w:rsid w:val="003F5A67"/>
    <w:rsid w:val="004054FC"/>
    <w:rsid w:val="00407628"/>
    <w:rsid w:val="00411085"/>
    <w:rsid w:val="00421AE8"/>
    <w:rsid w:val="00431C64"/>
    <w:rsid w:val="00442544"/>
    <w:rsid w:val="00445876"/>
    <w:rsid w:val="00452C8C"/>
    <w:rsid w:val="00454250"/>
    <w:rsid w:val="00460609"/>
    <w:rsid w:val="004654FD"/>
    <w:rsid w:val="00467680"/>
    <w:rsid w:val="0046770E"/>
    <w:rsid w:val="004808E9"/>
    <w:rsid w:val="00485683"/>
    <w:rsid w:val="00485D30"/>
    <w:rsid w:val="004959D2"/>
    <w:rsid w:val="004A084F"/>
    <w:rsid w:val="004A33A4"/>
    <w:rsid w:val="004A3F7E"/>
    <w:rsid w:val="004B18A6"/>
    <w:rsid w:val="004B35A4"/>
    <w:rsid w:val="004C0483"/>
    <w:rsid w:val="004C4904"/>
    <w:rsid w:val="004E3380"/>
    <w:rsid w:val="004E6920"/>
    <w:rsid w:val="004F2EF7"/>
    <w:rsid w:val="004F62A6"/>
    <w:rsid w:val="004F727F"/>
    <w:rsid w:val="004F7846"/>
    <w:rsid w:val="00500DF2"/>
    <w:rsid w:val="00513359"/>
    <w:rsid w:val="005144FA"/>
    <w:rsid w:val="005153E1"/>
    <w:rsid w:val="005177FE"/>
    <w:rsid w:val="00523B19"/>
    <w:rsid w:val="00523E20"/>
    <w:rsid w:val="00526302"/>
    <w:rsid w:val="005319F2"/>
    <w:rsid w:val="00543559"/>
    <w:rsid w:val="00553486"/>
    <w:rsid w:val="0055770A"/>
    <w:rsid w:val="005616F6"/>
    <w:rsid w:val="00562572"/>
    <w:rsid w:val="00566039"/>
    <w:rsid w:val="0056713A"/>
    <w:rsid w:val="005717BE"/>
    <w:rsid w:val="005735A2"/>
    <w:rsid w:val="00587B37"/>
    <w:rsid w:val="0059614E"/>
    <w:rsid w:val="00596BF2"/>
    <w:rsid w:val="00597E87"/>
    <w:rsid w:val="005A1553"/>
    <w:rsid w:val="005A324B"/>
    <w:rsid w:val="005C2D75"/>
    <w:rsid w:val="005C44E3"/>
    <w:rsid w:val="005C550E"/>
    <w:rsid w:val="005D1D71"/>
    <w:rsid w:val="005D510E"/>
    <w:rsid w:val="005D5B66"/>
    <w:rsid w:val="005D70B6"/>
    <w:rsid w:val="005E2C0B"/>
    <w:rsid w:val="005E3504"/>
    <w:rsid w:val="005E4BDF"/>
    <w:rsid w:val="005F5487"/>
    <w:rsid w:val="00600BB1"/>
    <w:rsid w:val="00604589"/>
    <w:rsid w:val="00614BCE"/>
    <w:rsid w:val="00622EF9"/>
    <w:rsid w:val="00623868"/>
    <w:rsid w:val="00630847"/>
    <w:rsid w:val="00633434"/>
    <w:rsid w:val="00635C31"/>
    <w:rsid w:val="00636B00"/>
    <w:rsid w:val="00641824"/>
    <w:rsid w:val="00645BB9"/>
    <w:rsid w:val="006465D5"/>
    <w:rsid w:val="00650582"/>
    <w:rsid w:val="0065142E"/>
    <w:rsid w:val="00663864"/>
    <w:rsid w:val="00666F2F"/>
    <w:rsid w:val="00667F89"/>
    <w:rsid w:val="00681115"/>
    <w:rsid w:val="00693376"/>
    <w:rsid w:val="0069398A"/>
    <w:rsid w:val="00693AC4"/>
    <w:rsid w:val="00694CAC"/>
    <w:rsid w:val="00696B10"/>
    <w:rsid w:val="00697CC9"/>
    <w:rsid w:val="006A1943"/>
    <w:rsid w:val="006A2E3B"/>
    <w:rsid w:val="006A732F"/>
    <w:rsid w:val="006B2CDB"/>
    <w:rsid w:val="006B2E4D"/>
    <w:rsid w:val="006B3D07"/>
    <w:rsid w:val="006D0AA1"/>
    <w:rsid w:val="006E14FB"/>
    <w:rsid w:val="006F365B"/>
    <w:rsid w:val="006F73ED"/>
    <w:rsid w:val="006F7F46"/>
    <w:rsid w:val="0070659B"/>
    <w:rsid w:val="00723206"/>
    <w:rsid w:val="007336AB"/>
    <w:rsid w:val="007359A1"/>
    <w:rsid w:val="00736A7E"/>
    <w:rsid w:val="007417DF"/>
    <w:rsid w:val="00741E9D"/>
    <w:rsid w:val="00741F1C"/>
    <w:rsid w:val="00742420"/>
    <w:rsid w:val="00747D3C"/>
    <w:rsid w:val="00760196"/>
    <w:rsid w:val="00765046"/>
    <w:rsid w:val="00776C0E"/>
    <w:rsid w:val="007810D8"/>
    <w:rsid w:val="00781E01"/>
    <w:rsid w:val="007846FB"/>
    <w:rsid w:val="007879CF"/>
    <w:rsid w:val="00794522"/>
    <w:rsid w:val="00796064"/>
    <w:rsid w:val="007B1838"/>
    <w:rsid w:val="007B4E79"/>
    <w:rsid w:val="007B7F54"/>
    <w:rsid w:val="007C4A71"/>
    <w:rsid w:val="007C6065"/>
    <w:rsid w:val="007D1094"/>
    <w:rsid w:val="007D3B09"/>
    <w:rsid w:val="007E748F"/>
    <w:rsid w:val="007F0871"/>
    <w:rsid w:val="0080115D"/>
    <w:rsid w:val="0080486D"/>
    <w:rsid w:val="00804C99"/>
    <w:rsid w:val="00814622"/>
    <w:rsid w:val="0081722E"/>
    <w:rsid w:val="00826841"/>
    <w:rsid w:val="00826C3E"/>
    <w:rsid w:val="0082747A"/>
    <w:rsid w:val="00832773"/>
    <w:rsid w:val="00836482"/>
    <w:rsid w:val="0083684C"/>
    <w:rsid w:val="00841B7F"/>
    <w:rsid w:val="008420F5"/>
    <w:rsid w:val="008433FF"/>
    <w:rsid w:val="00843AFE"/>
    <w:rsid w:val="00856BD7"/>
    <w:rsid w:val="008738EC"/>
    <w:rsid w:val="00873EED"/>
    <w:rsid w:val="00880ADC"/>
    <w:rsid w:val="008A36F3"/>
    <w:rsid w:val="008B5003"/>
    <w:rsid w:val="008D5E11"/>
    <w:rsid w:val="008D7B19"/>
    <w:rsid w:val="008E3AED"/>
    <w:rsid w:val="008E4989"/>
    <w:rsid w:val="008E5782"/>
    <w:rsid w:val="008E7B20"/>
    <w:rsid w:val="008F70EC"/>
    <w:rsid w:val="008F7D80"/>
    <w:rsid w:val="00901527"/>
    <w:rsid w:val="00901E50"/>
    <w:rsid w:val="009049FC"/>
    <w:rsid w:val="00910149"/>
    <w:rsid w:val="0091182D"/>
    <w:rsid w:val="0093286F"/>
    <w:rsid w:val="00937F90"/>
    <w:rsid w:val="00947994"/>
    <w:rsid w:val="00951649"/>
    <w:rsid w:val="00951CB5"/>
    <w:rsid w:val="00952097"/>
    <w:rsid w:val="00954116"/>
    <w:rsid w:val="0095635A"/>
    <w:rsid w:val="00963408"/>
    <w:rsid w:val="009648E9"/>
    <w:rsid w:val="009656B0"/>
    <w:rsid w:val="00971CEA"/>
    <w:rsid w:val="00974F58"/>
    <w:rsid w:val="00984118"/>
    <w:rsid w:val="009857B0"/>
    <w:rsid w:val="00986AE4"/>
    <w:rsid w:val="00990FCF"/>
    <w:rsid w:val="00995B06"/>
    <w:rsid w:val="0099715F"/>
    <w:rsid w:val="009A0A9B"/>
    <w:rsid w:val="009A0EE4"/>
    <w:rsid w:val="009A7894"/>
    <w:rsid w:val="009D694C"/>
    <w:rsid w:val="009E1632"/>
    <w:rsid w:val="009F06D9"/>
    <w:rsid w:val="009F54C7"/>
    <w:rsid w:val="009F687D"/>
    <w:rsid w:val="009F7215"/>
    <w:rsid w:val="00A039DE"/>
    <w:rsid w:val="00A05150"/>
    <w:rsid w:val="00A10FDD"/>
    <w:rsid w:val="00A16E4C"/>
    <w:rsid w:val="00A2215B"/>
    <w:rsid w:val="00A30348"/>
    <w:rsid w:val="00A30374"/>
    <w:rsid w:val="00A321BE"/>
    <w:rsid w:val="00A34ECC"/>
    <w:rsid w:val="00A3587F"/>
    <w:rsid w:val="00A37587"/>
    <w:rsid w:val="00A40014"/>
    <w:rsid w:val="00A415A8"/>
    <w:rsid w:val="00A45529"/>
    <w:rsid w:val="00A45716"/>
    <w:rsid w:val="00A53E4E"/>
    <w:rsid w:val="00A57926"/>
    <w:rsid w:val="00A62352"/>
    <w:rsid w:val="00A6475B"/>
    <w:rsid w:val="00A67C0B"/>
    <w:rsid w:val="00A738CC"/>
    <w:rsid w:val="00A73F1C"/>
    <w:rsid w:val="00A7525C"/>
    <w:rsid w:val="00A90C90"/>
    <w:rsid w:val="00A91909"/>
    <w:rsid w:val="00A91B85"/>
    <w:rsid w:val="00A942BD"/>
    <w:rsid w:val="00AA2C09"/>
    <w:rsid w:val="00AB4C8C"/>
    <w:rsid w:val="00AB6590"/>
    <w:rsid w:val="00AD7DD1"/>
    <w:rsid w:val="00AE0997"/>
    <w:rsid w:val="00AE0D9E"/>
    <w:rsid w:val="00AE11B2"/>
    <w:rsid w:val="00AE1E95"/>
    <w:rsid w:val="00AF0A2F"/>
    <w:rsid w:val="00AF588C"/>
    <w:rsid w:val="00B0553F"/>
    <w:rsid w:val="00B10D8A"/>
    <w:rsid w:val="00B114C5"/>
    <w:rsid w:val="00B174D9"/>
    <w:rsid w:val="00B212DE"/>
    <w:rsid w:val="00B21941"/>
    <w:rsid w:val="00B26F5A"/>
    <w:rsid w:val="00B27075"/>
    <w:rsid w:val="00B34ED9"/>
    <w:rsid w:val="00B43CAC"/>
    <w:rsid w:val="00B43FC5"/>
    <w:rsid w:val="00B44FF2"/>
    <w:rsid w:val="00B516A8"/>
    <w:rsid w:val="00B53287"/>
    <w:rsid w:val="00B57D32"/>
    <w:rsid w:val="00B61FBC"/>
    <w:rsid w:val="00B64D47"/>
    <w:rsid w:val="00B70F48"/>
    <w:rsid w:val="00B83373"/>
    <w:rsid w:val="00B844B5"/>
    <w:rsid w:val="00B86681"/>
    <w:rsid w:val="00B87C01"/>
    <w:rsid w:val="00B942B2"/>
    <w:rsid w:val="00B9770B"/>
    <w:rsid w:val="00BA0082"/>
    <w:rsid w:val="00BA1BAC"/>
    <w:rsid w:val="00BB0FD7"/>
    <w:rsid w:val="00BC5D9C"/>
    <w:rsid w:val="00BD5BF7"/>
    <w:rsid w:val="00BE2B26"/>
    <w:rsid w:val="00BE57F4"/>
    <w:rsid w:val="00BE7236"/>
    <w:rsid w:val="00BF3F3A"/>
    <w:rsid w:val="00BF4011"/>
    <w:rsid w:val="00BF5C02"/>
    <w:rsid w:val="00C065A1"/>
    <w:rsid w:val="00C107E9"/>
    <w:rsid w:val="00C10DCE"/>
    <w:rsid w:val="00C26870"/>
    <w:rsid w:val="00C27364"/>
    <w:rsid w:val="00C34688"/>
    <w:rsid w:val="00C360D0"/>
    <w:rsid w:val="00C42DAF"/>
    <w:rsid w:val="00C46D52"/>
    <w:rsid w:val="00C504B8"/>
    <w:rsid w:val="00C51708"/>
    <w:rsid w:val="00C55CB0"/>
    <w:rsid w:val="00C630F1"/>
    <w:rsid w:val="00C67042"/>
    <w:rsid w:val="00C7254D"/>
    <w:rsid w:val="00C73591"/>
    <w:rsid w:val="00C8006F"/>
    <w:rsid w:val="00C84615"/>
    <w:rsid w:val="00C84D19"/>
    <w:rsid w:val="00C902DD"/>
    <w:rsid w:val="00C95F39"/>
    <w:rsid w:val="00CA08B7"/>
    <w:rsid w:val="00CA2CD7"/>
    <w:rsid w:val="00CA4896"/>
    <w:rsid w:val="00CA64A4"/>
    <w:rsid w:val="00CB0872"/>
    <w:rsid w:val="00CB3C71"/>
    <w:rsid w:val="00CB5C59"/>
    <w:rsid w:val="00CC4BA3"/>
    <w:rsid w:val="00CC51B4"/>
    <w:rsid w:val="00CD279E"/>
    <w:rsid w:val="00CD44E1"/>
    <w:rsid w:val="00CD5406"/>
    <w:rsid w:val="00CE0F7D"/>
    <w:rsid w:val="00D0146D"/>
    <w:rsid w:val="00D03972"/>
    <w:rsid w:val="00D13F5D"/>
    <w:rsid w:val="00D22AFE"/>
    <w:rsid w:val="00D23336"/>
    <w:rsid w:val="00D2589B"/>
    <w:rsid w:val="00D25E2F"/>
    <w:rsid w:val="00D2611B"/>
    <w:rsid w:val="00D403E7"/>
    <w:rsid w:val="00D466E3"/>
    <w:rsid w:val="00D53E0F"/>
    <w:rsid w:val="00D564B1"/>
    <w:rsid w:val="00D60E6A"/>
    <w:rsid w:val="00D64840"/>
    <w:rsid w:val="00D66860"/>
    <w:rsid w:val="00D86BC8"/>
    <w:rsid w:val="00D93BE1"/>
    <w:rsid w:val="00DA1BAF"/>
    <w:rsid w:val="00DA3785"/>
    <w:rsid w:val="00DA3EB8"/>
    <w:rsid w:val="00DA7420"/>
    <w:rsid w:val="00DB6056"/>
    <w:rsid w:val="00DC162D"/>
    <w:rsid w:val="00DC634E"/>
    <w:rsid w:val="00DC68A0"/>
    <w:rsid w:val="00DC7A75"/>
    <w:rsid w:val="00DD1F7C"/>
    <w:rsid w:val="00DD3243"/>
    <w:rsid w:val="00DD4667"/>
    <w:rsid w:val="00DD7654"/>
    <w:rsid w:val="00DD7966"/>
    <w:rsid w:val="00DD7A2A"/>
    <w:rsid w:val="00DE0A96"/>
    <w:rsid w:val="00DE20B2"/>
    <w:rsid w:val="00DF48ED"/>
    <w:rsid w:val="00DF7E7B"/>
    <w:rsid w:val="00E0394F"/>
    <w:rsid w:val="00E102D3"/>
    <w:rsid w:val="00E1239B"/>
    <w:rsid w:val="00E179D5"/>
    <w:rsid w:val="00E17F42"/>
    <w:rsid w:val="00E23A03"/>
    <w:rsid w:val="00E24C7D"/>
    <w:rsid w:val="00E2589A"/>
    <w:rsid w:val="00E26DE1"/>
    <w:rsid w:val="00E33191"/>
    <w:rsid w:val="00E364E4"/>
    <w:rsid w:val="00E4781B"/>
    <w:rsid w:val="00E51ADB"/>
    <w:rsid w:val="00E5262C"/>
    <w:rsid w:val="00E543FA"/>
    <w:rsid w:val="00E57990"/>
    <w:rsid w:val="00E608E0"/>
    <w:rsid w:val="00E81492"/>
    <w:rsid w:val="00E924C2"/>
    <w:rsid w:val="00EB23D7"/>
    <w:rsid w:val="00EB6FC8"/>
    <w:rsid w:val="00EC58E7"/>
    <w:rsid w:val="00ED3E67"/>
    <w:rsid w:val="00ED6B9D"/>
    <w:rsid w:val="00ED7ADA"/>
    <w:rsid w:val="00EE2E48"/>
    <w:rsid w:val="00EF1047"/>
    <w:rsid w:val="00EF294B"/>
    <w:rsid w:val="00EF4F59"/>
    <w:rsid w:val="00F02EB7"/>
    <w:rsid w:val="00F1056E"/>
    <w:rsid w:val="00F12478"/>
    <w:rsid w:val="00F17FEC"/>
    <w:rsid w:val="00F22F88"/>
    <w:rsid w:val="00F3172A"/>
    <w:rsid w:val="00F345BC"/>
    <w:rsid w:val="00F34CBB"/>
    <w:rsid w:val="00F51DCF"/>
    <w:rsid w:val="00F73DFD"/>
    <w:rsid w:val="00F7704E"/>
    <w:rsid w:val="00F81708"/>
    <w:rsid w:val="00F9035D"/>
    <w:rsid w:val="00F912AB"/>
    <w:rsid w:val="00F928D7"/>
    <w:rsid w:val="00FA5D05"/>
    <w:rsid w:val="00FA5FCB"/>
    <w:rsid w:val="00FA6860"/>
    <w:rsid w:val="00FA7A67"/>
    <w:rsid w:val="00FB125E"/>
    <w:rsid w:val="00FB3156"/>
    <w:rsid w:val="00FB6A71"/>
    <w:rsid w:val="00FC2686"/>
    <w:rsid w:val="00FC7A88"/>
    <w:rsid w:val="00FD03BC"/>
    <w:rsid w:val="00FE0E21"/>
    <w:rsid w:val="00FF5F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5E07"/>
  <w15:docId w15:val="{EC102D58-B040-4C70-9924-1ACC1547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9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397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0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5E4F"/>
    <w:rPr>
      <w:sz w:val="16"/>
      <w:szCs w:val="16"/>
    </w:rPr>
  </w:style>
  <w:style w:type="paragraph" w:styleId="CommentText">
    <w:name w:val="annotation text"/>
    <w:basedOn w:val="Normal"/>
    <w:link w:val="CommentTextChar"/>
    <w:uiPriority w:val="99"/>
    <w:unhideWhenUsed/>
    <w:rsid w:val="003C5E4F"/>
    <w:pPr>
      <w:spacing w:line="240" w:lineRule="auto"/>
    </w:pPr>
    <w:rPr>
      <w:sz w:val="20"/>
      <w:szCs w:val="20"/>
    </w:rPr>
  </w:style>
  <w:style w:type="character" w:customStyle="1" w:styleId="CommentTextChar">
    <w:name w:val="Comment Text Char"/>
    <w:basedOn w:val="DefaultParagraphFont"/>
    <w:link w:val="CommentText"/>
    <w:uiPriority w:val="99"/>
    <w:rsid w:val="003C5E4F"/>
    <w:rPr>
      <w:sz w:val="20"/>
      <w:szCs w:val="20"/>
    </w:rPr>
  </w:style>
  <w:style w:type="paragraph" w:styleId="CommentSubject">
    <w:name w:val="annotation subject"/>
    <w:basedOn w:val="CommentText"/>
    <w:next w:val="CommentText"/>
    <w:link w:val="CommentSubjectChar"/>
    <w:uiPriority w:val="99"/>
    <w:semiHidden/>
    <w:unhideWhenUsed/>
    <w:rsid w:val="003C5E4F"/>
    <w:rPr>
      <w:b/>
      <w:bCs/>
    </w:rPr>
  </w:style>
  <w:style w:type="character" w:customStyle="1" w:styleId="CommentSubjectChar">
    <w:name w:val="Comment Subject Char"/>
    <w:basedOn w:val="CommentTextChar"/>
    <w:link w:val="CommentSubject"/>
    <w:uiPriority w:val="99"/>
    <w:semiHidden/>
    <w:rsid w:val="003C5E4F"/>
    <w:rPr>
      <w:b/>
      <w:bCs/>
      <w:sz w:val="20"/>
      <w:szCs w:val="20"/>
    </w:rPr>
  </w:style>
  <w:style w:type="paragraph" w:styleId="BalloonText">
    <w:name w:val="Balloon Text"/>
    <w:basedOn w:val="Normal"/>
    <w:link w:val="BalloonTextChar"/>
    <w:uiPriority w:val="99"/>
    <w:semiHidden/>
    <w:unhideWhenUsed/>
    <w:rsid w:val="003C5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E4F"/>
    <w:rPr>
      <w:rFonts w:ascii="Tahoma" w:hAnsi="Tahoma" w:cs="Tahoma"/>
      <w:sz w:val="16"/>
      <w:szCs w:val="16"/>
    </w:rPr>
  </w:style>
  <w:style w:type="paragraph" w:styleId="Header">
    <w:name w:val="header"/>
    <w:basedOn w:val="Normal"/>
    <w:link w:val="HeaderChar"/>
    <w:uiPriority w:val="99"/>
    <w:unhideWhenUsed/>
    <w:rsid w:val="00177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F00"/>
  </w:style>
  <w:style w:type="paragraph" w:styleId="Footer">
    <w:name w:val="footer"/>
    <w:basedOn w:val="Normal"/>
    <w:link w:val="FooterChar"/>
    <w:uiPriority w:val="99"/>
    <w:unhideWhenUsed/>
    <w:rsid w:val="00177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F00"/>
  </w:style>
  <w:style w:type="paragraph" w:styleId="ListParagraph">
    <w:name w:val="List Paragraph"/>
    <w:basedOn w:val="Normal"/>
    <w:uiPriority w:val="34"/>
    <w:qFormat/>
    <w:rsid w:val="004A3F7E"/>
    <w:pPr>
      <w:ind w:left="720"/>
      <w:contextualSpacing/>
    </w:pPr>
  </w:style>
  <w:style w:type="paragraph" w:styleId="Revision">
    <w:name w:val="Revision"/>
    <w:hidden/>
    <w:uiPriority w:val="99"/>
    <w:semiHidden/>
    <w:rsid w:val="00794522"/>
    <w:pPr>
      <w:spacing w:after="0" w:line="240" w:lineRule="auto"/>
    </w:pPr>
  </w:style>
  <w:style w:type="character" w:styleId="Hyperlink">
    <w:name w:val="Hyperlink"/>
    <w:basedOn w:val="DefaultParagraphFont"/>
    <w:uiPriority w:val="99"/>
    <w:unhideWhenUsed/>
    <w:rsid w:val="00F81708"/>
    <w:rPr>
      <w:color w:val="0000FF" w:themeColor="hyperlink"/>
      <w:u w:val="single"/>
    </w:rPr>
  </w:style>
  <w:style w:type="character" w:styleId="UnresolvedMention">
    <w:name w:val="Unresolved Mention"/>
    <w:basedOn w:val="DefaultParagraphFont"/>
    <w:uiPriority w:val="99"/>
    <w:semiHidden/>
    <w:unhideWhenUsed/>
    <w:rsid w:val="00F81708"/>
    <w:rPr>
      <w:color w:val="605E5C"/>
      <w:shd w:val="clear" w:color="auto" w:fill="E1DFDD"/>
    </w:rPr>
  </w:style>
  <w:style w:type="character" w:styleId="FollowedHyperlink">
    <w:name w:val="FollowedHyperlink"/>
    <w:basedOn w:val="DefaultParagraphFont"/>
    <w:uiPriority w:val="99"/>
    <w:semiHidden/>
    <w:unhideWhenUsed/>
    <w:rsid w:val="009648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407">
      <w:bodyDiv w:val="1"/>
      <w:marLeft w:val="0"/>
      <w:marRight w:val="0"/>
      <w:marTop w:val="0"/>
      <w:marBottom w:val="0"/>
      <w:divBdr>
        <w:top w:val="none" w:sz="0" w:space="0" w:color="auto"/>
        <w:left w:val="none" w:sz="0" w:space="0" w:color="auto"/>
        <w:bottom w:val="none" w:sz="0" w:space="0" w:color="auto"/>
        <w:right w:val="none" w:sz="0" w:space="0" w:color="auto"/>
      </w:divBdr>
    </w:div>
    <w:div w:id="169415496">
      <w:bodyDiv w:val="1"/>
      <w:marLeft w:val="0"/>
      <w:marRight w:val="0"/>
      <w:marTop w:val="0"/>
      <w:marBottom w:val="0"/>
      <w:divBdr>
        <w:top w:val="none" w:sz="0" w:space="0" w:color="auto"/>
        <w:left w:val="none" w:sz="0" w:space="0" w:color="auto"/>
        <w:bottom w:val="none" w:sz="0" w:space="0" w:color="auto"/>
        <w:right w:val="none" w:sz="0" w:space="0" w:color="auto"/>
      </w:divBdr>
    </w:div>
    <w:div w:id="340546369">
      <w:bodyDiv w:val="1"/>
      <w:marLeft w:val="0"/>
      <w:marRight w:val="0"/>
      <w:marTop w:val="0"/>
      <w:marBottom w:val="0"/>
      <w:divBdr>
        <w:top w:val="none" w:sz="0" w:space="0" w:color="auto"/>
        <w:left w:val="none" w:sz="0" w:space="0" w:color="auto"/>
        <w:bottom w:val="none" w:sz="0" w:space="0" w:color="auto"/>
        <w:right w:val="none" w:sz="0" w:space="0" w:color="auto"/>
      </w:divBdr>
    </w:div>
    <w:div w:id="343938367">
      <w:bodyDiv w:val="1"/>
      <w:marLeft w:val="0"/>
      <w:marRight w:val="0"/>
      <w:marTop w:val="0"/>
      <w:marBottom w:val="0"/>
      <w:divBdr>
        <w:top w:val="none" w:sz="0" w:space="0" w:color="auto"/>
        <w:left w:val="none" w:sz="0" w:space="0" w:color="auto"/>
        <w:bottom w:val="none" w:sz="0" w:space="0" w:color="auto"/>
        <w:right w:val="none" w:sz="0" w:space="0" w:color="auto"/>
      </w:divBdr>
    </w:div>
    <w:div w:id="614749560">
      <w:bodyDiv w:val="1"/>
      <w:marLeft w:val="0"/>
      <w:marRight w:val="0"/>
      <w:marTop w:val="0"/>
      <w:marBottom w:val="0"/>
      <w:divBdr>
        <w:top w:val="none" w:sz="0" w:space="0" w:color="auto"/>
        <w:left w:val="none" w:sz="0" w:space="0" w:color="auto"/>
        <w:bottom w:val="none" w:sz="0" w:space="0" w:color="auto"/>
        <w:right w:val="none" w:sz="0" w:space="0" w:color="auto"/>
      </w:divBdr>
    </w:div>
    <w:div w:id="730277786">
      <w:bodyDiv w:val="1"/>
      <w:marLeft w:val="0"/>
      <w:marRight w:val="0"/>
      <w:marTop w:val="0"/>
      <w:marBottom w:val="0"/>
      <w:divBdr>
        <w:top w:val="none" w:sz="0" w:space="0" w:color="auto"/>
        <w:left w:val="none" w:sz="0" w:space="0" w:color="auto"/>
        <w:bottom w:val="none" w:sz="0" w:space="0" w:color="auto"/>
        <w:right w:val="none" w:sz="0" w:space="0" w:color="auto"/>
      </w:divBdr>
    </w:div>
    <w:div w:id="763108892">
      <w:bodyDiv w:val="1"/>
      <w:marLeft w:val="0"/>
      <w:marRight w:val="0"/>
      <w:marTop w:val="0"/>
      <w:marBottom w:val="0"/>
      <w:divBdr>
        <w:top w:val="none" w:sz="0" w:space="0" w:color="auto"/>
        <w:left w:val="none" w:sz="0" w:space="0" w:color="auto"/>
        <w:bottom w:val="none" w:sz="0" w:space="0" w:color="auto"/>
        <w:right w:val="none" w:sz="0" w:space="0" w:color="auto"/>
      </w:divBdr>
    </w:div>
    <w:div w:id="823667014">
      <w:bodyDiv w:val="1"/>
      <w:marLeft w:val="0"/>
      <w:marRight w:val="0"/>
      <w:marTop w:val="0"/>
      <w:marBottom w:val="0"/>
      <w:divBdr>
        <w:top w:val="none" w:sz="0" w:space="0" w:color="auto"/>
        <w:left w:val="none" w:sz="0" w:space="0" w:color="auto"/>
        <w:bottom w:val="none" w:sz="0" w:space="0" w:color="auto"/>
        <w:right w:val="none" w:sz="0" w:space="0" w:color="auto"/>
      </w:divBdr>
    </w:div>
    <w:div w:id="857159250">
      <w:bodyDiv w:val="1"/>
      <w:marLeft w:val="0"/>
      <w:marRight w:val="0"/>
      <w:marTop w:val="0"/>
      <w:marBottom w:val="0"/>
      <w:divBdr>
        <w:top w:val="none" w:sz="0" w:space="0" w:color="auto"/>
        <w:left w:val="none" w:sz="0" w:space="0" w:color="auto"/>
        <w:bottom w:val="none" w:sz="0" w:space="0" w:color="auto"/>
        <w:right w:val="none" w:sz="0" w:space="0" w:color="auto"/>
      </w:divBdr>
    </w:div>
    <w:div w:id="1101796266">
      <w:bodyDiv w:val="1"/>
      <w:marLeft w:val="0"/>
      <w:marRight w:val="0"/>
      <w:marTop w:val="0"/>
      <w:marBottom w:val="0"/>
      <w:divBdr>
        <w:top w:val="none" w:sz="0" w:space="0" w:color="auto"/>
        <w:left w:val="none" w:sz="0" w:space="0" w:color="auto"/>
        <w:bottom w:val="none" w:sz="0" w:space="0" w:color="auto"/>
        <w:right w:val="none" w:sz="0" w:space="0" w:color="auto"/>
      </w:divBdr>
    </w:div>
    <w:div w:id="1112633840">
      <w:bodyDiv w:val="1"/>
      <w:marLeft w:val="0"/>
      <w:marRight w:val="0"/>
      <w:marTop w:val="0"/>
      <w:marBottom w:val="0"/>
      <w:divBdr>
        <w:top w:val="none" w:sz="0" w:space="0" w:color="auto"/>
        <w:left w:val="none" w:sz="0" w:space="0" w:color="auto"/>
        <w:bottom w:val="none" w:sz="0" w:space="0" w:color="auto"/>
        <w:right w:val="none" w:sz="0" w:space="0" w:color="auto"/>
      </w:divBdr>
    </w:div>
    <w:div w:id="1147625275">
      <w:bodyDiv w:val="1"/>
      <w:marLeft w:val="0"/>
      <w:marRight w:val="0"/>
      <w:marTop w:val="0"/>
      <w:marBottom w:val="0"/>
      <w:divBdr>
        <w:top w:val="none" w:sz="0" w:space="0" w:color="auto"/>
        <w:left w:val="none" w:sz="0" w:space="0" w:color="auto"/>
        <w:bottom w:val="none" w:sz="0" w:space="0" w:color="auto"/>
        <w:right w:val="none" w:sz="0" w:space="0" w:color="auto"/>
      </w:divBdr>
    </w:div>
    <w:div w:id="1336109035">
      <w:bodyDiv w:val="1"/>
      <w:marLeft w:val="0"/>
      <w:marRight w:val="0"/>
      <w:marTop w:val="0"/>
      <w:marBottom w:val="0"/>
      <w:divBdr>
        <w:top w:val="none" w:sz="0" w:space="0" w:color="auto"/>
        <w:left w:val="none" w:sz="0" w:space="0" w:color="auto"/>
        <w:bottom w:val="none" w:sz="0" w:space="0" w:color="auto"/>
        <w:right w:val="none" w:sz="0" w:space="0" w:color="auto"/>
      </w:divBdr>
    </w:div>
    <w:div w:id="1501040100">
      <w:bodyDiv w:val="1"/>
      <w:marLeft w:val="0"/>
      <w:marRight w:val="0"/>
      <w:marTop w:val="0"/>
      <w:marBottom w:val="0"/>
      <w:divBdr>
        <w:top w:val="none" w:sz="0" w:space="0" w:color="auto"/>
        <w:left w:val="none" w:sz="0" w:space="0" w:color="auto"/>
        <w:bottom w:val="none" w:sz="0" w:space="0" w:color="auto"/>
        <w:right w:val="none" w:sz="0" w:space="0" w:color="auto"/>
      </w:divBdr>
    </w:div>
    <w:div w:id="1624967721">
      <w:bodyDiv w:val="1"/>
      <w:marLeft w:val="0"/>
      <w:marRight w:val="0"/>
      <w:marTop w:val="0"/>
      <w:marBottom w:val="0"/>
      <w:divBdr>
        <w:top w:val="none" w:sz="0" w:space="0" w:color="auto"/>
        <w:left w:val="none" w:sz="0" w:space="0" w:color="auto"/>
        <w:bottom w:val="none" w:sz="0" w:space="0" w:color="auto"/>
        <w:right w:val="none" w:sz="0" w:space="0" w:color="auto"/>
      </w:divBdr>
    </w:div>
    <w:div w:id="1692337272">
      <w:bodyDiv w:val="1"/>
      <w:marLeft w:val="0"/>
      <w:marRight w:val="0"/>
      <w:marTop w:val="0"/>
      <w:marBottom w:val="0"/>
      <w:divBdr>
        <w:top w:val="none" w:sz="0" w:space="0" w:color="auto"/>
        <w:left w:val="none" w:sz="0" w:space="0" w:color="auto"/>
        <w:bottom w:val="none" w:sz="0" w:space="0" w:color="auto"/>
        <w:right w:val="none" w:sz="0" w:space="0" w:color="auto"/>
      </w:divBdr>
    </w:div>
    <w:div w:id="1948848820">
      <w:bodyDiv w:val="1"/>
      <w:marLeft w:val="0"/>
      <w:marRight w:val="0"/>
      <w:marTop w:val="0"/>
      <w:marBottom w:val="0"/>
      <w:divBdr>
        <w:top w:val="none" w:sz="0" w:space="0" w:color="auto"/>
        <w:left w:val="none" w:sz="0" w:space="0" w:color="auto"/>
        <w:bottom w:val="none" w:sz="0" w:space="0" w:color="auto"/>
        <w:right w:val="none" w:sz="0" w:space="0" w:color="auto"/>
      </w:divBdr>
    </w:div>
    <w:div w:id="2005890586">
      <w:bodyDiv w:val="1"/>
      <w:marLeft w:val="0"/>
      <w:marRight w:val="0"/>
      <w:marTop w:val="0"/>
      <w:marBottom w:val="0"/>
      <w:divBdr>
        <w:top w:val="none" w:sz="0" w:space="0" w:color="auto"/>
        <w:left w:val="none" w:sz="0" w:space="0" w:color="auto"/>
        <w:bottom w:val="none" w:sz="0" w:space="0" w:color="auto"/>
        <w:right w:val="none" w:sz="0" w:space="0" w:color="auto"/>
      </w:divBdr>
    </w:div>
    <w:div w:id="21253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o.uk/planning-guidance/investment-find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1D08-3B1D-46EE-B89F-5DCEA240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FIL Limited</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Vivenne Slegg</dc:creator>
  <cp:lastModifiedBy>White, Alison</cp:lastModifiedBy>
  <cp:revision>2</cp:revision>
  <cp:lastPrinted>2024-06-11T10:34:00Z</cp:lastPrinted>
  <dcterms:created xsi:type="dcterms:W3CDTF">2025-12-01T09:42:00Z</dcterms:created>
  <dcterms:modified xsi:type="dcterms:W3CDTF">2025-12-01T09:42:00Z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873328-34e0-4f6c-84cb-dd757c63c1a0_Enabled">
    <vt:lpwstr>true</vt:lpwstr>
  </property>
  <property fmtid="{D5CDD505-2E9C-101B-9397-08002B2CF9AE}" pid="3" name="MSIP_Label_be873328-34e0-4f6c-84cb-dd757c63c1a0_SetDate">
    <vt:lpwstr>2023-04-25T09:02:51Z</vt:lpwstr>
  </property>
  <property fmtid="{D5CDD505-2E9C-101B-9397-08002B2CF9AE}" pid="4" name="MSIP_Label_be873328-34e0-4f6c-84cb-dd757c63c1a0_Method">
    <vt:lpwstr>Privileged</vt:lpwstr>
  </property>
  <property fmtid="{D5CDD505-2E9C-101B-9397-08002B2CF9AE}" pid="5" name="MSIP_Label_be873328-34e0-4f6c-84cb-dd757c63c1a0_Name">
    <vt:lpwstr>FIL-Internal</vt:lpwstr>
  </property>
  <property fmtid="{D5CDD505-2E9C-101B-9397-08002B2CF9AE}" pid="6" name="MSIP_Label_be873328-34e0-4f6c-84cb-dd757c63c1a0_SiteId">
    <vt:lpwstr>6b94db52-3791-432c-b97e-871411cd202e</vt:lpwstr>
  </property>
  <property fmtid="{D5CDD505-2E9C-101B-9397-08002B2CF9AE}" pid="7" name="MSIP_Label_be873328-34e0-4f6c-84cb-dd757c63c1a0_ActionId">
    <vt:lpwstr>8405d911-b84e-4742-a25c-d8e07ebde148</vt:lpwstr>
  </property>
  <property fmtid="{D5CDD505-2E9C-101B-9397-08002B2CF9AE}" pid="8" name="MSIP_Label_be873328-34e0-4f6c-84cb-dd757c63c1a0_ContentBits">
    <vt:lpwstr>0</vt:lpwstr>
  </property>
</Properties>
</file>