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does Vayikra Rabbah 37:2 compare giving tzedakah to?</w:t>
        <w:tab/>
        <w:t xml:space="preserve">Lending to Hashem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Tzedakah is only about giving money.</w:t>
        <w:tab/>
        <w:t xml:space="preserve">FALSE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According to Vayikra Rabbah 37:2, what is the MAIN reason we give tzedakah?</w:t>
        <w:tab/>
        <w:t xml:space="preserve">Because it’s like lending to Hashem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Why does the Midrash say giving tzedakah is like "lending to Hashem"?</w:t>
        <w:tab/>
        <w:t xml:space="preserve">Because helping others is like doing a favor for Hashem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Judaism teaches that tzedakah is optional, not a commandment.</w:t>
        <w:tab/>
        <w:t xml:space="preserve">FALSE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is the main message of Vayikra Rabbah 37:2 about tzedakah?</w:t>
        <w:tab/>
        <w:t xml:space="preserve">Giving to the poor is like helping Hashem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Which of these is NOT a form of tzedakah?</w:t>
        <w:tab/>
        <w:t xml:space="preserve">Ignoring someone in need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Midrash teaches that Hashem will repay those who give tzedakah.</w:t>
        <w:tab/>
        <w:t xml:space="preserve">TRUE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What is the Hebrew word for charity/commandment to give?</w:t>
        <w:tab/>
        <w:t xml:space="preserve">Tzedakah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If you see a classmate who forgot their lunch, what’s a way to practice tzedakah?</w:t>
        <w:tab/>
        <w:t xml:space="preserve">Share your food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Why do the Torah and Midrash emphasize giving tzedakah?</w:t>
        <w:tab/>
        <w:t xml:space="preserve">To fulfill Hashem's commandment and create a just society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Based on Vayikra Rabbah 37:2, which scenario BEST demonstrates the concept that tzedakah is "like lending to Hashem"?</w:t>
        <w:tab/>
        <w:t xml:space="preserve">David anonymously donates his allowance to a food pantry.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2838450" cy="1333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2838450" cy="13335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990600</wp:posOffset>
            </wp:positionH>
            <wp:positionV relativeFrom="paragraph">
              <wp:posOffset>114300</wp:posOffset>
            </wp:positionV>
            <wp:extent cx="2844302" cy="1496085"/>
            <wp:effectExtent b="0" l="0" r="0" t="0"/>
            <wp:wrapNone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4120625" cy="1933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381000</wp:posOffset>
                </wp:positionV>
                <wp:extent cx="4120625" cy="1933575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0625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681038</wp:posOffset>
            </wp:positionH>
            <wp:positionV relativeFrom="paragraph">
              <wp:posOffset>433387</wp:posOffset>
            </wp:positionV>
            <wp:extent cx="3690938" cy="182880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0938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all looks good, click Create in the lower left corner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NjHUwb5+96J1QGa3yhH6JDeaA==">CgMxLjA4AHIhMTNFNERDWWFHMVctYmdTZ3BFYVFUajJKd1U1M0YzbVgw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