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1"/>
        </w:rPr>
        <w:t xml:space="preserve">דברים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טו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: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ד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-</w:t>
      </w:r>
      <w:r w:rsidDel="00000000" w:rsidR="00000000" w:rsidRPr="00000000">
        <w:rPr>
          <w:color w:val="000000"/>
          <w:sz w:val="30"/>
          <w:szCs w:val="30"/>
          <w:rtl w:val="1"/>
        </w:rPr>
        <w:t xml:space="preserve">יא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Devarim 15:4–11 Vocabulary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left"/>
        <w:tblInd w:w="-1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2715"/>
        <w:gridCol w:w="1650"/>
        <w:gridCol w:w="5055"/>
        <w:tblGridChange w:id="0">
          <w:tblGrid>
            <w:gridCol w:w="1485"/>
            <w:gridCol w:w="2715"/>
            <w:gridCol w:w="1650"/>
            <w:gridCol w:w="50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פסוק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מילה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שרש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Translation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S9lGSOQC6KrwXfmp25kL6EJCw==">CgMxLjA4AHIhMVZpQlRQT2ZWb1RJckFINWRESkp2bzlWMHBiSjhxcG03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