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lang w:val="en-GB"/>
        </w:rPr>
        <w:id w:val="-511532842"/>
        <w:docPartObj>
          <w:docPartGallery w:val="Table of Contents"/>
          <w:docPartUnique/>
        </w:docPartObj>
      </w:sdtPr>
      <w:sdtEndPr>
        <w:rPr>
          <w:b/>
          <w:bCs/>
          <w:noProof/>
        </w:rPr>
      </w:sdtEndPr>
      <w:sdtContent>
        <w:p w14:paraId="55B4CFE8" w14:textId="347DAB73" w:rsidR="0036267D" w:rsidRDefault="00777AD6">
          <w:pPr>
            <w:pStyle w:val="TOCHeading"/>
          </w:pPr>
          <w:r>
            <w:t>Overview</w:t>
          </w:r>
        </w:p>
        <w:p w14:paraId="4BF2B8B2" w14:textId="36BD2910" w:rsidR="003215EC" w:rsidRDefault="0036267D" w:rsidP="00777AD6">
          <w:pPr>
            <w:pStyle w:val="TOC1"/>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59079" w:history="1">
            <w:r w:rsidR="003215EC" w:rsidRPr="00E41E57">
              <w:rPr>
                <w:rStyle w:val="Hyperlink"/>
                <w:noProof/>
              </w:rPr>
              <w:t>I.</w:t>
            </w:r>
            <w:r w:rsidR="003215EC">
              <w:rPr>
                <w:rFonts w:eastAsiaTheme="minorEastAsia"/>
                <w:noProof/>
                <w:lang w:eastAsia="en-GB"/>
              </w:rPr>
              <w:tab/>
            </w:r>
            <w:r w:rsidR="003215EC" w:rsidRPr="00E41E57">
              <w:rPr>
                <w:rStyle w:val="Hyperlink"/>
                <w:noProof/>
              </w:rPr>
              <w:t>EEA &amp; Norway Grants – Glossary of Terms</w:t>
            </w:r>
            <w:r w:rsidR="003215EC">
              <w:rPr>
                <w:noProof/>
                <w:webHidden/>
              </w:rPr>
              <w:tab/>
            </w:r>
            <w:r w:rsidR="003215EC">
              <w:rPr>
                <w:noProof/>
                <w:webHidden/>
              </w:rPr>
              <w:fldChar w:fldCharType="begin"/>
            </w:r>
            <w:r w:rsidR="003215EC">
              <w:rPr>
                <w:noProof/>
                <w:webHidden/>
              </w:rPr>
              <w:instrText xml:space="preserve"> PAGEREF _Toc359079 \h </w:instrText>
            </w:r>
            <w:r w:rsidR="003215EC">
              <w:rPr>
                <w:noProof/>
                <w:webHidden/>
              </w:rPr>
            </w:r>
            <w:r w:rsidR="003215EC">
              <w:rPr>
                <w:noProof/>
                <w:webHidden/>
              </w:rPr>
              <w:fldChar w:fldCharType="separate"/>
            </w:r>
            <w:r w:rsidR="003215EC">
              <w:rPr>
                <w:noProof/>
                <w:webHidden/>
              </w:rPr>
              <w:t>1</w:t>
            </w:r>
            <w:r w:rsidR="003215EC">
              <w:rPr>
                <w:noProof/>
                <w:webHidden/>
              </w:rPr>
              <w:fldChar w:fldCharType="end"/>
            </w:r>
          </w:hyperlink>
        </w:p>
        <w:p w14:paraId="39A472BC" w14:textId="0432E4B3" w:rsidR="003215EC" w:rsidRDefault="007B60E6" w:rsidP="00777AD6">
          <w:pPr>
            <w:pStyle w:val="TOC1"/>
            <w:rPr>
              <w:rFonts w:eastAsiaTheme="minorEastAsia"/>
              <w:noProof/>
              <w:lang w:eastAsia="en-GB"/>
            </w:rPr>
          </w:pPr>
          <w:hyperlink w:anchor="_Toc359080" w:history="1">
            <w:r w:rsidR="003215EC" w:rsidRPr="00E41E57">
              <w:rPr>
                <w:rStyle w:val="Hyperlink"/>
                <w:noProof/>
              </w:rPr>
              <w:t>II.</w:t>
            </w:r>
            <w:r w:rsidR="003215EC">
              <w:rPr>
                <w:rFonts w:eastAsiaTheme="minorEastAsia"/>
                <w:noProof/>
                <w:lang w:eastAsia="en-GB"/>
              </w:rPr>
              <w:tab/>
            </w:r>
            <w:r w:rsidR="003215EC" w:rsidRPr="00E41E57">
              <w:rPr>
                <w:rStyle w:val="Hyperlink"/>
                <w:noProof/>
              </w:rPr>
              <w:t>EEA &amp; Norway Grants – Energy-specific Glossary of Terms</w:t>
            </w:r>
            <w:r w:rsidR="003215EC">
              <w:rPr>
                <w:noProof/>
                <w:webHidden/>
              </w:rPr>
              <w:tab/>
            </w:r>
            <w:r w:rsidR="003215EC">
              <w:rPr>
                <w:noProof/>
                <w:webHidden/>
              </w:rPr>
              <w:fldChar w:fldCharType="begin"/>
            </w:r>
            <w:r w:rsidR="003215EC">
              <w:rPr>
                <w:noProof/>
                <w:webHidden/>
              </w:rPr>
              <w:instrText xml:space="preserve"> PAGEREF _Toc359080 \h </w:instrText>
            </w:r>
            <w:r w:rsidR="003215EC">
              <w:rPr>
                <w:noProof/>
                <w:webHidden/>
              </w:rPr>
            </w:r>
            <w:r w:rsidR="003215EC">
              <w:rPr>
                <w:noProof/>
                <w:webHidden/>
              </w:rPr>
              <w:fldChar w:fldCharType="separate"/>
            </w:r>
            <w:r w:rsidR="003215EC">
              <w:rPr>
                <w:noProof/>
                <w:webHidden/>
              </w:rPr>
              <w:t>5</w:t>
            </w:r>
            <w:r w:rsidR="003215EC">
              <w:rPr>
                <w:noProof/>
                <w:webHidden/>
              </w:rPr>
              <w:fldChar w:fldCharType="end"/>
            </w:r>
          </w:hyperlink>
        </w:p>
        <w:p w14:paraId="1498D073" w14:textId="2BF40864" w:rsidR="0036267D" w:rsidRDefault="0036267D">
          <w:r>
            <w:rPr>
              <w:b/>
              <w:bCs/>
              <w:noProof/>
            </w:rPr>
            <w:fldChar w:fldCharType="end"/>
          </w:r>
        </w:p>
      </w:sdtContent>
    </w:sdt>
    <w:p w14:paraId="3E659563" w14:textId="77777777" w:rsidR="006800AB" w:rsidRDefault="006800AB" w:rsidP="001A5739">
      <w:pPr>
        <w:ind w:left="1080" w:hanging="720"/>
      </w:pPr>
    </w:p>
    <w:p w14:paraId="78C6F761" w14:textId="350CD4A2" w:rsidR="4CFA0F27" w:rsidRPr="001A5739" w:rsidRDefault="4CFA0F27" w:rsidP="003215EC">
      <w:pPr>
        <w:pStyle w:val="Heading1"/>
        <w:numPr>
          <w:ilvl w:val="0"/>
          <w:numId w:val="3"/>
        </w:numPr>
      </w:pPr>
      <w:bookmarkStart w:id="0" w:name="_Toc359079"/>
      <w:r w:rsidRPr="001A5739">
        <w:t xml:space="preserve">EEA &amp; Norway Grants </w:t>
      </w:r>
      <w:r w:rsidR="00C06BF1" w:rsidRPr="001A5739">
        <w:t>– G</w:t>
      </w:r>
      <w:r w:rsidR="003215EC">
        <w:t>eneral G</w:t>
      </w:r>
      <w:r w:rsidR="00C06BF1" w:rsidRPr="001A5739">
        <w:t xml:space="preserve">lossary </w:t>
      </w:r>
      <w:r w:rsidRPr="001A5739">
        <w:t xml:space="preserve">of </w:t>
      </w:r>
      <w:r w:rsidR="00C06BF1" w:rsidRPr="001A5739">
        <w:t>T</w:t>
      </w:r>
      <w:r w:rsidRPr="001A5739">
        <w:t>erms</w:t>
      </w:r>
      <w:bookmarkEnd w:id="0"/>
      <w:r w:rsidRPr="001A5739">
        <w:t xml:space="preserve"> </w:t>
      </w:r>
    </w:p>
    <w:p w14:paraId="4FFFC176" w14:textId="791CAC2F" w:rsidR="4CFA0F27" w:rsidRPr="007B7202" w:rsidRDefault="001812D7" w:rsidP="00D63BB7">
      <w:pPr>
        <w:spacing w:before="60"/>
      </w:pPr>
      <w:r w:rsidRPr="007B7202">
        <w:t xml:space="preserve">The following table </w:t>
      </w:r>
      <w:r w:rsidR="00107893" w:rsidRPr="007B7202">
        <w:t>provides a guidance on terms used in the context EEA and Norway Grants p</w:t>
      </w:r>
      <w:r w:rsidR="4CFA0F27" w:rsidRPr="007B7202">
        <w:t>rogrammes operated by Innov</w:t>
      </w:r>
      <w:r w:rsidR="54CFE270" w:rsidRPr="007B7202">
        <w:t>ation Norway</w:t>
      </w:r>
      <w:r w:rsidR="00B63985" w:rsidRPr="007B7202">
        <w:t>.</w:t>
      </w:r>
    </w:p>
    <w:p w14:paraId="2B719D20" w14:textId="77777777" w:rsidR="00080CFC" w:rsidRPr="007B7202" w:rsidRDefault="00080CFC" w:rsidP="007B7202"/>
    <w:tbl>
      <w:tblPr>
        <w:tblStyle w:val="TableGrid"/>
        <w:tblW w:w="0" w:type="auto"/>
        <w:tblLayout w:type="fixed"/>
        <w:tblLook w:val="04A0" w:firstRow="1" w:lastRow="0" w:firstColumn="1" w:lastColumn="0" w:noHBand="0" w:noVBand="1"/>
      </w:tblPr>
      <w:tblGrid>
        <w:gridCol w:w="3256"/>
        <w:gridCol w:w="5760"/>
      </w:tblGrid>
      <w:tr w:rsidR="008C7D5A" w:rsidRPr="007B7202" w14:paraId="2D38BE7F" w14:textId="77777777" w:rsidTr="4BAA822F">
        <w:trPr>
          <w:cantSplit/>
          <w:trHeight w:val="558"/>
          <w:tblHeader/>
        </w:trPr>
        <w:tc>
          <w:tcPr>
            <w:tcW w:w="3256" w:type="dxa"/>
            <w:shd w:val="clear" w:color="auto" w:fill="F2F2F2" w:themeFill="background1" w:themeFillShade="F2"/>
            <w:tcMar>
              <w:top w:w="57" w:type="dxa"/>
              <w:bottom w:w="57" w:type="dxa"/>
            </w:tcMar>
          </w:tcPr>
          <w:p w14:paraId="50150DA5" w14:textId="77777777" w:rsidR="008C7D5A" w:rsidRPr="007B7202" w:rsidRDefault="008C7D5A" w:rsidP="007B7202">
            <w:pPr>
              <w:rPr>
                <w:b/>
              </w:rPr>
            </w:pPr>
            <w:r w:rsidRPr="007B7202">
              <w:rPr>
                <w:b/>
              </w:rPr>
              <w:t>Term</w:t>
            </w:r>
          </w:p>
        </w:tc>
        <w:tc>
          <w:tcPr>
            <w:tcW w:w="5760" w:type="dxa"/>
            <w:shd w:val="clear" w:color="auto" w:fill="F2F2F2" w:themeFill="background1" w:themeFillShade="F2"/>
            <w:tcMar>
              <w:top w:w="57" w:type="dxa"/>
              <w:bottom w:w="57" w:type="dxa"/>
            </w:tcMar>
          </w:tcPr>
          <w:p w14:paraId="52B963DC" w14:textId="77777777" w:rsidR="008C7D5A" w:rsidRPr="007B7202" w:rsidRDefault="008C7D5A" w:rsidP="007B7202">
            <w:pPr>
              <w:rPr>
                <w:b/>
              </w:rPr>
            </w:pPr>
            <w:r w:rsidRPr="007B7202">
              <w:rPr>
                <w:b/>
              </w:rPr>
              <w:t>Meaning in the Context of the Programme</w:t>
            </w:r>
          </w:p>
        </w:tc>
      </w:tr>
      <w:tr w:rsidR="06F29630" w14:paraId="5661868B" w14:textId="77777777" w:rsidTr="4BAA822F">
        <w:trPr>
          <w:cantSplit/>
          <w:trHeight w:val="301"/>
        </w:trPr>
        <w:tc>
          <w:tcPr>
            <w:tcW w:w="3256" w:type="dxa"/>
            <w:noWrap/>
            <w:tcMar>
              <w:top w:w="57" w:type="dxa"/>
              <w:bottom w:w="57" w:type="dxa"/>
            </w:tcMar>
            <w:hideMark/>
          </w:tcPr>
          <w:p w14:paraId="161EB6B3" w14:textId="4AA9A4B4" w:rsidR="1C036CC2" w:rsidRDefault="1C036CC2" w:rsidP="06F29630">
            <w:pPr>
              <w:rPr>
                <w:rFonts w:ascii="Calibri" w:eastAsia="Times New Roman" w:hAnsi="Calibri" w:cs="Calibri"/>
                <w:color w:val="000000" w:themeColor="text1"/>
                <w:lang w:eastAsia="en-GB"/>
              </w:rPr>
            </w:pPr>
            <w:r w:rsidRPr="06F29630">
              <w:rPr>
                <w:rFonts w:ascii="Calibri" w:eastAsia="Times New Roman" w:hAnsi="Calibri" w:cs="Calibri"/>
                <w:color w:val="000000" w:themeColor="text1"/>
                <w:lang w:eastAsia="en-GB"/>
              </w:rPr>
              <w:t>Annual growth in turnover</w:t>
            </w:r>
          </w:p>
        </w:tc>
        <w:tc>
          <w:tcPr>
            <w:tcW w:w="5760" w:type="dxa"/>
            <w:noWrap/>
            <w:tcMar>
              <w:top w:w="57" w:type="dxa"/>
              <w:bottom w:w="57" w:type="dxa"/>
            </w:tcMar>
            <w:hideMark/>
          </w:tcPr>
          <w:p w14:paraId="55EA398D" w14:textId="3DBE1E79" w:rsidR="1C036CC2" w:rsidRDefault="1C036CC2" w:rsidP="06F29630">
            <w:pPr>
              <w:rPr>
                <w:rFonts w:ascii="Calibri" w:eastAsia="Times New Roman" w:hAnsi="Calibri" w:cs="Calibri"/>
                <w:color w:val="000000" w:themeColor="text1"/>
                <w:lang w:eastAsia="en-GB"/>
              </w:rPr>
            </w:pPr>
            <w:r w:rsidRPr="06F29630">
              <w:rPr>
                <w:rFonts w:ascii="Calibri" w:eastAsia="Times New Roman" w:hAnsi="Calibri" w:cs="Calibri"/>
                <w:color w:val="000000" w:themeColor="text1"/>
                <w:lang w:eastAsia="en-GB"/>
              </w:rPr>
              <w:t>Estimated increase in turnover per fiscal year</w:t>
            </w:r>
            <w:r w:rsidR="70942DF9" w:rsidRPr="06F29630">
              <w:rPr>
                <w:rFonts w:ascii="Calibri" w:eastAsia="Times New Roman" w:hAnsi="Calibri" w:cs="Calibri"/>
                <w:color w:val="000000" w:themeColor="text1"/>
                <w:lang w:eastAsia="en-GB"/>
              </w:rPr>
              <w:t xml:space="preserve"> after implementing the project. </w:t>
            </w:r>
            <w:r w:rsidR="58350E6A" w:rsidRPr="06F29630">
              <w:rPr>
                <w:rFonts w:ascii="Calibri" w:eastAsia="Times New Roman" w:hAnsi="Calibri" w:cs="Calibri"/>
                <w:color w:val="000000" w:themeColor="text1"/>
                <w:lang w:eastAsia="en-GB"/>
              </w:rPr>
              <w:t>This should be estimated for over a period of four years.</w:t>
            </w:r>
          </w:p>
        </w:tc>
      </w:tr>
      <w:tr w:rsidR="008C7D5A" w:rsidRPr="007B7202" w14:paraId="6E0393A1" w14:textId="77777777" w:rsidTr="4BAA822F">
        <w:trPr>
          <w:cantSplit/>
          <w:trHeight w:val="301"/>
        </w:trPr>
        <w:tc>
          <w:tcPr>
            <w:tcW w:w="3256" w:type="dxa"/>
            <w:noWrap/>
            <w:tcMar>
              <w:top w:w="57" w:type="dxa"/>
              <w:bottom w:w="57" w:type="dxa"/>
            </w:tcMar>
            <w:hideMark/>
          </w:tcPr>
          <w:p w14:paraId="74F0E43A"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Applicant</w:t>
            </w:r>
          </w:p>
        </w:tc>
        <w:tc>
          <w:tcPr>
            <w:tcW w:w="5760" w:type="dxa"/>
            <w:noWrap/>
            <w:tcMar>
              <w:top w:w="57" w:type="dxa"/>
              <w:bottom w:w="57" w:type="dxa"/>
            </w:tcMar>
            <w:hideMark/>
          </w:tcPr>
          <w:p w14:paraId="587079F5"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A legal person applying for a grant.</w:t>
            </w:r>
          </w:p>
        </w:tc>
      </w:tr>
      <w:tr w:rsidR="008C7D5A" w:rsidRPr="007B7202" w14:paraId="2DD2352A" w14:textId="77777777" w:rsidTr="4BAA822F">
        <w:trPr>
          <w:cantSplit/>
          <w:trHeight w:val="301"/>
        </w:trPr>
        <w:tc>
          <w:tcPr>
            <w:tcW w:w="3256" w:type="dxa"/>
            <w:noWrap/>
            <w:tcMar>
              <w:top w:w="57" w:type="dxa"/>
              <w:bottom w:w="57" w:type="dxa"/>
            </w:tcMar>
            <w:hideMark/>
          </w:tcPr>
          <w:p w14:paraId="1A436959" w14:textId="77777777" w:rsidR="008C7D5A" w:rsidRPr="007B7202" w:rsidRDefault="008C7D5A" w:rsidP="007B7202">
            <w:pPr>
              <w:rPr>
                <w:rFonts w:ascii="Calibri" w:eastAsia="Times New Roman" w:hAnsi="Calibri" w:cs="Calibri"/>
                <w:color w:val="000000"/>
                <w:lang w:val="en-US" w:eastAsia="en-GB"/>
              </w:rPr>
            </w:pPr>
            <w:r w:rsidRPr="007B7202">
              <w:rPr>
                <w:rFonts w:ascii="Calibri" w:eastAsia="Times New Roman" w:hAnsi="Calibri" w:cs="Calibri"/>
                <w:color w:val="000000"/>
                <w:lang w:val="en-US" w:eastAsia="en-GB"/>
              </w:rPr>
              <w:t xml:space="preserve">Application, </w:t>
            </w:r>
          </w:p>
          <w:p w14:paraId="272D3780"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val="en-US" w:eastAsia="en-GB"/>
              </w:rPr>
              <w:t>To apply (products, services, technologies)</w:t>
            </w:r>
          </w:p>
        </w:tc>
        <w:tc>
          <w:tcPr>
            <w:tcW w:w="5760" w:type="dxa"/>
            <w:shd w:val="clear" w:color="auto" w:fill="auto"/>
            <w:noWrap/>
            <w:tcMar>
              <w:top w:w="57" w:type="dxa"/>
              <w:bottom w:w="57" w:type="dxa"/>
            </w:tcMar>
            <w:hideMark/>
          </w:tcPr>
          <w:p w14:paraId="0CB6FDDF"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Meaning the adjustment of products/service/technology that are already developed/available in the market to the enterprise’s own needs. </w:t>
            </w:r>
          </w:p>
          <w:p w14:paraId="63361BB7"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These types of projects will often include a component related to the analysing, adjustment, testing and refining of materials, processes etc. </w:t>
            </w:r>
          </w:p>
        </w:tc>
      </w:tr>
      <w:tr w:rsidR="008C7D5A" w:rsidRPr="007B7202" w14:paraId="4036DC87" w14:textId="77777777" w:rsidTr="4BAA822F">
        <w:trPr>
          <w:cantSplit/>
          <w:trHeight w:val="301"/>
        </w:trPr>
        <w:tc>
          <w:tcPr>
            <w:tcW w:w="3256" w:type="dxa"/>
            <w:noWrap/>
            <w:tcMar>
              <w:top w:w="57" w:type="dxa"/>
              <w:bottom w:w="57" w:type="dxa"/>
            </w:tcMar>
            <w:hideMark/>
          </w:tcPr>
          <w:p w14:paraId="744E657F"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Applied (innovative technology)</w:t>
            </w:r>
          </w:p>
        </w:tc>
        <w:tc>
          <w:tcPr>
            <w:tcW w:w="5760" w:type="dxa"/>
            <w:noWrap/>
            <w:tcMar>
              <w:top w:w="57" w:type="dxa"/>
              <w:bottom w:w="57" w:type="dxa"/>
            </w:tcMar>
            <w:hideMark/>
          </w:tcPr>
          <w:p w14:paraId="7E989FC9"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A product/service/technology that is already developed/available in the market that is adjusted to the enterprise’s own need. These types of projects may include a project component related to adjustment of material, process </w:t>
            </w:r>
            <w:proofErr w:type="gramStart"/>
            <w:r w:rsidRPr="007B7202">
              <w:rPr>
                <w:rFonts w:ascii="Calibri" w:eastAsia="Times New Roman" w:hAnsi="Calibri" w:cs="Calibri"/>
                <w:color w:val="000000"/>
                <w:lang w:eastAsia="en-GB"/>
              </w:rPr>
              <w:t>etc..</w:t>
            </w:r>
            <w:proofErr w:type="gramEnd"/>
            <w:r w:rsidRPr="007B7202">
              <w:rPr>
                <w:rFonts w:ascii="Calibri" w:eastAsia="Times New Roman" w:hAnsi="Calibri" w:cs="Calibri"/>
                <w:color w:val="000000"/>
                <w:lang w:eastAsia="en-GB"/>
              </w:rPr>
              <w:t xml:space="preserve"> </w:t>
            </w:r>
          </w:p>
        </w:tc>
      </w:tr>
      <w:tr w:rsidR="008C7D5A" w:rsidRPr="007B7202" w14:paraId="69544E77" w14:textId="77777777" w:rsidTr="4BAA822F">
        <w:trPr>
          <w:cantSplit/>
          <w:trHeight w:val="301"/>
        </w:trPr>
        <w:tc>
          <w:tcPr>
            <w:tcW w:w="3256" w:type="dxa"/>
            <w:noWrap/>
            <w:tcMar>
              <w:top w:w="57" w:type="dxa"/>
              <w:bottom w:w="57" w:type="dxa"/>
            </w:tcMar>
            <w:hideMark/>
          </w:tcPr>
          <w:p w14:paraId="13B70049" w14:textId="3E21633A"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Blue</w:t>
            </w:r>
            <w:r w:rsidR="006F05B1">
              <w:rPr>
                <w:rFonts w:ascii="Calibri" w:eastAsia="Times New Roman" w:hAnsi="Calibri" w:cs="Calibri"/>
                <w:bCs/>
                <w:color w:val="000000"/>
                <w:lang w:eastAsia="en-GB"/>
              </w:rPr>
              <w:t xml:space="preserve"> (</w:t>
            </w:r>
            <w:r w:rsidRPr="007B7202">
              <w:rPr>
                <w:rFonts w:ascii="Calibri" w:eastAsia="Times New Roman" w:hAnsi="Calibri" w:cs="Calibri"/>
                <w:bCs/>
                <w:color w:val="000000"/>
                <w:lang w:eastAsia="en-GB"/>
              </w:rPr>
              <w:t>products</w:t>
            </w:r>
            <w:r w:rsidR="006F05B1">
              <w:rPr>
                <w:rFonts w:ascii="Calibri" w:eastAsia="Times New Roman" w:hAnsi="Calibri" w:cs="Calibri"/>
                <w:bCs/>
                <w:color w:val="000000"/>
                <w:lang w:eastAsia="en-GB"/>
              </w:rPr>
              <w:t xml:space="preserve">, </w:t>
            </w:r>
            <w:r w:rsidRPr="007B7202">
              <w:rPr>
                <w:rFonts w:ascii="Calibri" w:eastAsia="Times New Roman" w:hAnsi="Calibri" w:cs="Calibri"/>
                <w:bCs/>
                <w:color w:val="000000"/>
                <w:lang w:eastAsia="en-GB"/>
              </w:rPr>
              <w:t>services</w:t>
            </w:r>
            <w:r w:rsidR="006F05B1">
              <w:rPr>
                <w:rFonts w:ascii="Calibri" w:eastAsia="Times New Roman" w:hAnsi="Calibri" w:cs="Calibri"/>
                <w:bCs/>
                <w:color w:val="000000"/>
                <w:lang w:eastAsia="en-GB"/>
              </w:rPr>
              <w:t xml:space="preserve">, </w:t>
            </w:r>
            <w:r w:rsidRPr="007B7202">
              <w:rPr>
                <w:rFonts w:ascii="Calibri" w:eastAsia="Times New Roman" w:hAnsi="Calibri" w:cs="Calibri"/>
                <w:bCs/>
                <w:color w:val="000000"/>
                <w:lang w:eastAsia="en-GB"/>
              </w:rPr>
              <w:t>technolog</w:t>
            </w:r>
            <w:r w:rsidR="006F05B1">
              <w:rPr>
                <w:rFonts w:ascii="Calibri" w:eastAsia="Times New Roman" w:hAnsi="Calibri" w:cs="Calibri"/>
                <w:bCs/>
                <w:color w:val="000000"/>
                <w:lang w:eastAsia="en-GB"/>
              </w:rPr>
              <w:t>ies)</w:t>
            </w:r>
          </w:p>
        </w:tc>
        <w:tc>
          <w:tcPr>
            <w:tcW w:w="5760" w:type="dxa"/>
            <w:noWrap/>
            <w:tcMar>
              <w:top w:w="57" w:type="dxa"/>
              <w:bottom w:w="57" w:type="dxa"/>
            </w:tcMar>
            <w:hideMark/>
          </w:tcPr>
          <w:p w14:paraId="6E92B0CE"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Harnessing the untapped potential of Europe's oceans, seas, coasts as well as river and lakes to create jobs and growth. </w:t>
            </w:r>
          </w:p>
          <w:p w14:paraId="0C95C933" w14:textId="6557E9FA" w:rsidR="008C7D5A" w:rsidRPr="007B7202" w:rsidRDefault="008C7D5A" w:rsidP="007B7202">
            <w:pPr>
              <w:rPr>
                <w:rFonts w:ascii="Calibri" w:eastAsia="Times New Roman" w:hAnsi="Calibri" w:cs="Calibri"/>
                <w:color w:val="000000"/>
                <w:lang w:eastAsia="en-GB"/>
              </w:rPr>
            </w:pPr>
            <w:r w:rsidRPr="59233C7E">
              <w:rPr>
                <w:rFonts w:ascii="Calibri" w:eastAsia="Times New Roman" w:hAnsi="Calibri" w:cs="Calibri"/>
                <w:color w:val="000000" w:themeColor="text1"/>
                <w:lang w:eastAsia="en-GB"/>
              </w:rPr>
              <w:t xml:space="preserve">The definition </w:t>
            </w:r>
            <w:r w:rsidR="001D09BB" w:rsidRPr="59233C7E">
              <w:rPr>
                <w:rFonts w:ascii="Calibri" w:eastAsia="Times New Roman" w:hAnsi="Calibri" w:cs="Calibri"/>
                <w:color w:val="000000" w:themeColor="text1"/>
                <w:lang w:eastAsia="en-GB"/>
              </w:rPr>
              <w:t>is inspired by</w:t>
            </w:r>
            <w:r w:rsidRPr="59233C7E">
              <w:rPr>
                <w:rFonts w:ascii="Calibri" w:eastAsia="Times New Roman" w:hAnsi="Calibri" w:cs="Calibri"/>
                <w:color w:val="000000" w:themeColor="text1"/>
                <w:lang w:eastAsia="en-GB"/>
              </w:rPr>
              <w:t xml:space="preserve"> the EU Commission's Report on the Blue Growth Strategy. </w:t>
            </w:r>
            <w:hyperlink r:id="rId11">
              <w:r w:rsidR="241FF20E" w:rsidRPr="59233C7E">
                <w:rPr>
                  <w:rStyle w:val="Hyperlink"/>
                  <w:rFonts w:ascii="Calibri" w:eastAsia="Times New Roman" w:hAnsi="Calibri" w:cs="Calibri"/>
                  <w:color w:val="000000" w:themeColor="text1"/>
                  <w:lang w:eastAsia="en-GB"/>
                </w:rPr>
                <w:t>See the Staff working document on Blue Economy</w:t>
              </w:r>
            </w:hyperlink>
            <w:r w:rsidR="241FF20E" w:rsidRPr="59233C7E">
              <w:rPr>
                <w:rFonts w:ascii="Calibri" w:eastAsia="Times New Roman" w:hAnsi="Calibri" w:cs="Calibri"/>
                <w:color w:val="000000" w:themeColor="text1"/>
                <w:lang w:eastAsia="en-GB"/>
              </w:rPr>
              <w:t xml:space="preserve">. </w:t>
            </w:r>
            <w:r w:rsidRPr="59233C7E">
              <w:rPr>
                <w:rFonts w:ascii="Calibri" w:eastAsia="Times New Roman" w:hAnsi="Calibri" w:cs="Calibri"/>
                <w:color w:val="000000" w:themeColor="text1"/>
                <w:lang w:eastAsia="en-GB"/>
              </w:rPr>
              <w:t xml:space="preserve"> </w:t>
            </w:r>
          </w:p>
        </w:tc>
      </w:tr>
      <w:tr w:rsidR="00582FB5" w:rsidRPr="007B7202" w14:paraId="0D36BAAB" w14:textId="77777777" w:rsidTr="4BAA822F">
        <w:trPr>
          <w:cantSplit/>
          <w:trHeight w:val="301"/>
        </w:trPr>
        <w:tc>
          <w:tcPr>
            <w:tcW w:w="3256" w:type="dxa"/>
            <w:noWrap/>
            <w:tcMar>
              <w:top w:w="57" w:type="dxa"/>
              <w:bottom w:w="57" w:type="dxa"/>
            </w:tcMar>
          </w:tcPr>
          <w:p w14:paraId="0022133A" w14:textId="555448D2" w:rsidR="00582FB5" w:rsidRPr="007B7202" w:rsidRDefault="00606EC0" w:rsidP="2F14901D">
            <w:pPr>
              <w:rPr>
                <w:rFonts w:ascii="Calibri" w:eastAsia="Times New Roman" w:hAnsi="Calibri" w:cs="Calibri"/>
                <w:color w:val="000000"/>
                <w:lang w:eastAsia="en-GB"/>
              </w:rPr>
            </w:pPr>
            <w:r>
              <w:t>Blue economy</w:t>
            </w:r>
          </w:p>
        </w:tc>
        <w:tc>
          <w:tcPr>
            <w:tcW w:w="5760" w:type="dxa"/>
            <w:noWrap/>
            <w:tcMar>
              <w:top w:w="57" w:type="dxa"/>
              <w:bottom w:w="57" w:type="dxa"/>
            </w:tcMar>
          </w:tcPr>
          <w:p w14:paraId="364842C8" w14:textId="00856CAF" w:rsidR="00582FB5" w:rsidRPr="007B7202" w:rsidRDefault="00606EC0" w:rsidP="142FCEFE">
            <w:pPr>
              <w:rPr>
                <w:lang w:eastAsia="en-GB"/>
              </w:rPr>
            </w:pPr>
            <w:r>
              <w:t xml:space="preserve">The blue economy </w:t>
            </w:r>
            <w:r w:rsidR="1DD615D0">
              <w:t xml:space="preserve">refers to </w:t>
            </w:r>
            <w:r>
              <w:t>economic activities that take place in the marine environment or that use sea resources as an input</w:t>
            </w:r>
            <w:r w:rsidR="2424F5DA">
              <w:t xml:space="preserve">. It also includes </w:t>
            </w:r>
            <w:r>
              <w:t>economic activities outside the marine environment that are involved in the production of goods or the provision of services that will contribute to those activities</w:t>
            </w:r>
            <w:r w:rsidR="5F617590">
              <w:t xml:space="preserve">, such as aquaculture. </w:t>
            </w:r>
          </w:p>
        </w:tc>
      </w:tr>
      <w:tr w:rsidR="0005768D" w:rsidRPr="007B7202" w14:paraId="3F70A44F" w14:textId="77777777" w:rsidTr="4BAA822F">
        <w:trPr>
          <w:cantSplit/>
          <w:trHeight w:val="301"/>
        </w:trPr>
        <w:tc>
          <w:tcPr>
            <w:tcW w:w="3256" w:type="dxa"/>
            <w:noWrap/>
            <w:tcMar>
              <w:top w:w="57" w:type="dxa"/>
              <w:bottom w:w="57" w:type="dxa"/>
            </w:tcMar>
          </w:tcPr>
          <w:p w14:paraId="12B5BF88" w14:textId="21DD3AAA" w:rsidR="0005768D" w:rsidRPr="00CB37D5" w:rsidRDefault="0005768D" w:rsidP="59233C7E">
            <w:r>
              <w:lastRenderedPageBreak/>
              <w:t xml:space="preserve">Coastal </w:t>
            </w:r>
            <w:r w:rsidR="0643DC63">
              <w:t>tourism</w:t>
            </w:r>
          </w:p>
        </w:tc>
        <w:tc>
          <w:tcPr>
            <w:tcW w:w="5760" w:type="dxa"/>
            <w:noWrap/>
            <w:tcMar>
              <w:top w:w="57" w:type="dxa"/>
              <w:bottom w:w="57" w:type="dxa"/>
            </w:tcMar>
          </w:tcPr>
          <w:p w14:paraId="61817BA0" w14:textId="5C2DF6BC" w:rsidR="0005768D" w:rsidRDefault="0005768D" w:rsidP="007B7202">
            <w:r>
              <w:t>Covers beach-based recreation and tourism (</w:t>
            </w:r>
            <w:proofErr w:type="gramStart"/>
            <w:r>
              <w:t>e.g.</w:t>
            </w:r>
            <w:proofErr w:type="gramEnd"/>
            <w:r>
              <w:t xml:space="preserve"> swimming, surfing, sun bathing), and non-beach related land-based tourism in the coastal area, as well as the supplies and manufacturing industries associated to these activities.</w:t>
            </w:r>
          </w:p>
        </w:tc>
      </w:tr>
      <w:tr w:rsidR="008C7D5A" w:rsidRPr="007B7202" w14:paraId="017A0D4A" w14:textId="77777777" w:rsidTr="4BAA822F">
        <w:trPr>
          <w:cantSplit/>
          <w:trHeight w:val="301"/>
        </w:trPr>
        <w:tc>
          <w:tcPr>
            <w:tcW w:w="3256" w:type="dxa"/>
            <w:noWrap/>
            <w:tcMar>
              <w:top w:w="57" w:type="dxa"/>
              <w:bottom w:w="57" w:type="dxa"/>
            </w:tcMar>
            <w:hideMark/>
          </w:tcPr>
          <w:p w14:paraId="62531A1F" w14:textId="16C1336B"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 xml:space="preserve">CO2 emissions </w:t>
            </w:r>
            <w:r w:rsidR="00FD75BF">
              <w:rPr>
                <w:rFonts w:ascii="Calibri" w:eastAsia="Times New Roman" w:hAnsi="Calibri" w:cs="Calibri"/>
                <w:bCs/>
                <w:color w:val="000000"/>
                <w:lang w:eastAsia="en-GB"/>
              </w:rPr>
              <w:t>(</w:t>
            </w:r>
            <w:r w:rsidRPr="007B7202">
              <w:rPr>
                <w:rFonts w:ascii="Calibri" w:eastAsia="Times New Roman" w:hAnsi="Calibri" w:cs="Calibri"/>
                <w:bCs/>
                <w:color w:val="000000"/>
                <w:lang w:eastAsia="en-GB"/>
              </w:rPr>
              <w:t>including greenhouse gases CO2 equivalents</w:t>
            </w:r>
            <w:r w:rsidR="00FD75BF">
              <w:rPr>
                <w:rFonts w:ascii="Calibri" w:eastAsia="Times New Roman" w:hAnsi="Calibri" w:cs="Calibri"/>
                <w:bCs/>
                <w:color w:val="000000"/>
                <w:lang w:eastAsia="en-GB"/>
              </w:rPr>
              <w:t>)</w:t>
            </w:r>
          </w:p>
        </w:tc>
        <w:tc>
          <w:tcPr>
            <w:tcW w:w="5760" w:type="dxa"/>
            <w:noWrap/>
            <w:tcMar>
              <w:top w:w="57" w:type="dxa"/>
              <w:bottom w:w="57" w:type="dxa"/>
            </w:tcMar>
            <w:hideMark/>
          </w:tcPr>
          <w:p w14:paraId="69D14FDC" w14:textId="77777777" w:rsidR="008C7D5A"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The term encompasses carbon dioxide (CO2), methane (CH4), nitrous oxide (N2O), chlorofluorocarbons (CFCs), hydrofluorocarbons (HFCs), perfluorocarbons (PFCs), sulphur hexafluoride (SF6) and nitrogen trifluoride (NF3). </w:t>
            </w:r>
          </w:p>
          <w:p w14:paraId="291E10DF" w14:textId="67DAE761" w:rsidR="00FD001C" w:rsidRPr="007B7202" w:rsidRDefault="00FD001C" w:rsidP="007B7202">
            <w:pPr>
              <w:rPr>
                <w:rFonts w:ascii="Calibri" w:eastAsia="Times New Roman" w:hAnsi="Calibri" w:cs="Calibri"/>
                <w:color w:val="000000"/>
                <w:lang w:eastAsia="en-GB"/>
              </w:rPr>
            </w:pPr>
            <w:proofErr w:type="spellStart"/>
            <w:r>
              <w:rPr>
                <w:rFonts w:ascii="Calibri" w:eastAsia="Times New Roman" w:hAnsi="Calibri" w:cs="Calibri"/>
                <w:color w:val="000000"/>
                <w:lang w:eastAsia="en-GB"/>
              </w:rPr>
              <w:t>N.b.</w:t>
            </w:r>
            <w:proofErr w:type="spellEnd"/>
            <w:r>
              <w:rPr>
                <w:rFonts w:ascii="Calibri" w:eastAsia="Times New Roman" w:hAnsi="Calibri" w:cs="Calibri"/>
                <w:color w:val="000000"/>
                <w:lang w:eastAsia="en-GB"/>
              </w:rPr>
              <w:t xml:space="preserve"> see also what is not </w:t>
            </w:r>
            <w:r w:rsidR="0068043A">
              <w:rPr>
                <w:rFonts w:ascii="Calibri" w:eastAsia="Times New Roman" w:hAnsi="Calibri" w:cs="Calibri"/>
                <w:color w:val="000000"/>
                <w:lang w:eastAsia="en-GB"/>
              </w:rPr>
              <w:t xml:space="preserve">encompassed by this term (-&gt; </w:t>
            </w:r>
            <w:r w:rsidR="0068043A" w:rsidRPr="007B7202">
              <w:rPr>
                <w:rFonts w:ascii="Calibri" w:eastAsia="Times New Roman" w:hAnsi="Calibri" w:cs="Calibri"/>
                <w:bCs/>
                <w:color w:val="000000"/>
                <w:lang w:eastAsia="en-GB"/>
              </w:rPr>
              <w:t>Non-greenhouse gases</w:t>
            </w:r>
            <w:r w:rsidR="0068043A">
              <w:rPr>
                <w:rFonts w:ascii="Calibri" w:eastAsia="Times New Roman" w:hAnsi="Calibri" w:cs="Calibri"/>
                <w:bCs/>
                <w:color w:val="000000"/>
                <w:lang w:eastAsia="en-GB"/>
              </w:rPr>
              <w:t>).</w:t>
            </w:r>
          </w:p>
        </w:tc>
      </w:tr>
      <w:tr w:rsidR="008C7D5A" w:rsidRPr="007B7202" w14:paraId="4FE5DE9E" w14:textId="77777777" w:rsidTr="4BAA822F">
        <w:trPr>
          <w:cantSplit/>
          <w:trHeight w:val="301"/>
        </w:trPr>
        <w:tc>
          <w:tcPr>
            <w:tcW w:w="3256" w:type="dxa"/>
            <w:noWrap/>
            <w:tcMar>
              <w:top w:w="57" w:type="dxa"/>
              <w:bottom w:w="57" w:type="dxa"/>
            </w:tcMar>
            <w:hideMark/>
          </w:tcPr>
          <w:p w14:paraId="425C6DEE"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Commercialization,</w:t>
            </w:r>
          </w:p>
          <w:p w14:paraId="6EF21714"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 xml:space="preserve">To commercialise </w:t>
            </w:r>
            <w:r w:rsidRPr="007B7202">
              <w:rPr>
                <w:rFonts w:ascii="Calibri" w:eastAsia="Times New Roman" w:hAnsi="Calibri" w:cs="Calibri"/>
                <w:color w:val="000000"/>
                <w:lang w:val="en-US" w:eastAsia="en-GB"/>
              </w:rPr>
              <w:t>(products, services, technologies)</w:t>
            </w:r>
          </w:p>
        </w:tc>
        <w:tc>
          <w:tcPr>
            <w:tcW w:w="5760" w:type="dxa"/>
            <w:noWrap/>
            <w:tcMar>
              <w:top w:w="57" w:type="dxa"/>
              <w:bottom w:w="57" w:type="dxa"/>
            </w:tcMar>
            <w:hideMark/>
          </w:tcPr>
          <w:p w14:paraId="586C5AD7"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Referring to a new product or service being introduced into the market. The process is broken into phases, from the initial introduction of the product through its mass production and adoption. </w:t>
            </w:r>
          </w:p>
        </w:tc>
      </w:tr>
      <w:tr w:rsidR="008C7D5A" w:rsidRPr="007B7202" w14:paraId="5554A783" w14:textId="77777777" w:rsidTr="4BAA822F">
        <w:trPr>
          <w:cantSplit/>
          <w:trHeight w:val="301"/>
        </w:trPr>
        <w:tc>
          <w:tcPr>
            <w:tcW w:w="3256" w:type="dxa"/>
            <w:noWrap/>
            <w:tcMar>
              <w:top w:w="57" w:type="dxa"/>
              <w:bottom w:w="57" w:type="dxa"/>
            </w:tcMar>
            <w:hideMark/>
          </w:tcPr>
          <w:p w14:paraId="409A3E8C" w14:textId="5BC66ABB" w:rsidR="008C7D5A" w:rsidRPr="007B7202" w:rsidRDefault="001D09BB" w:rsidP="007B7202">
            <w:pPr>
              <w:rPr>
                <w:rFonts w:ascii="Calibri" w:eastAsia="Times New Roman" w:hAnsi="Calibri" w:cs="Calibri"/>
                <w:color w:val="000000"/>
                <w:lang w:eastAsia="en-GB"/>
              </w:rPr>
            </w:pPr>
            <w:r>
              <w:rPr>
                <w:rFonts w:ascii="Calibri" w:eastAsia="Times New Roman" w:hAnsi="Calibri" w:cs="Calibri"/>
                <w:color w:val="000000"/>
                <w:lang w:val="en-US" w:eastAsia="en-GB"/>
              </w:rPr>
              <w:t>C</w:t>
            </w:r>
            <w:r w:rsidR="008C7D5A" w:rsidRPr="007B7202">
              <w:rPr>
                <w:rFonts w:ascii="Calibri" w:eastAsia="Times New Roman" w:hAnsi="Calibri" w:cs="Calibri"/>
                <w:color w:val="000000"/>
                <w:lang w:val="en-US" w:eastAsia="en-GB"/>
              </w:rPr>
              <w:t>ompetitiveness</w:t>
            </w:r>
          </w:p>
        </w:tc>
        <w:tc>
          <w:tcPr>
            <w:tcW w:w="5760" w:type="dxa"/>
            <w:noWrap/>
            <w:tcMar>
              <w:top w:w="57" w:type="dxa"/>
              <w:bottom w:w="57" w:type="dxa"/>
            </w:tcMar>
            <w:hideMark/>
          </w:tcPr>
          <w:p w14:paraId="785E50F4"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An enterprise’s ability to offer products and services that meet the quality standards on the local and world markets at prices that are competitive and provide adequate returns on resources employed or consumed in producing them. </w:t>
            </w:r>
          </w:p>
        </w:tc>
      </w:tr>
      <w:tr w:rsidR="008C7D5A" w:rsidRPr="007B7202" w14:paraId="760D01DD" w14:textId="77777777" w:rsidTr="4BAA822F">
        <w:trPr>
          <w:cantSplit/>
          <w:trHeight w:val="301"/>
        </w:trPr>
        <w:tc>
          <w:tcPr>
            <w:tcW w:w="3256" w:type="dxa"/>
            <w:noWrap/>
            <w:tcMar>
              <w:top w:w="57" w:type="dxa"/>
              <w:bottom w:w="57" w:type="dxa"/>
            </w:tcMar>
            <w:hideMark/>
          </w:tcPr>
          <w:p w14:paraId="2BAB24A2" w14:textId="3CE42295"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val="en-US" w:eastAsia="en-GB"/>
              </w:rPr>
              <w:t>Develop (product</w:t>
            </w:r>
            <w:r w:rsidR="006F6985">
              <w:rPr>
                <w:rFonts w:ascii="Calibri" w:eastAsia="Times New Roman" w:hAnsi="Calibri" w:cs="Calibri"/>
                <w:color w:val="000000"/>
                <w:lang w:val="en-US" w:eastAsia="en-GB"/>
              </w:rPr>
              <w:t xml:space="preserve">, </w:t>
            </w:r>
            <w:r w:rsidRPr="007B7202">
              <w:rPr>
                <w:rFonts w:ascii="Calibri" w:eastAsia="Times New Roman" w:hAnsi="Calibri" w:cs="Calibri"/>
                <w:color w:val="000000"/>
                <w:lang w:val="en-US" w:eastAsia="en-GB"/>
              </w:rPr>
              <w:t>service</w:t>
            </w:r>
            <w:r w:rsidR="006F6985">
              <w:rPr>
                <w:rFonts w:ascii="Calibri" w:eastAsia="Times New Roman" w:hAnsi="Calibri" w:cs="Calibri"/>
                <w:color w:val="000000"/>
                <w:lang w:val="en-US" w:eastAsia="en-GB"/>
              </w:rPr>
              <w:t xml:space="preserve">, </w:t>
            </w:r>
            <w:r w:rsidRPr="007B7202">
              <w:rPr>
                <w:rFonts w:ascii="Calibri" w:eastAsia="Times New Roman" w:hAnsi="Calibri" w:cs="Calibri"/>
                <w:color w:val="000000"/>
                <w:lang w:val="en-US" w:eastAsia="en-GB"/>
              </w:rPr>
              <w:t>technolog</w:t>
            </w:r>
            <w:r w:rsidR="006F6985">
              <w:rPr>
                <w:rFonts w:ascii="Calibri" w:eastAsia="Times New Roman" w:hAnsi="Calibri" w:cs="Calibri"/>
                <w:color w:val="000000"/>
                <w:lang w:val="en-US" w:eastAsia="en-GB"/>
              </w:rPr>
              <w:t>ies</w:t>
            </w:r>
            <w:r w:rsidRPr="007B7202">
              <w:rPr>
                <w:rFonts w:ascii="Calibri" w:eastAsia="Times New Roman" w:hAnsi="Calibri" w:cs="Calibri"/>
                <w:color w:val="000000"/>
                <w:lang w:val="en-US" w:eastAsia="en-GB"/>
              </w:rPr>
              <w:t>)</w:t>
            </w:r>
          </w:p>
        </w:tc>
        <w:tc>
          <w:tcPr>
            <w:tcW w:w="5760" w:type="dxa"/>
            <w:noWrap/>
            <w:tcMar>
              <w:top w:w="57" w:type="dxa"/>
              <w:bottom w:w="57" w:type="dxa"/>
            </w:tcMar>
            <w:hideMark/>
          </w:tcPr>
          <w:p w14:paraId="5FA91EBC"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 Projects where the main activities include </w:t>
            </w:r>
            <w:proofErr w:type="gramStart"/>
            <w:r w:rsidRPr="007B7202">
              <w:rPr>
                <w:rFonts w:ascii="Calibri" w:eastAsia="Times New Roman" w:hAnsi="Calibri" w:cs="Calibri"/>
                <w:color w:val="000000"/>
                <w:lang w:eastAsia="en-GB"/>
              </w:rPr>
              <w:t>e.g.</w:t>
            </w:r>
            <w:proofErr w:type="gramEnd"/>
            <w:r w:rsidRPr="007B7202">
              <w:rPr>
                <w:rFonts w:ascii="Calibri" w:eastAsia="Times New Roman" w:hAnsi="Calibri" w:cs="Calibri"/>
                <w:color w:val="000000"/>
                <w:lang w:eastAsia="en-GB"/>
              </w:rPr>
              <w:t xml:space="preserve"> validation or demonstration of technologies in relevant (industrial) environment, prototypes demonstrated in operational environment, system completed and qualified. In other </w:t>
            </w:r>
            <w:proofErr w:type="gramStart"/>
            <w:r w:rsidRPr="007B7202">
              <w:rPr>
                <w:rFonts w:ascii="Calibri" w:eastAsia="Times New Roman" w:hAnsi="Calibri" w:cs="Calibri"/>
                <w:color w:val="000000"/>
                <w:lang w:eastAsia="en-GB"/>
              </w:rPr>
              <w:t>words</w:t>
            </w:r>
            <w:proofErr w:type="gramEnd"/>
            <w:r w:rsidRPr="007B7202">
              <w:rPr>
                <w:rFonts w:ascii="Calibri" w:eastAsia="Times New Roman" w:hAnsi="Calibri" w:cs="Calibri"/>
                <w:color w:val="000000"/>
                <w:lang w:eastAsia="en-GB"/>
              </w:rPr>
              <w:t xml:space="preserve"> Technology Readiness Level (TRL) 5-8 (EU Commission’s scale used to describe the maturity of a technology). These types of projects will often be a cooperation between an enterprise and a research institution or similar. </w:t>
            </w:r>
          </w:p>
        </w:tc>
      </w:tr>
      <w:tr w:rsidR="008C7D5A" w:rsidRPr="007B7202" w14:paraId="3E350B29" w14:textId="77777777" w:rsidTr="4BAA822F">
        <w:trPr>
          <w:cantSplit/>
          <w:trHeight w:val="301"/>
        </w:trPr>
        <w:tc>
          <w:tcPr>
            <w:tcW w:w="3256" w:type="dxa"/>
            <w:noWrap/>
            <w:tcMar>
              <w:top w:w="57" w:type="dxa"/>
              <w:bottom w:w="57" w:type="dxa"/>
            </w:tcMar>
            <w:hideMark/>
          </w:tcPr>
          <w:p w14:paraId="6C0D66E1"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Developed (innovative technology)</w:t>
            </w:r>
          </w:p>
        </w:tc>
        <w:tc>
          <w:tcPr>
            <w:tcW w:w="5760" w:type="dxa"/>
            <w:noWrap/>
            <w:tcMar>
              <w:top w:w="57" w:type="dxa"/>
              <w:bottom w:w="57" w:type="dxa"/>
            </w:tcMar>
            <w:hideMark/>
          </w:tcPr>
          <w:p w14:paraId="5930BFA5" w14:textId="77777777" w:rsidR="008C7D5A" w:rsidRPr="001D09BB" w:rsidRDefault="008C7D5A" w:rsidP="007B7202">
            <w:pPr>
              <w:rPr>
                <w:rFonts w:ascii="Calibri" w:eastAsia="Times New Roman" w:hAnsi="Calibri" w:cs="Calibri"/>
                <w:color w:val="000000"/>
                <w:lang w:eastAsia="en-GB"/>
              </w:rPr>
            </w:pPr>
            <w:r w:rsidRPr="001D09BB">
              <w:rPr>
                <w:rFonts w:ascii="Calibri" w:eastAsia="Times New Roman" w:hAnsi="Calibri" w:cs="Calibri"/>
                <w:color w:val="000000"/>
                <w:lang w:eastAsia="en-GB"/>
              </w:rPr>
              <w:t xml:space="preserve">A technology that is validated in a relevant (industrial) environment, prototypes demonstrated in operational environment, system completed and qualified. This will typically refer to projects at Technology Readiness Level 5-8 (EU Commission’s scale used to describe the maturity of a technology). </w:t>
            </w:r>
          </w:p>
        </w:tc>
      </w:tr>
      <w:tr w:rsidR="0068043A" w:rsidRPr="007B7202" w14:paraId="6EC2DF44" w14:textId="77777777" w:rsidTr="4BAA822F">
        <w:trPr>
          <w:cantSplit/>
          <w:trHeight w:val="301"/>
        </w:trPr>
        <w:tc>
          <w:tcPr>
            <w:tcW w:w="3256" w:type="dxa"/>
            <w:noWrap/>
            <w:tcMar>
              <w:top w:w="57" w:type="dxa"/>
              <w:bottom w:w="57" w:type="dxa"/>
            </w:tcMar>
          </w:tcPr>
          <w:p w14:paraId="6B240254" w14:textId="44FC254B" w:rsidR="0068043A" w:rsidRPr="0068043A" w:rsidRDefault="0068043A" w:rsidP="007B7202">
            <w:pPr>
              <w:rPr>
                <w:rFonts w:ascii="Calibri" w:eastAsia="Times New Roman" w:hAnsi="Calibri" w:cs="Calibri"/>
                <w:bCs/>
                <w:color w:val="000000"/>
                <w:lang w:eastAsia="en-GB"/>
              </w:rPr>
            </w:pPr>
            <w:r w:rsidRPr="0068043A">
              <w:rPr>
                <w:rFonts w:cs="Courier New"/>
                <w:szCs w:val="24"/>
              </w:rPr>
              <w:t>Donor Partnership Project</w:t>
            </w:r>
          </w:p>
        </w:tc>
        <w:tc>
          <w:tcPr>
            <w:tcW w:w="5760" w:type="dxa"/>
            <w:noWrap/>
            <w:tcMar>
              <w:top w:w="57" w:type="dxa"/>
              <w:bottom w:w="57" w:type="dxa"/>
            </w:tcMar>
          </w:tcPr>
          <w:p w14:paraId="5F7A37FD" w14:textId="0AE65173" w:rsidR="0068043A" w:rsidRPr="001D09BB" w:rsidRDefault="0068043A" w:rsidP="007B7202">
            <w:pPr>
              <w:rPr>
                <w:rFonts w:ascii="Calibri" w:eastAsia="Times New Roman" w:hAnsi="Calibri" w:cs="Calibri"/>
                <w:color w:val="000000"/>
                <w:lang w:eastAsia="en-GB"/>
              </w:rPr>
            </w:pPr>
            <w:r>
              <w:rPr>
                <w:rFonts w:cs="Courier New"/>
                <w:szCs w:val="24"/>
              </w:rPr>
              <w:t xml:space="preserve">The </w:t>
            </w:r>
            <w:r w:rsidRPr="00D36977">
              <w:rPr>
                <w:rFonts w:cs="Courier New"/>
                <w:szCs w:val="24"/>
              </w:rPr>
              <w:t xml:space="preserve">cooperation between a Project Promoter in </w:t>
            </w:r>
            <w:r>
              <w:rPr>
                <w:rFonts w:cs="Courier New"/>
                <w:szCs w:val="24"/>
              </w:rPr>
              <w:t xml:space="preserve">a Beneficiary State </w:t>
            </w:r>
            <w:r w:rsidRPr="00D36977">
              <w:rPr>
                <w:rFonts w:cs="Courier New"/>
                <w:szCs w:val="24"/>
              </w:rPr>
              <w:t xml:space="preserve">and at least one legal entity in the Donor </w:t>
            </w:r>
            <w:r w:rsidRPr="000D127F">
              <w:rPr>
                <w:rFonts w:cs="Courier New"/>
                <w:szCs w:val="24"/>
              </w:rPr>
              <w:t xml:space="preserve">States </w:t>
            </w:r>
            <w:r w:rsidRPr="009272EC">
              <w:rPr>
                <w:rFonts w:cs="Courier New"/>
                <w:szCs w:val="24"/>
              </w:rPr>
              <w:t xml:space="preserve">(Iceland, </w:t>
            </w:r>
            <w:proofErr w:type="gramStart"/>
            <w:r w:rsidRPr="009272EC">
              <w:rPr>
                <w:rFonts w:cs="Courier New"/>
                <w:szCs w:val="24"/>
              </w:rPr>
              <w:t>Liechtenstein</w:t>
            </w:r>
            <w:proofErr w:type="gramEnd"/>
            <w:r w:rsidRPr="009272EC">
              <w:rPr>
                <w:rFonts w:cs="Courier New"/>
                <w:szCs w:val="24"/>
              </w:rPr>
              <w:t xml:space="preserve"> and Norway), </w:t>
            </w:r>
            <w:r w:rsidRPr="000D127F">
              <w:rPr>
                <w:rFonts w:cs="Courier New"/>
                <w:szCs w:val="24"/>
              </w:rPr>
              <w:t xml:space="preserve">implementing </w:t>
            </w:r>
            <w:r w:rsidRPr="00D36977">
              <w:rPr>
                <w:rFonts w:cs="Courier New"/>
                <w:szCs w:val="24"/>
              </w:rPr>
              <w:t>a project where all entities are independent of each other and perform substantial and relevant tasks in the completion of the project.</w:t>
            </w:r>
          </w:p>
        </w:tc>
      </w:tr>
      <w:tr w:rsidR="0068043A" w:rsidRPr="007B7202" w14:paraId="1654BC73" w14:textId="77777777" w:rsidTr="4BAA822F">
        <w:trPr>
          <w:cantSplit/>
          <w:trHeight w:val="301"/>
        </w:trPr>
        <w:tc>
          <w:tcPr>
            <w:tcW w:w="3256" w:type="dxa"/>
            <w:noWrap/>
            <w:tcMar>
              <w:top w:w="57" w:type="dxa"/>
              <w:bottom w:w="57" w:type="dxa"/>
            </w:tcMar>
          </w:tcPr>
          <w:p w14:paraId="4DA7745D" w14:textId="62D24775" w:rsidR="0068043A" w:rsidRPr="0068043A" w:rsidRDefault="0068043A" w:rsidP="007B7202">
            <w:pPr>
              <w:rPr>
                <w:rFonts w:cs="Courier New"/>
                <w:szCs w:val="24"/>
              </w:rPr>
            </w:pPr>
            <w:r>
              <w:rPr>
                <w:rFonts w:cs="Courier New"/>
                <w:szCs w:val="24"/>
              </w:rPr>
              <w:t>Do</w:t>
            </w:r>
            <w:r w:rsidR="00C405FD">
              <w:rPr>
                <w:rFonts w:cs="Courier New"/>
                <w:szCs w:val="24"/>
              </w:rPr>
              <w:t>nor States</w:t>
            </w:r>
          </w:p>
        </w:tc>
        <w:tc>
          <w:tcPr>
            <w:tcW w:w="5760" w:type="dxa"/>
            <w:noWrap/>
            <w:tcMar>
              <w:top w:w="57" w:type="dxa"/>
              <w:bottom w:w="57" w:type="dxa"/>
            </w:tcMar>
          </w:tcPr>
          <w:p w14:paraId="2C280501" w14:textId="380C30B7" w:rsidR="0068043A" w:rsidRDefault="00C405FD" w:rsidP="007B7202">
            <w:pPr>
              <w:rPr>
                <w:rFonts w:cs="Courier New"/>
                <w:szCs w:val="24"/>
              </w:rPr>
            </w:pPr>
            <w:r w:rsidRPr="00C86133">
              <w:rPr>
                <w:rFonts w:ascii="Calibri" w:hAnsi="Calibri" w:cs="Calibri"/>
                <w:lang w:eastAsia="nb-NO"/>
              </w:rPr>
              <w:t xml:space="preserve">Iceland, </w:t>
            </w:r>
            <w:proofErr w:type="gramStart"/>
            <w:r w:rsidRPr="00C86133">
              <w:rPr>
                <w:rFonts w:ascii="Calibri" w:hAnsi="Calibri" w:cs="Calibri"/>
                <w:lang w:eastAsia="nb-NO"/>
              </w:rPr>
              <w:t>Liechtenstein</w:t>
            </w:r>
            <w:proofErr w:type="gramEnd"/>
            <w:r w:rsidRPr="00C86133">
              <w:rPr>
                <w:rFonts w:ascii="Calibri" w:hAnsi="Calibri" w:cs="Calibri"/>
                <w:lang w:eastAsia="nb-NO"/>
              </w:rPr>
              <w:t xml:space="preserve"> and Norway.</w:t>
            </w:r>
          </w:p>
        </w:tc>
      </w:tr>
      <w:tr w:rsidR="00351DAD" w:rsidRPr="007B7202" w14:paraId="79747F73" w14:textId="77777777" w:rsidTr="4BAA822F">
        <w:trPr>
          <w:cantSplit/>
          <w:trHeight w:val="301"/>
        </w:trPr>
        <w:tc>
          <w:tcPr>
            <w:tcW w:w="3256" w:type="dxa"/>
            <w:noWrap/>
            <w:tcMar>
              <w:top w:w="57" w:type="dxa"/>
              <w:bottom w:w="57" w:type="dxa"/>
            </w:tcMar>
          </w:tcPr>
          <w:p w14:paraId="1888E79A" w14:textId="0A4B1C76" w:rsidR="00351DAD" w:rsidRPr="004E1E74" w:rsidRDefault="00E3681C" w:rsidP="007B7202">
            <w:pPr>
              <w:rPr>
                <w:rFonts w:cs="Courier New"/>
                <w:bCs/>
                <w:szCs w:val="24"/>
              </w:rPr>
            </w:pPr>
            <w:r w:rsidRPr="004E1E74">
              <w:rPr>
                <w:rFonts w:ascii="Calibri" w:hAnsi="Calibri" w:cs="Calibri"/>
                <w:bCs/>
                <w:lang w:eastAsia="nb-NO"/>
              </w:rPr>
              <w:t>Fund Operator</w:t>
            </w:r>
          </w:p>
        </w:tc>
        <w:tc>
          <w:tcPr>
            <w:tcW w:w="5760" w:type="dxa"/>
            <w:noWrap/>
            <w:tcMar>
              <w:top w:w="57" w:type="dxa"/>
              <w:bottom w:w="57" w:type="dxa"/>
            </w:tcMar>
          </w:tcPr>
          <w:p w14:paraId="5729CB99" w14:textId="240262F0" w:rsidR="00351DAD" w:rsidRPr="00C86133" w:rsidRDefault="004B2A18" w:rsidP="007B7202">
            <w:pPr>
              <w:rPr>
                <w:rFonts w:ascii="Calibri" w:hAnsi="Calibri" w:cs="Calibri"/>
                <w:lang w:eastAsia="nb-NO"/>
              </w:rPr>
            </w:pPr>
            <w:r>
              <w:rPr>
                <w:rFonts w:ascii="Calibri" w:hAnsi="Calibri" w:cs="Calibri"/>
                <w:lang w:eastAsia="nb-NO"/>
              </w:rPr>
              <w:t>Innovation Norway.</w:t>
            </w:r>
          </w:p>
        </w:tc>
      </w:tr>
      <w:tr w:rsidR="008C7D5A" w:rsidRPr="007B7202" w14:paraId="2375CBCB" w14:textId="77777777" w:rsidTr="4BAA822F">
        <w:trPr>
          <w:cantSplit/>
          <w:trHeight w:val="301"/>
        </w:trPr>
        <w:tc>
          <w:tcPr>
            <w:tcW w:w="3256" w:type="dxa"/>
            <w:noWrap/>
            <w:tcMar>
              <w:top w:w="57" w:type="dxa"/>
              <w:bottom w:w="57" w:type="dxa"/>
            </w:tcMar>
            <w:hideMark/>
          </w:tcPr>
          <w:p w14:paraId="40C11459"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lastRenderedPageBreak/>
              <w:t>Green products and services</w:t>
            </w:r>
          </w:p>
        </w:tc>
        <w:tc>
          <w:tcPr>
            <w:tcW w:w="5760" w:type="dxa"/>
            <w:noWrap/>
            <w:tcMar>
              <w:top w:w="57" w:type="dxa"/>
              <w:bottom w:w="57" w:type="dxa"/>
            </w:tcMar>
            <w:hideMark/>
          </w:tcPr>
          <w:p w14:paraId="4A3662B6"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Products and services reducing the negative impact on the environment (</w:t>
            </w:r>
            <w:proofErr w:type="gramStart"/>
            <w:r w:rsidRPr="007B7202">
              <w:rPr>
                <w:rFonts w:ascii="Calibri" w:eastAsia="Times New Roman" w:hAnsi="Calibri" w:cs="Calibri"/>
                <w:color w:val="000000"/>
                <w:lang w:eastAsia="en-GB"/>
              </w:rPr>
              <w:t>e.g.</w:t>
            </w:r>
            <w:proofErr w:type="gramEnd"/>
            <w:r w:rsidRPr="007B7202">
              <w:rPr>
                <w:rFonts w:ascii="Calibri" w:eastAsia="Times New Roman" w:hAnsi="Calibri" w:cs="Calibri"/>
                <w:color w:val="000000"/>
                <w:lang w:eastAsia="en-GB"/>
              </w:rPr>
              <w:t xml:space="preserve"> less polluting, less resource intensive), or less impact on human health than traditional equivalents and which are economically viable. </w:t>
            </w:r>
          </w:p>
        </w:tc>
      </w:tr>
      <w:tr w:rsidR="008C7D5A" w:rsidRPr="007B7202" w14:paraId="52A2D5B8" w14:textId="77777777" w:rsidTr="4BAA822F">
        <w:trPr>
          <w:cantSplit/>
          <w:trHeight w:val="301"/>
        </w:trPr>
        <w:tc>
          <w:tcPr>
            <w:tcW w:w="3256" w:type="dxa"/>
            <w:noWrap/>
            <w:tcMar>
              <w:top w:w="57" w:type="dxa"/>
              <w:bottom w:w="57" w:type="dxa"/>
            </w:tcMar>
            <w:hideMark/>
          </w:tcPr>
          <w:p w14:paraId="7917DEE5"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Green technology</w:t>
            </w:r>
          </w:p>
        </w:tc>
        <w:tc>
          <w:tcPr>
            <w:tcW w:w="5760" w:type="dxa"/>
            <w:noWrap/>
            <w:tcMar>
              <w:top w:w="57" w:type="dxa"/>
              <w:bottom w:w="57" w:type="dxa"/>
            </w:tcMar>
            <w:hideMark/>
          </w:tcPr>
          <w:p w14:paraId="23CEE138"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A single technology that is less environmentally harmful than the technology used today, encompassing technologies and processes to manage pollution (</w:t>
            </w:r>
            <w:proofErr w:type="gramStart"/>
            <w:r w:rsidRPr="007B7202">
              <w:rPr>
                <w:rFonts w:ascii="Calibri" w:eastAsia="Times New Roman" w:hAnsi="Calibri" w:cs="Calibri"/>
                <w:color w:val="000000"/>
                <w:lang w:eastAsia="en-GB"/>
              </w:rPr>
              <w:t>i.e.</w:t>
            </w:r>
            <w:proofErr w:type="gramEnd"/>
            <w:r w:rsidRPr="007B7202">
              <w:rPr>
                <w:rFonts w:ascii="Calibri" w:eastAsia="Times New Roman" w:hAnsi="Calibri" w:cs="Calibri"/>
                <w:color w:val="000000"/>
                <w:lang w:eastAsia="en-GB"/>
              </w:rPr>
              <w:t xml:space="preserve"> air/water/soil pollution control, waste management) and to use resources more efficiently. </w:t>
            </w:r>
          </w:p>
        </w:tc>
      </w:tr>
      <w:tr w:rsidR="008C7D5A" w:rsidRPr="007B7202" w14:paraId="1DAEA493" w14:textId="77777777" w:rsidTr="4BAA822F">
        <w:trPr>
          <w:cantSplit/>
        </w:trPr>
        <w:tc>
          <w:tcPr>
            <w:tcW w:w="3256" w:type="dxa"/>
            <w:tcMar>
              <w:top w:w="57" w:type="dxa"/>
              <w:bottom w:w="57" w:type="dxa"/>
            </w:tcMar>
          </w:tcPr>
          <w:p w14:paraId="4BEDCC69" w14:textId="11592842" w:rsidR="008C7D5A" w:rsidRPr="007B7202" w:rsidRDefault="008C7D5A" w:rsidP="007B7202">
            <w:pPr>
              <w:rPr>
                <w:rFonts w:eastAsia="Times New Roman"/>
              </w:rPr>
            </w:pPr>
            <w:r w:rsidRPr="007B7202">
              <w:t xml:space="preserve">Improved </w:t>
            </w:r>
            <w:r w:rsidR="00F553F1">
              <w:t>(</w:t>
            </w:r>
            <w:r w:rsidRPr="007B7202">
              <w:t>product</w:t>
            </w:r>
            <w:r w:rsidR="00F553F1">
              <w:t xml:space="preserve">, </w:t>
            </w:r>
            <w:r w:rsidRPr="007B7202">
              <w:t>technology</w:t>
            </w:r>
            <w:r w:rsidR="00F553F1">
              <w:t>)</w:t>
            </w:r>
          </w:p>
        </w:tc>
        <w:tc>
          <w:tcPr>
            <w:tcW w:w="5760" w:type="dxa"/>
            <w:tcMar>
              <w:top w:w="57" w:type="dxa"/>
              <w:bottom w:w="57" w:type="dxa"/>
            </w:tcMar>
          </w:tcPr>
          <w:p w14:paraId="7CC7A671" w14:textId="77777777" w:rsidR="008C7D5A" w:rsidRPr="007B7202" w:rsidRDefault="008C7D5A" w:rsidP="007B7202">
            <w:r w:rsidRPr="007B7202">
              <w:t>Significant improvements can be found in technical specifications, components and materials, incorporated software, user friendliness or other functional characteristics.</w:t>
            </w:r>
          </w:p>
          <w:p w14:paraId="12493623" w14:textId="77777777" w:rsidR="008C7D5A" w:rsidRPr="007B7202" w:rsidRDefault="008C7D5A" w:rsidP="007B7202">
            <w:pPr>
              <w:rPr>
                <w:b/>
              </w:rPr>
            </w:pPr>
            <w:r w:rsidRPr="007B7202">
              <w:t>Innovative enterprises can also be those committed to significant improvements.</w:t>
            </w:r>
          </w:p>
        </w:tc>
      </w:tr>
      <w:tr w:rsidR="008C7D5A" w:rsidRPr="007B7202" w14:paraId="70B48BB5" w14:textId="77777777" w:rsidTr="4BAA822F">
        <w:trPr>
          <w:cantSplit/>
          <w:trHeight w:val="301"/>
        </w:trPr>
        <w:tc>
          <w:tcPr>
            <w:tcW w:w="3256" w:type="dxa"/>
            <w:noWrap/>
            <w:tcMar>
              <w:top w:w="57" w:type="dxa"/>
              <w:bottom w:w="57" w:type="dxa"/>
            </w:tcMar>
            <w:hideMark/>
          </w:tcPr>
          <w:p w14:paraId="4FEC564C"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val="en-US" w:eastAsia="en-GB"/>
              </w:rPr>
              <w:t>Increased value creation</w:t>
            </w:r>
          </w:p>
        </w:tc>
        <w:tc>
          <w:tcPr>
            <w:tcW w:w="5760" w:type="dxa"/>
            <w:noWrap/>
            <w:tcMar>
              <w:top w:w="57" w:type="dxa"/>
              <w:bottom w:w="57" w:type="dxa"/>
            </w:tcMar>
            <w:hideMark/>
          </w:tcPr>
          <w:p w14:paraId="38B7729C"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Increased value creation can be found in projects that bring increased value to enterprise’s shareholders and customers, </w:t>
            </w:r>
            <w:proofErr w:type="gramStart"/>
            <w:r w:rsidRPr="007B7202">
              <w:rPr>
                <w:rFonts w:ascii="Calibri" w:eastAsia="Times New Roman" w:hAnsi="Calibri" w:cs="Calibri"/>
                <w:color w:val="000000"/>
                <w:lang w:eastAsia="en-GB"/>
              </w:rPr>
              <w:t>i.e.</w:t>
            </w:r>
            <w:proofErr w:type="gramEnd"/>
            <w:r w:rsidRPr="007B7202">
              <w:rPr>
                <w:rFonts w:ascii="Calibri" w:eastAsia="Times New Roman" w:hAnsi="Calibri" w:cs="Calibri"/>
                <w:color w:val="000000"/>
                <w:lang w:eastAsia="en-GB"/>
              </w:rPr>
              <w:t xml:space="preserve"> that are expected generate a higher turnover / profit beyond the already existing one</w:t>
            </w:r>
          </w:p>
        </w:tc>
      </w:tr>
      <w:tr w:rsidR="008C7D5A" w:rsidRPr="007B7202" w14:paraId="228AF6EA" w14:textId="77777777" w:rsidTr="4BAA822F">
        <w:trPr>
          <w:cantSplit/>
        </w:trPr>
        <w:tc>
          <w:tcPr>
            <w:tcW w:w="3256" w:type="dxa"/>
            <w:tcMar>
              <w:top w:w="57" w:type="dxa"/>
              <w:bottom w:w="57" w:type="dxa"/>
            </w:tcMar>
          </w:tcPr>
          <w:p w14:paraId="59609211" w14:textId="77777777" w:rsidR="008C7D5A" w:rsidRPr="007B7202" w:rsidRDefault="008C7D5A" w:rsidP="007B7202">
            <w:r w:rsidRPr="007B7202">
              <w:t>Indicator</w:t>
            </w:r>
          </w:p>
        </w:tc>
        <w:tc>
          <w:tcPr>
            <w:tcW w:w="5760" w:type="dxa"/>
            <w:tcMar>
              <w:top w:w="57" w:type="dxa"/>
              <w:bottom w:w="57" w:type="dxa"/>
            </w:tcMar>
          </w:tcPr>
          <w:p w14:paraId="68D084FE" w14:textId="77777777" w:rsidR="008C7D5A" w:rsidRPr="007B7202" w:rsidRDefault="008C7D5A" w:rsidP="007B7202">
            <w:pPr>
              <w:rPr>
                <w:i/>
              </w:rPr>
            </w:pPr>
            <w:r w:rsidRPr="007B7202">
              <w:t>A quantitative or qualitative unit of measurement that specifies what is to be measured along a scale or dimension. It should always be expressed in neutral terms: it should neither indicate the direction or change nor embed a target.</w:t>
            </w:r>
          </w:p>
        </w:tc>
      </w:tr>
      <w:tr w:rsidR="008C7D5A" w:rsidRPr="007B7202" w14:paraId="31FCED49" w14:textId="77777777" w:rsidTr="4BAA822F">
        <w:trPr>
          <w:cantSplit/>
          <w:trHeight w:val="301"/>
        </w:trPr>
        <w:tc>
          <w:tcPr>
            <w:tcW w:w="3256" w:type="dxa"/>
            <w:noWrap/>
            <w:tcMar>
              <w:top w:w="57" w:type="dxa"/>
              <w:bottom w:w="57" w:type="dxa"/>
            </w:tcMar>
            <w:hideMark/>
          </w:tcPr>
          <w:p w14:paraId="482F4566"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Innovation</w:t>
            </w:r>
          </w:p>
        </w:tc>
        <w:tc>
          <w:tcPr>
            <w:tcW w:w="5760" w:type="dxa"/>
            <w:noWrap/>
            <w:tcMar>
              <w:top w:w="57" w:type="dxa"/>
              <w:bottom w:w="57" w:type="dxa"/>
            </w:tcMar>
            <w:hideMark/>
          </w:tcPr>
          <w:p w14:paraId="58864474"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The development of a new or significantly improved product (goods or services), or a process, a new marketing method, or a new organizational method in business practices. Innovation can be at enterprise level, sector level, national </w:t>
            </w:r>
            <w:proofErr w:type="gramStart"/>
            <w:r w:rsidRPr="007B7202">
              <w:rPr>
                <w:rFonts w:ascii="Calibri" w:eastAsia="Times New Roman" w:hAnsi="Calibri" w:cs="Calibri"/>
                <w:color w:val="000000"/>
                <w:lang w:eastAsia="en-GB"/>
              </w:rPr>
              <w:t>level</w:t>
            </w:r>
            <w:proofErr w:type="gramEnd"/>
            <w:r w:rsidRPr="007B7202">
              <w:rPr>
                <w:rFonts w:ascii="Calibri" w:eastAsia="Times New Roman" w:hAnsi="Calibri" w:cs="Calibri"/>
                <w:color w:val="000000"/>
                <w:lang w:eastAsia="en-GB"/>
              </w:rPr>
              <w:t xml:space="preserve"> or international level. </w:t>
            </w:r>
          </w:p>
        </w:tc>
      </w:tr>
      <w:tr w:rsidR="008C7D5A" w:rsidRPr="007B7202" w14:paraId="04BFBC35" w14:textId="77777777" w:rsidTr="4BAA822F">
        <w:trPr>
          <w:cantSplit/>
        </w:trPr>
        <w:tc>
          <w:tcPr>
            <w:tcW w:w="3256" w:type="dxa"/>
            <w:tcMar>
              <w:top w:w="57" w:type="dxa"/>
              <w:bottom w:w="57" w:type="dxa"/>
            </w:tcMar>
          </w:tcPr>
          <w:p w14:paraId="4F27C683" w14:textId="77777777" w:rsidR="008C7D5A" w:rsidRPr="007B7202" w:rsidRDefault="008C7D5A" w:rsidP="007B7202">
            <w:r w:rsidRPr="007B7202">
              <w:t>Innovative enterprise</w:t>
            </w:r>
          </w:p>
        </w:tc>
        <w:tc>
          <w:tcPr>
            <w:tcW w:w="5760" w:type="dxa"/>
            <w:tcMar>
              <w:top w:w="57" w:type="dxa"/>
              <w:bottom w:w="57" w:type="dxa"/>
            </w:tcMar>
          </w:tcPr>
          <w:p w14:paraId="43F763E2" w14:textId="77777777" w:rsidR="008C7D5A" w:rsidRPr="007B7202" w:rsidRDefault="008C7D5A" w:rsidP="007B7202">
            <w:r w:rsidRPr="007B7202">
              <w:t xml:space="preserve">An enterprise that creates a new or introduces a significantly improved </w:t>
            </w:r>
            <w:r w:rsidRPr="007B7202">
              <w:rPr>
                <w:rFonts w:ascii="Calibri" w:eastAsia="Times New Roman" w:hAnsi="Calibri" w:cs="Calibri"/>
                <w:color w:val="000000"/>
                <w:lang w:eastAsia="en-GB"/>
              </w:rPr>
              <w:t>product, service, process, technology a new marketing method that has a market / for which there is a proven demand.</w:t>
            </w:r>
          </w:p>
        </w:tc>
      </w:tr>
      <w:tr w:rsidR="008C7D5A" w:rsidRPr="007B7202" w14:paraId="72FE6232" w14:textId="77777777" w:rsidTr="4BAA822F">
        <w:trPr>
          <w:cantSplit/>
        </w:trPr>
        <w:tc>
          <w:tcPr>
            <w:tcW w:w="3256" w:type="dxa"/>
            <w:tcMar>
              <w:top w:w="57" w:type="dxa"/>
              <w:bottom w:w="57" w:type="dxa"/>
            </w:tcMar>
          </w:tcPr>
          <w:p w14:paraId="4AA3EE55" w14:textId="5DFE4F9F" w:rsidR="008C7D5A" w:rsidRPr="007B7202" w:rsidRDefault="008C7D5A" w:rsidP="007B7202">
            <w:r w:rsidRPr="007B7202">
              <w:t xml:space="preserve">Investments </w:t>
            </w:r>
            <w:r w:rsidR="00C21317">
              <w:t>(</w:t>
            </w:r>
            <w:r w:rsidRPr="007B7202">
              <w:t>in technology</w:t>
            </w:r>
            <w:r w:rsidR="00C21317">
              <w:t xml:space="preserve">, </w:t>
            </w:r>
            <w:r w:rsidRPr="007B7202">
              <w:t>machinery</w:t>
            </w:r>
            <w:r w:rsidR="00C21317">
              <w:t xml:space="preserve">, </w:t>
            </w:r>
            <w:r w:rsidRPr="007B7202">
              <w:t>equipment</w:t>
            </w:r>
            <w:r w:rsidR="00C21317">
              <w:t>)</w:t>
            </w:r>
          </w:p>
        </w:tc>
        <w:tc>
          <w:tcPr>
            <w:tcW w:w="5760" w:type="dxa"/>
            <w:tcMar>
              <w:top w:w="57" w:type="dxa"/>
              <w:bottom w:w="57" w:type="dxa"/>
            </w:tcMar>
          </w:tcPr>
          <w:p w14:paraId="0DFB0BBF" w14:textId="77777777" w:rsidR="008C7D5A" w:rsidRPr="007B7202" w:rsidRDefault="008C7D5A" w:rsidP="007B7202">
            <w:r w:rsidRPr="007B7202">
              <w:t xml:space="preserve">Projects with this type of activity will not entail </w:t>
            </w:r>
            <w:r w:rsidRPr="007B7202">
              <w:rPr>
                <w:rFonts w:ascii="Calibri" w:eastAsia="Times New Roman" w:hAnsi="Calibri" w:cs="Calibri"/>
                <w:color w:val="000000"/>
                <w:lang w:eastAsia="en-GB"/>
              </w:rPr>
              <w:t xml:space="preserve">an R&amp;D component related to adjustment of material, process etc. applicant/enterprise’s needs. Investment activities will consist in purchasing ready-made </w:t>
            </w:r>
            <w:r w:rsidRPr="007B7202">
              <w:t>technology/machinery/equipment</w:t>
            </w:r>
            <w:r w:rsidRPr="007B7202">
              <w:rPr>
                <w:rFonts w:ascii="Calibri" w:eastAsia="Times New Roman" w:hAnsi="Calibri" w:cs="Calibri"/>
                <w:color w:val="000000"/>
                <w:lang w:eastAsia="en-GB"/>
              </w:rPr>
              <w:t xml:space="preserve"> without adjustments.</w:t>
            </w:r>
          </w:p>
        </w:tc>
      </w:tr>
      <w:tr w:rsidR="008C7D5A" w:rsidRPr="007B7202" w14:paraId="693CC91E" w14:textId="77777777" w:rsidTr="4BAA822F">
        <w:trPr>
          <w:cantSplit/>
          <w:trHeight w:val="301"/>
        </w:trPr>
        <w:tc>
          <w:tcPr>
            <w:tcW w:w="3256" w:type="dxa"/>
            <w:noWrap/>
            <w:tcMar>
              <w:top w:w="57" w:type="dxa"/>
              <w:bottom w:w="57" w:type="dxa"/>
            </w:tcMar>
            <w:hideMark/>
          </w:tcPr>
          <w:p w14:paraId="240A00C4"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Jobs created</w:t>
            </w:r>
          </w:p>
        </w:tc>
        <w:tc>
          <w:tcPr>
            <w:tcW w:w="5760" w:type="dxa"/>
            <w:noWrap/>
            <w:tcMar>
              <w:top w:w="57" w:type="dxa"/>
              <w:bottom w:w="57" w:type="dxa"/>
            </w:tcMar>
            <w:hideMark/>
          </w:tcPr>
          <w:p w14:paraId="2ECC288F"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Additional jobs (positions) created in an organisation targeted by the programme. A job should be permanent, full-time equivalent and paid. To be treated as permanent, a job should have a life expectancy of at least one year</w:t>
            </w:r>
          </w:p>
        </w:tc>
      </w:tr>
      <w:tr w:rsidR="06F29630" w14:paraId="3CFD88A4" w14:textId="77777777" w:rsidTr="4BAA822F">
        <w:trPr>
          <w:cantSplit/>
          <w:trHeight w:val="301"/>
        </w:trPr>
        <w:tc>
          <w:tcPr>
            <w:tcW w:w="3256" w:type="dxa"/>
            <w:noWrap/>
            <w:tcMar>
              <w:top w:w="57" w:type="dxa"/>
              <w:bottom w:w="57" w:type="dxa"/>
            </w:tcMar>
            <w:hideMark/>
          </w:tcPr>
          <w:p w14:paraId="27B21C22" w14:textId="7751EAAB" w:rsidR="1F623CC7" w:rsidRDefault="1F623CC7" w:rsidP="06F29630">
            <w:pPr>
              <w:rPr>
                <w:rFonts w:ascii="Calibri" w:eastAsia="Times New Roman" w:hAnsi="Calibri" w:cs="Calibri"/>
                <w:color w:val="000000" w:themeColor="text1"/>
                <w:lang w:eastAsia="en-GB"/>
              </w:rPr>
            </w:pPr>
            <w:r w:rsidRPr="06F29630">
              <w:rPr>
                <w:rFonts w:ascii="Calibri" w:eastAsia="Times New Roman" w:hAnsi="Calibri" w:cs="Calibri"/>
                <w:color w:val="000000" w:themeColor="text1"/>
                <w:lang w:eastAsia="en-GB"/>
              </w:rPr>
              <w:lastRenderedPageBreak/>
              <w:t>Net operational profit</w:t>
            </w:r>
          </w:p>
        </w:tc>
        <w:tc>
          <w:tcPr>
            <w:tcW w:w="5760" w:type="dxa"/>
            <w:noWrap/>
            <w:tcMar>
              <w:top w:w="57" w:type="dxa"/>
              <w:bottom w:w="57" w:type="dxa"/>
            </w:tcMar>
            <w:hideMark/>
          </w:tcPr>
          <w:p w14:paraId="42E6D68E" w14:textId="451473A4" w:rsidR="010CAA0D" w:rsidRDefault="010CAA0D" w:rsidP="06F29630">
            <w:pPr>
              <w:rPr>
                <w:rFonts w:ascii="Calibri" w:eastAsia="Times New Roman" w:hAnsi="Calibri" w:cs="Calibri"/>
                <w:color w:val="000000" w:themeColor="text1"/>
                <w:lang w:eastAsia="en-GB"/>
              </w:rPr>
            </w:pPr>
            <w:r w:rsidRPr="06F29630">
              <w:rPr>
                <w:rFonts w:ascii="Calibri" w:eastAsia="Times New Roman" w:hAnsi="Calibri" w:cs="Calibri"/>
                <w:color w:val="000000" w:themeColor="text1"/>
                <w:lang w:eastAsia="en-GB"/>
              </w:rPr>
              <w:t>Estimated increase in profit per fiscal year after implementing the project. This should be estimated for over a period of four years.</w:t>
            </w:r>
          </w:p>
        </w:tc>
      </w:tr>
      <w:tr w:rsidR="008C7D5A" w:rsidRPr="007B7202" w14:paraId="7CA9387F" w14:textId="77777777" w:rsidTr="4BAA822F">
        <w:trPr>
          <w:cantSplit/>
          <w:trHeight w:val="301"/>
        </w:trPr>
        <w:tc>
          <w:tcPr>
            <w:tcW w:w="3256" w:type="dxa"/>
            <w:noWrap/>
            <w:tcMar>
              <w:top w:w="57" w:type="dxa"/>
              <w:bottom w:w="57" w:type="dxa"/>
            </w:tcMar>
            <w:hideMark/>
          </w:tcPr>
          <w:p w14:paraId="5BFC7590"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Non-greenhouse gases</w:t>
            </w:r>
          </w:p>
        </w:tc>
        <w:tc>
          <w:tcPr>
            <w:tcW w:w="5760" w:type="dxa"/>
            <w:noWrap/>
            <w:tcMar>
              <w:top w:w="57" w:type="dxa"/>
              <w:bottom w:w="57" w:type="dxa"/>
            </w:tcMar>
            <w:hideMark/>
          </w:tcPr>
          <w:p w14:paraId="7F370434"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Sulphur oxides (SO2), nitrogen oxides (NO2), carbon monoxide (CO) and emissions of volatile organic compounds (VOC), excluding methane. </w:t>
            </w:r>
          </w:p>
        </w:tc>
      </w:tr>
      <w:tr w:rsidR="00DD1C61" w:rsidRPr="007B7202" w14:paraId="4BFAE7A3" w14:textId="77777777" w:rsidTr="4BAA822F">
        <w:trPr>
          <w:cantSplit/>
          <w:trHeight w:val="301"/>
        </w:trPr>
        <w:tc>
          <w:tcPr>
            <w:tcW w:w="3256" w:type="dxa"/>
            <w:noWrap/>
            <w:tcMar>
              <w:top w:w="57" w:type="dxa"/>
              <w:bottom w:w="57" w:type="dxa"/>
            </w:tcMar>
          </w:tcPr>
          <w:p w14:paraId="22B5BFB4" w14:textId="278F829C" w:rsidR="00DD1C61" w:rsidRPr="004E1E74" w:rsidRDefault="00F00840" w:rsidP="007B7202">
            <w:pPr>
              <w:rPr>
                <w:rFonts w:ascii="Calibri" w:eastAsia="Times New Roman" w:hAnsi="Calibri" w:cs="Calibri"/>
                <w:bCs/>
                <w:color w:val="000000"/>
                <w:lang w:eastAsia="en-GB"/>
              </w:rPr>
            </w:pPr>
            <w:r w:rsidRPr="004E1E74">
              <w:rPr>
                <w:rFonts w:ascii="Calibri" w:hAnsi="Calibri" w:cs="Calibri"/>
                <w:bCs/>
                <w:lang w:eastAsia="nb-NO"/>
              </w:rPr>
              <w:t>Non-governmental organisation</w:t>
            </w:r>
          </w:p>
        </w:tc>
        <w:tc>
          <w:tcPr>
            <w:tcW w:w="5760" w:type="dxa"/>
            <w:noWrap/>
            <w:tcMar>
              <w:top w:w="57" w:type="dxa"/>
              <w:bottom w:w="57" w:type="dxa"/>
            </w:tcMar>
          </w:tcPr>
          <w:p w14:paraId="318810D7" w14:textId="185BEB34" w:rsidR="00DD1C61" w:rsidRPr="007B7202" w:rsidRDefault="00F47C7E" w:rsidP="007B7202">
            <w:pPr>
              <w:rPr>
                <w:rFonts w:ascii="Calibri" w:eastAsia="Times New Roman" w:hAnsi="Calibri" w:cs="Calibri"/>
                <w:color w:val="000000"/>
                <w:lang w:eastAsia="en-GB"/>
              </w:rPr>
            </w:pPr>
            <w:r>
              <w:rPr>
                <w:rFonts w:ascii="Calibri" w:hAnsi="Calibri" w:cs="Calibri"/>
                <w:lang w:eastAsia="nb-NO"/>
              </w:rPr>
              <w:t xml:space="preserve">A </w:t>
            </w:r>
            <w:r w:rsidRPr="00D36977">
              <w:rPr>
                <w:rFonts w:ascii="Calibri" w:hAnsi="Calibri" w:cs="Calibri"/>
                <w:lang w:eastAsia="nb-NO"/>
              </w:rPr>
              <w:t xml:space="preserve">non-profit voluntary organisation established as a legal entity, having a non-commercial purpose, independent of local, </w:t>
            </w:r>
            <w:proofErr w:type="gramStart"/>
            <w:r w:rsidRPr="00D36977">
              <w:rPr>
                <w:rFonts w:ascii="Calibri" w:hAnsi="Calibri" w:cs="Calibri"/>
                <w:lang w:eastAsia="nb-NO"/>
              </w:rPr>
              <w:t>regional</w:t>
            </w:r>
            <w:proofErr w:type="gramEnd"/>
            <w:r w:rsidRPr="00D36977">
              <w:rPr>
                <w:rFonts w:ascii="Calibri" w:hAnsi="Calibri" w:cs="Calibri"/>
                <w:lang w:eastAsia="nb-NO"/>
              </w:rPr>
              <w:t xml:space="preserve"> and central government, public entities, political parties and commercial organisations. Religious institutions and political parties are not considered NGOs.</w:t>
            </w:r>
          </w:p>
        </w:tc>
      </w:tr>
      <w:tr w:rsidR="008C7D5A" w:rsidRPr="007B7202" w14:paraId="6B9BEEFD" w14:textId="77777777" w:rsidTr="4BAA822F">
        <w:trPr>
          <w:cantSplit/>
        </w:trPr>
        <w:tc>
          <w:tcPr>
            <w:tcW w:w="3256" w:type="dxa"/>
            <w:tcMar>
              <w:top w:w="57" w:type="dxa"/>
              <w:bottom w:w="57" w:type="dxa"/>
            </w:tcMar>
          </w:tcPr>
          <w:p w14:paraId="02E958DA" w14:textId="77777777" w:rsidR="008C7D5A" w:rsidRPr="007B7202" w:rsidRDefault="008C7D5A" w:rsidP="007B7202">
            <w:r w:rsidRPr="007B7202">
              <w:t>Outcome</w:t>
            </w:r>
          </w:p>
        </w:tc>
        <w:tc>
          <w:tcPr>
            <w:tcW w:w="5760" w:type="dxa"/>
            <w:tcMar>
              <w:top w:w="57" w:type="dxa"/>
              <w:bottom w:w="57" w:type="dxa"/>
            </w:tcMar>
          </w:tcPr>
          <w:p w14:paraId="4D024849" w14:textId="77777777" w:rsidR="008C7D5A" w:rsidRPr="007B7202" w:rsidRDefault="008C7D5A" w:rsidP="007B7202">
            <w:r w:rsidRPr="007B7202">
              <w:t>Outcomes are the (short and medium-term) effects of an intervention’s outputs on the direct target groups or end beneficiaries. Outcomes are rarely under the direct control of a programme/project.</w:t>
            </w:r>
          </w:p>
        </w:tc>
      </w:tr>
      <w:tr w:rsidR="008C7D5A" w:rsidRPr="007B7202" w14:paraId="016BBAB6" w14:textId="77777777" w:rsidTr="4BAA822F">
        <w:trPr>
          <w:cantSplit/>
        </w:trPr>
        <w:tc>
          <w:tcPr>
            <w:tcW w:w="3256" w:type="dxa"/>
            <w:tcMar>
              <w:top w:w="57" w:type="dxa"/>
              <w:bottom w:w="57" w:type="dxa"/>
            </w:tcMar>
          </w:tcPr>
          <w:p w14:paraId="582C41EA" w14:textId="77777777" w:rsidR="008C7D5A" w:rsidRPr="007B7202" w:rsidRDefault="008C7D5A" w:rsidP="007B7202">
            <w:r w:rsidRPr="007B7202">
              <w:t>Output</w:t>
            </w:r>
          </w:p>
        </w:tc>
        <w:tc>
          <w:tcPr>
            <w:tcW w:w="5760" w:type="dxa"/>
            <w:tcMar>
              <w:top w:w="57" w:type="dxa"/>
              <w:bottom w:w="57" w:type="dxa"/>
            </w:tcMar>
          </w:tcPr>
          <w:p w14:paraId="34E99E54" w14:textId="77777777" w:rsidR="008C7D5A" w:rsidRPr="007B7202" w:rsidRDefault="008C7D5A" w:rsidP="007B7202">
            <w:r w:rsidRPr="007B7202">
              <w:t>Outputs are the products, capital goods and services delivered by a programme to the direct target group. Outputs are easy to attribute directly to the resources used and the activities performed. They are usually within the greatest control of the implementing organisation.</w:t>
            </w:r>
          </w:p>
        </w:tc>
      </w:tr>
      <w:tr w:rsidR="41F19CA1" w14:paraId="4EF2CC99" w14:textId="77777777" w:rsidTr="4BAA822F">
        <w:trPr>
          <w:cantSplit/>
        </w:trPr>
        <w:tc>
          <w:tcPr>
            <w:tcW w:w="3256" w:type="dxa"/>
            <w:tcMar>
              <w:top w:w="57" w:type="dxa"/>
              <w:bottom w:w="57" w:type="dxa"/>
            </w:tcMar>
          </w:tcPr>
          <w:p w14:paraId="0B5F28D0" w14:textId="5632FA13" w:rsidR="01E4CFA1" w:rsidRDefault="01E4CFA1">
            <w:r w:rsidRPr="41F19CA1">
              <w:rPr>
                <w:rFonts w:ascii="Calibri" w:eastAsia="Times New Roman" w:hAnsi="Calibri" w:cs="Calibri"/>
                <w:color w:val="000000" w:themeColor="text1"/>
                <w:lang w:eastAsia="en-GB"/>
              </w:rPr>
              <w:t>Product, service, technology, process</w:t>
            </w:r>
          </w:p>
        </w:tc>
        <w:tc>
          <w:tcPr>
            <w:tcW w:w="5760" w:type="dxa"/>
            <w:tcMar>
              <w:top w:w="57" w:type="dxa"/>
              <w:bottom w:w="57" w:type="dxa"/>
            </w:tcMar>
          </w:tcPr>
          <w:p w14:paraId="2AD36FD6" w14:textId="6E443BAB" w:rsidR="01E4CFA1" w:rsidRDefault="01E4CFA1">
            <w:r w:rsidRPr="41F19CA1">
              <w:rPr>
                <w:rFonts w:ascii="Calibri" w:eastAsia="Times New Roman" w:hAnsi="Calibri" w:cs="Calibri"/>
                <w:color w:val="000000" w:themeColor="text1"/>
                <w:lang w:eastAsia="en-GB"/>
              </w:rPr>
              <w:t>Product/service/technology/process are possible deliverables (or: output) of a project</w:t>
            </w:r>
          </w:p>
        </w:tc>
      </w:tr>
      <w:tr w:rsidR="008C7D5A" w:rsidRPr="007B7202" w14:paraId="4CC0F40F" w14:textId="77777777" w:rsidTr="4BAA822F">
        <w:trPr>
          <w:cantSplit/>
          <w:trHeight w:val="301"/>
        </w:trPr>
        <w:tc>
          <w:tcPr>
            <w:tcW w:w="3256" w:type="dxa"/>
            <w:noWrap/>
            <w:tcMar>
              <w:top w:w="57" w:type="dxa"/>
              <w:bottom w:w="57" w:type="dxa"/>
            </w:tcMar>
            <w:hideMark/>
          </w:tcPr>
          <w:p w14:paraId="1CE68274"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val="en-US" w:eastAsia="en-GB"/>
              </w:rPr>
              <w:t>Profit</w:t>
            </w:r>
          </w:p>
        </w:tc>
        <w:tc>
          <w:tcPr>
            <w:tcW w:w="5760" w:type="dxa"/>
            <w:noWrap/>
            <w:tcMar>
              <w:top w:w="57" w:type="dxa"/>
              <w:bottom w:w="57" w:type="dxa"/>
            </w:tcMar>
            <w:hideMark/>
          </w:tcPr>
          <w:p w14:paraId="522767AB"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Difference between operating income and operating expenses. </w:t>
            </w:r>
          </w:p>
        </w:tc>
      </w:tr>
      <w:tr w:rsidR="008C7D5A" w:rsidRPr="007B7202" w14:paraId="57483A35" w14:textId="77777777" w:rsidTr="4BAA822F">
        <w:trPr>
          <w:cantSplit/>
          <w:trHeight w:val="301"/>
        </w:trPr>
        <w:tc>
          <w:tcPr>
            <w:tcW w:w="3256" w:type="dxa"/>
            <w:noWrap/>
            <w:tcMar>
              <w:top w:w="57" w:type="dxa"/>
              <w:bottom w:w="57" w:type="dxa"/>
            </w:tcMar>
            <w:hideMark/>
          </w:tcPr>
          <w:p w14:paraId="215FB905"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Project</w:t>
            </w:r>
          </w:p>
        </w:tc>
        <w:tc>
          <w:tcPr>
            <w:tcW w:w="5760" w:type="dxa"/>
            <w:noWrap/>
            <w:tcMar>
              <w:top w:w="57" w:type="dxa"/>
              <w:bottom w:w="57" w:type="dxa"/>
            </w:tcMar>
            <w:hideMark/>
          </w:tcPr>
          <w:p w14:paraId="7049B8EC"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An economically indivisible series of works fulfilling a precise technical function and with clearly identifiable aims related to the programme under which it falls. A project may include one or more subprojects. </w:t>
            </w:r>
          </w:p>
        </w:tc>
      </w:tr>
      <w:tr w:rsidR="008C7D5A" w:rsidRPr="007B7202" w14:paraId="6587A4D8" w14:textId="77777777" w:rsidTr="4BAA822F">
        <w:trPr>
          <w:cantSplit/>
          <w:trHeight w:val="301"/>
        </w:trPr>
        <w:tc>
          <w:tcPr>
            <w:tcW w:w="3256" w:type="dxa"/>
            <w:noWrap/>
            <w:tcMar>
              <w:top w:w="57" w:type="dxa"/>
              <w:bottom w:w="57" w:type="dxa"/>
            </w:tcMar>
            <w:hideMark/>
          </w:tcPr>
          <w:p w14:paraId="08EDE27E"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Project contract</w:t>
            </w:r>
          </w:p>
        </w:tc>
        <w:tc>
          <w:tcPr>
            <w:tcW w:w="5760" w:type="dxa"/>
            <w:noWrap/>
            <w:tcMar>
              <w:top w:w="57" w:type="dxa"/>
              <w:bottom w:w="57" w:type="dxa"/>
            </w:tcMar>
            <w:hideMark/>
          </w:tcPr>
          <w:p w14:paraId="2916AA15"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An agreement between the Fund Operator and the Project Promoter regulating the implementation of a particular project. </w:t>
            </w:r>
          </w:p>
        </w:tc>
      </w:tr>
      <w:tr w:rsidR="008C7D5A" w:rsidRPr="007B7202" w14:paraId="0B02157E" w14:textId="77777777" w:rsidTr="4BAA822F">
        <w:trPr>
          <w:cantSplit/>
          <w:trHeight w:val="301"/>
        </w:trPr>
        <w:tc>
          <w:tcPr>
            <w:tcW w:w="3256" w:type="dxa"/>
            <w:noWrap/>
            <w:tcMar>
              <w:top w:w="57" w:type="dxa"/>
              <w:bottom w:w="57" w:type="dxa"/>
            </w:tcMar>
            <w:hideMark/>
          </w:tcPr>
          <w:p w14:paraId="1FCBDBAC"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Project grant</w:t>
            </w:r>
          </w:p>
        </w:tc>
        <w:tc>
          <w:tcPr>
            <w:tcW w:w="5760" w:type="dxa"/>
            <w:noWrap/>
            <w:tcMar>
              <w:top w:w="57" w:type="dxa"/>
              <w:bottom w:w="57" w:type="dxa"/>
            </w:tcMar>
            <w:hideMark/>
          </w:tcPr>
          <w:p w14:paraId="6AB709DB"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A financial grant awarded by a Fund Operator to a Project Promoter to implement a project. </w:t>
            </w:r>
          </w:p>
        </w:tc>
      </w:tr>
      <w:tr w:rsidR="008C7D5A" w:rsidRPr="007B7202" w14:paraId="5DA7B1F6" w14:textId="77777777" w:rsidTr="4BAA822F">
        <w:trPr>
          <w:cantSplit/>
          <w:trHeight w:val="301"/>
        </w:trPr>
        <w:tc>
          <w:tcPr>
            <w:tcW w:w="3256" w:type="dxa"/>
            <w:noWrap/>
            <w:tcMar>
              <w:top w:w="57" w:type="dxa"/>
              <w:bottom w:w="57" w:type="dxa"/>
            </w:tcMar>
            <w:hideMark/>
          </w:tcPr>
          <w:p w14:paraId="69FF2AB5" w14:textId="77777777" w:rsidR="008C7D5A" w:rsidRPr="007B7202" w:rsidRDefault="008C7D5A" w:rsidP="007B7202">
            <w:pPr>
              <w:rPr>
                <w:rFonts w:ascii="Calibri" w:eastAsia="Times New Roman" w:hAnsi="Calibri" w:cs="Calibri"/>
                <w:bCs/>
                <w:color w:val="000000"/>
                <w:lang w:eastAsia="en-GB"/>
              </w:rPr>
            </w:pPr>
            <w:r w:rsidRPr="007B7202">
              <w:rPr>
                <w:rFonts w:ascii="Calibri" w:eastAsia="Times New Roman" w:hAnsi="Calibri" w:cs="Calibri"/>
                <w:bCs/>
                <w:color w:val="000000"/>
                <w:lang w:eastAsia="en-GB"/>
              </w:rPr>
              <w:t>Project Promoter</w:t>
            </w:r>
          </w:p>
        </w:tc>
        <w:tc>
          <w:tcPr>
            <w:tcW w:w="5760" w:type="dxa"/>
            <w:noWrap/>
            <w:tcMar>
              <w:top w:w="57" w:type="dxa"/>
              <w:bottom w:w="57" w:type="dxa"/>
            </w:tcMar>
            <w:hideMark/>
          </w:tcPr>
          <w:p w14:paraId="7D165AD6"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The legal person having the responsibility for initiating, </w:t>
            </w:r>
            <w:proofErr w:type="gramStart"/>
            <w:r w:rsidRPr="007B7202">
              <w:rPr>
                <w:rFonts w:ascii="Calibri" w:eastAsia="Times New Roman" w:hAnsi="Calibri" w:cs="Calibri"/>
                <w:color w:val="000000"/>
                <w:lang w:eastAsia="en-GB"/>
              </w:rPr>
              <w:t>preparing</w:t>
            </w:r>
            <w:proofErr w:type="gramEnd"/>
            <w:r w:rsidRPr="007B7202">
              <w:rPr>
                <w:rFonts w:ascii="Calibri" w:eastAsia="Times New Roman" w:hAnsi="Calibri" w:cs="Calibri"/>
                <w:color w:val="000000"/>
                <w:lang w:eastAsia="en-GB"/>
              </w:rPr>
              <w:t xml:space="preserve"> and implementing a project in the context of EEA and Norway Grants. </w:t>
            </w:r>
          </w:p>
        </w:tc>
      </w:tr>
      <w:tr w:rsidR="008C7D5A" w:rsidRPr="007B7202" w14:paraId="6ABA588D" w14:textId="77777777" w:rsidTr="4BAA822F">
        <w:trPr>
          <w:cantSplit/>
        </w:trPr>
        <w:tc>
          <w:tcPr>
            <w:tcW w:w="3256" w:type="dxa"/>
            <w:tcMar>
              <w:top w:w="57" w:type="dxa"/>
              <w:bottom w:w="57" w:type="dxa"/>
            </w:tcMar>
          </w:tcPr>
          <w:p w14:paraId="05630BB4" w14:textId="77777777" w:rsidR="008C7D5A" w:rsidRPr="007B7202" w:rsidRDefault="008C7D5A" w:rsidP="007B7202">
            <w:r w:rsidRPr="007B7202">
              <w:t>Result</w:t>
            </w:r>
          </w:p>
        </w:tc>
        <w:tc>
          <w:tcPr>
            <w:tcW w:w="5760" w:type="dxa"/>
            <w:tcMar>
              <w:top w:w="57" w:type="dxa"/>
              <w:bottom w:w="57" w:type="dxa"/>
            </w:tcMar>
          </w:tcPr>
          <w:p w14:paraId="43C4A9FE" w14:textId="77777777" w:rsidR="008C7D5A" w:rsidRPr="007B7202" w:rsidRDefault="008C7D5A" w:rsidP="007B7202">
            <w:r w:rsidRPr="007B7202">
              <w:t>Results are the outputs, outcomes and impact of an intervention or a programme.</w:t>
            </w:r>
          </w:p>
        </w:tc>
      </w:tr>
      <w:tr w:rsidR="008C7D5A" w:rsidRPr="007B7202" w14:paraId="258D90DE" w14:textId="77777777" w:rsidTr="4BAA822F">
        <w:trPr>
          <w:cantSplit/>
        </w:trPr>
        <w:tc>
          <w:tcPr>
            <w:tcW w:w="3256" w:type="dxa"/>
            <w:tcMar>
              <w:top w:w="57" w:type="dxa"/>
              <w:bottom w:w="57" w:type="dxa"/>
            </w:tcMar>
          </w:tcPr>
          <w:p w14:paraId="09E40CEA" w14:textId="77777777" w:rsidR="008C7D5A" w:rsidRPr="007B7202" w:rsidRDefault="008C7D5A" w:rsidP="007B7202">
            <w:r w:rsidRPr="007B7202">
              <w:lastRenderedPageBreak/>
              <w:t>SME</w:t>
            </w:r>
          </w:p>
        </w:tc>
        <w:tc>
          <w:tcPr>
            <w:tcW w:w="5760" w:type="dxa"/>
            <w:tcMar>
              <w:top w:w="57" w:type="dxa"/>
              <w:bottom w:w="57" w:type="dxa"/>
            </w:tcMar>
          </w:tcPr>
          <w:p w14:paraId="0CD031DF" w14:textId="77777777" w:rsidR="008C7D5A" w:rsidRPr="007B7202" w:rsidRDefault="008C7D5A" w:rsidP="007B7202">
            <w:r w:rsidRPr="007B7202">
              <w:t>Enterprises which employ fewer than 250 persons and which have an annual turnover not exceeding EUR 50 million, and/or an annual balance sheet total not exceeding EUR 43 million (Commission Recommendation of 6 May 2003 concerning the definition of micro, small and medium-sized enterprises (2003/361/EC),</w:t>
            </w:r>
          </w:p>
          <w:p w14:paraId="2A15E8B7" w14:textId="77777777" w:rsidR="008C7D5A" w:rsidRPr="007B7202" w:rsidRDefault="007B60E6" w:rsidP="007B7202">
            <w:hyperlink r:id="rId12" w:history="1">
              <w:r w:rsidR="008C7D5A" w:rsidRPr="007B7202">
                <w:rPr>
                  <w:rStyle w:val="Hyperlink"/>
                </w:rPr>
                <w:t>http://eurlex.europa.eu/LexUriServ/LexUriServ.do?uri=CELEX:32003H0361:EN:HTML</w:t>
              </w:r>
            </w:hyperlink>
          </w:p>
        </w:tc>
      </w:tr>
      <w:tr w:rsidR="008C7D5A" w:rsidRPr="007B7202" w14:paraId="3ED9BA19" w14:textId="77777777" w:rsidTr="4BAA822F">
        <w:trPr>
          <w:cantSplit/>
          <w:trHeight w:val="301"/>
        </w:trPr>
        <w:tc>
          <w:tcPr>
            <w:tcW w:w="3256" w:type="dxa"/>
            <w:noWrap/>
            <w:tcMar>
              <w:top w:w="57" w:type="dxa"/>
              <w:bottom w:w="57" w:type="dxa"/>
            </w:tcMar>
            <w:hideMark/>
          </w:tcPr>
          <w:p w14:paraId="42FB6D10"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val="en-US" w:eastAsia="en-GB"/>
              </w:rPr>
              <w:t>Start-up</w:t>
            </w:r>
          </w:p>
        </w:tc>
        <w:tc>
          <w:tcPr>
            <w:tcW w:w="5760" w:type="dxa"/>
            <w:noWrap/>
            <w:tcMar>
              <w:top w:w="57" w:type="dxa"/>
              <w:bottom w:w="57" w:type="dxa"/>
            </w:tcMar>
            <w:hideMark/>
          </w:tcPr>
          <w:p w14:paraId="4293E58A" w14:textId="045D16C2" w:rsidR="00F87D0B" w:rsidRPr="00F87D0B" w:rsidRDefault="008C7D5A" w:rsidP="007B7202">
            <w:pPr>
              <w:rPr>
                <w:rFonts w:ascii="Calibri" w:eastAsia="Times New Roman" w:hAnsi="Calibri" w:cs="Calibri"/>
                <w:color w:val="000000" w:themeColor="text1"/>
                <w:lang w:eastAsia="en-GB"/>
              </w:rPr>
            </w:pPr>
            <w:r w:rsidRPr="4BAA822F">
              <w:rPr>
                <w:rFonts w:ascii="Calibri" w:eastAsia="Times New Roman" w:hAnsi="Calibri" w:cs="Calibri"/>
                <w:color w:val="000000" w:themeColor="text1"/>
                <w:lang w:eastAsia="en-GB"/>
              </w:rPr>
              <w:t xml:space="preserve">A </w:t>
            </w:r>
            <w:r w:rsidR="00E16297" w:rsidRPr="00E16297">
              <w:rPr>
                <w:rFonts w:ascii="Calibri" w:eastAsia="Times New Roman" w:hAnsi="Calibri" w:cs="Calibri"/>
                <w:b/>
                <w:bCs/>
                <w:color w:val="000000" w:themeColor="text1"/>
                <w:lang w:eastAsia="en-GB"/>
              </w:rPr>
              <w:t>small enterprise</w:t>
            </w:r>
            <w:r w:rsidRPr="4BAA822F">
              <w:rPr>
                <w:rFonts w:ascii="Calibri" w:eastAsia="Times New Roman" w:hAnsi="Calibri" w:cs="Calibri"/>
                <w:color w:val="000000" w:themeColor="text1"/>
                <w:lang w:eastAsia="en-GB"/>
              </w:rPr>
              <w:t xml:space="preserve"> established as a legal entity at least </w:t>
            </w:r>
            <w:r w:rsidR="00F87D0B">
              <w:rPr>
                <w:rFonts w:ascii="Calibri" w:eastAsia="Times New Roman" w:hAnsi="Calibri" w:cs="Calibri"/>
                <w:color w:val="000000" w:themeColor="text1"/>
                <w:lang w:eastAsia="en-GB"/>
              </w:rPr>
              <w:t>6</w:t>
            </w:r>
            <w:r w:rsidRPr="4BAA822F">
              <w:rPr>
                <w:rFonts w:ascii="Calibri" w:eastAsia="Times New Roman" w:hAnsi="Calibri" w:cs="Calibri"/>
                <w:color w:val="000000" w:themeColor="text1"/>
                <w:lang w:eastAsia="en-GB"/>
              </w:rPr>
              <w:t xml:space="preserve"> month prior to the publication of the call and which have been in operation not more than 4</w:t>
            </w:r>
            <w:r w:rsidR="005C5316" w:rsidRPr="4BAA822F">
              <w:rPr>
                <w:rFonts w:ascii="Calibri" w:eastAsia="Times New Roman" w:hAnsi="Calibri" w:cs="Calibri"/>
                <w:color w:val="000000" w:themeColor="text1"/>
                <w:lang w:eastAsia="en-GB"/>
              </w:rPr>
              <w:t xml:space="preserve"> </w:t>
            </w:r>
            <w:r w:rsidRPr="4BAA822F">
              <w:rPr>
                <w:rFonts w:ascii="Calibri" w:eastAsia="Times New Roman" w:hAnsi="Calibri" w:cs="Calibri"/>
                <w:color w:val="000000" w:themeColor="text1"/>
                <w:lang w:eastAsia="en-GB"/>
              </w:rPr>
              <w:t>years (at the deadline of call for applications)</w:t>
            </w:r>
            <w:r w:rsidR="00E16297">
              <w:rPr>
                <w:rFonts w:ascii="Calibri" w:eastAsia="Times New Roman" w:hAnsi="Calibri" w:cs="Calibri"/>
                <w:color w:val="000000" w:themeColor="text1"/>
                <w:lang w:eastAsia="en-GB"/>
              </w:rPr>
              <w:t xml:space="preserve"> – see article 22 from </w:t>
            </w:r>
            <w:proofErr w:type="spellStart"/>
            <w:r w:rsidR="00E16297">
              <w:rPr>
                <w:rFonts w:ascii="Calibri" w:eastAsia="Times New Roman" w:hAnsi="Calibri" w:cs="Calibri"/>
                <w:color w:val="000000" w:themeColor="text1"/>
                <w:lang w:eastAsia="en-GB"/>
              </w:rPr>
              <w:t>GBER</w:t>
            </w:r>
            <w:proofErr w:type="spellEnd"/>
            <w:r w:rsidR="007B60E6">
              <w:rPr>
                <w:rFonts w:ascii="Calibri" w:eastAsia="Times New Roman" w:hAnsi="Calibri" w:cs="Calibri"/>
                <w:color w:val="000000" w:themeColor="text1"/>
                <w:lang w:eastAsia="en-GB"/>
              </w:rPr>
              <w:t xml:space="preserve"> </w:t>
            </w:r>
            <w:hyperlink r:id="rId13" w:history="1">
              <w:r w:rsidR="007B60E6" w:rsidRPr="002F62A7">
                <w:rPr>
                  <w:rStyle w:val="Hyperlink"/>
                  <w:rFonts w:ascii="Calibri" w:eastAsia="Times New Roman" w:hAnsi="Calibri" w:cs="Calibri"/>
                  <w:lang w:eastAsia="en-GB"/>
                </w:rPr>
                <w:t>https://eur-lex.europa.eu/legal-content/EN/TXT/PDF/?uri=CELEX:32014R0651&amp;from=EN</w:t>
              </w:r>
            </w:hyperlink>
            <w:r w:rsidR="007B60E6">
              <w:rPr>
                <w:rFonts w:ascii="Calibri" w:eastAsia="Times New Roman" w:hAnsi="Calibri" w:cs="Calibri"/>
                <w:color w:val="000000" w:themeColor="text1"/>
                <w:lang w:eastAsia="en-GB"/>
              </w:rPr>
              <w:t xml:space="preserve"> </w:t>
            </w:r>
          </w:p>
        </w:tc>
      </w:tr>
      <w:tr w:rsidR="008C7D5A" w:rsidRPr="007B7202" w14:paraId="7BA41380" w14:textId="77777777" w:rsidTr="4BAA822F">
        <w:trPr>
          <w:cantSplit/>
          <w:trHeight w:val="301"/>
        </w:trPr>
        <w:tc>
          <w:tcPr>
            <w:tcW w:w="3256" w:type="dxa"/>
            <w:noWrap/>
            <w:tcMar>
              <w:top w:w="57" w:type="dxa"/>
              <w:bottom w:w="57" w:type="dxa"/>
            </w:tcMar>
            <w:hideMark/>
          </w:tcPr>
          <w:p w14:paraId="41C51830"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val="en-US" w:eastAsia="en-GB"/>
              </w:rPr>
              <w:t>Support</w:t>
            </w:r>
          </w:p>
        </w:tc>
        <w:tc>
          <w:tcPr>
            <w:tcW w:w="5760" w:type="dxa"/>
            <w:noWrap/>
            <w:tcMar>
              <w:top w:w="57" w:type="dxa"/>
              <w:bottom w:w="57" w:type="dxa"/>
            </w:tcMar>
            <w:hideMark/>
          </w:tcPr>
          <w:p w14:paraId="413DD1BD"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Under the EEA and Norway Grants support granted to enterprises is mostly in terms of financing. However, some schemes may provide different types of advice and trainings to certain target groups, either directly or by intermediaries, such as clusters and business organisations.</w:t>
            </w:r>
          </w:p>
        </w:tc>
      </w:tr>
      <w:tr w:rsidR="008C7D5A" w:rsidRPr="007B7202" w14:paraId="51D92675" w14:textId="77777777" w:rsidTr="4BAA822F">
        <w:trPr>
          <w:cantSplit/>
          <w:trHeight w:val="301"/>
        </w:trPr>
        <w:tc>
          <w:tcPr>
            <w:tcW w:w="3256" w:type="dxa"/>
            <w:noWrap/>
            <w:tcMar>
              <w:top w:w="57" w:type="dxa"/>
              <w:bottom w:w="57" w:type="dxa"/>
            </w:tcMar>
            <w:hideMark/>
          </w:tcPr>
          <w:p w14:paraId="608D1F84"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val="en-US" w:eastAsia="en-GB"/>
              </w:rPr>
              <w:t>Sustainable growth</w:t>
            </w:r>
          </w:p>
        </w:tc>
        <w:tc>
          <w:tcPr>
            <w:tcW w:w="5760" w:type="dxa"/>
            <w:noWrap/>
            <w:tcMar>
              <w:top w:w="57" w:type="dxa"/>
              <w:bottom w:w="57" w:type="dxa"/>
            </w:tcMar>
            <w:hideMark/>
          </w:tcPr>
          <w:p w14:paraId="70FA6A9E" w14:textId="66919D2B"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 xml:space="preserve">Building a better society based on the three dimensions of sustainability: economic sustainability, environmental </w:t>
            </w:r>
            <w:proofErr w:type="gramStart"/>
            <w:r w:rsidRPr="007B7202">
              <w:rPr>
                <w:rFonts w:ascii="Calibri" w:eastAsia="Times New Roman" w:hAnsi="Calibri" w:cs="Calibri"/>
                <w:color w:val="000000"/>
                <w:lang w:eastAsia="en-GB"/>
              </w:rPr>
              <w:t>sustainability</w:t>
            </w:r>
            <w:proofErr w:type="gramEnd"/>
            <w:r w:rsidRPr="007B7202">
              <w:rPr>
                <w:rFonts w:ascii="Calibri" w:eastAsia="Times New Roman" w:hAnsi="Calibri" w:cs="Calibri"/>
                <w:color w:val="000000"/>
                <w:lang w:eastAsia="en-GB"/>
              </w:rPr>
              <w:t xml:space="preserve"> and social sustainability. </w:t>
            </w:r>
          </w:p>
        </w:tc>
      </w:tr>
      <w:tr w:rsidR="008C7D5A" w:rsidRPr="007B7202" w14:paraId="6C71AAC2" w14:textId="77777777" w:rsidTr="4BAA822F">
        <w:trPr>
          <w:cantSplit/>
        </w:trPr>
        <w:tc>
          <w:tcPr>
            <w:tcW w:w="3256" w:type="dxa"/>
            <w:tcMar>
              <w:top w:w="57" w:type="dxa"/>
              <w:bottom w:w="57" w:type="dxa"/>
            </w:tcMar>
          </w:tcPr>
          <w:p w14:paraId="12A54879" w14:textId="77777777" w:rsidR="008C7D5A" w:rsidRPr="007B7202" w:rsidRDefault="008C7D5A" w:rsidP="007B7202">
            <w:r w:rsidRPr="007B7202">
              <w:t>Target value</w:t>
            </w:r>
          </w:p>
        </w:tc>
        <w:tc>
          <w:tcPr>
            <w:tcW w:w="5760" w:type="dxa"/>
            <w:tcMar>
              <w:top w:w="57" w:type="dxa"/>
              <w:bottom w:w="57" w:type="dxa"/>
            </w:tcMar>
          </w:tcPr>
          <w:p w14:paraId="69DA07FF" w14:textId="17F72959" w:rsidR="008C7D5A" w:rsidRPr="007B7202" w:rsidRDefault="008C7D5A" w:rsidP="007B7202">
            <w:r w:rsidRPr="007B7202">
              <w:t>A particular value for a</w:t>
            </w:r>
            <w:r w:rsidR="00043C0F">
              <w:t>n</w:t>
            </w:r>
            <w:r w:rsidRPr="007B7202">
              <w:t xml:space="preserve"> indicator to be accomplished by a specific date in the future. It is what the intervention would like to achieve within a certain </w:t>
            </w:r>
            <w:proofErr w:type="gramStart"/>
            <w:r w:rsidRPr="007B7202">
              <w:t>period of time</w:t>
            </w:r>
            <w:proofErr w:type="gramEnd"/>
            <w:r w:rsidRPr="007B7202">
              <w:t xml:space="preserve"> in relation to one of its expected results (outputs, outcome and/or impact).</w:t>
            </w:r>
          </w:p>
        </w:tc>
      </w:tr>
      <w:tr w:rsidR="41F19CA1" w14:paraId="4F48A094" w14:textId="77777777" w:rsidTr="4BAA822F">
        <w:trPr>
          <w:cantSplit/>
        </w:trPr>
        <w:tc>
          <w:tcPr>
            <w:tcW w:w="3256" w:type="dxa"/>
            <w:tcMar>
              <w:top w:w="57" w:type="dxa"/>
              <w:bottom w:w="57" w:type="dxa"/>
            </w:tcMar>
          </w:tcPr>
          <w:p w14:paraId="30535ED7" w14:textId="5274D546" w:rsidR="5B7A9C45" w:rsidRDefault="5B7A9C45" w:rsidP="41F19CA1">
            <w:r>
              <w:t>Third country</w:t>
            </w:r>
          </w:p>
        </w:tc>
        <w:tc>
          <w:tcPr>
            <w:tcW w:w="5760" w:type="dxa"/>
            <w:tcMar>
              <w:top w:w="57" w:type="dxa"/>
              <w:bottom w:w="57" w:type="dxa"/>
            </w:tcMar>
          </w:tcPr>
          <w:p w14:paraId="55409A67" w14:textId="50EFF487" w:rsidR="5B7A9C45" w:rsidRDefault="5B7A9C45" w:rsidP="41F19CA1">
            <w:r>
              <w:t xml:space="preserve">A third country is a country which is neither a Donor or a Beneficiary country of the EEA and Norway Grants. The updated list of </w:t>
            </w:r>
            <w:r w:rsidR="39B4BE86">
              <w:t>Donor and Beneficiary countries can be found on our website, under the “Who can apply” tab.</w:t>
            </w:r>
          </w:p>
        </w:tc>
      </w:tr>
      <w:tr w:rsidR="008C7D5A" w:rsidRPr="007B7202" w14:paraId="316B2568" w14:textId="77777777" w:rsidTr="4BAA822F">
        <w:trPr>
          <w:cantSplit/>
        </w:trPr>
        <w:tc>
          <w:tcPr>
            <w:tcW w:w="3256" w:type="dxa"/>
            <w:tcMar>
              <w:top w:w="57" w:type="dxa"/>
              <w:bottom w:w="57" w:type="dxa"/>
            </w:tcMar>
          </w:tcPr>
          <w:p w14:paraId="1F9AC65C" w14:textId="77777777" w:rsidR="008C7D5A" w:rsidRPr="007B7202" w:rsidRDefault="008C7D5A" w:rsidP="007B7202">
            <w:r w:rsidRPr="007B7202">
              <w:t xml:space="preserve">To green </w:t>
            </w:r>
          </w:p>
        </w:tc>
        <w:tc>
          <w:tcPr>
            <w:tcW w:w="5760" w:type="dxa"/>
            <w:tcMar>
              <w:top w:w="57" w:type="dxa"/>
              <w:bottom w:w="57" w:type="dxa"/>
            </w:tcMar>
          </w:tcPr>
          <w:p w14:paraId="0FB86E46" w14:textId="77777777" w:rsidR="008C7D5A" w:rsidRPr="007B7202" w:rsidRDefault="008C7D5A" w:rsidP="007B7202">
            <w:r w:rsidRPr="007B7202">
              <w:t>Reducing the negative impact that a production or operational process has on the environment.</w:t>
            </w:r>
          </w:p>
        </w:tc>
      </w:tr>
      <w:tr w:rsidR="008C7D5A" w:rsidRPr="00BE13CD" w14:paraId="32EBFA27" w14:textId="77777777" w:rsidTr="4BAA822F">
        <w:trPr>
          <w:cantSplit/>
          <w:trHeight w:val="301"/>
        </w:trPr>
        <w:tc>
          <w:tcPr>
            <w:tcW w:w="3256" w:type="dxa"/>
            <w:noWrap/>
            <w:tcMar>
              <w:top w:w="57" w:type="dxa"/>
              <w:bottom w:w="57" w:type="dxa"/>
            </w:tcMar>
            <w:hideMark/>
          </w:tcPr>
          <w:p w14:paraId="7686E689" w14:textId="77777777" w:rsidR="008C7D5A" w:rsidRPr="007B7202"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val="en-US" w:eastAsia="en-GB"/>
              </w:rPr>
              <w:t>Turnover</w:t>
            </w:r>
          </w:p>
        </w:tc>
        <w:tc>
          <w:tcPr>
            <w:tcW w:w="5760" w:type="dxa"/>
            <w:noWrap/>
            <w:tcMar>
              <w:top w:w="57" w:type="dxa"/>
              <w:bottom w:w="57" w:type="dxa"/>
            </w:tcMar>
            <w:hideMark/>
          </w:tcPr>
          <w:p w14:paraId="30471B38" w14:textId="77777777" w:rsidR="008C7D5A" w:rsidRPr="00BE13CD" w:rsidRDefault="008C7D5A" w:rsidP="007B7202">
            <w:pPr>
              <w:rPr>
                <w:rFonts w:ascii="Calibri" w:eastAsia="Times New Roman" w:hAnsi="Calibri" w:cs="Calibri"/>
                <w:color w:val="000000"/>
                <w:lang w:eastAsia="en-GB"/>
              </w:rPr>
            </w:pPr>
            <w:r w:rsidRPr="007B7202">
              <w:rPr>
                <w:rFonts w:ascii="Calibri" w:eastAsia="Times New Roman" w:hAnsi="Calibri" w:cs="Calibri"/>
                <w:color w:val="000000"/>
                <w:lang w:eastAsia="en-GB"/>
              </w:rPr>
              <w:t>An enterprise’s net revenue for a fiscal year (after deduction of VAT, trade reductions and other indirect taxes).</w:t>
            </w:r>
            <w:r w:rsidRPr="00BE13CD">
              <w:rPr>
                <w:rFonts w:ascii="Calibri" w:eastAsia="Times New Roman" w:hAnsi="Calibri" w:cs="Calibri"/>
                <w:color w:val="000000"/>
                <w:lang w:eastAsia="en-GB"/>
              </w:rPr>
              <w:t xml:space="preserve"> </w:t>
            </w:r>
          </w:p>
        </w:tc>
      </w:tr>
    </w:tbl>
    <w:p w14:paraId="7062A2FC" w14:textId="18529ECD" w:rsidR="41F19CA1" w:rsidRDefault="41F19CA1"/>
    <w:p w14:paraId="59D59DC9" w14:textId="776C82F6" w:rsidR="00E47C5D" w:rsidRDefault="00E47C5D" w:rsidP="007B7202"/>
    <w:p w14:paraId="753D9461" w14:textId="2E95F814" w:rsidR="001A5739" w:rsidRPr="001A5739" w:rsidRDefault="001A5739" w:rsidP="003215EC">
      <w:pPr>
        <w:pStyle w:val="Heading1"/>
        <w:numPr>
          <w:ilvl w:val="0"/>
          <w:numId w:val="3"/>
        </w:numPr>
      </w:pPr>
      <w:bookmarkStart w:id="1" w:name="_Toc359080"/>
      <w:r w:rsidRPr="001A5739">
        <w:t xml:space="preserve">EEA &amp; Norway Grants – </w:t>
      </w:r>
      <w:r w:rsidR="00D63BB7">
        <w:t xml:space="preserve">Energy-specific </w:t>
      </w:r>
      <w:r w:rsidRPr="001A5739">
        <w:t>Glossary of Terms</w:t>
      </w:r>
      <w:bookmarkEnd w:id="1"/>
      <w:r w:rsidRPr="001A5739">
        <w:t xml:space="preserve"> </w:t>
      </w:r>
    </w:p>
    <w:p w14:paraId="316E9772" w14:textId="77777777" w:rsidR="00D63BB7" w:rsidRDefault="00D63BB7" w:rsidP="007B7202"/>
    <w:p w14:paraId="18E910E7" w14:textId="2C426D63" w:rsidR="005128C5" w:rsidRDefault="00D63BB7" w:rsidP="00D63BB7">
      <w:pPr>
        <w:spacing w:before="60"/>
      </w:pPr>
      <w:r w:rsidRPr="007B7202">
        <w:t xml:space="preserve">The following table provides a guidance on terms </w:t>
      </w:r>
      <w:r w:rsidR="00E70EA3">
        <w:t xml:space="preserve">that are specifically relevant to </w:t>
      </w:r>
      <w:r w:rsidR="009A591A">
        <w:t xml:space="preserve">the </w:t>
      </w:r>
      <w:r w:rsidR="009A591A" w:rsidRPr="009A591A">
        <w:t>Energy Programme in Romania</w:t>
      </w:r>
      <w:r>
        <w:t>.</w:t>
      </w:r>
    </w:p>
    <w:tbl>
      <w:tblPr>
        <w:tblStyle w:val="TableGrid"/>
        <w:tblW w:w="0" w:type="auto"/>
        <w:tblLook w:val="04A0" w:firstRow="1" w:lastRow="0" w:firstColumn="1" w:lastColumn="0" w:noHBand="0" w:noVBand="1"/>
      </w:tblPr>
      <w:tblGrid>
        <w:gridCol w:w="2698"/>
        <w:gridCol w:w="6318"/>
      </w:tblGrid>
      <w:tr w:rsidR="005128C5" w:rsidRPr="007B7202" w14:paraId="673A035A" w14:textId="77777777" w:rsidTr="41F19CA1">
        <w:trPr>
          <w:cantSplit/>
          <w:trHeight w:val="558"/>
          <w:tblHeader/>
        </w:trPr>
        <w:tc>
          <w:tcPr>
            <w:tcW w:w="2698" w:type="dxa"/>
            <w:shd w:val="clear" w:color="auto" w:fill="F2F2F2" w:themeFill="background1" w:themeFillShade="F2"/>
            <w:tcMar>
              <w:top w:w="57" w:type="dxa"/>
              <w:bottom w:w="57" w:type="dxa"/>
            </w:tcMar>
          </w:tcPr>
          <w:p w14:paraId="3BE0A574" w14:textId="77777777" w:rsidR="005128C5" w:rsidRPr="007B7202" w:rsidRDefault="005128C5" w:rsidP="000A131A">
            <w:pPr>
              <w:rPr>
                <w:b/>
              </w:rPr>
            </w:pPr>
            <w:r w:rsidRPr="007B7202">
              <w:rPr>
                <w:b/>
              </w:rPr>
              <w:lastRenderedPageBreak/>
              <w:t>Term</w:t>
            </w:r>
          </w:p>
        </w:tc>
        <w:tc>
          <w:tcPr>
            <w:tcW w:w="6318" w:type="dxa"/>
            <w:shd w:val="clear" w:color="auto" w:fill="F2F2F2" w:themeFill="background1" w:themeFillShade="F2"/>
            <w:tcMar>
              <w:top w:w="57" w:type="dxa"/>
              <w:bottom w:w="57" w:type="dxa"/>
            </w:tcMar>
          </w:tcPr>
          <w:p w14:paraId="34381994" w14:textId="38181F39" w:rsidR="005128C5" w:rsidRPr="007B7202" w:rsidRDefault="005128C5" w:rsidP="000A131A">
            <w:pPr>
              <w:rPr>
                <w:b/>
              </w:rPr>
            </w:pPr>
            <w:r w:rsidRPr="007B7202">
              <w:rPr>
                <w:b/>
              </w:rPr>
              <w:t>Meaning in the Context of the</w:t>
            </w:r>
            <w:r w:rsidR="00B5090A">
              <w:rPr>
                <w:b/>
              </w:rPr>
              <w:t xml:space="preserve"> Energy Programme</w:t>
            </w:r>
            <w:r w:rsidRPr="007B7202">
              <w:rPr>
                <w:b/>
              </w:rPr>
              <w:t xml:space="preserve"> </w:t>
            </w:r>
            <w:r w:rsidR="00B5090A">
              <w:rPr>
                <w:b/>
              </w:rPr>
              <w:t>Romania</w:t>
            </w:r>
          </w:p>
        </w:tc>
      </w:tr>
      <w:tr w:rsidR="005128C5" w:rsidRPr="007B7202" w14:paraId="40F44E4C" w14:textId="77777777" w:rsidTr="41F19CA1">
        <w:trPr>
          <w:cantSplit/>
          <w:trHeight w:val="301"/>
        </w:trPr>
        <w:tc>
          <w:tcPr>
            <w:tcW w:w="2698" w:type="dxa"/>
            <w:noWrap/>
            <w:tcMar>
              <w:top w:w="57" w:type="dxa"/>
              <w:bottom w:w="57" w:type="dxa"/>
            </w:tcMar>
          </w:tcPr>
          <w:p w14:paraId="379F8390" w14:textId="3D4F866D" w:rsidR="005128C5" w:rsidRPr="0068043A" w:rsidRDefault="00FD001C" w:rsidP="000A131A">
            <w:pPr>
              <w:rPr>
                <w:rFonts w:ascii="Calibri" w:eastAsia="Times New Roman" w:hAnsi="Calibri" w:cs="Calibri"/>
                <w:bCs/>
                <w:color w:val="000000"/>
                <w:lang w:eastAsia="en-GB"/>
              </w:rPr>
            </w:pPr>
            <w:r w:rsidRPr="0068043A">
              <w:rPr>
                <w:rFonts w:ascii="Calibri" w:hAnsi="Calibri" w:cs="Calibri"/>
                <w:lang w:eastAsia="nb-NO"/>
              </w:rPr>
              <w:t>Building Permit</w:t>
            </w:r>
          </w:p>
        </w:tc>
        <w:tc>
          <w:tcPr>
            <w:tcW w:w="6318" w:type="dxa"/>
            <w:noWrap/>
            <w:tcMar>
              <w:top w:w="57" w:type="dxa"/>
              <w:bottom w:w="57" w:type="dxa"/>
            </w:tcMar>
          </w:tcPr>
          <w:p w14:paraId="7D870C6B" w14:textId="64142A9B" w:rsidR="005128C5" w:rsidRPr="007B7202" w:rsidRDefault="00FD001C" w:rsidP="000A131A">
            <w:pPr>
              <w:rPr>
                <w:rFonts w:ascii="Calibri" w:eastAsia="Times New Roman" w:hAnsi="Calibri" w:cs="Calibri"/>
                <w:color w:val="000000"/>
                <w:lang w:eastAsia="en-GB"/>
              </w:rPr>
            </w:pPr>
            <w:r>
              <w:rPr>
                <w:rFonts w:ascii="Calibri" w:hAnsi="Calibri" w:cs="Calibri"/>
                <w:lang w:eastAsia="nb-NO"/>
              </w:rPr>
              <w:t>T</w:t>
            </w:r>
            <w:r w:rsidRPr="003F7F67">
              <w:rPr>
                <w:rFonts w:ascii="Calibri" w:hAnsi="Calibri" w:cs="Calibri"/>
                <w:lang w:eastAsia="nb-NO"/>
              </w:rPr>
              <w:t xml:space="preserve">he final authorization document issued by the local public authority allowing one to execute construction works according to the legal stipulations on the placement, design, execution, </w:t>
            </w:r>
            <w:proofErr w:type="gramStart"/>
            <w:r w:rsidRPr="003F7F67">
              <w:rPr>
                <w:rFonts w:ascii="Calibri" w:hAnsi="Calibri" w:cs="Calibri"/>
                <w:lang w:eastAsia="nb-NO"/>
              </w:rPr>
              <w:t>operation</w:t>
            </w:r>
            <w:proofErr w:type="gramEnd"/>
            <w:r w:rsidRPr="003F7F67">
              <w:rPr>
                <w:rFonts w:ascii="Calibri" w:hAnsi="Calibri" w:cs="Calibri"/>
                <w:lang w:eastAsia="nb-NO"/>
              </w:rPr>
              <w:t xml:space="preserve"> and subsequent use of </w:t>
            </w:r>
            <w:r w:rsidRPr="003D6E96">
              <w:rPr>
                <w:rFonts w:ascii="Calibri" w:hAnsi="Calibri" w:cs="Calibri"/>
                <w:lang w:eastAsia="nb-NO"/>
              </w:rPr>
              <w:t>constructions (the Law no. 50/1991, reprinted,</w:t>
            </w:r>
            <w:r w:rsidRPr="003F7F67">
              <w:rPr>
                <w:rFonts w:ascii="Calibri" w:hAnsi="Calibri" w:cs="Calibri"/>
                <w:lang w:eastAsia="nb-NO"/>
              </w:rPr>
              <w:t xml:space="preserve"> on authorizing the execution of construction works, as subsequently amended and supplemented)</w:t>
            </w:r>
            <w:r>
              <w:rPr>
                <w:rFonts w:ascii="Calibri" w:hAnsi="Calibri" w:cs="Calibri"/>
                <w:lang w:eastAsia="nb-NO"/>
              </w:rPr>
              <w:t>.</w:t>
            </w:r>
          </w:p>
        </w:tc>
      </w:tr>
      <w:tr w:rsidR="00802B5B" w:rsidRPr="007B7202" w14:paraId="1EBCE0DB" w14:textId="77777777" w:rsidTr="41F19CA1">
        <w:trPr>
          <w:cantSplit/>
          <w:trHeight w:val="301"/>
        </w:trPr>
        <w:tc>
          <w:tcPr>
            <w:tcW w:w="2698" w:type="dxa"/>
            <w:noWrap/>
            <w:tcMar>
              <w:top w:w="57" w:type="dxa"/>
              <w:bottom w:w="57" w:type="dxa"/>
            </w:tcMar>
          </w:tcPr>
          <w:p w14:paraId="210F33B5" w14:textId="6AC885A6" w:rsidR="00802B5B" w:rsidRPr="0068043A" w:rsidRDefault="0068043A" w:rsidP="000A131A">
            <w:pPr>
              <w:rPr>
                <w:rFonts w:ascii="Calibri" w:eastAsia="Times New Roman" w:hAnsi="Calibri" w:cs="Calibri"/>
                <w:bCs/>
                <w:color w:val="000000"/>
                <w:lang w:eastAsia="en-GB"/>
              </w:rPr>
            </w:pPr>
            <w:r w:rsidRPr="0068043A">
              <w:rPr>
                <w:rFonts w:ascii="Calibri" w:hAnsi="Calibri" w:cs="Calibri"/>
                <w:lang w:eastAsia="nb-NO"/>
              </w:rPr>
              <w:t>District heating system</w:t>
            </w:r>
          </w:p>
        </w:tc>
        <w:tc>
          <w:tcPr>
            <w:tcW w:w="6318" w:type="dxa"/>
            <w:noWrap/>
            <w:tcMar>
              <w:top w:w="57" w:type="dxa"/>
              <w:bottom w:w="57" w:type="dxa"/>
            </w:tcMar>
          </w:tcPr>
          <w:p w14:paraId="5F3F6970" w14:textId="2327C81A" w:rsidR="00802B5B" w:rsidRPr="007B7202" w:rsidRDefault="0068043A" w:rsidP="000A131A">
            <w:pPr>
              <w:rPr>
                <w:rFonts w:ascii="Calibri" w:eastAsia="Times New Roman" w:hAnsi="Calibri" w:cs="Calibri"/>
                <w:color w:val="000000"/>
                <w:lang w:eastAsia="en-GB"/>
              </w:rPr>
            </w:pPr>
            <w:r>
              <w:rPr>
                <w:rFonts w:ascii="Calibri" w:eastAsia="Times New Roman" w:hAnsi="Calibri" w:cs="Calibri"/>
                <w:color w:val="000000"/>
                <w:lang w:eastAsia="en-GB"/>
              </w:rPr>
              <w:t xml:space="preserve">A </w:t>
            </w:r>
            <w:r w:rsidRPr="0068043A">
              <w:rPr>
                <w:rFonts w:ascii="Calibri" w:eastAsia="Times New Roman" w:hAnsi="Calibri" w:cs="Calibri"/>
                <w:color w:val="000000"/>
                <w:lang w:eastAsia="en-GB"/>
              </w:rPr>
              <w:t>system for distributing heat generated in a centralized location for residential and commercial heating requirements such as space heating and water heating.</w:t>
            </w:r>
          </w:p>
        </w:tc>
      </w:tr>
      <w:tr w:rsidR="00802B5B" w:rsidRPr="007B7202" w14:paraId="2635CE9D" w14:textId="77777777" w:rsidTr="41F19CA1">
        <w:trPr>
          <w:cantSplit/>
          <w:trHeight w:val="301"/>
        </w:trPr>
        <w:tc>
          <w:tcPr>
            <w:tcW w:w="2698" w:type="dxa"/>
            <w:noWrap/>
            <w:tcMar>
              <w:top w:w="57" w:type="dxa"/>
              <w:bottom w:w="57" w:type="dxa"/>
            </w:tcMar>
          </w:tcPr>
          <w:p w14:paraId="4F9A2ECF" w14:textId="52BD1EAD" w:rsidR="00802B5B" w:rsidRPr="007B7202" w:rsidRDefault="0068043A" w:rsidP="000A131A">
            <w:pPr>
              <w:rPr>
                <w:rFonts w:ascii="Calibri" w:eastAsia="Times New Roman" w:hAnsi="Calibri" w:cs="Calibri"/>
                <w:bCs/>
                <w:color w:val="000000"/>
                <w:lang w:eastAsia="en-GB"/>
              </w:rPr>
            </w:pPr>
            <w:r w:rsidRPr="0068043A">
              <w:rPr>
                <w:rFonts w:ascii="Calibri" w:eastAsia="Times New Roman" w:hAnsi="Calibri" w:cs="Calibri"/>
                <w:bCs/>
                <w:color w:val="000000"/>
                <w:lang w:eastAsia="en-GB"/>
              </w:rPr>
              <w:t>Electric plant</w:t>
            </w:r>
          </w:p>
        </w:tc>
        <w:tc>
          <w:tcPr>
            <w:tcW w:w="6318" w:type="dxa"/>
            <w:noWrap/>
            <w:tcMar>
              <w:top w:w="57" w:type="dxa"/>
              <w:bottom w:w="57" w:type="dxa"/>
            </w:tcMar>
          </w:tcPr>
          <w:p w14:paraId="6902A9B7" w14:textId="23B7A85F" w:rsidR="00802B5B" w:rsidRPr="007B7202" w:rsidRDefault="0068043A" w:rsidP="000A131A">
            <w:pPr>
              <w:rPr>
                <w:rFonts w:ascii="Calibri" w:eastAsia="Times New Roman" w:hAnsi="Calibri" w:cs="Calibri"/>
                <w:color w:val="000000"/>
                <w:lang w:eastAsia="en-GB"/>
              </w:rPr>
            </w:pPr>
            <w:r>
              <w:rPr>
                <w:rFonts w:ascii="Calibri" w:hAnsi="Calibri" w:cs="Calibri"/>
                <w:lang w:eastAsia="nb-NO"/>
              </w:rPr>
              <w:t>A</w:t>
            </w:r>
            <w:r w:rsidRPr="0072262D">
              <w:rPr>
                <w:rFonts w:ascii="Calibri" w:hAnsi="Calibri" w:cs="Calibri"/>
                <w:lang w:eastAsia="nb-NO"/>
              </w:rPr>
              <w:t>n assembly of plant, constructions and equipment required for electric power production</w:t>
            </w:r>
            <w:r w:rsidR="00DE0D7A">
              <w:rPr>
                <w:rFonts w:ascii="Calibri" w:hAnsi="Calibri" w:cs="Calibri"/>
                <w:lang w:eastAsia="nb-NO"/>
              </w:rPr>
              <w:t>.</w:t>
            </w:r>
          </w:p>
        </w:tc>
      </w:tr>
      <w:tr w:rsidR="00802B5B" w:rsidRPr="007B7202" w14:paraId="7053CC27" w14:textId="77777777" w:rsidTr="41F19CA1">
        <w:trPr>
          <w:cantSplit/>
          <w:trHeight w:val="301"/>
        </w:trPr>
        <w:tc>
          <w:tcPr>
            <w:tcW w:w="2698" w:type="dxa"/>
            <w:noWrap/>
            <w:tcMar>
              <w:top w:w="57" w:type="dxa"/>
              <w:bottom w:w="57" w:type="dxa"/>
            </w:tcMar>
          </w:tcPr>
          <w:p w14:paraId="7A0573F3" w14:textId="7547612E" w:rsidR="00802B5B" w:rsidRPr="00C405FD" w:rsidRDefault="00C405FD" w:rsidP="000A131A">
            <w:pPr>
              <w:rPr>
                <w:rFonts w:ascii="Calibri" w:eastAsia="Times New Roman" w:hAnsi="Calibri" w:cs="Calibri"/>
                <w:bCs/>
                <w:color w:val="000000"/>
                <w:lang w:eastAsia="en-GB"/>
              </w:rPr>
            </w:pPr>
            <w:r w:rsidRPr="00C405FD">
              <w:rPr>
                <w:rFonts w:ascii="Calibri" w:hAnsi="Calibri" w:cs="Calibri"/>
                <w:lang w:eastAsia="nb-NO"/>
              </w:rPr>
              <w:t>(Electricity) producer</w:t>
            </w:r>
          </w:p>
        </w:tc>
        <w:tc>
          <w:tcPr>
            <w:tcW w:w="6318" w:type="dxa"/>
            <w:noWrap/>
            <w:tcMar>
              <w:top w:w="57" w:type="dxa"/>
              <w:bottom w:w="57" w:type="dxa"/>
            </w:tcMar>
          </w:tcPr>
          <w:p w14:paraId="3E3E1FB9" w14:textId="031C7845" w:rsidR="00802B5B" w:rsidRPr="007B7202" w:rsidRDefault="00C405FD" w:rsidP="000A131A">
            <w:pPr>
              <w:rPr>
                <w:rFonts w:ascii="Calibri" w:eastAsia="Times New Roman" w:hAnsi="Calibri" w:cs="Calibri"/>
                <w:color w:val="000000"/>
                <w:lang w:eastAsia="en-GB"/>
              </w:rPr>
            </w:pPr>
            <w:r>
              <w:rPr>
                <w:rFonts w:ascii="Calibri" w:eastAsia="Times New Roman" w:hAnsi="Calibri" w:cs="Calibri"/>
                <w:color w:val="000000"/>
                <w:lang w:eastAsia="en-GB"/>
              </w:rPr>
              <w:t xml:space="preserve">A </w:t>
            </w:r>
            <w:r w:rsidRPr="00C405FD">
              <w:rPr>
                <w:rFonts w:ascii="Calibri" w:eastAsia="Times New Roman" w:hAnsi="Calibri" w:cs="Calibri"/>
                <w:color w:val="000000"/>
                <w:lang w:eastAsia="en-GB"/>
              </w:rPr>
              <w:t>legal entity carrying out specifically electricity production activities, inclusively in cogeneration (the electricity law no. 13/2007, as subsequently amended and supplemented).</w:t>
            </w:r>
          </w:p>
        </w:tc>
      </w:tr>
      <w:tr w:rsidR="41F19CA1" w14:paraId="28BCAEA0" w14:textId="77777777" w:rsidTr="41F19CA1">
        <w:trPr>
          <w:cantSplit/>
          <w:trHeight w:val="301"/>
        </w:trPr>
        <w:tc>
          <w:tcPr>
            <w:tcW w:w="2698" w:type="dxa"/>
            <w:noWrap/>
            <w:tcMar>
              <w:top w:w="57" w:type="dxa"/>
              <w:bottom w:w="57" w:type="dxa"/>
            </w:tcMar>
          </w:tcPr>
          <w:p w14:paraId="4015647D" w14:textId="24FBDAE2" w:rsidR="2536F3B1" w:rsidRDefault="2536F3B1" w:rsidP="41F19CA1">
            <w:pPr>
              <w:rPr>
                <w:rFonts w:ascii="Calibri" w:hAnsi="Calibri" w:cs="Calibri"/>
                <w:lang w:eastAsia="nb-NO"/>
              </w:rPr>
            </w:pPr>
            <w:r w:rsidRPr="41F19CA1">
              <w:rPr>
                <w:rFonts w:ascii="Calibri" w:hAnsi="Calibri" w:cs="Calibri"/>
                <w:lang w:eastAsia="nb-NO"/>
              </w:rPr>
              <w:t>Energy efficiency</w:t>
            </w:r>
          </w:p>
        </w:tc>
        <w:tc>
          <w:tcPr>
            <w:tcW w:w="6318" w:type="dxa"/>
            <w:noWrap/>
            <w:tcMar>
              <w:top w:w="57" w:type="dxa"/>
              <w:bottom w:w="57" w:type="dxa"/>
            </w:tcMar>
          </w:tcPr>
          <w:p w14:paraId="65AEFA35" w14:textId="494B5DED" w:rsidR="2536F3B1" w:rsidRDefault="2536F3B1" w:rsidP="41F19CA1">
            <w:pPr>
              <w:rPr>
                <w:rFonts w:ascii="Calibri" w:hAnsi="Calibri" w:cs="Calibri"/>
                <w:lang w:eastAsia="nb-NO"/>
              </w:rPr>
            </w:pPr>
            <w:r>
              <w:t xml:space="preserve">The term is understood as defined by the </w:t>
            </w:r>
            <w:proofErr w:type="spellStart"/>
            <w:r>
              <w:t>GBER</w:t>
            </w:r>
            <w:proofErr w:type="spellEnd"/>
            <w:r>
              <w:t>, meaning “An amount of saved energy determined by measuring and/or estimating consumption before and after implementation of an energy-efficiency improvement measure, whilst ensuring normalisation for external conditions that affect energy consumption.”</w:t>
            </w:r>
          </w:p>
        </w:tc>
      </w:tr>
      <w:tr w:rsidR="41F19CA1" w14:paraId="152B50F6" w14:textId="77777777" w:rsidTr="41F19CA1">
        <w:trPr>
          <w:cantSplit/>
          <w:trHeight w:val="301"/>
        </w:trPr>
        <w:tc>
          <w:tcPr>
            <w:tcW w:w="2698" w:type="dxa"/>
            <w:noWrap/>
            <w:tcMar>
              <w:top w:w="57" w:type="dxa"/>
              <w:bottom w:w="57" w:type="dxa"/>
            </w:tcMar>
          </w:tcPr>
          <w:p w14:paraId="4CB9E278" w14:textId="3F78C779" w:rsidR="2536F3B1" w:rsidRDefault="2536F3B1">
            <w:r>
              <w:t>Energy performance (of energy-related products)</w:t>
            </w:r>
          </w:p>
        </w:tc>
        <w:tc>
          <w:tcPr>
            <w:tcW w:w="6318" w:type="dxa"/>
            <w:noWrap/>
            <w:tcMar>
              <w:top w:w="57" w:type="dxa"/>
              <w:bottom w:w="57" w:type="dxa"/>
            </w:tcMar>
          </w:tcPr>
          <w:p w14:paraId="071E0431" w14:textId="0BE9076D" w:rsidR="2536F3B1" w:rsidRDefault="2536F3B1" w:rsidP="41F19CA1">
            <w:pPr>
              <w:rPr>
                <w:rFonts w:ascii="Calibri" w:hAnsi="Calibri" w:cs="Calibri"/>
                <w:lang w:eastAsia="nb-NO"/>
              </w:rPr>
            </w:pPr>
            <w:r w:rsidRPr="41F19CA1">
              <w:rPr>
                <w:rFonts w:ascii="Calibri" w:hAnsi="Calibri" w:cs="Calibri"/>
                <w:lang w:eastAsia="nb-NO"/>
              </w:rPr>
              <w:t>The amount of energy consumption of an energy-related product after implementation of an energy efficiency improvement measure. Examples of energy-related products are water pumps, washing machines, heaters and water heaters, industrial fans.</w:t>
            </w:r>
          </w:p>
        </w:tc>
      </w:tr>
      <w:tr w:rsidR="41F19CA1" w14:paraId="3485F8E8" w14:textId="77777777" w:rsidTr="41F19CA1">
        <w:trPr>
          <w:cantSplit/>
          <w:trHeight w:val="301"/>
        </w:trPr>
        <w:tc>
          <w:tcPr>
            <w:tcW w:w="2698" w:type="dxa"/>
            <w:noWrap/>
            <w:tcMar>
              <w:top w:w="57" w:type="dxa"/>
              <w:bottom w:w="57" w:type="dxa"/>
            </w:tcMar>
          </w:tcPr>
          <w:p w14:paraId="19214577" w14:textId="63C923E5" w:rsidR="2536F3B1" w:rsidRDefault="2536F3B1" w:rsidP="41F19CA1">
            <w:pPr>
              <w:rPr>
                <w:rFonts w:ascii="Calibri" w:eastAsia="Times New Roman" w:hAnsi="Calibri" w:cs="Calibri"/>
                <w:color w:val="000000" w:themeColor="text1"/>
                <w:lang w:eastAsia="en-GB"/>
              </w:rPr>
            </w:pPr>
            <w:r w:rsidRPr="41F19CA1">
              <w:rPr>
                <w:rFonts w:ascii="Calibri" w:eastAsia="Times New Roman" w:hAnsi="Calibri" w:cs="Calibri"/>
                <w:color w:val="000000" w:themeColor="text1"/>
                <w:lang w:eastAsia="en-GB"/>
              </w:rPr>
              <w:t>Geothermal Energy</w:t>
            </w:r>
          </w:p>
          <w:p w14:paraId="15CB7F36" w14:textId="69BB4173" w:rsidR="41F19CA1" w:rsidRDefault="41F19CA1" w:rsidP="41F19CA1">
            <w:pPr>
              <w:rPr>
                <w:rFonts w:ascii="Calibri" w:hAnsi="Calibri" w:cs="Calibri"/>
                <w:lang w:eastAsia="nb-NO"/>
              </w:rPr>
            </w:pPr>
          </w:p>
        </w:tc>
        <w:tc>
          <w:tcPr>
            <w:tcW w:w="6318" w:type="dxa"/>
            <w:noWrap/>
            <w:tcMar>
              <w:top w:w="57" w:type="dxa"/>
              <w:bottom w:w="57" w:type="dxa"/>
            </w:tcMar>
          </w:tcPr>
          <w:p w14:paraId="0830DDB6" w14:textId="07245D20" w:rsidR="2536F3B1" w:rsidRDefault="2536F3B1" w:rsidP="41F19CA1">
            <w:pPr>
              <w:rPr>
                <w:rFonts w:ascii="Calibri" w:eastAsia="Times New Roman" w:hAnsi="Calibri" w:cs="Calibri"/>
                <w:color w:val="000000" w:themeColor="text1"/>
                <w:lang w:eastAsia="en-GB"/>
              </w:rPr>
            </w:pPr>
            <w:r w:rsidRPr="41F19CA1">
              <w:rPr>
                <w:rFonts w:ascii="Calibri" w:hAnsi="Calibri" w:cs="Calibri"/>
                <w:lang w:eastAsia="nb-NO"/>
              </w:rPr>
              <w:t>The natural energy flux through the crust and stored energy in the bedrock.</w:t>
            </w:r>
          </w:p>
        </w:tc>
      </w:tr>
      <w:tr w:rsidR="00802B5B" w:rsidRPr="007B7202" w14:paraId="4B8FBCBC" w14:textId="77777777" w:rsidTr="41F19CA1">
        <w:trPr>
          <w:cantSplit/>
          <w:trHeight w:val="301"/>
        </w:trPr>
        <w:tc>
          <w:tcPr>
            <w:tcW w:w="2698" w:type="dxa"/>
            <w:noWrap/>
            <w:tcMar>
              <w:top w:w="57" w:type="dxa"/>
              <w:bottom w:w="57" w:type="dxa"/>
            </w:tcMar>
          </w:tcPr>
          <w:p w14:paraId="0BA89B4C" w14:textId="21C2139B" w:rsidR="00802B5B" w:rsidRPr="007B7202" w:rsidRDefault="00986A4A" w:rsidP="000A131A">
            <w:pPr>
              <w:rPr>
                <w:rFonts w:ascii="Calibri" w:eastAsia="Times New Roman" w:hAnsi="Calibri" w:cs="Calibri"/>
                <w:bCs/>
                <w:color w:val="000000"/>
                <w:lang w:eastAsia="en-GB"/>
              </w:rPr>
            </w:pPr>
            <w:r w:rsidRPr="00986A4A">
              <w:rPr>
                <w:rFonts w:ascii="Calibri" w:eastAsia="Times New Roman" w:hAnsi="Calibri" w:cs="Calibri"/>
                <w:bCs/>
                <w:color w:val="000000"/>
                <w:lang w:eastAsia="en-GB"/>
              </w:rPr>
              <w:t>Heat plant</w:t>
            </w:r>
          </w:p>
        </w:tc>
        <w:tc>
          <w:tcPr>
            <w:tcW w:w="6318" w:type="dxa"/>
            <w:noWrap/>
            <w:tcMar>
              <w:top w:w="57" w:type="dxa"/>
              <w:bottom w:w="57" w:type="dxa"/>
            </w:tcMar>
          </w:tcPr>
          <w:p w14:paraId="5E5A5C31" w14:textId="5D37B5DC" w:rsidR="00802B5B" w:rsidRPr="007B7202" w:rsidRDefault="0078137C" w:rsidP="000A131A">
            <w:pPr>
              <w:rPr>
                <w:rFonts w:ascii="Calibri" w:eastAsia="Times New Roman" w:hAnsi="Calibri" w:cs="Calibri"/>
                <w:color w:val="000000"/>
                <w:lang w:eastAsia="en-GB"/>
              </w:rPr>
            </w:pPr>
            <w:r>
              <w:rPr>
                <w:rFonts w:ascii="Calibri" w:hAnsi="Calibri" w:cs="Calibri"/>
                <w:lang w:eastAsia="nb-NO"/>
              </w:rPr>
              <w:t>A</w:t>
            </w:r>
            <w:r w:rsidR="00986A4A" w:rsidRPr="0072262D">
              <w:rPr>
                <w:rFonts w:ascii="Calibri" w:hAnsi="Calibri" w:cs="Calibri"/>
                <w:lang w:eastAsia="nb-NO"/>
              </w:rPr>
              <w:t xml:space="preserve"> facility composed of one or more pieces of equipment connected to or part of a structure and designed to provide a service such as heat</w:t>
            </w:r>
            <w:r w:rsidR="00986A4A">
              <w:rPr>
                <w:rFonts w:ascii="Calibri" w:hAnsi="Calibri" w:cs="Calibri"/>
                <w:lang w:eastAsia="nb-NO"/>
              </w:rPr>
              <w:t>.</w:t>
            </w:r>
          </w:p>
        </w:tc>
      </w:tr>
      <w:tr w:rsidR="00B51907" w:rsidRPr="007B7202" w14:paraId="37A48F51" w14:textId="77777777" w:rsidTr="41F19CA1">
        <w:trPr>
          <w:cantSplit/>
          <w:trHeight w:val="301"/>
        </w:trPr>
        <w:tc>
          <w:tcPr>
            <w:tcW w:w="2698" w:type="dxa"/>
            <w:noWrap/>
            <w:tcMar>
              <w:top w:w="57" w:type="dxa"/>
              <w:bottom w:w="57" w:type="dxa"/>
            </w:tcMar>
          </w:tcPr>
          <w:p w14:paraId="283549DF" w14:textId="6467408B" w:rsidR="00B51907" w:rsidRPr="00986A4A" w:rsidRDefault="00794AC7" w:rsidP="000A131A">
            <w:pPr>
              <w:rPr>
                <w:rFonts w:ascii="Calibri" w:eastAsia="Times New Roman" w:hAnsi="Calibri" w:cs="Calibri"/>
                <w:bCs/>
                <w:color w:val="000000"/>
                <w:lang w:eastAsia="en-GB"/>
              </w:rPr>
            </w:pPr>
            <w:r w:rsidRPr="00794AC7">
              <w:rPr>
                <w:rFonts w:ascii="Calibri" w:eastAsia="Times New Roman" w:hAnsi="Calibri" w:cs="Calibri"/>
                <w:bCs/>
                <w:color w:val="000000"/>
                <w:lang w:eastAsia="en-GB"/>
              </w:rPr>
              <w:t>Household</w:t>
            </w:r>
          </w:p>
        </w:tc>
        <w:tc>
          <w:tcPr>
            <w:tcW w:w="6318" w:type="dxa"/>
            <w:noWrap/>
            <w:tcMar>
              <w:top w:w="57" w:type="dxa"/>
              <w:bottom w:w="57" w:type="dxa"/>
            </w:tcMar>
          </w:tcPr>
          <w:p w14:paraId="1F5FC20F" w14:textId="278D75C7" w:rsidR="00B51907" w:rsidRDefault="0078137C" w:rsidP="000A131A">
            <w:pPr>
              <w:rPr>
                <w:rFonts w:ascii="Calibri" w:hAnsi="Calibri" w:cs="Calibri"/>
                <w:lang w:eastAsia="nb-NO"/>
              </w:rPr>
            </w:pPr>
            <w:r w:rsidRPr="0078137C">
              <w:rPr>
                <w:rFonts w:ascii="Calibri" w:hAnsi="Calibri" w:cs="Calibri"/>
                <w:lang w:eastAsia="nb-NO"/>
              </w:rPr>
              <w:t>A private household is defined as a person living alone or a group of people who live together in the same private dwelling and share expenditures, including the joint provision of the essentials for living.</w:t>
            </w:r>
          </w:p>
        </w:tc>
      </w:tr>
      <w:tr w:rsidR="0023283E" w:rsidRPr="007B7202" w14:paraId="7830C25E" w14:textId="77777777" w:rsidTr="41F19CA1">
        <w:trPr>
          <w:cantSplit/>
          <w:trHeight w:val="301"/>
        </w:trPr>
        <w:tc>
          <w:tcPr>
            <w:tcW w:w="2698" w:type="dxa"/>
            <w:noWrap/>
            <w:tcMar>
              <w:top w:w="57" w:type="dxa"/>
              <w:bottom w:w="57" w:type="dxa"/>
            </w:tcMar>
          </w:tcPr>
          <w:p w14:paraId="25849706" w14:textId="2642CC7B" w:rsidR="0023283E" w:rsidRPr="00A653C1" w:rsidRDefault="00351DAD" w:rsidP="000A131A">
            <w:pPr>
              <w:rPr>
                <w:rFonts w:ascii="Calibri" w:eastAsia="Times New Roman" w:hAnsi="Calibri" w:cs="Calibri"/>
                <w:bCs/>
                <w:color w:val="000000"/>
                <w:lang w:eastAsia="en-GB"/>
              </w:rPr>
            </w:pPr>
            <w:r w:rsidRPr="0023283E">
              <w:rPr>
                <w:rFonts w:ascii="Calibri" w:hAnsi="Calibri" w:cs="Calibri"/>
                <w:lang w:eastAsia="nb-NO"/>
              </w:rPr>
              <w:t>Hydropower</w:t>
            </w:r>
          </w:p>
        </w:tc>
        <w:tc>
          <w:tcPr>
            <w:tcW w:w="6318" w:type="dxa"/>
            <w:noWrap/>
            <w:tcMar>
              <w:top w:w="57" w:type="dxa"/>
              <w:bottom w:w="57" w:type="dxa"/>
            </w:tcMar>
          </w:tcPr>
          <w:p w14:paraId="6AA28763" w14:textId="3D48B108" w:rsidR="0023283E" w:rsidRDefault="0078137C" w:rsidP="000A131A">
            <w:pPr>
              <w:rPr>
                <w:rFonts w:ascii="Calibri" w:hAnsi="Calibri" w:cs="Calibri"/>
                <w:lang w:eastAsia="nb-NO"/>
              </w:rPr>
            </w:pPr>
            <w:r>
              <w:rPr>
                <w:rFonts w:ascii="Calibri" w:hAnsi="Calibri" w:cs="Calibri"/>
                <w:lang w:eastAsia="nb-NO"/>
              </w:rPr>
              <w:t>T</w:t>
            </w:r>
            <w:r w:rsidR="00351DAD" w:rsidRPr="000F05C8">
              <w:rPr>
                <w:rFonts w:ascii="Calibri" w:hAnsi="Calibri" w:cs="Calibri"/>
                <w:lang w:eastAsia="nb-NO"/>
              </w:rPr>
              <w:t>he power produced by the courses, falls, water accumulation</w:t>
            </w:r>
            <w:r w:rsidR="00351DAD">
              <w:rPr>
                <w:rFonts w:ascii="Calibri" w:hAnsi="Calibri" w:cs="Calibri"/>
                <w:lang w:eastAsia="nb-NO"/>
              </w:rPr>
              <w:t>.</w:t>
            </w:r>
          </w:p>
        </w:tc>
      </w:tr>
      <w:tr w:rsidR="0023283E" w:rsidRPr="007B7202" w14:paraId="0A89640B" w14:textId="77777777" w:rsidTr="41F19CA1">
        <w:trPr>
          <w:cantSplit/>
          <w:trHeight w:val="301"/>
        </w:trPr>
        <w:tc>
          <w:tcPr>
            <w:tcW w:w="2698" w:type="dxa"/>
            <w:noWrap/>
            <w:tcMar>
              <w:top w:w="57" w:type="dxa"/>
              <w:bottom w:w="57" w:type="dxa"/>
            </w:tcMar>
          </w:tcPr>
          <w:p w14:paraId="1BDED3DA" w14:textId="626D90AB" w:rsidR="0023283E" w:rsidRPr="00351DAD" w:rsidRDefault="00351DAD" w:rsidP="000A131A">
            <w:pPr>
              <w:rPr>
                <w:rFonts w:ascii="Calibri" w:eastAsia="Times New Roman" w:hAnsi="Calibri" w:cs="Calibri"/>
                <w:bCs/>
                <w:color w:val="000000"/>
                <w:lang w:eastAsia="en-GB"/>
              </w:rPr>
            </w:pPr>
            <w:r w:rsidRPr="00351DAD">
              <w:rPr>
                <w:rFonts w:ascii="Calibri" w:hAnsi="Calibri" w:cs="Calibri"/>
                <w:lang w:eastAsia="nb-NO"/>
              </w:rPr>
              <w:t>Hydroelectric power plant</w:t>
            </w:r>
          </w:p>
        </w:tc>
        <w:tc>
          <w:tcPr>
            <w:tcW w:w="6318" w:type="dxa"/>
            <w:noWrap/>
            <w:tcMar>
              <w:top w:w="57" w:type="dxa"/>
              <w:bottom w:w="57" w:type="dxa"/>
            </w:tcMar>
          </w:tcPr>
          <w:p w14:paraId="4E721B2D" w14:textId="6642469C" w:rsidR="0023283E" w:rsidRDefault="00351DAD" w:rsidP="00351DAD">
            <w:pPr>
              <w:widowControl w:val="0"/>
              <w:autoSpaceDE w:val="0"/>
              <w:autoSpaceDN w:val="0"/>
              <w:spacing w:before="60"/>
              <w:ind w:right="-801"/>
              <w:jc w:val="both"/>
              <w:rPr>
                <w:rFonts w:ascii="Calibri" w:hAnsi="Calibri" w:cs="Calibri"/>
                <w:lang w:eastAsia="nb-NO"/>
              </w:rPr>
            </w:pPr>
            <w:r>
              <w:rPr>
                <w:rFonts w:ascii="Calibri" w:hAnsi="Calibri" w:cs="Calibri"/>
                <w:lang w:eastAsia="nb-NO"/>
              </w:rPr>
              <w:t>An e</w:t>
            </w:r>
            <w:r w:rsidRPr="005F78AE">
              <w:rPr>
                <w:rFonts w:ascii="Calibri" w:hAnsi="Calibri" w:cs="Calibri"/>
                <w:lang w:eastAsia="nb-NO"/>
              </w:rPr>
              <w:t>lectric power plant, producing electricity through the transformation of hydraulic power</w:t>
            </w:r>
            <w:r>
              <w:rPr>
                <w:rFonts w:ascii="Calibri" w:hAnsi="Calibri" w:cs="Calibri"/>
                <w:lang w:eastAsia="nb-NO"/>
              </w:rPr>
              <w:t>.</w:t>
            </w:r>
          </w:p>
        </w:tc>
      </w:tr>
      <w:tr w:rsidR="41F19CA1" w14:paraId="23CBDDDC" w14:textId="77777777" w:rsidTr="41F19CA1">
        <w:trPr>
          <w:cantSplit/>
          <w:trHeight w:val="301"/>
        </w:trPr>
        <w:tc>
          <w:tcPr>
            <w:tcW w:w="2698" w:type="dxa"/>
            <w:noWrap/>
            <w:tcMar>
              <w:top w:w="57" w:type="dxa"/>
              <w:bottom w:w="57" w:type="dxa"/>
            </w:tcMar>
          </w:tcPr>
          <w:p w14:paraId="2321E7E0" w14:textId="0A788FB6" w:rsidR="27DD3499" w:rsidRDefault="27DD3499" w:rsidP="41F19CA1">
            <w:pPr>
              <w:rPr>
                <w:rFonts w:ascii="Calibri" w:hAnsi="Calibri" w:cs="Calibri"/>
                <w:lang w:eastAsia="nb-NO"/>
              </w:rPr>
            </w:pPr>
            <w:r w:rsidRPr="41F19CA1">
              <w:rPr>
                <w:rFonts w:ascii="Calibri" w:hAnsi="Calibri" w:cs="Calibri"/>
                <w:lang w:eastAsia="nb-NO"/>
              </w:rPr>
              <w:t>Infrastructure</w:t>
            </w:r>
          </w:p>
        </w:tc>
        <w:tc>
          <w:tcPr>
            <w:tcW w:w="6318" w:type="dxa"/>
            <w:noWrap/>
            <w:tcMar>
              <w:top w:w="57" w:type="dxa"/>
              <w:bottom w:w="57" w:type="dxa"/>
            </w:tcMar>
          </w:tcPr>
          <w:p w14:paraId="077D4E45" w14:textId="64D9F069" w:rsidR="27DD3499" w:rsidRDefault="27DD3499" w:rsidP="41F19CA1">
            <w:pPr>
              <w:rPr>
                <w:rFonts w:ascii="Calibri" w:hAnsi="Calibri" w:cs="Calibri"/>
                <w:lang w:eastAsia="nb-NO"/>
              </w:rPr>
            </w:pPr>
            <w:r w:rsidRPr="41F19CA1">
              <w:rPr>
                <w:rFonts w:ascii="Calibri" w:hAnsi="Calibri" w:cs="Calibri"/>
                <w:lang w:eastAsia="nb-NO"/>
              </w:rPr>
              <w:t xml:space="preserve">The basic structure of an entity which is necessary for its operation, </w:t>
            </w:r>
            <w:proofErr w:type="gramStart"/>
            <w:r w:rsidRPr="41F19CA1">
              <w:rPr>
                <w:rFonts w:ascii="Calibri" w:hAnsi="Calibri" w:cs="Calibri"/>
                <w:lang w:eastAsia="nb-NO"/>
              </w:rPr>
              <w:t>e.g.</w:t>
            </w:r>
            <w:proofErr w:type="gramEnd"/>
            <w:r w:rsidRPr="41F19CA1">
              <w:rPr>
                <w:rFonts w:ascii="Calibri" w:hAnsi="Calibri" w:cs="Calibri"/>
                <w:lang w:eastAsia="nb-NO"/>
              </w:rPr>
              <w:t xml:space="preserve"> building, communication systems and power supplies, transport.</w:t>
            </w:r>
          </w:p>
        </w:tc>
      </w:tr>
      <w:tr w:rsidR="0023283E" w:rsidRPr="007B7202" w14:paraId="3C9D2A87" w14:textId="77777777" w:rsidTr="41F19CA1">
        <w:trPr>
          <w:cantSplit/>
          <w:trHeight w:val="301"/>
        </w:trPr>
        <w:tc>
          <w:tcPr>
            <w:tcW w:w="2698" w:type="dxa"/>
            <w:noWrap/>
            <w:tcMar>
              <w:top w:w="57" w:type="dxa"/>
              <w:bottom w:w="57" w:type="dxa"/>
            </w:tcMar>
          </w:tcPr>
          <w:p w14:paraId="48F3620E" w14:textId="72A97AD8" w:rsidR="0023283E" w:rsidRPr="00A653C1" w:rsidRDefault="00721523" w:rsidP="000A131A">
            <w:pPr>
              <w:rPr>
                <w:rFonts w:ascii="Calibri" w:eastAsia="Times New Roman" w:hAnsi="Calibri" w:cs="Calibri"/>
                <w:bCs/>
                <w:color w:val="000000"/>
                <w:lang w:eastAsia="en-GB"/>
              </w:rPr>
            </w:pPr>
            <w:r w:rsidRPr="00721523">
              <w:rPr>
                <w:rFonts w:ascii="Calibri" w:hAnsi="Calibri" w:cs="Calibri"/>
                <w:lang w:eastAsia="nb-NO"/>
              </w:rPr>
              <w:lastRenderedPageBreak/>
              <w:t>License (for the commercial use of the electric power production facilities)</w:t>
            </w:r>
          </w:p>
        </w:tc>
        <w:tc>
          <w:tcPr>
            <w:tcW w:w="6318" w:type="dxa"/>
            <w:noWrap/>
            <w:tcMar>
              <w:top w:w="57" w:type="dxa"/>
              <w:bottom w:w="57" w:type="dxa"/>
            </w:tcMar>
          </w:tcPr>
          <w:p w14:paraId="3C05911F" w14:textId="501F04D3" w:rsidR="0023283E" w:rsidRDefault="00721523" w:rsidP="00E5396D">
            <w:pPr>
              <w:widowControl w:val="0"/>
              <w:autoSpaceDE w:val="0"/>
              <w:autoSpaceDN w:val="0"/>
              <w:spacing w:before="60"/>
              <w:ind w:right="-19"/>
              <w:jc w:val="both"/>
              <w:rPr>
                <w:rFonts w:ascii="Calibri" w:hAnsi="Calibri" w:cs="Calibri"/>
                <w:lang w:eastAsia="nb-NO"/>
              </w:rPr>
            </w:pPr>
            <w:r>
              <w:rPr>
                <w:rFonts w:ascii="Calibri" w:hAnsi="Calibri" w:cs="Calibri"/>
                <w:lang w:eastAsia="nb-NO"/>
              </w:rPr>
              <w:t>T</w:t>
            </w:r>
            <w:r w:rsidRPr="00A33940">
              <w:rPr>
                <w:rFonts w:ascii="Calibri" w:hAnsi="Calibri" w:cs="Calibri"/>
                <w:lang w:eastAsia="nb-NO"/>
              </w:rPr>
              <w:t>he</w:t>
            </w:r>
            <w:r>
              <w:rPr>
                <w:rFonts w:ascii="Calibri" w:hAnsi="Calibri" w:cs="Calibri"/>
                <w:lang w:eastAsia="nb-NO"/>
              </w:rPr>
              <w:t xml:space="preserve"> </w:t>
            </w:r>
            <w:r w:rsidRPr="00A33940">
              <w:rPr>
                <w:rFonts w:ascii="Calibri" w:hAnsi="Calibri" w:cs="Calibri"/>
                <w:lang w:eastAsia="nb-NO"/>
              </w:rPr>
              <w:t xml:space="preserve">technical and legal document issued by the competent authority, whereby, upon the request of a Romanian or foreign individual/legal entity, the latter are granted permission to commercially use some energy facilities in the sector of electric power and thermal energy produced in cogeneration or to deliver the services required for the coordinated operation of SEN, respectively the electric </w:t>
            </w:r>
            <w:r w:rsidRPr="00222FC6">
              <w:rPr>
                <w:rFonts w:ascii="Calibri" w:hAnsi="Calibri" w:cs="Calibri"/>
                <w:lang w:eastAsia="nb-NO"/>
              </w:rPr>
              <w:t>power market (GR 540/2004, as</w:t>
            </w:r>
            <w:r w:rsidRPr="00A33940">
              <w:rPr>
                <w:rFonts w:ascii="Calibri" w:hAnsi="Calibri" w:cs="Calibri"/>
                <w:lang w:eastAsia="nb-NO"/>
              </w:rPr>
              <w:t xml:space="preserve"> subsequently amended and supplemented)</w:t>
            </w:r>
            <w:r>
              <w:rPr>
                <w:rFonts w:ascii="Calibri" w:hAnsi="Calibri" w:cs="Calibri"/>
                <w:lang w:eastAsia="nb-NO"/>
              </w:rPr>
              <w:t>.</w:t>
            </w:r>
          </w:p>
        </w:tc>
      </w:tr>
      <w:tr w:rsidR="00A653C1" w:rsidRPr="007B7202" w14:paraId="79FB904D" w14:textId="77777777" w:rsidTr="41F19CA1">
        <w:trPr>
          <w:cantSplit/>
          <w:trHeight w:val="301"/>
        </w:trPr>
        <w:tc>
          <w:tcPr>
            <w:tcW w:w="2698" w:type="dxa"/>
            <w:noWrap/>
            <w:tcMar>
              <w:top w:w="57" w:type="dxa"/>
              <w:bottom w:w="57" w:type="dxa"/>
            </w:tcMar>
          </w:tcPr>
          <w:p w14:paraId="510CE453" w14:textId="7FBE4C2C" w:rsidR="00A653C1" w:rsidRPr="0023283E" w:rsidRDefault="00B5090A" w:rsidP="000A131A">
            <w:pPr>
              <w:rPr>
                <w:rFonts w:ascii="Calibri" w:eastAsia="Times New Roman" w:hAnsi="Calibri" w:cs="Calibri"/>
                <w:bCs/>
                <w:color w:val="000000"/>
                <w:lang w:eastAsia="en-GB"/>
              </w:rPr>
            </w:pPr>
            <w:r w:rsidRPr="00721523">
              <w:rPr>
                <w:rFonts w:ascii="Calibri" w:hAnsi="Calibri" w:cs="Calibri"/>
                <w:lang w:eastAsia="nb-NO"/>
              </w:rPr>
              <w:t>Natura 2000 Notice</w:t>
            </w:r>
          </w:p>
        </w:tc>
        <w:tc>
          <w:tcPr>
            <w:tcW w:w="6318" w:type="dxa"/>
            <w:noWrap/>
            <w:tcMar>
              <w:top w:w="57" w:type="dxa"/>
              <w:bottom w:w="57" w:type="dxa"/>
            </w:tcMar>
          </w:tcPr>
          <w:p w14:paraId="76A02D6C" w14:textId="3385DBF1" w:rsidR="00A653C1" w:rsidRDefault="00B5090A" w:rsidP="000A131A">
            <w:pPr>
              <w:rPr>
                <w:rFonts w:ascii="Calibri" w:hAnsi="Calibri" w:cs="Calibri"/>
                <w:lang w:eastAsia="nb-NO"/>
              </w:rPr>
            </w:pPr>
            <w:r>
              <w:rPr>
                <w:rFonts w:ascii="Calibri" w:hAnsi="Calibri" w:cs="Calibri"/>
                <w:lang w:eastAsia="nb-NO"/>
              </w:rPr>
              <w:t>T</w:t>
            </w:r>
            <w:r w:rsidRPr="00721523">
              <w:rPr>
                <w:rFonts w:ascii="Calibri" w:hAnsi="Calibri" w:cs="Calibri"/>
                <w:lang w:eastAsia="nb-NO"/>
              </w:rPr>
              <w:t>he administrative document issued by the competent environment protection authority, containing the conclusions of the adequate evaluation, whereby the plan or project performance conditions are established from the standpoint of the impact on the protected natural areas of community interest, included or to be included in the Nature 2000 ecological network (GEO no. 195/2005, as subsequently amended and supplemented).</w:t>
            </w:r>
          </w:p>
        </w:tc>
      </w:tr>
      <w:tr w:rsidR="00B5090A" w:rsidRPr="007B7202" w14:paraId="40739B9A" w14:textId="77777777" w:rsidTr="41F19CA1">
        <w:trPr>
          <w:cantSplit/>
          <w:trHeight w:val="301"/>
        </w:trPr>
        <w:tc>
          <w:tcPr>
            <w:tcW w:w="2698" w:type="dxa"/>
            <w:noWrap/>
            <w:tcMar>
              <w:top w:w="57" w:type="dxa"/>
              <w:bottom w:w="57" w:type="dxa"/>
            </w:tcMar>
          </w:tcPr>
          <w:p w14:paraId="3632D677" w14:textId="5F84650E" w:rsidR="00B5090A" w:rsidRPr="00721523" w:rsidRDefault="00770D2F" w:rsidP="000A131A">
            <w:pPr>
              <w:rPr>
                <w:rFonts w:ascii="Calibri" w:hAnsi="Calibri" w:cs="Calibri"/>
                <w:lang w:eastAsia="nb-NO"/>
              </w:rPr>
            </w:pPr>
            <w:r w:rsidRPr="00721523">
              <w:rPr>
                <w:rFonts w:ascii="Calibri" w:hAnsi="Calibri" w:cs="Calibri"/>
                <w:lang w:eastAsia="nb-NO"/>
              </w:rPr>
              <w:t>Renewable energy sources</w:t>
            </w:r>
            <w:r>
              <w:rPr>
                <w:rFonts w:ascii="Calibri" w:hAnsi="Calibri" w:cs="Calibri"/>
                <w:lang w:eastAsia="nb-NO"/>
              </w:rPr>
              <w:t xml:space="preserve"> (</w:t>
            </w:r>
            <w:r w:rsidRPr="00721523">
              <w:rPr>
                <w:rFonts w:ascii="Calibri" w:hAnsi="Calibri" w:cs="Calibri"/>
                <w:lang w:eastAsia="nb-NO"/>
              </w:rPr>
              <w:t>RES)</w:t>
            </w:r>
          </w:p>
        </w:tc>
        <w:tc>
          <w:tcPr>
            <w:tcW w:w="6318" w:type="dxa"/>
            <w:noWrap/>
            <w:tcMar>
              <w:top w:w="57" w:type="dxa"/>
              <w:bottom w:w="57" w:type="dxa"/>
            </w:tcMar>
          </w:tcPr>
          <w:p w14:paraId="6F2B6606" w14:textId="6899B437" w:rsidR="00770D2F" w:rsidRPr="00721523" w:rsidRDefault="00770D2F" w:rsidP="00A43DAB">
            <w:pPr>
              <w:widowControl w:val="0"/>
              <w:autoSpaceDE w:val="0"/>
              <w:autoSpaceDN w:val="0"/>
              <w:spacing w:before="60"/>
              <w:ind w:right="-19"/>
              <w:jc w:val="both"/>
              <w:rPr>
                <w:rFonts w:ascii="Calibri" w:hAnsi="Calibri" w:cs="Calibri"/>
                <w:lang w:eastAsia="nb-NO"/>
              </w:rPr>
            </w:pPr>
            <w:r>
              <w:rPr>
                <w:rFonts w:ascii="Calibri" w:hAnsi="Calibri" w:cs="Calibri"/>
                <w:lang w:eastAsia="nb-NO"/>
              </w:rPr>
              <w:t>N</w:t>
            </w:r>
            <w:r w:rsidRPr="00721523">
              <w:rPr>
                <w:rFonts w:ascii="Calibri" w:hAnsi="Calibri" w:cs="Calibri"/>
                <w:lang w:eastAsia="nb-NO"/>
              </w:rPr>
              <w:t>on-fossil energy sources such as: wind, solar, geothermal energy, tide energy, hydropower, biomass, waste fermentation gas, also called deposit gas, sludge fermentation gas from the wastewater treatment plant and biogas.</w:t>
            </w:r>
          </w:p>
          <w:p w14:paraId="575A5B76" w14:textId="77777777" w:rsidR="00B5090A" w:rsidRDefault="00B5090A" w:rsidP="000A131A">
            <w:pPr>
              <w:rPr>
                <w:rFonts w:ascii="Calibri" w:hAnsi="Calibri" w:cs="Calibri"/>
                <w:lang w:eastAsia="nb-NO"/>
              </w:rPr>
            </w:pPr>
          </w:p>
        </w:tc>
      </w:tr>
      <w:tr w:rsidR="00B5090A" w:rsidRPr="007B7202" w14:paraId="4E732D68" w14:textId="77777777" w:rsidTr="41F19CA1">
        <w:trPr>
          <w:cantSplit/>
          <w:trHeight w:val="301"/>
        </w:trPr>
        <w:tc>
          <w:tcPr>
            <w:tcW w:w="2698" w:type="dxa"/>
            <w:noWrap/>
            <w:tcMar>
              <w:top w:w="57" w:type="dxa"/>
              <w:bottom w:w="57" w:type="dxa"/>
            </w:tcMar>
          </w:tcPr>
          <w:p w14:paraId="520DF48E" w14:textId="649FE70F" w:rsidR="00B5090A" w:rsidRPr="009E3CD6" w:rsidRDefault="009E3CD6" w:rsidP="005846DE">
            <w:r>
              <w:t>T</w:t>
            </w:r>
            <w:r w:rsidR="005846DE">
              <w:t>ransport sector</w:t>
            </w:r>
          </w:p>
        </w:tc>
        <w:tc>
          <w:tcPr>
            <w:tcW w:w="6318" w:type="dxa"/>
            <w:noWrap/>
            <w:tcMar>
              <w:top w:w="57" w:type="dxa"/>
              <w:bottom w:w="57" w:type="dxa"/>
            </w:tcMar>
          </w:tcPr>
          <w:p w14:paraId="4954D2E4" w14:textId="68E72F25" w:rsidR="00B5090A" w:rsidRDefault="00F3103F" w:rsidP="000A131A">
            <w:r>
              <w:t>The term is understood as defined by the G</w:t>
            </w:r>
            <w:r w:rsidR="00D07C09">
              <w:t xml:space="preserve">eneral </w:t>
            </w:r>
            <w:r>
              <w:t>B</w:t>
            </w:r>
            <w:r w:rsidR="00D07C09">
              <w:t xml:space="preserve">lock </w:t>
            </w:r>
            <w:r>
              <w:t>E</w:t>
            </w:r>
            <w:r w:rsidR="00D07C09">
              <w:t xml:space="preserve">xemption </w:t>
            </w:r>
            <w:r>
              <w:t>R</w:t>
            </w:r>
            <w:r w:rsidR="00D07C09">
              <w:t>egulation</w:t>
            </w:r>
            <w:r w:rsidR="00F6350D">
              <w:t xml:space="preserve"> (</w:t>
            </w:r>
            <w:proofErr w:type="spellStart"/>
            <w:r w:rsidR="00F6350D">
              <w:t>GBER</w:t>
            </w:r>
            <w:proofErr w:type="spellEnd"/>
            <w:r w:rsidR="00F6350D">
              <w:t>)</w:t>
            </w:r>
            <w:r w:rsidR="009E3CD6">
              <w:t xml:space="preserve">, </w:t>
            </w:r>
            <w:r w:rsidR="00EB66C2">
              <w:t>mean</w:t>
            </w:r>
            <w:r w:rsidR="009E3CD6">
              <w:t>ing</w:t>
            </w:r>
            <w:r w:rsidR="00EB66C2">
              <w:t xml:space="preserve"> </w:t>
            </w:r>
            <w:r w:rsidR="009E3CD6">
              <w:t>“</w:t>
            </w:r>
            <w:r w:rsidR="00EB66C2">
              <w:t>the transport of passengers by aircraft, maritime transport, road or rail and by inland waterway or freight transport services for hire or reward; more specifically, the ‘transport sector’ means the following activities in terms of NACE Rev. 2:</w:t>
            </w:r>
          </w:p>
          <w:p w14:paraId="7C6BCBB7" w14:textId="2CEC88AC" w:rsidR="00F3103F" w:rsidRDefault="00F3103F" w:rsidP="000A131A">
            <w:pPr>
              <w:rPr>
                <w:rFonts w:ascii="Calibri" w:hAnsi="Calibri" w:cs="Calibri"/>
                <w:lang w:eastAsia="nb-NO"/>
              </w:rPr>
            </w:pPr>
            <w:r>
              <w:t>(a) NACE 49: Land transport and transport via pipelines, excluding NACE 49.32 Taxi operation, 49.42 Removal services, 49.5 Transport via pipeline; (b) NACE 50: Water transport; (c) NACE 51: Air transport, excluding NACE 51.22 Space transport.</w:t>
            </w:r>
          </w:p>
        </w:tc>
      </w:tr>
    </w:tbl>
    <w:p w14:paraId="57971322" w14:textId="73C477B8" w:rsidR="41F19CA1" w:rsidRDefault="41F19CA1"/>
    <w:p w14:paraId="02E23A3B" w14:textId="0120F645" w:rsidR="005128C5" w:rsidRPr="004E1E74" w:rsidRDefault="005128C5" w:rsidP="007B7202"/>
    <w:p w14:paraId="689462C5" w14:textId="1F9E1821" w:rsidR="003E20FB" w:rsidRPr="004E1E74" w:rsidRDefault="003E20FB" w:rsidP="007B7202"/>
    <w:sectPr w:rsidR="003E20FB" w:rsidRPr="004E1E74" w:rsidSect="00CD32A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63724" w14:textId="77777777" w:rsidR="000A131A" w:rsidRDefault="000A131A" w:rsidP="00D309C6">
      <w:pPr>
        <w:spacing w:after="0" w:line="240" w:lineRule="auto"/>
      </w:pPr>
      <w:r>
        <w:separator/>
      </w:r>
    </w:p>
  </w:endnote>
  <w:endnote w:type="continuationSeparator" w:id="0">
    <w:p w14:paraId="0F643541" w14:textId="77777777" w:rsidR="000A131A" w:rsidRDefault="000A131A" w:rsidP="00D309C6">
      <w:pPr>
        <w:spacing w:after="0" w:line="240" w:lineRule="auto"/>
      </w:pPr>
      <w:r>
        <w:continuationSeparator/>
      </w:r>
    </w:p>
  </w:endnote>
  <w:endnote w:type="continuationNotice" w:id="1">
    <w:p w14:paraId="60FA42FA" w14:textId="77777777" w:rsidR="000A131A" w:rsidRDefault="000A1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351690"/>
      <w:docPartObj>
        <w:docPartGallery w:val="Page Numbers (Bottom of Page)"/>
        <w:docPartUnique/>
      </w:docPartObj>
    </w:sdtPr>
    <w:sdtEndPr>
      <w:rPr>
        <w:noProof/>
        <w:sz w:val="20"/>
        <w:szCs w:val="20"/>
      </w:rPr>
    </w:sdtEndPr>
    <w:sdtContent>
      <w:p w14:paraId="264C98D4" w14:textId="1BEB3282" w:rsidR="00D309C6" w:rsidRPr="00D309C6" w:rsidRDefault="00D309C6">
        <w:pPr>
          <w:pStyle w:val="Footer"/>
          <w:jc w:val="right"/>
          <w:rPr>
            <w:sz w:val="20"/>
            <w:szCs w:val="20"/>
          </w:rPr>
        </w:pPr>
        <w:r w:rsidRPr="00D309C6">
          <w:rPr>
            <w:sz w:val="20"/>
            <w:szCs w:val="20"/>
          </w:rPr>
          <w:fldChar w:fldCharType="begin"/>
        </w:r>
        <w:r w:rsidRPr="00D309C6">
          <w:rPr>
            <w:sz w:val="20"/>
            <w:szCs w:val="20"/>
          </w:rPr>
          <w:instrText xml:space="preserve"> PAGE   \* MERGEFORMAT </w:instrText>
        </w:r>
        <w:r w:rsidRPr="00D309C6">
          <w:rPr>
            <w:sz w:val="20"/>
            <w:szCs w:val="20"/>
          </w:rPr>
          <w:fldChar w:fldCharType="separate"/>
        </w:r>
        <w:r w:rsidRPr="00D309C6">
          <w:rPr>
            <w:noProof/>
            <w:sz w:val="20"/>
            <w:szCs w:val="20"/>
          </w:rPr>
          <w:t>2</w:t>
        </w:r>
        <w:r w:rsidRPr="00D309C6">
          <w:rPr>
            <w:noProof/>
            <w:sz w:val="20"/>
            <w:szCs w:val="20"/>
          </w:rPr>
          <w:fldChar w:fldCharType="end"/>
        </w:r>
      </w:p>
    </w:sdtContent>
  </w:sdt>
  <w:p w14:paraId="2B742DC2" w14:textId="77777777" w:rsidR="00D309C6" w:rsidRDefault="00D30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2262F" w14:textId="77777777" w:rsidR="000A131A" w:rsidRDefault="000A131A" w:rsidP="00D309C6">
      <w:pPr>
        <w:spacing w:after="0" w:line="240" w:lineRule="auto"/>
      </w:pPr>
      <w:r>
        <w:separator/>
      </w:r>
    </w:p>
  </w:footnote>
  <w:footnote w:type="continuationSeparator" w:id="0">
    <w:p w14:paraId="110B5EEF" w14:textId="77777777" w:rsidR="000A131A" w:rsidRDefault="000A131A" w:rsidP="00D309C6">
      <w:pPr>
        <w:spacing w:after="0" w:line="240" w:lineRule="auto"/>
      </w:pPr>
      <w:r>
        <w:continuationSeparator/>
      </w:r>
    </w:p>
  </w:footnote>
  <w:footnote w:type="continuationNotice" w:id="1">
    <w:p w14:paraId="19694937" w14:textId="77777777" w:rsidR="000A131A" w:rsidRDefault="000A1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B3E39" w14:textId="1B80F748" w:rsidR="000D16BC" w:rsidRPr="000D16BC" w:rsidRDefault="000D16BC" w:rsidP="000D16BC">
    <w:pPr>
      <w:rPr>
        <w:rFonts w:ascii="Calibri" w:eastAsia="Times New Roman" w:hAnsi="Calibri" w:cs="Calibri"/>
        <w:lang w:eastAsia="en-GB"/>
      </w:rPr>
    </w:pPr>
    <w:r w:rsidRPr="000D16BC">
      <w:rPr>
        <w:rFonts w:ascii="Calibri" w:eastAsia="Times New Roman" w:hAnsi="Calibri" w:cs="Calibri"/>
        <w:noProof/>
        <w:lang w:eastAsia="en-GB"/>
      </w:rPr>
      <w:drawing>
        <wp:anchor distT="0" distB="0" distL="114300" distR="114300" simplePos="0" relativeHeight="251658240" behindDoc="0" locked="0" layoutInCell="1" allowOverlap="1" wp14:anchorId="5163B608" wp14:editId="2FAFC97A">
          <wp:simplePos x="0" y="0"/>
          <wp:positionH relativeFrom="margin">
            <wp:align>right</wp:align>
          </wp:positionH>
          <wp:positionV relativeFrom="paragraph">
            <wp:posOffset>-219075</wp:posOffset>
          </wp:positionV>
          <wp:extent cx="1430655" cy="1016000"/>
          <wp:effectExtent l="0" t="0" r="0" b="0"/>
          <wp:wrapThrough wrapText="bothSides">
            <wp:wrapPolygon edited="0">
              <wp:start x="0" y="0"/>
              <wp:lineTo x="0" y="21060"/>
              <wp:lineTo x="21284" y="21060"/>
              <wp:lineTo x="21284" y="0"/>
              <wp:lineTo x="0" y="0"/>
            </wp:wrapPolygon>
          </wp:wrapThrough>
          <wp:docPr id="3" name="Picture 3" descr="Machine generated alternative text:&#10;Innovation &#10;Norw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Innovation &#10;Norway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655"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052B">
      <w:rPr>
        <w:noProof/>
      </w:rPr>
      <w:drawing>
        <wp:inline distT="0" distB="0" distL="0" distR="0" wp14:anchorId="62DB042A" wp14:editId="3D5956C9">
          <wp:extent cx="1137037" cy="466988"/>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799" cy="484961"/>
                  </a:xfrm>
                  <a:prstGeom prst="rect">
                    <a:avLst/>
                  </a:prstGeom>
                  <a:noFill/>
                  <a:ln>
                    <a:noFill/>
                  </a:ln>
                </pic:spPr>
              </pic:pic>
            </a:graphicData>
          </a:graphic>
        </wp:inline>
      </w:drawing>
    </w:r>
    <w:r w:rsidR="4BAA822F" w:rsidRPr="007B3CB2">
      <w:t xml:space="preserve"> </w:t>
    </w:r>
  </w:p>
  <w:p w14:paraId="596FA8FD" w14:textId="18B94B11" w:rsidR="00DC052B" w:rsidRDefault="00DC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36EFA"/>
    <w:multiLevelType w:val="hybridMultilevel"/>
    <w:tmpl w:val="9D5EB81C"/>
    <w:lvl w:ilvl="0" w:tplc="A2AAF658">
      <w:start w:val="1"/>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3B614F2"/>
    <w:multiLevelType w:val="hybridMultilevel"/>
    <w:tmpl w:val="92287C56"/>
    <w:lvl w:ilvl="0" w:tplc="83829BD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095CD6"/>
    <w:multiLevelType w:val="hybridMultilevel"/>
    <w:tmpl w:val="7324B03A"/>
    <w:lvl w:ilvl="0" w:tplc="8862A3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A9"/>
    <w:rsid w:val="00003858"/>
    <w:rsid w:val="00011374"/>
    <w:rsid w:val="000339FF"/>
    <w:rsid w:val="00036E4B"/>
    <w:rsid w:val="00043C0F"/>
    <w:rsid w:val="00046FD6"/>
    <w:rsid w:val="00054D70"/>
    <w:rsid w:val="0005768D"/>
    <w:rsid w:val="00080CFC"/>
    <w:rsid w:val="000A131A"/>
    <w:rsid w:val="000A2022"/>
    <w:rsid w:val="000A4232"/>
    <w:rsid w:val="000A4986"/>
    <w:rsid w:val="000B3B57"/>
    <w:rsid w:val="000C280A"/>
    <w:rsid w:val="000C71E1"/>
    <w:rsid w:val="000D16BC"/>
    <w:rsid w:val="000D5CA3"/>
    <w:rsid w:val="000D6D35"/>
    <w:rsid w:val="000D79D3"/>
    <w:rsid w:val="000F3E8C"/>
    <w:rsid w:val="000F75C8"/>
    <w:rsid w:val="001024C7"/>
    <w:rsid w:val="00107893"/>
    <w:rsid w:val="001078B4"/>
    <w:rsid w:val="001172CC"/>
    <w:rsid w:val="00121A74"/>
    <w:rsid w:val="0013022C"/>
    <w:rsid w:val="001405D5"/>
    <w:rsid w:val="00142805"/>
    <w:rsid w:val="0016289F"/>
    <w:rsid w:val="001707E8"/>
    <w:rsid w:val="00177EB9"/>
    <w:rsid w:val="001807A3"/>
    <w:rsid w:val="001812D7"/>
    <w:rsid w:val="00181BC6"/>
    <w:rsid w:val="00186DEA"/>
    <w:rsid w:val="00187D31"/>
    <w:rsid w:val="00194F9C"/>
    <w:rsid w:val="001A3207"/>
    <w:rsid w:val="001A4B3F"/>
    <w:rsid w:val="001A5739"/>
    <w:rsid w:val="001B3B16"/>
    <w:rsid w:val="001C5AB6"/>
    <w:rsid w:val="001D09BB"/>
    <w:rsid w:val="001D17B5"/>
    <w:rsid w:val="001D39AA"/>
    <w:rsid w:val="001D5072"/>
    <w:rsid w:val="001D5BF1"/>
    <w:rsid w:val="001F4787"/>
    <w:rsid w:val="00206CAA"/>
    <w:rsid w:val="002119FE"/>
    <w:rsid w:val="0023283E"/>
    <w:rsid w:val="0023698A"/>
    <w:rsid w:val="00251553"/>
    <w:rsid w:val="002518B8"/>
    <w:rsid w:val="00251FA9"/>
    <w:rsid w:val="002738D2"/>
    <w:rsid w:val="002903DE"/>
    <w:rsid w:val="002907AB"/>
    <w:rsid w:val="0029387F"/>
    <w:rsid w:val="002A6C4C"/>
    <w:rsid w:val="002B2788"/>
    <w:rsid w:val="002B638E"/>
    <w:rsid w:val="002D048D"/>
    <w:rsid w:val="002D2A86"/>
    <w:rsid w:val="002D3ED9"/>
    <w:rsid w:val="002D3FE9"/>
    <w:rsid w:val="002D47CC"/>
    <w:rsid w:val="002D73EC"/>
    <w:rsid w:val="002E4069"/>
    <w:rsid w:val="002E7A14"/>
    <w:rsid w:val="002F335A"/>
    <w:rsid w:val="003107E9"/>
    <w:rsid w:val="003215EC"/>
    <w:rsid w:val="003237E0"/>
    <w:rsid w:val="00325B9E"/>
    <w:rsid w:val="0033278C"/>
    <w:rsid w:val="003370D9"/>
    <w:rsid w:val="00341FBB"/>
    <w:rsid w:val="00351DAD"/>
    <w:rsid w:val="00354E25"/>
    <w:rsid w:val="00360680"/>
    <w:rsid w:val="00361434"/>
    <w:rsid w:val="0036267D"/>
    <w:rsid w:val="00390AFC"/>
    <w:rsid w:val="00390B71"/>
    <w:rsid w:val="00394B6A"/>
    <w:rsid w:val="00394E94"/>
    <w:rsid w:val="003A291A"/>
    <w:rsid w:val="003A6900"/>
    <w:rsid w:val="003D525B"/>
    <w:rsid w:val="003E20FB"/>
    <w:rsid w:val="003E5F79"/>
    <w:rsid w:val="003F5587"/>
    <w:rsid w:val="00402795"/>
    <w:rsid w:val="0041086A"/>
    <w:rsid w:val="004455CF"/>
    <w:rsid w:val="00471EC8"/>
    <w:rsid w:val="004746B8"/>
    <w:rsid w:val="004762CE"/>
    <w:rsid w:val="00481952"/>
    <w:rsid w:val="0049685C"/>
    <w:rsid w:val="004B2A18"/>
    <w:rsid w:val="004C1455"/>
    <w:rsid w:val="004C1A60"/>
    <w:rsid w:val="004C5563"/>
    <w:rsid w:val="004C6851"/>
    <w:rsid w:val="004E0758"/>
    <w:rsid w:val="004E1E74"/>
    <w:rsid w:val="0050056D"/>
    <w:rsid w:val="0050085E"/>
    <w:rsid w:val="0051184D"/>
    <w:rsid w:val="005128C5"/>
    <w:rsid w:val="0051330E"/>
    <w:rsid w:val="00520F9F"/>
    <w:rsid w:val="00522104"/>
    <w:rsid w:val="00522CCB"/>
    <w:rsid w:val="00544053"/>
    <w:rsid w:val="00551C1F"/>
    <w:rsid w:val="00554D2A"/>
    <w:rsid w:val="00561D66"/>
    <w:rsid w:val="00573501"/>
    <w:rsid w:val="00582FB5"/>
    <w:rsid w:val="005846DE"/>
    <w:rsid w:val="00587B43"/>
    <w:rsid w:val="00590BB0"/>
    <w:rsid w:val="00592631"/>
    <w:rsid w:val="005A2850"/>
    <w:rsid w:val="005C0036"/>
    <w:rsid w:val="005C4AEC"/>
    <w:rsid w:val="005C5316"/>
    <w:rsid w:val="005C7CAA"/>
    <w:rsid w:val="005F24DE"/>
    <w:rsid w:val="005F6347"/>
    <w:rsid w:val="005F7474"/>
    <w:rsid w:val="00600680"/>
    <w:rsid w:val="00602802"/>
    <w:rsid w:val="00606EC0"/>
    <w:rsid w:val="00634A78"/>
    <w:rsid w:val="006626B3"/>
    <w:rsid w:val="0066669F"/>
    <w:rsid w:val="00666F09"/>
    <w:rsid w:val="00673D70"/>
    <w:rsid w:val="00676D45"/>
    <w:rsid w:val="006800AB"/>
    <w:rsid w:val="0068043A"/>
    <w:rsid w:val="00690877"/>
    <w:rsid w:val="006B3C23"/>
    <w:rsid w:val="006B3F3C"/>
    <w:rsid w:val="006B4CE2"/>
    <w:rsid w:val="006C39CF"/>
    <w:rsid w:val="006C742E"/>
    <w:rsid w:val="006D74FF"/>
    <w:rsid w:val="006E03E6"/>
    <w:rsid w:val="006E49F3"/>
    <w:rsid w:val="006F05B1"/>
    <w:rsid w:val="006F6985"/>
    <w:rsid w:val="00705439"/>
    <w:rsid w:val="0071387A"/>
    <w:rsid w:val="00717D1F"/>
    <w:rsid w:val="007202B6"/>
    <w:rsid w:val="00721523"/>
    <w:rsid w:val="007225E2"/>
    <w:rsid w:val="00742B8D"/>
    <w:rsid w:val="00746789"/>
    <w:rsid w:val="00747AD3"/>
    <w:rsid w:val="007525D5"/>
    <w:rsid w:val="00760063"/>
    <w:rsid w:val="00767F6D"/>
    <w:rsid w:val="00770D2F"/>
    <w:rsid w:val="00777AD6"/>
    <w:rsid w:val="00780E5F"/>
    <w:rsid w:val="0078137C"/>
    <w:rsid w:val="00787339"/>
    <w:rsid w:val="00794AC7"/>
    <w:rsid w:val="007A3FC4"/>
    <w:rsid w:val="007B3CB2"/>
    <w:rsid w:val="007B4A40"/>
    <w:rsid w:val="007B60E6"/>
    <w:rsid w:val="007B7202"/>
    <w:rsid w:val="007B7ED6"/>
    <w:rsid w:val="007C1444"/>
    <w:rsid w:val="007D40C6"/>
    <w:rsid w:val="007D597A"/>
    <w:rsid w:val="007D704A"/>
    <w:rsid w:val="007E0E6E"/>
    <w:rsid w:val="007E0FC1"/>
    <w:rsid w:val="007E2185"/>
    <w:rsid w:val="007E38D4"/>
    <w:rsid w:val="007F2295"/>
    <w:rsid w:val="007F4D5C"/>
    <w:rsid w:val="00802B5B"/>
    <w:rsid w:val="00802CC9"/>
    <w:rsid w:val="008143DD"/>
    <w:rsid w:val="008150A1"/>
    <w:rsid w:val="008339FD"/>
    <w:rsid w:val="00834537"/>
    <w:rsid w:val="00841EFE"/>
    <w:rsid w:val="00847371"/>
    <w:rsid w:val="00856972"/>
    <w:rsid w:val="008A4C0D"/>
    <w:rsid w:val="008A5D19"/>
    <w:rsid w:val="008B5BF1"/>
    <w:rsid w:val="008B6AA4"/>
    <w:rsid w:val="008B7CA6"/>
    <w:rsid w:val="008C7D5A"/>
    <w:rsid w:val="008D2744"/>
    <w:rsid w:val="008D4B65"/>
    <w:rsid w:val="008F1603"/>
    <w:rsid w:val="00925CEA"/>
    <w:rsid w:val="009547E2"/>
    <w:rsid w:val="00955884"/>
    <w:rsid w:val="00961024"/>
    <w:rsid w:val="00971576"/>
    <w:rsid w:val="009716E5"/>
    <w:rsid w:val="00974F9C"/>
    <w:rsid w:val="00984599"/>
    <w:rsid w:val="00986A4A"/>
    <w:rsid w:val="009A2349"/>
    <w:rsid w:val="009A591A"/>
    <w:rsid w:val="009C21E9"/>
    <w:rsid w:val="009C3551"/>
    <w:rsid w:val="009C4C5D"/>
    <w:rsid w:val="009E2CD4"/>
    <w:rsid w:val="009E3CD6"/>
    <w:rsid w:val="009F52C8"/>
    <w:rsid w:val="00A22D6A"/>
    <w:rsid w:val="00A34139"/>
    <w:rsid w:val="00A43DAB"/>
    <w:rsid w:val="00A454A9"/>
    <w:rsid w:val="00A536B6"/>
    <w:rsid w:val="00A6254F"/>
    <w:rsid w:val="00A64AC3"/>
    <w:rsid w:val="00A653C1"/>
    <w:rsid w:val="00A7593B"/>
    <w:rsid w:val="00A77F5D"/>
    <w:rsid w:val="00A82D30"/>
    <w:rsid w:val="00A848FB"/>
    <w:rsid w:val="00AA1083"/>
    <w:rsid w:val="00AA13CD"/>
    <w:rsid w:val="00AA20F3"/>
    <w:rsid w:val="00AA231E"/>
    <w:rsid w:val="00AB6C91"/>
    <w:rsid w:val="00AB7206"/>
    <w:rsid w:val="00AD434E"/>
    <w:rsid w:val="00AD4FEB"/>
    <w:rsid w:val="00B10AE3"/>
    <w:rsid w:val="00B20B82"/>
    <w:rsid w:val="00B26E9F"/>
    <w:rsid w:val="00B5090A"/>
    <w:rsid w:val="00B51907"/>
    <w:rsid w:val="00B53143"/>
    <w:rsid w:val="00B61923"/>
    <w:rsid w:val="00B63985"/>
    <w:rsid w:val="00B6643F"/>
    <w:rsid w:val="00B83866"/>
    <w:rsid w:val="00B84294"/>
    <w:rsid w:val="00BA34C0"/>
    <w:rsid w:val="00BB1923"/>
    <w:rsid w:val="00BB6E60"/>
    <w:rsid w:val="00BC3F46"/>
    <w:rsid w:val="00BC4FA0"/>
    <w:rsid w:val="00BD2743"/>
    <w:rsid w:val="00BD3DC2"/>
    <w:rsid w:val="00BD5490"/>
    <w:rsid w:val="00BE010E"/>
    <w:rsid w:val="00BE13CD"/>
    <w:rsid w:val="00BF2A87"/>
    <w:rsid w:val="00BF767A"/>
    <w:rsid w:val="00C00EA2"/>
    <w:rsid w:val="00C013B0"/>
    <w:rsid w:val="00C06BF1"/>
    <w:rsid w:val="00C21317"/>
    <w:rsid w:val="00C35E6C"/>
    <w:rsid w:val="00C37C5E"/>
    <w:rsid w:val="00C405FD"/>
    <w:rsid w:val="00C4628D"/>
    <w:rsid w:val="00C54211"/>
    <w:rsid w:val="00C63C45"/>
    <w:rsid w:val="00C70257"/>
    <w:rsid w:val="00C70666"/>
    <w:rsid w:val="00C72115"/>
    <w:rsid w:val="00C94308"/>
    <w:rsid w:val="00C94D01"/>
    <w:rsid w:val="00C955EA"/>
    <w:rsid w:val="00CB2889"/>
    <w:rsid w:val="00CB37D5"/>
    <w:rsid w:val="00CC7AE9"/>
    <w:rsid w:val="00CD0589"/>
    <w:rsid w:val="00CD07C5"/>
    <w:rsid w:val="00CD32A7"/>
    <w:rsid w:val="00CD3CC0"/>
    <w:rsid w:val="00CD420D"/>
    <w:rsid w:val="00CE6625"/>
    <w:rsid w:val="00CF1A6C"/>
    <w:rsid w:val="00D02A92"/>
    <w:rsid w:val="00D0436F"/>
    <w:rsid w:val="00D07C09"/>
    <w:rsid w:val="00D266B3"/>
    <w:rsid w:val="00D309C6"/>
    <w:rsid w:val="00D439C4"/>
    <w:rsid w:val="00D46289"/>
    <w:rsid w:val="00D547B2"/>
    <w:rsid w:val="00D55DF6"/>
    <w:rsid w:val="00D575CE"/>
    <w:rsid w:val="00D63BB7"/>
    <w:rsid w:val="00D71FBB"/>
    <w:rsid w:val="00D80745"/>
    <w:rsid w:val="00D942CB"/>
    <w:rsid w:val="00D96BCA"/>
    <w:rsid w:val="00DA01A8"/>
    <w:rsid w:val="00DA48D2"/>
    <w:rsid w:val="00DC052B"/>
    <w:rsid w:val="00DC376A"/>
    <w:rsid w:val="00DC3830"/>
    <w:rsid w:val="00DD1C61"/>
    <w:rsid w:val="00DD3EAA"/>
    <w:rsid w:val="00DD6ADD"/>
    <w:rsid w:val="00DD7610"/>
    <w:rsid w:val="00DE0D7A"/>
    <w:rsid w:val="00DF39F3"/>
    <w:rsid w:val="00DF7CFF"/>
    <w:rsid w:val="00E04024"/>
    <w:rsid w:val="00E05CDD"/>
    <w:rsid w:val="00E1007B"/>
    <w:rsid w:val="00E16297"/>
    <w:rsid w:val="00E16ED0"/>
    <w:rsid w:val="00E208E6"/>
    <w:rsid w:val="00E21777"/>
    <w:rsid w:val="00E2393C"/>
    <w:rsid w:val="00E30819"/>
    <w:rsid w:val="00E34896"/>
    <w:rsid w:val="00E34C84"/>
    <w:rsid w:val="00E3681C"/>
    <w:rsid w:val="00E3738C"/>
    <w:rsid w:val="00E4069D"/>
    <w:rsid w:val="00E464E9"/>
    <w:rsid w:val="00E47C5D"/>
    <w:rsid w:val="00E5396D"/>
    <w:rsid w:val="00E709DA"/>
    <w:rsid w:val="00E70EA3"/>
    <w:rsid w:val="00E92065"/>
    <w:rsid w:val="00E921D0"/>
    <w:rsid w:val="00EB4097"/>
    <w:rsid w:val="00EB66C2"/>
    <w:rsid w:val="00ED0F16"/>
    <w:rsid w:val="00ED506A"/>
    <w:rsid w:val="00F000C9"/>
    <w:rsid w:val="00F00840"/>
    <w:rsid w:val="00F1433E"/>
    <w:rsid w:val="00F3103F"/>
    <w:rsid w:val="00F3165D"/>
    <w:rsid w:val="00F36D0B"/>
    <w:rsid w:val="00F41D6E"/>
    <w:rsid w:val="00F47C7E"/>
    <w:rsid w:val="00F50577"/>
    <w:rsid w:val="00F553F1"/>
    <w:rsid w:val="00F6019F"/>
    <w:rsid w:val="00F6350D"/>
    <w:rsid w:val="00F81DCE"/>
    <w:rsid w:val="00F87D0B"/>
    <w:rsid w:val="00F9166C"/>
    <w:rsid w:val="00FA6D9F"/>
    <w:rsid w:val="00FA70B5"/>
    <w:rsid w:val="00FB22EB"/>
    <w:rsid w:val="00FC37BF"/>
    <w:rsid w:val="00FD001C"/>
    <w:rsid w:val="00FD08EA"/>
    <w:rsid w:val="00FD5AAC"/>
    <w:rsid w:val="00FD75BF"/>
    <w:rsid w:val="00FF1DBE"/>
    <w:rsid w:val="010CAA0D"/>
    <w:rsid w:val="01E4CFA1"/>
    <w:rsid w:val="03C0F54E"/>
    <w:rsid w:val="0643DC63"/>
    <w:rsid w:val="06F29630"/>
    <w:rsid w:val="0BD6CA12"/>
    <w:rsid w:val="0C9DFC69"/>
    <w:rsid w:val="0CAE6F93"/>
    <w:rsid w:val="0DAF03A1"/>
    <w:rsid w:val="142FCEFE"/>
    <w:rsid w:val="14903844"/>
    <w:rsid w:val="1BFFD2CC"/>
    <w:rsid w:val="1C036CC2"/>
    <w:rsid w:val="1DD615D0"/>
    <w:rsid w:val="1F623CC7"/>
    <w:rsid w:val="23006EFB"/>
    <w:rsid w:val="241FF20E"/>
    <w:rsid w:val="2424F5DA"/>
    <w:rsid w:val="242B71CE"/>
    <w:rsid w:val="2536F3B1"/>
    <w:rsid w:val="27DD3499"/>
    <w:rsid w:val="2D928976"/>
    <w:rsid w:val="2F14901D"/>
    <w:rsid w:val="3270C585"/>
    <w:rsid w:val="368018F3"/>
    <w:rsid w:val="39B4BE86"/>
    <w:rsid w:val="3AAF152A"/>
    <w:rsid w:val="3E241D17"/>
    <w:rsid w:val="4014568E"/>
    <w:rsid w:val="413C143E"/>
    <w:rsid w:val="41F19CA1"/>
    <w:rsid w:val="44AF1CD4"/>
    <w:rsid w:val="459DC42E"/>
    <w:rsid w:val="4B558A34"/>
    <w:rsid w:val="4BAA822F"/>
    <w:rsid w:val="4CFA0F27"/>
    <w:rsid w:val="53F9C4AD"/>
    <w:rsid w:val="54CFE270"/>
    <w:rsid w:val="58350E6A"/>
    <w:rsid w:val="585455F2"/>
    <w:rsid w:val="59233C7E"/>
    <w:rsid w:val="5B7A9C45"/>
    <w:rsid w:val="5C8B6AFA"/>
    <w:rsid w:val="5F617590"/>
    <w:rsid w:val="5FC05FFC"/>
    <w:rsid w:val="66FF656D"/>
    <w:rsid w:val="6939E697"/>
    <w:rsid w:val="69CB986A"/>
    <w:rsid w:val="6BF2568F"/>
    <w:rsid w:val="6FF2185C"/>
    <w:rsid w:val="70942DF9"/>
    <w:rsid w:val="775FD6C3"/>
    <w:rsid w:val="778B1EDC"/>
    <w:rsid w:val="786F4CE3"/>
    <w:rsid w:val="7AA4DCD8"/>
    <w:rsid w:val="7F682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C068"/>
  <w15:chartTrackingRefBased/>
  <w15:docId w15:val="{301EEC49-4646-4EA2-AF6F-DB1F43F8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6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D2A"/>
    <w:rPr>
      <w:color w:val="0563C1" w:themeColor="hyperlink"/>
      <w:u w:val="single"/>
    </w:rPr>
  </w:style>
  <w:style w:type="paragraph" w:styleId="Header">
    <w:name w:val="header"/>
    <w:basedOn w:val="Normal"/>
    <w:link w:val="HeaderChar"/>
    <w:uiPriority w:val="99"/>
    <w:unhideWhenUsed/>
    <w:rsid w:val="00D30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9C6"/>
  </w:style>
  <w:style w:type="paragraph" w:styleId="Footer">
    <w:name w:val="footer"/>
    <w:basedOn w:val="Normal"/>
    <w:link w:val="FooterChar"/>
    <w:uiPriority w:val="99"/>
    <w:unhideWhenUsed/>
    <w:rsid w:val="00D30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9C6"/>
  </w:style>
  <w:style w:type="character" w:styleId="CommentReference">
    <w:name w:val="annotation reference"/>
    <w:basedOn w:val="DefaultParagraphFont"/>
    <w:uiPriority w:val="99"/>
    <w:semiHidden/>
    <w:unhideWhenUsed/>
    <w:rsid w:val="00A64AC3"/>
    <w:rPr>
      <w:sz w:val="16"/>
      <w:szCs w:val="16"/>
    </w:rPr>
  </w:style>
  <w:style w:type="paragraph" w:styleId="CommentText">
    <w:name w:val="annotation text"/>
    <w:basedOn w:val="Normal"/>
    <w:link w:val="CommentTextChar"/>
    <w:uiPriority w:val="99"/>
    <w:semiHidden/>
    <w:unhideWhenUsed/>
    <w:rsid w:val="00A64AC3"/>
    <w:pPr>
      <w:spacing w:line="240" w:lineRule="auto"/>
    </w:pPr>
    <w:rPr>
      <w:sz w:val="20"/>
      <w:szCs w:val="20"/>
    </w:rPr>
  </w:style>
  <w:style w:type="character" w:customStyle="1" w:styleId="CommentTextChar">
    <w:name w:val="Comment Text Char"/>
    <w:basedOn w:val="DefaultParagraphFont"/>
    <w:link w:val="CommentText"/>
    <w:uiPriority w:val="99"/>
    <w:semiHidden/>
    <w:rsid w:val="00A64AC3"/>
    <w:rPr>
      <w:sz w:val="20"/>
      <w:szCs w:val="20"/>
    </w:rPr>
  </w:style>
  <w:style w:type="paragraph" w:styleId="CommentSubject">
    <w:name w:val="annotation subject"/>
    <w:basedOn w:val="CommentText"/>
    <w:next w:val="CommentText"/>
    <w:link w:val="CommentSubjectChar"/>
    <w:uiPriority w:val="99"/>
    <w:semiHidden/>
    <w:unhideWhenUsed/>
    <w:rsid w:val="00A64AC3"/>
    <w:rPr>
      <w:b/>
      <w:bCs/>
    </w:rPr>
  </w:style>
  <w:style w:type="character" w:customStyle="1" w:styleId="CommentSubjectChar">
    <w:name w:val="Comment Subject Char"/>
    <w:basedOn w:val="CommentTextChar"/>
    <w:link w:val="CommentSubject"/>
    <w:uiPriority w:val="99"/>
    <w:semiHidden/>
    <w:rsid w:val="00A64AC3"/>
    <w:rPr>
      <w:b/>
      <w:bCs/>
      <w:sz w:val="20"/>
      <w:szCs w:val="20"/>
    </w:rPr>
  </w:style>
  <w:style w:type="paragraph" w:styleId="BalloonText">
    <w:name w:val="Balloon Text"/>
    <w:basedOn w:val="Normal"/>
    <w:link w:val="BalloonTextChar"/>
    <w:uiPriority w:val="99"/>
    <w:semiHidden/>
    <w:unhideWhenUsed/>
    <w:rsid w:val="00A6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AC3"/>
    <w:rPr>
      <w:rFonts w:ascii="Segoe UI" w:hAnsi="Segoe UI" w:cs="Segoe UI"/>
      <w:sz w:val="18"/>
      <w:szCs w:val="18"/>
    </w:rPr>
  </w:style>
  <w:style w:type="paragraph" w:styleId="Revision">
    <w:name w:val="Revision"/>
    <w:hidden/>
    <w:uiPriority w:val="99"/>
    <w:semiHidden/>
    <w:rsid w:val="002E4069"/>
    <w:pPr>
      <w:spacing w:after="0" w:line="240" w:lineRule="auto"/>
    </w:pPr>
  </w:style>
  <w:style w:type="character" w:styleId="UnresolvedMention">
    <w:name w:val="Unresolved Mention"/>
    <w:basedOn w:val="DefaultParagraphFont"/>
    <w:uiPriority w:val="99"/>
    <w:semiHidden/>
    <w:unhideWhenUsed/>
    <w:rsid w:val="003237E0"/>
    <w:rPr>
      <w:color w:val="605E5C"/>
      <w:shd w:val="clear" w:color="auto" w:fill="E1DFDD"/>
    </w:rPr>
  </w:style>
  <w:style w:type="paragraph" w:styleId="ListParagraph">
    <w:name w:val="List Paragraph"/>
    <w:aliases w:val="1st level - Bullet List Paragraph,Paragrafo elenco,List Paragraph1,List Paragraph11,Lettre d'introduction,Medium Grid 1 - Accent 21,Normal bullet 2,Bullet list,Numbered List,Paragraphe de liste 2,Reference list,Paragraph,Bullet EY"/>
    <w:basedOn w:val="Normal"/>
    <w:link w:val="ListParagraphChar"/>
    <w:uiPriority w:val="1"/>
    <w:qFormat/>
    <w:rsid w:val="003E20FB"/>
    <w:pPr>
      <w:widowControl w:val="0"/>
      <w:autoSpaceDE w:val="0"/>
      <w:autoSpaceDN w:val="0"/>
      <w:spacing w:after="0" w:line="240" w:lineRule="auto"/>
      <w:ind w:left="458" w:hanging="234"/>
    </w:pPr>
    <w:rPr>
      <w:rFonts w:ascii="Calibri" w:eastAsia="Calibri" w:hAnsi="Calibri" w:cs="Calibri"/>
    </w:rPr>
  </w:style>
  <w:style w:type="character" w:customStyle="1" w:styleId="ListParagraphChar">
    <w:name w:val="List Paragraph Char"/>
    <w:aliases w:val="1st level - Bullet List Paragraph Char,Paragrafo elenco Char,List Paragraph1 Char,List Paragraph11 Char,Lettre d'introduction Char,Medium Grid 1 - Accent 21 Char,Normal bullet 2 Char,Bullet list Char,Numbered List Char,Paragraph Char"/>
    <w:basedOn w:val="DefaultParagraphFont"/>
    <w:link w:val="ListParagraph"/>
    <w:uiPriority w:val="1"/>
    <w:qFormat/>
    <w:locked/>
    <w:rsid w:val="003E20FB"/>
    <w:rPr>
      <w:rFonts w:ascii="Calibri" w:eastAsia="Calibri" w:hAnsi="Calibri" w:cs="Calibri"/>
    </w:rPr>
  </w:style>
  <w:style w:type="character" w:customStyle="1" w:styleId="Heading1Char">
    <w:name w:val="Heading 1 Char"/>
    <w:basedOn w:val="DefaultParagraphFont"/>
    <w:link w:val="Heading1"/>
    <w:uiPriority w:val="9"/>
    <w:rsid w:val="003626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6267D"/>
    <w:pPr>
      <w:outlineLvl w:val="9"/>
    </w:pPr>
    <w:rPr>
      <w:lang w:val="en-US"/>
    </w:rPr>
  </w:style>
  <w:style w:type="paragraph" w:styleId="TOC1">
    <w:name w:val="toc 1"/>
    <w:basedOn w:val="Normal"/>
    <w:next w:val="Normal"/>
    <w:autoRedefine/>
    <w:uiPriority w:val="39"/>
    <w:unhideWhenUsed/>
    <w:rsid w:val="00777AD6"/>
    <w:pPr>
      <w:shd w:val="clear" w:color="auto" w:fill="F2F2F2" w:themeFill="background1" w:themeFillShade="F2"/>
      <w:tabs>
        <w:tab w:val="left" w:pos="440"/>
        <w:tab w:val="right" w:leader="dot" w:pos="9016"/>
      </w:tabs>
      <w:spacing w:after="100"/>
    </w:pPr>
  </w:style>
  <w:style w:type="character" w:styleId="FollowedHyperlink">
    <w:name w:val="FollowedHyperlink"/>
    <w:basedOn w:val="DefaultParagraphFont"/>
    <w:uiPriority w:val="99"/>
    <w:semiHidden/>
    <w:unhideWhenUsed/>
    <w:rsid w:val="00E162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35384">
      <w:bodyDiv w:val="1"/>
      <w:marLeft w:val="0"/>
      <w:marRight w:val="0"/>
      <w:marTop w:val="0"/>
      <w:marBottom w:val="0"/>
      <w:divBdr>
        <w:top w:val="none" w:sz="0" w:space="0" w:color="auto"/>
        <w:left w:val="none" w:sz="0" w:space="0" w:color="auto"/>
        <w:bottom w:val="none" w:sz="0" w:space="0" w:color="auto"/>
        <w:right w:val="none" w:sz="0" w:space="0" w:color="auto"/>
      </w:divBdr>
    </w:div>
    <w:div w:id="497309396">
      <w:bodyDiv w:val="1"/>
      <w:marLeft w:val="0"/>
      <w:marRight w:val="0"/>
      <w:marTop w:val="0"/>
      <w:marBottom w:val="0"/>
      <w:divBdr>
        <w:top w:val="none" w:sz="0" w:space="0" w:color="auto"/>
        <w:left w:val="none" w:sz="0" w:space="0" w:color="auto"/>
        <w:bottom w:val="none" w:sz="0" w:space="0" w:color="auto"/>
        <w:right w:val="none" w:sz="0" w:space="0" w:color="auto"/>
      </w:divBdr>
    </w:div>
    <w:div w:id="804087278">
      <w:bodyDiv w:val="1"/>
      <w:marLeft w:val="0"/>
      <w:marRight w:val="0"/>
      <w:marTop w:val="0"/>
      <w:marBottom w:val="0"/>
      <w:divBdr>
        <w:top w:val="none" w:sz="0" w:space="0" w:color="auto"/>
        <w:left w:val="none" w:sz="0" w:space="0" w:color="auto"/>
        <w:bottom w:val="none" w:sz="0" w:space="0" w:color="auto"/>
        <w:right w:val="none" w:sz="0" w:space="0" w:color="auto"/>
      </w:divBdr>
    </w:div>
    <w:div w:id="843009445">
      <w:bodyDiv w:val="1"/>
      <w:marLeft w:val="0"/>
      <w:marRight w:val="0"/>
      <w:marTop w:val="0"/>
      <w:marBottom w:val="0"/>
      <w:divBdr>
        <w:top w:val="none" w:sz="0" w:space="0" w:color="auto"/>
        <w:left w:val="none" w:sz="0" w:space="0" w:color="auto"/>
        <w:bottom w:val="none" w:sz="0" w:space="0" w:color="auto"/>
        <w:right w:val="none" w:sz="0" w:space="0" w:color="auto"/>
      </w:divBdr>
      <w:divsChild>
        <w:div w:id="1960915486">
          <w:marLeft w:val="0"/>
          <w:marRight w:val="0"/>
          <w:marTop w:val="0"/>
          <w:marBottom w:val="0"/>
          <w:divBdr>
            <w:top w:val="none" w:sz="0" w:space="0" w:color="auto"/>
            <w:left w:val="none" w:sz="0" w:space="0" w:color="auto"/>
            <w:bottom w:val="none" w:sz="0" w:space="0" w:color="auto"/>
            <w:right w:val="none" w:sz="0" w:space="0" w:color="auto"/>
          </w:divBdr>
          <w:divsChild>
            <w:div w:id="1135216667">
              <w:marLeft w:val="0"/>
              <w:marRight w:val="0"/>
              <w:marTop w:val="0"/>
              <w:marBottom w:val="0"/>
              <w:divBdr>
                <w:top w:val="none" w:sz="0" w:space="0" w:color="auto"/>
                <w:left w:val="none" w:sz="0" w:space="0" w:color="auto"/>
                <w:bottom w:val="none" w:sz="0" w:space="0" w:color="auto"/>
                <w:right w:val="none" w:sz="0" w:space="0" w:color="auto"/>
              </w:divBdr>
              <w:divsChild>
                <w:div w:id="8000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114230">
      <w:bodyDiv w:val="1"/>
      <w:marLeft w:val="0"/>
      <w:marRight w:val="0"/>
      <w:marTop w:val="0"/>
      <w:marBottom w:val="0"/>
      <w:divBdr>
        <w:top w:val="none" w:sz="0" w:space="0" w:color="auto"/>
        <w:left w:val="none" w:sz="0" w:space="0" w:color="auto"/>
        <w:bottom w:val="none" w:sz="0" w:space="0" w:color="auto"/>
        <w:right w:val="none" w:sz="0" w:space="0" w:color="auto"/>
      </w:divBdr>
    </w:div>
    <w:div w:id="875194911">
      <w:bodyDiv w:val="1"/>
      <w:marLeft w:val="0"/>
      <w:marRight w:val="0"/>
      <w:marTop w:val="0"/>
      <w:marBottom w:val="0"/>
      <w:divBdr>
        <w:top w:val="none" w:sz="0" w:space="0" w:color="auto"/>
        <w:left w:val="none" w:sz="0" w:space="0" w:color="auto"/>
        <w:bottom w:val="none" w:sz="0" w:space="0" w:color="auto"/>
        <w:right w:val="none" w:sz="0" w:space="0" w:color="auto"/>
      </w:divBdr>
    </w:div>
    <w:div w:id="1209687012">
      <w:bodyDiv w:val="1"/>
      <w:marLeft w:val="0"/>
      <w:marRight w:val="0"/>
      <w:marTop w:val="0"/>
      <w:marBottom w:val="0"/>
      <w:divBdr>
        <w:top w:val="none" w:sz="0" w:space="0" w:color="auto"/>
        <w:left w:val="none" w:sz="0" w:space="0" w:color="auto"/>
        <w:bottom w:val="none" w:sz="0" w:space="0" w:color="auto"/>
        <w:right w:val="none" w:sz="0" w:space="0" w:color="auto"/>
      </w:divBdr>
    </w:div>
    <w:div w:id="1228151703">
      <w:bodyDiv w:val="1"/>
      <w:marLeft w:val="0"/>
      <w:marRight w:val="0"/>
      <w:marTop w:val="0"/>
      <w:marBottom w:val="0"/>
      <w:divBdr>
        <w:top w:val="none" w:sz="0" w:space="0" w:color="auto"/>
        <w:left w:val="none" w:sz="0" w:space="0" w:color="auto"/>
        <w:bottom w:val="none" w:sz="0" w:space="0" w:color="auto"/>
        <w:right w:val="none" w:sz="0" w:space="0" w:color="auto"/>
      </w:divBdr>
    </w:div>
    <w:div w:id="1241404007">
      <w:bodyDiv w:val="1"/>
      <w:marLeft w:val="0"/>
      <w:marRight w:val="0"/>
      <w:marTop w:val="0"/>
      <w:marBottom w:val="0"/>
      <w:divBdr>
        <w:top w:val="none" w:sz="0" w:space="0" w:color="auto"/>
        <w:left w:val="none" w:sz="0" w:space="0" w:color="auto"/>
        <w:bottom w:val="none" w:sz="0" w:space="0" w:color="auto"/>
        <w:right w:val="none" w:sz="0" w:space="0" w:color="auto"/>
      </w:divBdr>
    </w:div>
    <w:div w:id="1810173281">
      <w:bodyDiv w:val="1"/>
      <w:marLeft w:val="0"/>
      <w:marRight w:val="0"/>
      <w:marTop w:val="0"/>
      <w:marBottom w:val="0"/>
      <w:divBdr>
        <w:top w:val="none" w:sz="0" w:space="0" w:color="auto"/>
        <w:left w:val="none" w:sz="0" w:space="0" w:color="auto"/>
        <w:bottom w:val="none" w:sz="0" w:space="0" w:color="auto"/>
        <w:right w:val="none" w:sz="0" w:space="0" w:color="auto"/>
      </w:divBdr>
    </w:div>
    <w:div w:id="1867710718">
      <w:bodyDiv w:val="1"/>
      <w:marLeft w:val="0"/>
      <w:marRight w:val="0"/>
      <w:marTop w:val="0"/>
      <w:marBottom w:val="0"/>
      <w:divBdr>
        <w:top w:val="none" w:sz="0" w:space="0" w:color="auto"/>
        <w:left w:val="none" w:sz="0" w:space="0" w:color="auto"/>
        <w:bottom w:val="none" w:sz="0" w:space="0" w:color="auto"/>
        <w:right w:val="none" w:sz="0" w:space="0" w:color="auto"/>
      </w:divBdr>
    </w:div>
    <w:div w:id="20104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lex.europa.eu/legal-content/EN/TXT/PDF/?uri=CELEX:32014R0651&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xUriServ/LexUriServ.do?uri=CELEX:32003H0361:EN: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maritimeaffairs/sites/maritimeaffairs/files/swd-2017-128_en.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5430B3FFFA94E83F7932E1DE93B77" ma:contentTypeVersion="21" ma:contentTypeDescription="Create a new document." ma:contentTypeScope="" ma:versionID="4dd6f830c42508b0b19dc3785acdfd94">
  <xsd:schema xmlns:xsd="http://www.w3.org/2001/XMLSchema" xmlns:xs="http://www.w3.org/2001/XMLSchema" xmlns:p="http://schemas.microsoft.com/office/2006/metadata/properties" xmlns:ns1="http://schemas.microsoft.com/sharepoint/v3" xmlns:ns2="6ee981c3-3e74-458b-9583-f389e4bc4216" xmlns:ns3="9afd52f1-5c19-4352-a00b-d9c21e944711" xmlns:ns4="62e8883c-5188-4302-a00a-120ef88c78b8" targetNamespace="http://schemas.microsoft.com/office/2006/metadata/properties" ma:root="true" ma:fieldsID="d45cf4320f632eb53f63236b41a4d656" ns1:_="" ns2:_="" ns3:_="" ns4:_="">
    <xsd:import namespace="http://schemas.microsoft.com/sharepoint/v3"/>
    <xsd:import namespace="6ee981c3-3e74-458b-9583-f389e4bc4216"/>
    <xsd:import namespace="9afd52f1-5c19-4352-a00b-d9c21e944711"/>
    <xsd:import namespace="62e8883c-5188-4302-a00a-120ef88c78b8"/>
    <xsd:element name="properties">
      <xsd:complexType>
        <xsd:sequence>
          <xsd:element name="documentManagement">
            <xsd:complexType>
              <xsd:all>
                <xsd:element ref="ns2:IN_DivisionName" minOccurs="0"/>
                <xsd:element ref="ns2:IN_DivisionNumber" minOccurs="0"/>
                <xsd:element ref="ns2:IN_ArchiveCaseNumber" minOccurs="0"/>
                <xsd:element ref="ns2:IN_ArchiveAccessCode" minOccurs="0"/>
                <xsd:element ref="ns2:SharedWithUsers" minOccurs="0"/>
                <xsd:element ref="ns2:SharedWithDetails" minOccurs="0"/>
                <xsd:element ref="ns3:MediaServiceMetadata" minOccurs="0"/>
                <xsd:element ref="ns3:MediaServiceFastMetadata" minOccurs="0"/>
                <xsd:element ref="ns3:MediaServiceDateTaken" minOccurs="0"/>
                <xsd:element ref="ns4:IN_Archiving_DocType" minOccurs="0"/>
                <xsd:element ref="ns3:MediaServiceAutoTags" minOccurs="0"/>
                <xsd:element ref="ns3:MediaServiceLocation" minOccurs="0"/>
                <xsd:element ref="ns3:MediaServiceOCR" minOccurs="0"/>
                <xsd:element ref="ns4:IN_Archiving_ArchiveId"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981c3-3e74-458b-9583-f389e4bc4216" elementFormDefault="qualified">
    <xsd:import namespace="http://schemas.microsoft.com/office/2006/documentManagement/types"/>
    <xsd:import namespace="http://schemas.microsoft.com/office/infopath/2007/PartnerControls"/>
    <xsd:element name="IN_DivisionName" ma:index="8" nillable="true" ma:displayName="Division name" ma:default="Brand Norway" ma:internalName="IN_DivisionName">
      <xsd:simpleType>
        <xsd:restriction base="dms:Text">
          <xsd:maxLength value="255"/>
        </xsd:restriction>
      </xsd:simpleType>
    </xsd:element>
    <xsd:element name="IN_DivisionNumber" ma:index="9" nillable="true" ma:displayName="Division number" ma:internalName="IN_DivisionNumber">
      <xsd:simpleType>
        <xsd:restriction base="dms:Text">
          <xsd:maxLength value="255"/>
        </xsd:restriction>
      </xsd:simpleType>
    </xsd:element>
    <xsd:element name="IN_ArchiveCaseNumber" ma:index="10" nillable="true" ma:displayName="Archive case number" ma:internalName="IN_ArchiveCaseNumber">
      <xsd:simpleType>
        <xsd:restriction base="dms:Text">
          <xsd:maxLength value="255"/>
        </xsd:restriction>
      </xsd:simpleType>
    </xsd:element>
    <xsd:element name="IN_ArchiveAccessCode" ma:index="11" nillable="true" ma:displayName="Archive access code" ma:default="UI" ma:internalName="IN_ArchiveAccessCode">
      <xsd:simpleType>
        <xsd:restriction base="dms:Text">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fd52f1-5c19-4352-a00b-d9c21e94471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e8883c-5188-4302-a00a-120ef88c78b8" elementFormDefault="qualified">
    <xsd:import namespace="http://schemas.microsoft.com/office/2006/documentManagement/types"/>
    <xsd:import namespace="http://schemas.microsoft.com/office/infopath/2007/PartnerControls"/>
    <xsd:element name="IN_Archiving_DocType" ma:index="17" nillable="true" ma:displayName="Document Type" ma:default="Fundamental Document" ma:format="Dropdown" ma:internalName="IN_Archiving_DocType">
      <xsd:simpleType>
        <xsd:restriction base="dms:Choice">
          <xsd:enumeration value="Report"/>
          <xsd:enumeration value="Article"/>
          <xsd:enumeration value="Presentation"/>
          <xsd:enumeration value="Speech"/>
          <xsd:enumeration value="Fundamental Document"/>
          <xsd:enumeration value="Minutes of Meeting"/>
          <xsd:enumeration value="Other"/>
        </xsd:restriction>
      </xsd:simpleType>
    </xsd:element>
    <xsd:element name="IN_Archiving_ArchiveId" ma:index="21" nillable="true" ma:displayName="Archive Number" ma:description="Case number from ePhorte" ma:internalName="Archiv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_ArchiveCaseNumber xmlns="6ee981c3-3e74-458b-9583-f389e4bc4216" xsi:nil="true"/>
    <IN_ArchiveAccessCode xmlns="6ee981c3-3e74-458b-9583-f389e4bc4216">UI</IN_ArchiveAccessCode>
    <IN_Archiving_ArchiveId xmlns="62e8883c-5188-4302-a00a-120ef88c78b8" xsi:nil="true"/>
    <IN_Archiving_DocType xmlns="62e8883c-5188-4302-a00a-120ef88c78b8">Fundamental Document</IN_Archiving_DocType>
    <IN_DivisionName xmlns="6ee981c3-3e74-458b-9583-f389e4bc4216">Brand Norway</IN_DivisionName>
    <IN_DivisionNumber xmlns="6ee981c3-3e74-458b-9583-f389e4bc4216" xsi:nil="true"/>
    <SharedWithUsers xmlns="6ee981c3-3e74-458b-9583-f389e4bc4216">
      <UserInfo>
        <DisplayName>Magnar Ødelien</DisplayName>
        <AccountId>82</AccountId>
        <AccountType/>
      </UserInfo>
      <UserInfo>
        <DisplayName>Mihai Stefanescu</DisplayName>
        <AccountId>71</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9EDF6C-D059-4AB1-8732-01CC326E1A52}"/>
</file>

<file path=customXml/itemProps2.xml><?xml version="1.0" encoding="utf-8"?>
<ds:datastoreItem xmlns:ds="http://schemas.openxmlformats.org/officeDocument/2006/customXml" ds:itemID="{791409C9-32DE-4C3E-9F89-63803EA8371D}">
  <ds:schemaRefs>
    <ds:schemaRef ds:uri="http://schemas.openxmlformats.org/officeDocument/2006/bibliography"/>
  </ds:schemaRefs>
</ds:datastoreItem>
</file>

<file path=customXml/itemProps3.xml><?xml version="1.0" encoding="utf-8"?>
<ds:datastoreItem xmlns:ds="http://schemas.openxmlformats.org/officeDocument/2006/customXml" ds:itemID="{9B441BC4-DF01-40B2-A0B6-764A21DC2698}">
  <ds:schemaRefs>
    <ds:schemaRef ds:uri="http://schemas.microsoft.com/sharepoint/v3/contenttype/forms"/>
  </ds:schemaRefs>
</ds:datastoreItem>
</file>

<file path=customXml/itemProps4.xml><?xml version="1.0" encoding="utf-8"?>
<ds:datastoreItem xmlns:ds="http://schemas.openxmlformats.org/officeDocument/2006/customXml" ds:itemID="{182A9473-6267-4704-9522-7AB75B93B23A}">
  <ds:schemaRefs>
    <ds:schemaRef ds:uri="http://schemas.microsoft.com/office/2006/metadata/properties"/>
    <ds:schemaRef ds:uri="http://schemas.microsoft.com/office/infopath/2007/PartnerControls"/>
    <ds:schemaRef ds:uri="6ee981c3-3e74-458b-9583-f389e4bc4216"/>
    <ds:schemaRef ds:uri="62e8883c-5188-4302-a00a-120ef88c78b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2274</Words>
  <Characters>12965</Characters>
  <Application>Microsoft Office Word</Application>
  <DocSecurity>0</DocSecurity>
  <Lines>108</Lines>
  <Paragraphs>30</Paragraphs>
  <ScaleCrop>false</ScaleCrop>
  <Company/>
  <LinksUpToDate>false</LinksUpToDate>
  <CharactersWithSpaces>15209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Frauke Muth</dc:creator>
  <cp:keywords/>
  <dc:description/>
  <cp:lastModifiedBy>Mihai Stefanescu</cp:lastModifiedBy>
  <cp:revision>79</cp:revision>
  <dcterms:created xsi:type="dcterms:W3CDTF">2019-08-15T22:55:00Z</dcterms:created>
  <dcterms:modified xsi:type="dcterms:W3CDTF">2020-12-14T09:40:00Z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0x010100A985430B3FFFA94E83F7932E1DE93B77</vt:lpwstr>
  </property>
</Properties>
</file>