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E4C1" w14:textId="67643D79" w:rsidR="00E2324E" w:rsidRDefault="00FA5F9A" w:rsidP="00E2324E">
      <w:pPr>
        <w:pStyle w:val="Overskrift1"/>
        <w:jc w:val="left"/>
        <w:rPr>
          <w:b w:val="0"/>
          <w:bCs/>
          <w:sz w:val="40"/>
          <w:szCs w:val="40"/>
        </w:rPr>
      </w:pPr>
      <w:r>
        <w:rPr>
          <w:b w:val="0"/>
          <w:bCs/>
        </w:rPr>
        <w:t xml:space="preserve">3.2 </w:t>
      </w:r>
      <w:r w:rsidR="00427F27">
        <w:rPr>
          <w:b w:val="0"/>
          <w:bCs/>
        </w:rPr>
        <w:t>Offentlig saksbehandling</w:t>
      </w:r>
      <w:r w:rsidR="00926AF4">
        <w:rPr>
          <w:b w:val="0"/>
          <w:bCs/>
        </w:rPr>
        <w:t xml:space="preserve"> </w:t>
      </w:r>
      <w:r w:rsidR="000B007D">
        <w:rPr>
          <w:b w:val="0"/>
          <w:bCs/>
        </w:rPr>
        <w:br/>
      </w:r>
      <w:r w:rsidR="001B6BF0" w:rsidRPr="00F1487B">
        <w:rPr>
          <w:b w:val="0"/>
          <w:bCs/>
          <w:sz w:val="40"/>
          <w:szCs w:val="40"/>
        </w:rPr>
        <w:t xml:space="preserve">Generelle retningslinjer </w:t>
      </w:r>
    </w:p>
    <w:p w14:paraId="758167FD" w14:textId="254EF2CA" w:rsidR="791D221E" w:rsidRPr="00E2324E" w:rsidRDefault="00245CDA" w:rsidP="00E2324E">
      <w:pPr>
        <w:pStyle w:val="Overskrift1"/>
        <w:jc w:val="left"/>
        <w:rPr>
          <w:b w:val="0"/>
          <w:bCs/>
        </w:rPr>
      </w:pPr>
      <w:r>
        <w:rPr>
          <w:rFonts w:eastAsia="Times New Roman"/>
          <w:sz w:val="24"/>
          <w:szCs w:val="24"/>
        </w:rPr>
        <w:br/>
      </w:r>
      <w:r w:rsidR="791D221E" w:rsidRPr="00DA2D65">
        <w:rPr>
          <w:rFonts w:eastAsia="Times New Roman"/>
          <w:sz w:val="24"/>
          <w:szCs w:val="24"/>
        </w:rPr>
        <w:t>Offentlighetsloven og forvaltningsloven gjelder for stat og kommune og når omst</w:t>
      </w:r>
      <w:r w:rsidR="00964C47" w:rsidRPr="00DA2D65">
        <w:rPr>
          <w:rFonts w:eastAsia="Times New Roman"/>
          <w:sz w:val="24"/>
          <w:szCs w:val="24"/>
        </w:rPr>
        <w:t>illingsarbeidet organiseres som</w:t>
      </w:r>
      <w:r w:rsidR="791D221E" w:rsidRPr="00DA2D65">
        <w:rPr>
          <w:rFonts w:eastAsia="Times New Roman"/>
          <w:sz w:val="24"/>
          <w:szCs w:val="24"/>
        </w:rPr>
        <w:t>:</w:t>
      </w:r>
    </w:p>
    <w:p w14:paraId="449B48B0" w14:textId="2F00CDC2" w:rsidR="791D221E" w:rsidRPr="00DA2D65" w:rsidRDefault="00926AF4" w:rsidP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Program i kommunen</w:t>
      </w:r>
      <w:r w:rsidR="00050229">
        <w:rPr>
          <w:rFonts w:eastAsia="Times New Roman" w:cs="Times New Roman"/>
          <w:sz w:val="24"/>
          <w:szCs w:val="24"/>
        </w:rPr>
        <w:t xml:space="preserve"> (utvalg) </w:t>
      </w:r>
    </w:p>
    <w:p w14:paraId="74A79EC0" w14:textId="765FFF66" w:rsidR="791D221E" w:rsidRPr="00DA2D65" w:rsidRDefault="791D221E" w:rsidP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DA2D65">
        <w:rPr>
          <w:rFonts w:eastAsia="Times New Roman" w:cs="Times New Roman"/>
          <w:sz w:val="24"/>
          <w:szCs w:val="24"/>
        </w:rPr>
        <w:t>Interkommunalt samarbeidsorganer</w:t>
      </w:r>
    </w:p>
    <w:p w14:paraId="58FAAE76" w14:textId="1224CA5B" w:rsidR="791D221E" w:rsidRPr="00DA2D65" w:rsidRDefault="791D221E" w:rsidP="001A0D0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DA2D65">
        <w:rPr>
          <w:rFonts w:eastAsia="Times New Roman" w:cs="Times New Roman"/>
          <w:sz w:val="24"/>
          <w:szCs w:val="24"/>
        </w:rPr>
        <w:t>Aksjeselskap</w:t>
      </w:r>
    </w:p>
    <w:p w14:paraId="4A16D924" w14:textId="4787F7FA" w:rsidR="791D221E" w:rsidRPr="00DA2D65" w:rsidRDefault="791D221E">
      <w:pPr>
        <w:rPr>
          <w:sz w:val="24"/>
          <w:szCs w:val="24"/>
        </w:rPr>
      </w:pPr>
      <w:r w:rsidRPr="00DA2D65">
        <w:rPr>
          <w:rFonts w:eastAsia="Times New Roman" w:cs="Times New Roman"/>
          <w:sz w:val="24"/>
          <w:szCs w:val="24"/>
        </w:rPr>
        <w:t>For aksjeselskap gjelder forvaltningsloven og offentlighetsloven for deler av virksomheten som dreier seg om saksbehandling av tildeling av omstillingsmidler. Aksjeselskaper som driver kommersiell virksomhet</w:t>
      </w:r>
      <w:r w:rsidR="003A3D5C" w:rsidRPr="00DA2D65">
        <w:rPr>
          <w:rFonts w:eastAsia="Times New Roman" w:cs="Times New Roman"/>
          <w:sz w:val="24"/>
          <w:szCs w:val="24"/>
        </w:rPr>
        <w:t>,</w:t>
      </w:r>
      <w:r w:rsidRPr="00DA2D65">
        <w:rPr>
          <w:rFonts w:eastAsia="Times New Roman" w:cs="Times New Roman"/>
          <w:sz w:val="24"/>
          <w:szCs w:val="24"/>
        </w:rPr>
        <w:t xml:space="preserve"> vil falle utenfor forvaltningsloven. Offentlighetsloven kommer til anvendelse dersom kommunen eier mer enn halvparten av selskapet.</w:t>
      </w:r>
      <w:r w:rsidR="006724FA" w:rsidRPr="00DA2D65">
        <w:rPr>
          <w:rFonts w:eastAsia="Times New Roman" w:cs="Times New Roman"/>
          <w:sz w:val="24"/>
          <w:szCs w:val="24"/>
        </w:rPr>
        <w:t xml:space="preserve"> Dersom et aksjeselskap skal ivareta omstillingsarbeidet må det være 100% eid av det offentlige, slik at det kan anses som </w:t>
      </w:r>
      <w:r w:rsidR="000E63AE" w:rsidRPr="00DA2D65">
        <w:rPr>
          <w:rFonts w:eastAsia="Times New Roman" w:cs="Times New Roman"/>
          <w:sz w:val="24"/>
          <w:szCs w:val="24"/>
        </w:rPr>
        <w:t>kommunens forlengede arbeid for næringsutviklingsarbeid.</w:t>
      </w:r>
      <w:r w:rsidR="00A6729B">
        <w:rPr>
          <w:rFonts w:eastAsia="Times New Roman" w:cs="Times New Roman"/>
          <w:sz w:val="24"/>
          <w:szCs w:val="24"/>
        </w:rPr>
        <w:br/>
      </w:r>
    </w:p>
    <w:p w14:paraId="161DF11D" w14:textId="76E6F514" w:rsidR="791D221E" w:rsidRPr="00D01CD9" w:rsidRDefault="791D221E" w:rsidP="00F1487B">
      <w:pPr>
        <w:pStyle w:val="Overskrift2"/>
        <w:rPr>
          <w:sz w:val="24"/>
          <w:szCs w:val="24"/>
        </w:rPr>
      </w:pPr>
      <w:r w:rsidRPr="00D01CD9">
        <w:t>Hvilke dokumenter er offentlig</w:t>
      </w:r>
    </w:p>
    <w:p w14:paraId="5CDE0330" w14:textId="1AE6B3AF" w:rsidR="791D221E" w:rsidRPr="00245CDA" w:rsidRDefault="791D221E" w:rsidP="001A0D0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>Saksdokumenter, journaler, register for organet er åpen</w:t>
      </w:r>
      <w:r w:rsidR="00CB5CFC" w:rsidRPr="00245CDA">
        <w:rPr>
          <w:rFonts w:eastAsia="Times New Roman" w:cs="Times New Roman"/>
          <w:sz w:val="24"/>
          <w:szCs w:val="24"/>
        </w:rPr>
        <w:t>t</w:t>
      </w:r>
      <w:r w:rsidRPr="00245CDA">
        <w:rPr>
          <w:rFonts w:eastAsia="Times New Roman" w:cs="Times New Roman"/>
          <w:sz w:val="24"/>
          <w:szCs w:val="24"/>
        </w:rPr>
        <w:t xml:space="preserve"> for innsyn dersom ikke annet følger av lov eller forskrift med hjemmel i lov</w:t>
      </w:r>
    </w:p>
    <w:p w14:paraId="293E854E" w14:textId="7C56AA54" w:rsidR="00360760" w:rsidRPr="00435338" w:rsidRDefault="791D221E" w:rsidP="00435338">
      <w:pPr>
        <w:pStyle w:val="Overskrift3"/>
        <w:numPr>
          <w:ilvl w:val="1"/>
          <w:numId w:val="4"/>
        </w:numPr>
        <w:rPr>
          <w:sz w:val="26"/>
          <w:szCs w:val="26"/>
        </w:rPr>
      </w:pPr>
      <w:r w:rsidRPr="008F1992">
        <w:rPr>
          <w:sz w:val="26"/>
          <w:szCs w:val="26"/>
        </w:rPr>
        <w:t>Unntak fra offentlighetsloven</w:t>
      </w:r>
    </w:p>
    <w:p w14:paraId="342C625A" w14:textId="63EA4BEC" w:rsidR="791D221E" w:rsidRPr="00245CDA" w:rsidRDefault="791D221E" w:rsidP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 xml:space="preserve">Opplysninger som er underlagt taushetsplikt i lov eller </w:t>
      </w:r>
      <w:r w:rsidR="00CB5CFC" w:rsidRPr="00245CDA">
        <w:rPr>
          <w:rFonts w:eastAsia="Times New Roman" w:cs="Times New Roman"/>
          <w:sz w:val="24"/>
          <w:szCs w:val="24"/>
        </w:rPr>
        <w:t xml:space="preserve">i </w:t>
      </w:r>
      <w:proofErr w:type="gramStart"/>
      <w:r w:rsidRPr="00245CDA">
        <w:rPr>
          <w:rFonts w:eastAsia="Times New Roman" w:cs="Times New Roman"/>
          <w:sz w:val="24"/>
          <w:szCs w:val="24"/>
        </w:rPr>
        <w:t>medhold av</w:t>
      </w:r>
      <w:proofErr w:type="gramEnd"/>
      <w:r w:rsidRPr="00245CDA">
        <w:rPr>
          <w:rFonts w:eastAsia="Times New Roman" w:cs="Times New Roman"/>
          <w:sz w:val="24"/>
          <w:szCs w:val="24"/>
        </w:rPr>
        <w:t xml:space="preserve"> lov</w:t>
      </w:r>
    </w:p>
    <w:p w14:paraId="05C22AA4" w14:textId="3CDE133E" w:rsidR="791D221E" w:rsidRPr="00245CDA" w:rsidRDefault="791D221E" w:rsidP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>Dokumenter som er utarbeidet som en del av den interne saksforberedelsen</w:t>
      </w:r>
    </w:p>
    <w:p w14:paraId="13D6BAFB" w14:textId="3E7C3EF4" w:rsidR="791D221E" w:rsidRPr="00245CDA" w:rsidRDefault="791D221E" w:rsidP="001A0D0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 xml:space="preserve">Anbudsdokumenter fram til valg av leverandør </w:t>
      </w:r>
    </w:p>
    <w:p w14:paraId="15C5E8DF" w14:textId="7750A0BD" w:rsidR="00360760" w:rsidRPr="008F1992" w:rsidRDefault="791D221E" w:rsidP="008F1992">
      <w:pPr>
        <w:pStyle w:val="Overskrift2"/>
      </w:pPr>
      <w:r w:rsidRPr="00D01CD9">
        <w:t>Klage på vedtak</w:t>
      </w:r>
    </w:p>
    <w:p w14:paraId="2165AC17" w14:textId="1A5049FD" w:rsidR="791D221E" w:rsidRPr="00245CDA" w:rsidRDefault="791D221E" w:rsidP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>Hvis noen ber om innsyn i et dokument og ikke har mottatt svar innen fem virkedager regnes det som avslag</w:t>
      </w:r>
    </w:p>
    <w:p w14:paraId="7142C08E" w14:textId="1F87F986" w:rsidR="791D221E" w:rsidRPr="00245CDA" w:rsidRDefault="791D221E" w:rsidP="001A0D0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>Klage på vedtak om innsyn skal behandles av nærmeste overordnede forvaltningsorgan</w:t>
      </w:r>
    </w:p>
    <w:p w14:paraId="6AB24760" w14:textId="38A9BBD5" w:rsidR="006E7F29" w:rsidRPr="00435338" w:rsidRDefault="791D221E" w:rsidP="00435338">
      <w:pPr>
        <w:pStyle w:val="Overskrift3"/>
        <w:numPr>
          <w:ilvl w:val="1"/>
          <w:numId w:val="4"/>
        </w:numPr>
        <w:rPr>
          <w:sz w:val="26"/>
          <w:szCs w:val="26"/>
        </w:rPr>
      </w:pPr>
      <w:r w:rsidRPr="008F1992">
        <w:rPr>
          <w:sz w:val="26"/>
          <w:szCs w:val="26"/>
        </w:rPr>
        <w:t>Forvaltningsloven, habilitet</w:t>
      </w:r>
    </w:p>
    <w:p w14:paraId="5ED39B01" w14:textId="345E3AC7" w:rsidR="00625C25" w:rsidRPr="008F1992" w:rsidRDefault="00B620A3" w:rsidP="00D01CD9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="Times New Roman" w:cs="Times New Roman"/>
          <w:sz w:val="24"/>
          <w:szCs w:val="24"/>
        </w:rPr>
        <w:t>Programleder</w:t>
      </w:r>
      <w:r w:rsidR="791D221E" w:rsidRPr="00E8174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</w:t>
      </w:r>
      <w:r w:rsidRPr="00E81747">
        <w:rPr>
          <w:rFonts w:eastAsia="Times New Roman" w:cs="Times New Roman"/>
          <w:sz w:val="24"/>
          <w:szCs w:val="24"/>
        </w:rPr>
        <w:t xml:space="preserve"> </w:t>
      </w:r>
      <w:r w:rsidR="791D221E" w:rsidRPr="00E81747">
        <w:rPr>
          <w:rFonts w:eastAsia="Times New Roman" w:cs="Times New Roman"/>
          <w:sz w:val="24"/>
          <w:szCs w:val="24"/>
        </w:rPr>
        <w:t>omstillingsarbeidet avgjør selv om vedkommende er inhabil i saksforberedelsen av en søknad</w:t>
      </w:r>
    </w:p>
    <w:p w14:paraId="2EC0241B" w14:textId="5DF906A8" w:rsidR="791D221E" w:rsidRPr="00E81747" w:rsidRDefault="791D221E" w:rsidP="001A0D0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t xml:space="preserve">Omstillingsstyret avgjør selv om et styremedlem er </w:t>
      </w:r>
      <w:r w:rsidR="00203E99" w:rsidRPr="00E81747">
        <w:rPr>
          <w:rFonts w:eastAsia="Times New Roman" w:cs="Times New Roman"/>
          <w:sz w:val="24"/>
          <w:szCs w:val="24"/>
        </w:rPr>
        <w:t>inhabilt</w:t>
      </w:r>
      <w:r w:rsidRPr="00E81747">
        <w:rPr>
          <w:rFonts w:eastAsia="Times New Roman" w:cs="Times New Roman"/>
          <w:sz w:val="24"/>
          <w:szCs w:val="24"/>
        </w:rPr>
        <w:t xml:space="preserve"> i behandlingen av en sak</w:t>
      </w:r>
      <w:r w:rsidR="00203E99" w:rsidRPr="00E81747">
        <w:rPr>
          <w:rFonts w:eastAsia="Times New Roman" w:cs="Times New Roman"/>
          <w:sz w:val="24"/>
          <w:szCs w:val="24"/>
        </w:rPr>
        <w:t>.</w:t>
      </w:r>
      <w:r w:rsidR="00E11E9C" w:rsidRPr="00E81747">
        <w:rPr>
          <w:rFonts w:eastAsia="Times New Roman" w:cs="Times New Roman"/>
          <w:sz w:val="24"/>
          <w:szCs w:val="24"/>
        </w:rPr>
        <w:t xml:space="preserve"> </w:t>
      </w:r>
      <w:r w:rsidRPr="00E81747">
        <w:rPr>
          <w:rFonts w:eastAsia="Times New Roman" w:cs="Times New Roman"/>
          <w:sz w:val="24"/>
          <w:szCs w:val="24"/>
        </w:rPr>
        <w:t>Er et styremedlem inhabil, fratrer vedkommende under behandlingen av saken og det protokolleres at vedkommende fratrådte under behandlingen av denne saken</w:t>
      </w:r>
    </w:p>
    <w:p w14:paraId="55B08C17" w14:textId="4C698B58" w:rsidR="791D221E" w:rsidRDefault="791D221E" w:rsidP="008F1992">
      <w:pPr>
        <w:pStyle w:val="Overskrift4"/>
        <w:numPr>
          <w:ilvl w:val="1"/>
          <w:numId w:val="4"/>
        </w:numPr>
      </w:pPr>
      <w:r w:rsidRPr="005D2C77">
        <w:t>Saksbehandlingstid</w:t>
      </w:r>
    </w:p>
    <w:p w14:paraId="4CB7542C" w14:textId="6EF54058" w:rsidR="791D221E" w:rsidRPr="00E81747" w:rsidRDefault="791D221E" w:rsidP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lastRenderedPageBreak/>
        <w:t>Saker skal forberedes og avgjøres uten ugrunnet opphold</w:t>
      </w:r>
    </w:p>
    <w:p w14:paraId="5E7D0D05" w14:textId="35813240" w:rsidR="00277A01" w:rsidRPr="00E81747" w:rsidRDefault="791D221E" w:rsidP="005515D4">
      <w:pPr>
        <w:pStyle w:val="Listeavsnitt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t>I enkeltvedtak skal det gis foreløpig svar dersom henvendelsen ikke kan besvares i løpet av en måned</w:t>
      </w:r>
    </w:p>
    <w:p w14:paraId="6832B771" w14:textId="77777777" w:rsidR="000F504B" w:rsidRPr="008F1992" w:rsidRDefault="791D221E" w:rsidP="008F1992">
      <w:pPr>
        <w:pStyle w:val="Overskrift2"/>
        <w:rPr>
          <w:rFonts w:eastAsiaTheme="minorHAnsi"/>
          <w:sz w:val="24"/>
          <w:szCs w:val="24"/>
        </w:rPr>
      </w:pPr>
      <w:r w:rsidRPr="008F1992">
        <w:t>Taushetsplik</w:t>
      </w:r>
      <w:r w:rsidR="005515D4" w:rsidRPr="008F1992">
        <w:t>t</w:t>
      </w:r>
    </w:p>
    <w:p w14:paraId="5716208C" w14:textId="055919F8" w:rsidR="791D221E" w:rsidRPr="00D50327" w:rsidRDefault="791D221E" w:rsidP="00D01CD9">
      <w:pPr>
        <w:rPr>
          <w:rFonts w:eastAsia="Times New Roman" w:cs="Times New Roman"/>
          <w:sz w:val="24"/>
          <w:szCs w:val="24"/>
        </w:rPr>
      </w:pPr>
      <w:r w:rsidRPr="00D50327">
        <w:rPr>
          <w:rFonts w:eastAsia="Times New Roman" w:cs="Times New Roman"/>
          <w:sz w:val="24"/>
          <w:szCs w:val="24"/>
        </w:rPr>
        <w:t>Ansatte i omstillingsorganisasjonen og medlemmer av omstillingsstyret har taushetsplikt om opplysninger i søknader som gjelder</w:t>
      </w:r>
      <w:r w:rsidR="00772454" w:rsidRPr="00D50327">
        <w:rPr>
          <w:rFonts w:eastAsia="Times New Roman" w:cs="Times New Roman"/>
          <w:sz w:val="24"/>
          <w:szCs w:val="24"/>
        </w:rPr>
        <w:t>:</w:t>
      </w:r>
    </w:p>
    <w:p w14:paraId="6C7B8C0D" w14:textId="4646048D" w:rsidR="791D221E" w:rsidRPr="00E81747" w:rsidRDefault="00772454" w:rsidP="005515D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t>P</w:t>
      </w:r>
      <w:r w:rsidR="791D221E" w:rsidRPr="00E81747">
        <w:rPr>
          <w:rFonts w:eastAsia="Times New Roman" w:cs="Times New Roman"/>
          <w:sz w:val="24"/>
          <w:szCs w:val="24"/>
        </w:rPr>
        <w:t>ersonlige forhold</w:t>
      </w:r>
    </w:p>
    <w:p w14:paraId="0A0B35DA" w14:textId="38718536" w:rsidR="001A0D0E" w:rsidRPr="000F504B" w:rsidRDefault="00772454" w:rsidP="005515D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t>F</w:t>
      </w:r>
      <w:r w:rsidR="791D221E" w:rsidRPr="00E81747">
        <w:rPr>
          <w:rFonts w:eastAsia="Times New Roman" w:cs="Times New Roman"/>
          <w:sz w:val="24"/>
          <w:szCs w:val="24"/>
        </w:rPr>
        <w:t>orretningsmessige hemmeligheter</w:t>
      </w:r>
    </w:p>
    <w:p w14:paraId="061C84F0" w14:textId="5DC71144" w:rsidR="791D221E" w:rsidRPr="00D50327" w:rsidRDefault="791D221E" w:rsidP="00767AFF">
      <w:pPr>
        <w:pStyle w:val="Overskrift2"/>
      </w:pPr>
      <w:r w:rsidRPr="00D01CD9">
        <w:t>Klage på enkeltvedtak</w:t>
      </w:r>
    </w:p>
    <w:p w14:paraId="05705245" w14:textId="7D2530D8" w:rsidR="791D221E" w:rsidRPr="00E81747" w:rsidRDefault="791D221E" w:rsidP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t>Enkeltvedtak skal begrunnes</w:t>
      </w:r>
    </w:p>
    <w:p w14:paraId="6820C70C" w14:textId="12D252B5" w:rsidR="791D221E" w:rsidRPr="00E81747" w:rsidRDefault="791D221E" w:rsidP="001A0D0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t>Enkeltvedtak kan påklages av en part eller annen med rettslig klageinteresse i saken til det forvaltningsorgan som er nærmest overordnet det organ som har fattet vedtaket</w:t>
      </w:r>
      <w:r w:rsidR="001A0D0E" w:rsidRPr="00E81747">
        <w:rPr>
          <w:rFonts w:eastAsia="Times New Roman" w:cs="Times New Roman"/>
          <w:sz w:val="24"/>
          <w:szCs w:val="24"/>
        </w:rPr>
        <w:t xml:space="preserve"> </w:t>
      </w:r>
      <w:r w:rsidRPr="00E81747">
        <w:rPr>
          <w:rFonts w:eastAsia="Times New Roman" w:cs="Times New Roman"/>
          <w:sz w:val="24"/>
          <w:szCs w:val="24"/>
        </w:rPr>
        <w:t>(formannskapet evt. kommunestyret)</w:t>
      </w:r>
    </w:p>
    <w:p w14:paraId="088B1E9D" w14:textId="3E47DD1C" w:rsidR="00133781" w:rsidRPr="00133781" w:rsidRDefault="791D221E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81747">
        <w:rPr>
          <w:rFonts w:eastAsia="Times New Roman" w:cs="Times New Roman"/>
          <w:sz w:val="24"/>
          <w:szCs w:val="24"/>
        </w:rPr>
        <w:t xml:space="preserve">Klagefrist </w:t>
      </w:r>
      <w:r w:rsidR="00A3574D" w:rsidRPr="00E81747">
        <w:rPr>
          <w:rFonts w:eastAsia="Times New Roman" w:cs="Times New Roman"/>
          <w:sz w:val="24"/>
          <w:szCs w:val="24"/>
        </w:rPr>
        <w:t>tre</w:t>
      </w:r>
      <w:r w:rsidRPr="00E81747">
        <w:rPr>
          <w:rFonts w:eastAsia="Times New Roman" w:cs="Times New Roman"/>
          <w:sz w:val="24"/>
          <w:szCs w:val="24"/>
        </w:rPr>
        <w:t xml:space="preserve"> uker fra det tidspunkt </w:t>
      </w:r>
      <w:r w:rsidR="00A05009" w:rsidRPr="00E81747">
        <w:rPr>
          <w:rFonts w:eastAsia="Times New Roman" w:cs="Times New Roman"/>
          <w:sz w:val="24"/>
          <w:szCs w:val="24"/>
        </w:rPr>
        <w:t>in</w:t>
      </w:r>
      <w:r w:rsidR="00A05009">
        <w:rPr>
          <w:rFonts w:eastAsia="Times New Roman" w:cs="Times New Roman"/>
          <w:sz w:val="24"/>
          <w:szCs w:val="24"/>
        </w:rPr>
        <w:t>n</w:t>
      </w:r>
      <w:r w:rsidR="00A05009" w:rsidRPr="00E81747">
        <w:rPr>
          <w:rFonts w:eastAsia="Times New Roman" w:cs="Times New Roman"/>
          <w:sz w:val="24"/>
          <w:szCs w:val="24"/>
        </w:rPr>
        <w:t>beretning</w:t>
      </w:r>
      <w:r w:rsidRPr="00E81747">
        <w:rPr>
          <w:rFonts w:eastAsia="Times New Roman" w:cs="Times New Roman"/>
          <w:sz w:val="24"/>
          <w:szCs w:val="24"/>
        </w:rPr>
        <w:t xml:space="preserve"> av vedtaket er kommet fram til vedkommende part</w:t>
      </w:r>
    </w:p>
    <w:p w14:paraId="0735C54A" w14:textId="1B5B77B8" w:rsidR="791D221E" w:rsidRPr="00767AFF" w:rsidRDefault="791D221E" w:rsidP="00767AFF">
      <w:pPr>
        <w:pStyle w:val="Overskrift2"/>
      </w:pPr>
      <w:r w:rsidRPr="00D01CD9">
        <w:t>Prinsipper om offentlighet</w:t>
      </w:r>
    </w:p>
    <w:p w14:paraId="124F5396" w14:textId="5F2599C7" w:rsidR="791D221E" w:rsidRPr="00133781" w:rsidRDefault="791D221E">
      <w:pPr>
        <w:rPr>
          <w:sz w:val="24"/>
          <w:szCs w:val="24"/>
        </w:rPr>
      </w:pPr>
      <w:r w:rsidRPr="00133781">
        <w:rPr>
          <w:rFonts w:eastAsia="Times New Roman" w:cs="Times New Roman"/>
          <w:sz w:val="24"/>
          <w:szCs w:val="24"/>
        </w:rPr>
        <w:t>Omstillings</w:t>
      </w:r>
      <w:r w:rsidR="00566B3C" w:rsidRPr="00133781">
        <w:rPr>
          <w:rFonts w:eastAsia="Times New Roman" w:cs="Times New Roman"/>
          <w:sz w:val="24"/>
          <w:szCs w:val="24"/>
        </w:rPr>
        <w:t>midler</w:t>
      </w:r>
      <w:r w:rsidRPr="00133781">
        <w:rPr>
          <w:rFonts w:eastAsia="Times New Roman" w:cs="Times New Roman"/>
          <w:sz w:val="24"/>
          <w:szCs w:val="24"/>
        </w:rPr>
        <w:t xml:space="preserve"> kommer inn under bestemmelsene i Kommuneloven, Lov om offentlighet og Lov om behandlingsmåten i forvaltningssaker.</w:t>
      </w:r>
    </w:p>
    <w:p w14:paraId="32AEF07B" w14:textId="3263432F" w:rsidR="791D221E" w:rsidRPr="00133781" w:rsidRDefault="00462D50">
      <w:pPr>
        <w:rPr>
          <w:sz w:val="24"/>
          <w:szCs w:val="24"/>
        </w:rPr>
      </w:pPr>
      <w:r w:rsidRPr="00133781">
        <w:rPr>
          <w:sz w:val="24"/>
          <w:szCs w:val="24"/>
        </w:rPr>
        <w:t xml:space="preserve">[Navn på omstillingsorganisasjonen] </w:t>
      </w:r>
      <w:r w:rsidR="791D221E" w:rsidRPr="00133781">
        <w:rPr>
          <w:rFonts w:eastAsia="Times New Roman" w:cs="Times New Roman"/>
          <w:sz w:val="24"/>
          <w:szCs w:val="24"/>
        </w:rPr>
        <w:t xml:space="preserve">skal tilstrebe maksimal offentlighet for derigjennom å informere og involvere alle aktører. </w:t>
      </w:r>
      <w:r w:rsidR="00186DFA" w:rsidRPr="00133781">
        <w:rPr>
          <w:sz w:val="24"/>
          <w:szCs w:val="24"/>
        </w:rPr>
        <w:t xml:space="preserve">[Navn på omstillingsorganisasjonen] </w:t>
      </w:r>
      <w:r w:rsidR="791D221E" w:rsidRPr="00133781">
        <w:rPr>
          <w:rFonts w:eastAsia="Times New Roman" w:cs="Times New Roman"/>
          <w:sz w:val="24"/>
          <w:szCs w:val="24"/>
        </w:rPr>
        <w:t xml:space="preserve">skal holde offentligheten orientert om arbeidet gjennom </w:t>
      </w:r>
      <w:r w:rsidR="00AD3FC0" w:rsidRPr="00133781">
        <w:rPr>
          <w:rFonts w:eastAsia="Times New Roman" w:cs="Times New Roman"/>
          <w:sz w:val="24"/>
          <w:szCs w:val="24"/>
        </w:rPr>
        <w:t xml:space="preserve">f.eks. </w:t>
      </w:r>
      <w:r w:rsidR="004254C6" w:rsidRPr="00133781">
        <w:rPr>
          <w:rFonts w:eastAsia="Times New Roman" w:cs="Times New Roman"/>
          <w:sz w:val="24"/>
          <w:szCs w:val="24"/>
        </w:rPr>
        <w:t xml:space="preserve">egen </w:t>
      </w:r>
      <w:r w:rsidR="791D221E" w:rsidRPr="00133781">
        <w:rPr>
          <w:rFonts w:eastAsia="Times New Roman" w:cs="Times New Roman"/>
          <w:sz w:val="24"/>
          <w:szCs w:val="24"/>
        </w:rPr>
        <w:t xml:space="preserve">web-side, </w:t>
      </w:r>
      <w:r w:rsidR="00E13D47">
        <w:rPr>
          <w:rFonts w:eastAsia="Times New Roman" w:cs="Times New Roman"/>
          <w:sz w:val="24"/>
          <w:szCs w:val="24"/>
        </w:rPr>
        <w:t>sosiale medier, pressemeldinger</w:t>
      </w:r>
      <w:r w:rsidR="001F1534">
        <w:rPr>
          <w:rFonts w:eastAsia="Times New Roman" w:cs="Times New Roman"/>
          <w:sz w:val="24"/>
          <w:szCs w:val="24"/>
        </w:rPr>
        <w:t xml:space="preserve"> </w:t>
      </w:r>
      <w:r w:rsidR="791D221E" w:rsidRPr="00133781">
        <w:rPr>
          <w:rFonts w:eastAsia="Times New Roman" w:cs="Times New Roman"/>
          <w:sz w:val="24"/>
          <w:szCs w:val="24"/>
        </w:rPr>
        <w:t xml:space="preserve">og distribusjon av årsrapport. </w:t>
      </w:r>
    </w:p>
    <w:p w14:paraId="121FA930" w14:textId="5EB09457" w:rsidR="791D221E" w:rsidRPr="00855433" w:rsidRDefault="791D221E" w:rsidP="00855433">
      <w:pPr>
        <w:pStyle w:val="Overskrift2"/>
      </w:pPr>
      <w:r w:rsidRPr="00D01CD9">
        <w:t>For saksbehandlingen fremheves følgende</w:t>
      </w:r>
    </w:p>
    <w:p w14:paraId="66858E21" w14:textId="18D3BAB9" w:rsidR="791D221E" w:rsidRPr="00245CDA" w:rsidRDefault="791D221E">
      <w:pPr>
        <w:rPr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 xml:space="preserve">Det som i </w:t>
      </w:r>
      <w:proofErr w:type="gramStart"/>
      <w:r w:rsidRPr="00245CDA">
        <w:rPr>
          <w:rFonts w:eastAsia="Times New Roman" w:cs="Times New Roman"/>
          <w:sz w:val="24"/>
          <w:szCs w:val="24"/>
        </w:rPr>
        <w:t>medhold av</w:t>
      </w:r>
      <w:proofErr w:type="gramEnd"/>
      <w:r w:rsidRPr="00245CDA">
        <w:rPr>
          <w:rFonts w:eastAsia="Times New Roman" w:cs="Times New Roman"/>
          <w:sz w:val="24"/>
          <w:szCs w:val="24"/>
        </w:rPr>
        <w:t xml:space="preserve"> lov ikke kan unndras offentlighet er offentlig, ref</w:t>
      </w:r>
      <w:r w:rsidR="00133781">
        <w:rPr>
          <w:rFonts w:eastAsia="Times New Roman" w:cs="Times New Roman"/>
          <w:sz w:val="24"/>
          <w:szCs w:val="24"/>
        </w:rPr>
        <w:t>.</w:t>
      </w:r>
      <w:r w:rsidRPr="00245CDA">
        <w:rPr>
          <w:rFonts w:eastAsia="Times New Roman" w:cs="Times New Roman"/>
          <w:sz w:val="24"/>
          <w:szCs w:val="24"/>
        </w:rPr>
        <w:t xml:space="preserve"> offentlighetsloven § 5a. og Forvaltningslovens § 13, 13 a, b og c.</w:t>
      </w:r>
    </w:p>
    <w:p w14:paraId="38FA04C5" w14:textId="371D298D" w:rsidR="791D221E" w:rsidRDefault="791D221E">
      <w:pPr>
        <w:rPr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>Saker som søker ber unntatt fra offentlighet må vurderes spesielt, og dersom dette ikke kan unndras (ref</w:t>
      </w:r>
      <w:r w:rsidR="0084653B">
        <w:rPr>
          <w:rFonts w:eastAsia="Times New Roman" w:cs="Times New Roman"/>
          <w:sz w:val="24"/>
          <w:szCs w:val="24"/>
        </w:rPr>
        <w:t>.</w:t>
      </w:r>
      <w:r w:rsidRPr="00245CDA">
        <w:rPr>
          <w:rFonts w:eastAsia="Times New Roman" w:cs="Times New Roman"/>
          <w:sz w:val="24"/>
          <w:szCs w:val="24"/>
        </w:rPr>
        <w:t xml:space="preserve"> </w:t>
      </w:r>
      <w:r w:rsidR="0084653B" w:rsidRPr="00245CDA">
        <w:rPr>
          <w:rFonts w:eastAsia="Times New Roman" w:cs="Times New Roman"/>
          <w:sz w:val="24"/>
          <w:szCs w:val="24"/>
        </w:rPr>
        <w:t>P</w:t>
      </w:r>
      <w:r w:rsidRPr="00245CDA">
        <w:rPr>
          <w:rFonts w:eastAsia="Times New Roman" w:cs="Times New Roman"/>
          <w:sz w:val="24"/>
          <w:szCs w:val="24"/>
        </w:rPr>
        <w:t>kt</w:t>
      </w:r>
      <w:r w:rsidR="0084653B">
        <w:rPr>
          <w:rFonts w:eastAsia="Times New Roman" w:cs="Times New Roman"/>
          <w:sz w:val="24"/>
          <w:szCs w:val="24"/>
        </w:rPr>
        <w:t>.</w:t>
      </w:r>
      <w:r w:rsidRPr="00245CDA">
        <w:rPr>
          <w:rFonts w:eastAsia="Times New Roman" w:cs="Times New Roman"/>
          <w:sz w:val="24"/>
          <w:szCs w:val="24"/>
        </w:rPr>
        <w:t xml:space="preserve"> 1 over)</w:t>
      </w:r>
      <w:r w:rsidR="00926099">
        <w:rPr>
          <w:rFonts w:eastAsia="Times New Roman" w:cs="Times New Roman"/>
          <w:sz w:val="24"/>
          <w:szCs w:val="24"/>
        </w:rPr>
        <w:t xml:space="preserve"> </w:t>
      </w:r>
      <w:r w:rsidRPr="00245CDA">
        <w:rPr>
          <w:rFonts w:eastAsia="Times New Roman" w:cs="Times New Roman"/>
          <w:sz w:val="24"/>
          <w:szCs w:val="24"/>
        </w:rPr>
        <w:t>skal søker meddeles dette med mulighet til å trekke saken tilbake.</w:t>
      </w:r>
    </w:p>
    <w:p w14:paraId="71676599" w14:textId="77777777" w:rsidR="00D50327" w:rsidRPr="00245CDA" w:rsidRDefault="00D50327">
      <w:pPr>
        <w:rPr>
          <w:sz w:val="24"/>
          <w:szCs w:val="24"/>
        </w:rPr>
      </w:pPr>
    </w:p>
    <w:p w14:paraId="09231D7B" w14:textId="6C8FD88D" w:rsidR="791D221E" w:rsidRPr="00D50327" w:rsidRDefault="791D221E" w:rsidP="00855433">
      <w:pPr>
        <w:pStyle w:val="Overskrift2"/>
      </w:pPr>
      <w:r w:rsidRPr="00D01CD9">
        <w:t>Forholdet til media</w:t>
      </w:r>
    </w:p>
    <w:p w14:paraId="6164BF31" w14:textId="37F74E0E" w:rsidR="791D221E" w:rsidRPr="00245CDA" w:rsidRDefault="00AC4121" w:rsidP="791D221E">
      <w:pPr>
        <w:rPr>
          <w:sz w:val="24"/>
          <w:szCs w:val="24"/>
        </w:rPr>
      </w:pPr>
      <w:r w:rsidRPr="00245CDA">
        <w:rPr>
          <w:rFonts w:eastAsia="Times New Roman" w:cs="Times New Roman"/>
          <w:sz w:val="24"/>
          <w:szCs w:val="24"/>
        </w:rPr>
        <w:t xml:space="preserve">Det anbefales at </w:t>
      </w:r>
      <w:r w:rsidR="791D221E" w:rsidRPr="00855433">
        <w:rPr>
          <w:rFonts w:eastAsia="Times New Roman" w:cs="Times New Roman"/>
          <w:i/>
          <w:iCs/>
          <w:sz w:val="24"/>
          <w:szCs w:val="24"/>
        </w:rPr>
        <w:t>kun</w:t>
      </w:r>
      <w:r w:rsidR="791D221E" w:rsidRPr="00245CDA">
        <w:rPr>
          <w:rFonts w:eastAsia="Times New Roman" w:cs="Times New Roman"/>
          <w:sz w:val="24"/>
          <w:szCs w:val="24"/>
        </w:rPr>
        <w:t xml:space="preserve"> Styreleder og </w:t>
      </w:r>
      <w:r w:rsidR="0030196F" w:rsidRPr="00245CDA">
        <w:rPr>
          <w:rFonts w:eastAsia="Times New Roman" w:cs="Times New Roman"/>
          <w:sz w:val="24"/>
          <w:szCs w:val="24"/>
        </w:rPr>
        <w:t>Programleder</w:t>
      </w:r>
      <w:r w:rsidR="791D221E" w:rsidRPr="00245CDA">
        <w:rPr>
          <w:rFonts w:eastAsia="Times New Roman" w:cs="Times New Roman"/>
          <w:sz w:val="24"/>
          <w:szCs w:val="24"/>
        </w:rPr>
        <w:t xml:space="preserve"> eller den de </w:t>
      </w:r>
      <w:r w:rsidR="791D221E" w:rsidRPr="00245CDA">
        <w:rPr>
          <w:rFonts w:eastAsia="Times New Roman" w:cs="Times New Roman"/>
          <w:sz w:val="24"/>
          <w:szCs w:val="24"/>
          <w:u w:val="single"/>
        </w:rPr>
        <w:t>i det enkelte tilfelle</w:t>
      </w:r>
      <w:r w:rsidR="791D221E" w:rsidRPr="00245CDA">
        <w:rPr>
          <w:rFonts w:eastAsia="Times New Roman" w:cs="Times New Roman"/>
          <w:sz w:val="24"/>
          <w:szCs w:val="24"/>
        </w:rPr>
        <w:t xml:space="preserve"> bemyndiger, som skal uttale seg til media.</w:t>
      </w:r>
    </w:p>
    <w:sectPr w:rsidR="791D221E" w:rsidRPr="00245CDA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338C" w14:textId="77777777" w:rsidR="00130D05" w:rsidRDefault="00130D05" w:rsidP="00EC45E8">
      <w:pPr>
        <w:spacing w:after="0" w:line="240" w:lineRule="auto"/>
      </w:pPr>
      <w:r>
        <w:separator/>
      </w:r>
    </w:p>
  </w:endnote>
  <w:endnote w:type="continuationSeparator" w:id="0">
    <w:p w14:paraId="2E9A9CD4" w14:textId="77777777" w:rsidR="00130D05" w:rsidRDefault="00130D05" w:rsidP="00EC45E8">
      <w:pPr>
        <w:spacing w:after="0" w:line="240" w:lineRule="auto"/>
      </w:pPr>
      <w:r>
        <w:continuationSeparator/>
      </w:r>
    </w:p>
  </w:endnote>
  <w:endnote w:type="continuationNotice" w:id="1">
    <w:p w14:paraId="35823D9E" w14:textId="77777777" w:rsidR="00130D05" w:rsidRDefault="0013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46185561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036A0F2" w14:textId="78B9DF99" w:rsidR="00547F10" w:rsidRDefault="00547F10" w:rsidP="00CC514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BC22A5C" w14:textId="77777777" w:rsidR="00BA689E" w:rsidRDefault="00BA689E" w:rsidP="00547F1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5355865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F774912" w14:textId="262A2AEF" w:rsidR="00547F10" w:rsidRDefault="00547F10" w:rsidP="00CC514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0E41E99" w14:textId="0A792DDA" w:rsidR="00BA689E" w:rsidRDefault="00F80039" w:rsidP="00F80039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</w:pPr>
    <w:r w:rsidRPr="00E7090B">
      <w:t xml:space="preserve">[Navn </w:t>
    </w:r>
    <w:proofErr w:type="spellStart"/>
    <w:r w:rsidRPr="00E7090B">
      <w:t>omstillingsorg</w:t>
    </w:r>
    <w:proofErr w:type="spellEnd"/>
    <w:r w:rsidRPr="00E7090B">
      <w:t>.]</w:t>
    </w:r>
    <w:r w:rsidRPr="00E7090B">
      <w:ptab w:relativeTo="margin" w:alignment="center" w:leader="none"/>
    </w:r>
    <w:r w:rsidRPr="00E7090B">
      <w:rPr>
        <w:b/>
        <w:bCs/>
      </w:rPr>
      <w:t>O</w:t>
    </w:r>
    <w:r>
      <w:rPr>
        <w:b/>
        <w:bCs/>
      </w:rPr>
      <w:t>ffentlig saksbehandling</w:t>
    </w:r>
    <w:r w:rsidRPr="00E7090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09B7" w14:textId="77777777" w:rsidR="00130D05" w:rsidRDefault="00130D05" w:rsidP="00EC45E8">
      <w:pPr>
        <w:spacing w:after="0" w:line="240" w:lineRule="auto"/>
      </w:pPr>
      <w:r>
        <w:separator/>
      </w:r>
    </w:p>
  </w:footnote>
  <w:footnote w:type="continuationSeparator" w:id="0">
    <w:p w14:paraId="59AB19F1" w14:textId="77777777" w:rsidR="00130D05" w:rsidRDefault="00130D05" w:rsidP="00EC45E8">
      <w:pPr>
        <w:spacing w:after="0" w:line="240" w:lineRule="auto"/>
      </w:pPr>
      <w:r>
        <w:continuationSeparator/>
      </w:r>
    </w:p>
  </w:footnote>
  <w:footnote w:type="continuationNotice" w:id="1">
    <w:p w14:paraId="23914504" w14:textId="77777777" w:rsidR="00130D05" w:rsidRDefault="00130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D5DB" w14:textId="17C7CADC" w:rsidR="00EC45E8" w:rsidRDefault="008C6AE2" w:rsidP="00EC45E8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B6B7991" wp14:editId="7A37E2F4">
          <wp:simplePos x="0" y="0"/>
          <wp:positionH relativeFrom="column">
            <wp:posOffset>-693827</wp:posOffset>
          </wp:positionH>
          <wp:positionV relativeFrom="paragraph">
            <wp:posOffset>-246380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2F34D" w14:textId="77777777" w:rsidR="00EC45E8" w:rsidRDefault="00EC45E8" w:rsidP="00EC45E8">
    <w:pPr>
      <w:pStyle w:val="Topptekst"/>
      <w:tabs>
        <w:tab w:val="clear" w:pos="4536"/>
        <w:tab w:val="clear" w:pos="9072"/>
        <w:tab w:val="left" w:pos="7030"/>
      </w:tabs>
    </w:pPr>
  </w:p>
  <w:p w14:paraId="640C820C" w14:textId="77777777" w:rsidR="00EC45E8" w:rsidRDefault="00EC45E8" w:rsidP="00EC45E8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4EE60596" w14:textId="77777777" w:rsidR="00EC45E8" w:rsidRPr="00383D45" w:rsidRDefault="00EC45E8" w:rsidP="00EC45E8">
    <w:pPr>
      <w:pStyle w:val="Topptekst"/>
    </w:pPr>
  </w:p>
  <w:p w14:paraId="697135AA" w14:textId="77777777" w:rsidR="00EC45E8" w:rsidRDefault="00EC45E8" w:rsidP="00EC45E8">
    <w:pPr>
      <w:pStyle w:val="Topptekst"/>
    </w:pPr>
  </w:p>
  <w:p w14:paraId="1C0035E4" w14:textId="77777777" w:rsidR="00EC45E8" w:rsidRDefault="00EC45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E38"/>
    <w:multiLevelType w:val="multilevel"/>
    <w:tmpl w:val="6F3A9180"/>
    <w:lvl w:ilvl="0">
      <w:start w:val="1"/>
      <w:numFmt w:val="decimal"/>
      <w:pStyle w:val="Overskrift2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031533"/>
    <w:multiLevelType w:val="hybridMultilevel"/>
    <w:tmpl w:val="056A14A4"/>
    <w:lvl w:ilvl="0" w:tplc="645221C0">
      <w:numFmt w:val="bullet"/>
      <w:lvlText w:val="·"/>
      <w:lvlJc w:val="left"/>
      <w:pPr>
        <w:ind w:left="1098" w:hanging="39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45034"/>
    <w:multiLevelType w:val="hybridMultilevel"/>
    <w:tmpl w:val="23BC59A8"/>
    <w:lvl w:ilvl="0" w:tplc="107E1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84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AE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6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2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20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EB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82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397F"/>
    <w:multiLevelType w:val="hybridMultilevel"/>
    <w:tmpl w:val="09FA3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20527">
    <w:abstractNumId w:val="2"/>
  </w:num>
  <w:num w:numId="2" w16cid:durableId="1803646681">
    <w:abstractNumId w:val="3"/>
  </w:num>
  <w:num w:numId="3" w16cid:durableId="1714502086">
    <w:abstractNumId w:val="1"/>
  </w:num>
  <w:num w:numId="4" w16cid:durableId="78087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E8"/>
    <w:rsid w:val="00021BAF"/>
    <w:rsid w:val="00021CB4"/>
    <w:rsid w:val="00027C53"/>
    <w:rsid w:val="00050229"/>
    <w:rsid w:val="00056362"/>
    <w:rsid w:val="000A21D7"/>
    <w:rsid w:val="000B007D"/>
    <w:rsid w:val="000B3C71"/>
    <w:rsid w:val="000E63AE"/>
    <w:rsid w:val="000F504B"/>
    <w:rsid w:val="0011081B"/>
    <w:rsid w:val="00130D05"/>
    <w:rsid w:val="001327E9"/>
    <w:rsid w:val="00133781"/>
    <w:rsid w:val="00186DFA"/>
    <w:rsid w:val="001A0D0E"/>
    <w:rsid w:val="001A4D32"/>
    <w:rsid w:val="001B2E93"/>
    <w:rsid w:val="001B6BF0"/>
    <w:rsid w:val="001E52DC"/>
    <w:rsid w:val="001F1534"/>
    <w:rsid w:val="001F4811"/>
    <w:rsid w:val="00203E99"/>
    <w:rsid w:val="00220E3A"/>
    <w:rsid w:val="00245CDA"/>
    <w:rsid w:val="002473A7"/>
    <w:rsid w:val="00277A01"/>
    <w:rsid w:val="00290402"/>
    <w:rsid w:val="002E7F35"/>
    <w:rsid w:val="0030196F"/>
    <w:rsid w:val="00325E81"/>
    <w:rsid w:val="00360760"/>
    <w:rsid w:val="00373835"/>
    <w:rsid w:val="003A3D5C"/>
    <w:rsid w:val="003B535F"/>
    <w:rsid w:val="003E3D00"/>
    <w:rsid w:val="004254C6"/>
    <w:rsid w:val="00427F27"/>
    <w:rsid w:val="00435338"/>
    <w:rsid w:val="00441E77"/>
    <w:rsid w:val="00462D50"/>
    <w:rsid w:val="00473FE6"/>
    <w:rsid w:val="004D791D"/>
    <w:rsid w:val="004E1052"/>
    <w:rsid w:val="00547F10"/>
    <w:rsid w:val="005515D4"/>
    <w:rsid w:val="00554AF3"/>
    <w:rsid w:val="00555157"/>
    <w:rsid w:val="00566B3C"/>
    <w:rsid w:val="0056776A"/>
    <w:rsid w:val="005D2C77"/>
    <w:rsid w:val="005F5A82"/>
    <w:rsid w:val="00625C25"/>
    <w:rsid w:val="006724FA"/>
    <w:rsid w:val="00694C25"/>
    <w:rsid w:val="006C75E8"/>
    <w:rsid w:val="006E78D8"/>
    <w:rsid w:val="006E7F29"/>
    <w:rsid w:val="007313A7"/>
    <w:rsid w:val="007357C9"/>
    <w:rsid w:val="00767AFF"/>
    <w:rsid w:val="00772454"/>
    <w:rsid w:val="007D2FBA"/>
    <w:rsid w:val="007F70B4"/>
    <w:rsid w:val="008333F5"/>
    <w:rsid w:val="0084653B"/>
    <w:rsid w:val="00855433"/>
    <w:rsid w:val="00876BE8"/>
    <w:rsid w:val="008C6AE2"/>
    <w:rsid w:val="008E52EF"/>
    <w:rsid w:val="008E5963"/>
    <w:rsid w:val="008F1992"/>
    <w:rsid w:val="00926099"/>
    <w:rsid w:val="00926AF4"/>
    <w:rsid w:val="00964C47"/>
    <w:rsid w:val="00970C1F"/>
    <w:rsid w:val="00985DE7"/>
    <w:rsid w:val="009B2F2C"/>
    <w:rsid w:val="009E752F"/>
    <w:rsid w:val="009F475C"/>
    <w:rsid w:val="00A05009"/>
    <w:rsid w:val="00A0775B"/>
    <w:rsid w:val="00A3574D"/>
    <w:rsid w:val="00A450AB"/>
    <w:rsid w:val="00A6729B"/>
    <w:rsid w:val="00AC4121"/>
    <w:rsid w:val="00AD1B24"/>
    <w:rsid w:val="00AD3FC0"/>
    <w:rsid w:val="00AE282D"/>
    <w:rsid w:val="00B01737"/>
    <w:rsid w:val="00B43084"/>
    <w:rsid w:val="00B620A3"/>
    <w:rsid w:val="00B756EA"/>
    <w:rsid w:val="00B91674"/>
    <w:rsid w:val="00B92078"/>
    <w:rsid w:val="00BA689E"/>
    <w:rsid w:val="00BC3368"/>
    <w:rsid w:val="00C00C21"/>
    <w:rsid w:val="00C21AB6"/>
    <w:rsid w:val="00C62D93"/>
    <w:rsid w:val="00CB5CFC"/>
    <w:rsid w:val="00D01CD9"/>
    <w:rsid w:val="00D50327"/>
    <w:rsid w:val="00DA2D65"/>
    <w:rsid w:val="00DA6C15"/>
    <w:rsid w:val="00DC3219"/>
    <w:rsid w:val="00DC665A"/>
    <w:rsid w:val="00E11E9C"/>
    <w:rsid w:val="00E124A3"/>
    <w:rsid w:val="00E13D47"/>
    <w:rsid w:val="00E2324E"/>
    <w:rsid w:val="00E81747"/>
    <w:rsid w:val="00E9617E"/>
    <w:rsid w:val="00EB02FF"/>
    <w:rsid w:val="00EC45E8"/>
    <w:rsid w:val="00EE4770"/>
    <w:rsid w:val="00F03228"/>
    <w:rsid w:val="00F1487B"/>
    <w:rsid w:val="00F43355"/>
    <w:rsid w:val="00F80039"/>
    <w:rsid w:val="00FA5F9A"/>
    <w:rsid w:val="00FF62BD"/>
    <w:rsid w:val="791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AB228"/>
  <w15:chartTrackingRefBased/>
  <w15:docId w15:val="{579BADD3-864B-4C50-96A9-66BF115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7F27"/>
    <w:pPr>
      <w:spacing w:after="0" w:line="276" w:lineRule="auto"/>
      <w:jc w:val="center"/>
      <w:outlineLvl w:val="0"/>
    </w:pPr>
    <w:rPr>
      <w:rFonts w:ascii="Calibri" w:eastAsia="Calibri" w:hAnsi="Calibri" w:cs="Times New Roman"/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1CD9"/>
    <w:pPr>
      <w:numPr>
        <w:numId w:val="4"/>
      </w:numPr>
      <w:outlineLvl w:val="1"/>
    </w:pPr>
    <w:rPr>
      <w:rFonts w:eastAsia="Times New Roman" w:cs="Times New Roman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25C25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5D2C77"/>
    <w:pPr>
      <w:keepNext w:val="0"/>
      <w:keepLines w:val="0"/>
      <w:spacing w:before="0" w:after="120" w:line="276" w:lineRule="auto"/>
      <w:outlineLvl w:val="3"/>
    </w:pPr>
    <w:rPr>
      <w:rFonts w:eastAsiaTheme="minorHAnsi" w:cstheme="minorBidi"/>
      <w:color w:val="auto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01CD9"/>
    <w:rPr>
      <w:rFonts w:eastAsia="Times New Roman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F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5A8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C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45E8"/>
  </w:style>
  <w:style w:type="paragraph" w:styleId="Bunntekst">
    <w:name w:val="footer"/>
    <w:basedOn w:val="Normal"/>
    <w:link w:val="BunntekstTegn"/>
    <w:uiPriority w:val="99"/>
    <w:unhideWhenUsed/>
    <w:rsid w:val="00EC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5E8"/>
  </w:style>
  <w:style w:type="character" w:styleId="Sidetall">
    <w:name w:val="page number"/>
    <w:basedOn w:val="Standardskriftforavsnitt"/>
    <w:uiPriority w:val="99"/>
    <w:semiHidden/>
    <w:unhideWhenUsed/>
    <w:rsid w:val="00547F10"/>
  </w:style>
  <w:style w:type="character" w:customStyle="1" w:styleId="Overskrift1Tegn">
    <w:name w:val="Overskrift 1 Tegn"/>
    <w:basedOn w:val="Standardskriftforavsnitt"/>
    <w:link w:val="Overskrift1"/>
    <w:uiPriority w:val="9"/>
    <w:rsid w:val="00427F27"/>
    <w:rPr>
      <w:rFonts w:ascii="Calibri" w:eastAsia="Calibri" w:hAnsi="Calibri" w:cs="Times New Roman"/>
      <w:b/>
      <w:color w:val="000000"/>
      <w:sz w:val="48"/>
      <w:szCs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5C25"/>
    <w:rPr>
      <w:rFonts w:eastAsiaTheme="majorEastAsia" w:cstheme="majorBidi"/>
      <w:i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2C77"/>
    <w:rPr>
      <w:i/>
      <w:sz w:val="26"/>
      <w:szCs w:val="26"/>
    </w:rPr>
  </w:style>
  <w:style w:type="paragraph" w:styleId="Revisjon">
    <w:name w:val="Revision"/>
    <w:hidden/>
    <w:uiPriority w:val="99"/>
    <w:semiHidden/>
    <w:rsid w:val="00FA5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09B94-1C5C-B94F-B56E-C592A3095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704EB-33DA-4640-9227-6CA0AEF21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39361-E186-488F-9E7A-CFD1B771F97A}">
  <ds:schemaRefs>
    <ds:schemaRef ds:uri="6ee981c3-3e74-458b-9583-f389e4bc4216"/>
    <ds:schemaRef ds:uri="http://purl.org/dc/elements/1.1/"/>
    <ds:schemaRef ds:uri="http://www.w3.org/XML/1998/namespace"/>
    <ds:schemaRef ds:uri="3ceed2f5-578a-4ed2-8091-fd9b87c2ca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8883c-5188-4302-a00a-120ef88c78b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E8F5FD-7E79-4D04-A1AF-6A8A6257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Brigt Gjevik</dc:creator>
  <cp:keywords/>
  <dc:description/>
  <cp:lastModifiedBy>Åse Århus</cp:lastModifiedBy>
  <cp:revision>2</cp:revision>
  <dcterms:created xsi:type="dcterms:W3CDTF">2022-05-23T09:56:00Z</dcterms:created>
  <dcterms:modified xsi:type="dcterms:W3CDTF">2022-05-23T09:56:00Z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  <property fmtid="{D5CDD505-2E9C-101B-9397-08002B2CF9AE}" pid="3" name="Dokumenttype">
    <vt:lpwstr/>
  </property>
  <property fmtid="{D5CDD505-2E9C-101B-9397-08002B2CF9AE}" pid="4" name="Prosjektfase">
    <vt:lpwstr/>
  </property>
</Properties>
</file>