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ОЗНАЙОМЛЕННЯ ВІДВІДУВАЧІВ І ПІДРЯДНИКІВ</w:t>
      </w:r>
    </w:p>
    <w:p>
      <w:pPr>
        <w:jc w:val="right"/>
      </w:pPr>
      <w:r>
        <w:rPr>
          <w:b/>
        </w:rPr>
        <w:t>[[НАЗВА ПІДПРИЄМСТВА]]</w:t>
      </w:r>
    </w:p>
    <w:p>
      <w:r>
        <w:rPr>
          <w:b/>
        </w:rPr>
        <w:t xml:space="preserve">Об'єкт: </w:t>
      </w:r>
      <w:r>
        <w:t>[[НАЗВА ТА АДРЕСА]]</w:t>
      </w:r>
    </w:p>
    <w:p>
      <w:pPr>
        <w:pStyle w:val="Heading1"/>
      </w:pPr>
      <w:r>
        <w:t>Короткий алгоритм</w:t>
      </w:r>
    </w:p>
    <w:p>
      <w:pPr>
        <w:pStyle w:val="ListBullet"/>
      </w:pPr>
      <w:r>
        <w:t>Жовтий рівень: [[РОБОТА ТРИВАЄ / ПРИПИНЯЄТЬСЯ]]; місце захисту — [[МІСЦЕ]].</w:t>
      </w:r>
    </w:p>
    <w:p>
      <w:pPr>
        <w:pStyle w:val="ListBullet"/>
      </w:pPr>
      <w:r>
        <w:t>Червоний рівень: припиніть роботу/відвідування та пройдіть із супроводжуючим до [[УКРИТТЯ]].</w:t>
      </w:r>
    </w:p>
    <w:p>
      <w:pPr>
        <w:pStyle w:val="ListBullet"/>
      </w:pPr>
      <w:r>
        <w:t>Основний маршрут: [[МАРШРУТ]]; резервний маршрут: [[МАРШРУТ]].</w:t>
      </w:r>
    </w:p>
    <w:p>
      <w:pPr>
        <w:pStyle w:val="ListBullet"/>
      </w:pPr>
      <w:r>
        <w:t>Відповідальна особа: [[ПІБ / ПОСАДА / ТЕЛЕФОН]].</w:t>
      </w:r>
    </w:p>
    <w:p>
      <w:pPr>
        <w:pStyle w:val="ListBullet"/>
      </w:pPr>
      <w:r>
        <w:t>Не залишайте визначений маршрут без повідомлення супроводжуючого; не користуйтеся ліфтом; виконуйте команди відповідальних осіб.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9"/>
        <w:gridCol w:w="1449"/>
        <w:gridCol w:w="1449"/>
        <w:gridCol w:w="1449"/>
        <w:gridCol w:w="1449"/>
        <w:gridCol w:w="1449"/>
        <w:gridCol w:w="1449"/>
      </w:tblGrid>
      <w:tr>
        <w:trPr>
          <w:tblHeader w:val="true"/>
        </w:trPr>
        <w:tc>
          <w:tcPr>
            <w:tcW w:type="dxa" w:w="1449"/>
            <w:shd w:fill="181818"/>
          </w:tcPr>
          <w:p>
            <w:r>
              <w:rPr>
                <w:b/>
                <w:color w:val="FFFFFF"/>
              </w:rPr>
              <w:t>№</w:t>
            </w:r>
          </w:p>
        </w:tc>
        <w:tc>
          <w:tcPr>
            <w:tcW w:type="dxa" w:w="1449"/>
            <w:shd w:fill="181818"/>
          </w:tcPr>
          <w:p>
            <w:r>
              <w:rPr>
                <w:b/>
                <w:color w:val="FFFFFF"/>
              </w:rPr>
              <w:t>Дата/час</w:t>
            </w:r>
          </w:p>
        </w:tc>
        <w:tc>
          <w:tcPr>
            <w:tcW w:type="dxa" w:w="1449"/>
            <w:shd w:fill="181818"/>
          </w:tcPr>
          <w:p>
            <w:r>
              <w:rPr>
                <w:b/>
                <w:color w:val="FFFFFF"/>
              </w:rPr>
              <w:t>ПІБ</w:t>
            </w:r>
          </w:p>
        </w:tc>
        <w:tc>
          <w:tcPr>
            <w:tcW w:type="dxa" w:w="1449"/>
            <w:shd w:fill="181818"/>
          </w:tcPr>
          <w:p>
            <w:r>
              <w:rPr>
                <w:b/>
                <w:color w:val="FFFFFF"/>
              </w:rPr>
              <w:t>Організація</w:t>
            </w:r>
          </w:p>
        </w:tc>
        <w:tc>
          <w:tcPr>
            <w:tcW w:type="dxa" w:w="1449"/>
            <w:shd w:fill="181818"/>
          </w:tcPr>
          <w:p>
            <w:r>
              <w:rPr>
                <w:b/>
                <w:color w:val="FFFFFF"/>
              </w:rPr>
              <w:t>Мета / зона робіт</w:t>
            </w:r>
          </w:p>
        </w:tc>
        <w:tc>
          <w:tcPr>
            <w:tcW w:type="dxa" w:w="1449"/>
            <w:shd w:fill="181818"/>
          </w:tcPr>
          <w:p>
            <w:r>
              <w:rPr>
                <w:b/>
                <w:color w:val="FFFFFF"/>
              </w:rPr>
              <w:t>Супроводжуючий</w:t>
            </w:r>
          </w:p>
        </w:tc>
        <w:tc>
          <w:tcPr>
            <w:tcW w:type="dxa" w:w="1449"/>
            <w:shd w:fill="181818"/>
          </w:tcPr>
          <w:p>
            <w:r>
              <w:rPr>
                <w:b/>
                <w:color w:val="FFFFFF"/>
              </w:rPr>
              <w:t>Підпис</w:t>
            </w:r>
          </w:p>
        </w:tc>
      </w:tr>
      <w:tr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>
            <w:r>
              <w:t>1</w:t>
            </w:r>
          </w:p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</w:tr>
      <w:tr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>
            <w:r>
              <w:t>2</w:t>
            </w:r>
          </w:p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</w:tr>
      <w:tr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>
            <w:r>
              <w:t>3</w:t>
            </w:r>
          </w:p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</w:tr>
      <w:tr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>
            <w:r>
              <w:t>4</w:t>
            </w:r>
          </w:p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</w:tr>
      <w:tr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>
            <w:r>
              <w:t>5</w:t>
            </w:r>
          </w:p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</w:tr>
      <w:tr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>
            <w:r>
              <w:t>6</w:t>
            </w:r>
          </w:p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</w:tr>
      <w:tr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>
            <w:r>
              <w:t>7</w:t>
            </w:r>
          </w:p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</w:tr>
      <w:tr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>
            <w:r>
              <w:t>8</w:t>
            </w:r>
          </w:p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</w:tr>
      <w:tr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>
            <w:r>
              <w:t>9</w:t>
            </w:r>
          </w:p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</w:tr>
      <w:tr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>
            <w:r>
              <w:t>10</w:t>
            </w:r>
          </w:p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</w:tr>
      <w:tr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>
            <w:r>
              <w:t>11</w:t>
            </w:r>
          </w:p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</w:tr>
      <w:tr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>
            <w:r>
              <w:t>12</w:t>
            </w:r>
          </w:p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</w:tr>
      <w:tr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>
            <w:r>
              <w:t>13</w:t>
            </w:r>
          </w:p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</w:tr>
      <w:tr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>
            <w:r>
              <w:t>14</w:t>
            </w:r>
          </w:p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</w:tr>
      <w:tr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>
            <w:r>
              <w:t>15</w:t>
            </w:r>
          </w:p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</w:tr>
      <w:tr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>
            <w:r>
              <w:t>16</w:t>
            </w:r>
          </w:p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</w:tr>
      <w:tr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>
            <w:r>
              <w:t>17</w:t>
            </w:r>
          </w:p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</w:tr>
      <w:tr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>
            <w:r>
              <w:t>18</w:t>
            </w:r>
          </w:p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</w:tr>
      <w:tr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>
            <w:r>
              <w:t>19</w:t>
            </w:r>
          </w:p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</w:tr>
      <w:tr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>
            <w:r>
              <w:t>20</w:t>
            </w:r>
          </w:p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  <w:tc>
          <w:tcPr>
            <w:tcW w:type="dxa" w:w="1449"/>
            <w:tcMar>
              <w:top w:w="90" w:type="dxa"/>
              <w:start w:w="50" w:type="dxa"/>
              <w:bottom w:w="90" w:type="dxa"/>
              <w:end w:w="50" w:type="dxa"/>
            </w:tcMar>
          </w:tcPr>
          <w:p/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64" w:right="96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t xml:space="preserve">racio.ua  |  Шаблон потребує адаптації до конкретного об'єкта.  </w:t>
    </w:r>
    <w:r>
      <w:t xml:space="preserve">Сторінка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5386"/>
      <w:gridCol w:w="4422"/>
    </w:tblGrid>
    <w:tr>
      <w:tc>
        <w:tcPr>
          <w:tcW w:type="dxa" w:w="4904"/>
        </w:tcPr>
        <w:p>
          <w:r>
            <w:rPr>
              <w:rFonts w:ascii="Arial" w:hAnsi="Arial"/>
              <w:b/>
              <w:color w:val="D62828"/>
              <w:sz w:val="24"/>
            </w:rPr>
            <w:t>RACIO</w:t>
          </w:r>
        </w:p>
      </w:tc>
      <w:tc>
        <w:tcPr>
          <w:tcW w:type="dxa" w:w="4904"/>
        </w:tcPr>
        <w:p>
          <w:pPr>
            <w:jc w:val="right"/>
          </w:pPr>
          <w:r>
            <w:rPr>
              <w:rFonts w:ascii="Arial" w:hAnsi="Arial"/>
              <w:b/>
              <w:color w:val="666666"/>
              <w:sz w:val="16"/>
            </w:rPr>
            <w:t>ЗРАЗОК ДЛЯ АДАПТАЦІЇ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1818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8181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D6282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181818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