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40"/>
        <w:jc w:val="center"/>
      </w:pPr>
      <w:r>
        <w:rPr>
          <w:b/>
          <w:color w:val="2E74B5"/>
          <w:sz w:val="24"/>
        </w:rPr>
        <w:t>WATCHMAN 33</w:t>
      </w:r>
    </w:p>
    <w:p>
      <w:pPr>
        <w:pStyle w:val="Title"/>
        <w:jc w:val="center"/>
      </w:pPr>
      <w:r>
        <w:t>Arise &amp; Shine</w:t>
      </w:r>
    </w:p>
    <w:p>
      <w:pPr>
        <w:pStyle w:val="Subtitle"/>
        <w:jc w:val="center"/>
      </w:pPr>
      <w:r>
        <w:t>Website Summary, Sermon Overview &amp; Study Guide, Scripture Index, and Categories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Speaker</w:t>
            </w:r>
          </w:p>
        </w:tc>
        <w:tc>
          <w:tcPr>
            <w:tcW w:type="dxa" w:w="7920"/>
            <w:vAlign w:val="center"/>
          </w:tcPr>
          <w:p>
            <w:r>
              <w:t>Pastor Dean Odle</w:t>
            </w:r>
          </w:p>
        </w:tc>
      </w:tr>
      <w:tr>
        <w:tc>
          <w:tcPr>
            <w:tcW w:type="dxa" w:w="2016"/>
            <w:vAlign w:val="center"/>
          </w:tcPr>
          <w:p>
            <w:r>
              <w:rPr>
                <w:b/>
              </w:rPr>
              <w:t>Published</w:t>
            </w:r>
          </w:p>
        </w:tc>
        <w:tc>
          <w:tcPr>
            <w:tcW w:type="dxa" w:w="7920"/>
            <w:vAlign w:val="center"/>
          </w:tcPr>
          <w:p>
            <w:r>
              <w:t>2022-08-10 (video upload date)</w:t>
            </w:r>
          </w:p>
        </w:tc>
      </w:tr>
      <w:tr>
        <w:tc>
          <w:tcPr>
            <w:tcW w:type="dxa" w:w="2016"/>
            <w:vAlign w:val="center"/>
          </w:tcPr>
          <w:p>
            <w:r>
              <w:rPr>
                <w:b/>
              </w:rPr>
              <w:t>Duration</w:t>
            </w:r>
          </w:p>
        </w:tc>
        <w:tc>
          <w:tcPr>
            <w:tcW w:type="dxa" w:w="7920"/>
            <w:vAlign w:val="center"/>
          </w:tcPr>
          <w:p>
            <w:r>
              <w:t>1:09:45</w:t>
            </w:r>
          </w:p>
        </w:tc>
      </w:tr>
      <w:tr>
        <w:tc>
          <w:tcPr>
            <w:tcW w:type="dxa" w:w="2016"/>
            <w:vAlign w:val="center"/>
          </w:tcPr>
          <w:p>
            <w:r>
              <w:rPr>
                <w:b/>
              </w:rPr>
              <w:t>Scripture</w:t>
            </w:r>
          </w:p>
        </w:tc>
        <w:tc>
          <w:tcPr>
            <w:tcW w:type="dxa" w:w="7920"/>
            <w:vAlign w:val="center"/>
          </w:tcPr>
          <w:p>
            <w:r>
              <w:t>King James Version (KJV)</w:t>
            </w:r>
          </w:p>
        </w:tc>
      </w:tr>
      <w:tr>
        <w:tc>
          <w:tcPr>
            <w:tcW w:type="dxa" w:w="2016"/>
            <w:vAlign w:val="center"/>
          </w:tcPr>
          <w:p>
            <w:r>
              <w:rPr>
                <w:b/>
              </w:rPr>
              <w:t>Source</w:t>
            </w:r>
          </w:p>
        </w:tc>
        <w:tc>
          <w:tcPr>
            <w:tcW w:type="dxa" w:w="7920"/>
            <w:vAlign w:val="center"/>
          </w:tcPr>
          <w:p>
            <w:r>
              <w:t>https://www.youtube.com/watch?v=m_L_LFjs5e4</w:t>
            </w:r>
          </w:p>
        </w:tc>
      </w:tr>
    </w:tbl>
    <w:p/>
    <w:p>
      <w:r>
        <w:br w:type="page"/>
      </w:r>
    </w:p>
    <w:p>
      <w:pPr>
        <w:pStyle w:val="Heading1"/>
      </w:pPr>
      <w:r>
        <w:t>Contents</w:t>
      </w:r>
    </w:p>
    <w:p>
      <w:pPr>
        <w:pStyle w:val="ListBullet"/>
      </w:pPr>
      <w:r>
        <w:t>Website Summary</w:t>
      </w:r>
    </w:p>
    <w:p>
      <w:pPr>
        <w:pStyle w:val="ListBullet"/>
      </w:pPr>
      <w:r>
        <w:t>Website Categories and Tags</w:t>
      </w:r>
    </w:p>
    <w:p>
      <w:pPr>
        <w:pStyle w:val="ListBullet"/>
      </w:pPr>
      <w:r>
        <w:t>Sermon Overview &amp; Study Guide</w:t>
      </w:r>
    </w:p>
    <w:p>
      <w:pPr>
        <w:pStyle w:val="ListBullet"/>
      </w:pPr>
      <w:r>
        <w:t>Scripture Index</w:t>
      </w:r>
    </w:p>
    <w:p>
      <w:pPr>
        <w:pStyle w:val="ListBullet"/>
      </w:pPr>
      <w:r>
        <w:t>Sources and Editorial Notes</w:t>
      </w:r>
    </w:p>
    <w:p>
      <w:pPr>
        <w:pStyle w:val="Heading1"/>
      </w:pPr>
      <w:r>
        <w:t>Website Summary</w:t>
      </w:r>
    </w:p>
    <w:p>
      <w:r>
        <w:t>In “Arise &amp; Shine,” Pastor Dean Odle presents a Scripture-centered message about faith, the condition of the church, prayer. Drawing especially from Isaiah 60, Isaiah 61, Hebrews 13, John 14, the teaching emphasizes that biblical faith trusts God’s character and acts upon His promises. Odle connects that foundation with the conviction that the church is called to recover biblical faithfulness instead of accommodating compromise.</w:t>
      </w:r>
    </w:p>
    <w:p>
      <w:r>
        <w:t>As the sermon progresses, it addresses the authority of Scripture, healing and faith, freedom from fear. The message repeatedly calls listeners to seek God in prayer and act on what Scripture requires. Its concluding emphasis is pastoral and direct: Christians should receive biblical correction, reject compromise, remain dependent on God, and let their daily choices demonstrate the faith they confess. The overview below follows the sermon chronologically so readers can locate each distinct movement without reproducing the full transcript. The source video was published on 2022-08-10; this is the listed publication or upload date, not a separately established service date.</w:t>
      </w:r>
    </w:p>
    <w:p>
      <w:pPr>
        <w:pStyle w:val="Heading1"/>
      </w:pPr>
      <w:r>
        <w:t>Website Categories and Tags</w:t>
      </w:r>
    </w:p>
    <w:tbl>
      <w:tblPr>
        <w:tblW w:type="auto" w:w="0"/>
        <w:jc w:val="center"/>
        <w:tblLayout w:type="fixed"/>
        <w:tblLook w:firstColumn="1" w:firstRow="1" w:lastColumn="0" w:lastRow="0" w:noHBand="0" w:noVBand="1" w:val="04A0"/>
      </w:tblPr>
      <w:tblGrid>
        <w:gridCol w:w="4896"/>
        <w:gridCol w:w="4896"/>
      </w:tblGrid>
      <w:tr>
        <w:tc>
          <w:tcPr>
            <w:tcW w:type="dxa" w:w="2016"/>
            <w:vAlign w:val="center"/>
          </w:tcPr>
          <w:p>
            <w:r>
              <w:rPr>
                <w:b/>
              </w:rPr>
              <w:t>Primary category</w:t>
            </w:r>
          </w:p>
        </w:tc>
        <w:tc>
          <w:tcPr>
            <w:tcW w:type="dxa" w:w="7920"/>
            <w:vAlign w:val="center"/>
          </w:tcPr>
          <w:p>
            <w:r>
              <w:t>Doctrine and Discernment</w:t>
            </w:r>
          </w:p>
        </w:tc>
      </w:tr>
      <w:tr>
        <w:tc>
          <w:tcPr>
            <w:tcW w:type="dxa" w:w="2016"/>
            <w:vAlign w:val="center"/>
          </w:tcPr>
          <w:p>
            <w:r>
              <w:rPr>
                <w:b/>
              </w:rPr>
              <w:t>Secondary categories</w:t>
            </w:r>
          </w:p>
        </w:tc>
        <w:tc>
          <w:tcPr>
            <w:tcW w:type="dxa" w:w="7920"/>
            <w:vAlign w:val="center"/>
          </w:tcPr>
          <w:p>
            <w:r>
              <w:t>Scripture Alone; Christ Alone; Spiritual Warfare</w:t>
            </w:r>
          </w:p>
        </w:tc>
      </w:tr>
      <w:tr>
        <w:tc>
          <w:tcPr>
            <w:tcW w:type="dxa" w:w="2016"/>
            <w:vAlign w:val="center"/>
          </w:tcPr>
          <w:p>
            <w:r>
              <w:rPr>
                <w:b/>
              </w:rPr>
              <w:t>Suggested type</w:t>
            </w:r>
          </w:p>
        </w:tc>
        <w:tc>
          <w:tcPr>
            <w:tcW w:type="dxa" w:w="7920"/>
            <w:vAlign w:val="center"/>
          </w:tcPr>
          <w:p>
            <w:r>
              <w:t>Sermon Study</w:t>
            </w:r>
          </w:p>
        </w:tc>
      </w:tr>
      <w:tr>
        <w:tc>
          <w:tcPr>
            <w:tcW w:type="dxa" w:w="2016"/>
            <w:vAlign w:val="center"/>
          </w:tcPr>
          <w:p>
            <w:r>
              <w:rPr>
                <w:b/>
              </w:rPr>
              <w:t>Tags</w:t>
            </w:r>
          </w:p>
        </w:tc>
        <w:tc>
          <w:tcPr>
            <w:tcW w:type="dxa" w:w="7920"/>
            <w:vAlign w:val="center"/>
          </w:tcPr>
          <w:p>
            <w:r>
              <w:t>Isaiah 60; Isaiah 61; Hebrews 13; John 14; Faith; The Condition Of The Church; Prayer; The Authority Of Scripture; Healing And Faith; Freedom From Fear; Gratitude</w:t>
            </w:r>
          </w:p>
        </w:tc>
      </w:tr>
    </w:tbl>
    <w:p/>
    <w:p>
      <w:r>
        <w:br w:type="page"/>
      </w:r>
    </w:p>
    <w:p>
      <w:pPr>
        <w:pStyle w:val="Heading1"/>
      </w:pPr>
      <w:r>
        <w:t>Sermon Overview &amp; Study Guide</w:t>
      </w:r>
    </w:p>
    <w:p>
      <w:r>
        <w:t>Chronological guide: Sections follow the sermon’s progression. Scripture quotations are from the KJV.</w:t>
      </w:r>
    </w:p>
    <w:p>
      <w:pPr>
        <w:pStyle w:val="Heading2"/>
      </w:pPr>
      <w:r>
        <w:t>1. Isaiah 60 and Faith</w:t>
      </w:r>
    </w:p>
    <w:p>
      <w:r>
        <w:rPr>
          <w:b/>
          <w:color w:val="2E74B5"/>
        </w:rPr>
        <w:t>0:00-8:44</w:t>
      </w:r>
    </w:p>
    <w:p>
      <w:r>
        <w:t>Odle focuses on gratitude while working through Isaiah 60. The message argues that thankfulness remembers God’s mercy and guards the heart from entitlement and complaint. It connects this with the conviction that biblical faith trusts God’s character and acts upon His promises. The practical emphasis is to trust God’s promises and refuse decisions governed by fear.</w:t>
      </w:r>
    </w:p>
    <w:p>
      <w:pPr>
        <w:pStyle w:val="Heading2"/>
      </w:pPr>
      <w:r>
        <w:t>2. Isaiah 60 and The Authority Of Scripture</w:t>
      </w:r>
    </w:p>
    <w:p>
      <w:r>
        <w:rPr>
          <w:b/>
          <w:color w:val="2E74B5"/>
        </w:rPr>
        <w:t>8:44-17:28</w:t>
      </w:r>
    </w:p>
    <w:p>
      <w:r>
        <w:t>Odle focuses on faith while working through Isaiah 60, Isaiah 61, Hebrews 13. The message argues that biblical faith trusts God’s character and acts upon His promises. It connects this with the conviction that Scripture is presented as the standard for doctrine, discernment, and daily obedience. The practical emphasis is to trust God’s promises and refuse decisions governed by fear.</w:t>
      </w:r>
    </w:p>
    <w:p>
      <w:pPr>
        <w:pStyle w:val="Heading2"/>
      </w:pPr>
      <w:r>
        <w:t>3. Isaiah 60 and Faith: Doctrinal Focus</w:t>
      </w:r>
    </w:p>
    <w:p>
      <w:r>
        <w:rPr>
          <w:b/>
          <w:color w:val="2E74B5"/>
        </w:rPr>
        <w:t>17:28-26:12</w:t>
      </w:r>
    </w:p>
    <w:p>
      <w:r>
        <w:t>Odle focuses on the condition of the church while working through Isaiah 60, John 17. The message argues that the church is called to recover biblical faithfulness instead of accommodating compromise. It connects this with the conviction that biblical faith trusts God’s character and acts upon His promises. The practical emphasis is to trust God’s promises and refuse decisions governed by fear.</w:t>
      </w:r>
    </w:p>
    <w:p>
      <w:pPr>
        <w:pStyle w:val="Heading2"/>
      </w:pPr>
      <w:r>
        <w:t>4. Faith and Prayer</w:t>
      </w:r>
    </w:p>
    <w:p>
      <w:r>
        <w:rPr>
          <w:b/>
          <w:color w:val="2E74B5"/>
        </w:rPr>
        <w:t>26:12-34:56</w:t>
      </w:r>
    </w:p>
    <w:p>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5. Faith and Healing And Faith</w:t>
      </w:r>
    </w:p>
    <w:p>
      <w:r>
        <w:rPr>
          <w:b/>
          <w:color w:val="2E74B5"/>
        </w:rPr>
        <w:t>34:56-43:40</w:t>
      </w:r>
    </w:p>
    <w:p>
      <w:r>
        <w:t>Odle focuses on faith. The message argues that biblical faith trusts God’s character and acts upon His promises. It connects this with the conviction that the message connects prayer for healing with faith in Christ, pastoral care, and submission to God. The practical emphasis is to seek God in prayer and act on what Scripture requires.</w:t>
      </w:r>
    </w:p>
    <w:p>
      <w:pPr>
        <w:pStyle w:val="Heading2"/>
      </w:pPr>
      <w:r>
        <w:t>6. Faith and Prayer: Practical Application</w:t>
      </w:r>
    </w:p>
    <w:p>
      <w:r>
        <w:rPr>
          <w:b/>
          <w:color w:val="2E74B5"/>
        </w:rPr>
        <w:t>43:40-52:24</w:t>
      </w:r>
    </w:p>
    <w:p>
      <w:r>
        <w:t>Odle focuses on faith. The message argues that biblical faith trusts God’s character and acts upon His promises. It connects this with the conviction that prayer expresses dependence on God and prepares believers to hear and obey Him. The practical emphasis is to seek God in prayer and act on what Scripture requires.</w:t>
      </w:r>
    </w:p>
    <w:p>
      <w:pPr>
        <w:pStyle w:val="Heading2"/>
      </w:pPr>
      <w:r>
        <w:t>7. God’s Commandments and Faith</w:t>
      </w:r>
    </w:p>
    <w:p>
      <w:r>
        <w:rPr>
          <w:b/>
          <w:color w:val="2E74B5"/>
        </w:rPr>
        <w:t>52:24-1:01:08</w:t>
      </w:r>
    </w:p>
    <w:p>
      <w:r>
        <w:t>Odle focuses on God’s commandments. The message argues that God’s commands reveal His standard and direct the obedient life. It connects this with the conviction that biblical faith trusts God’s character and acts upon His promises. The practical emphasis is to trust God’s promises and refuse decisions governed by fear.</w:t>
      </w:r>
    </w:p>
    <w:p>
      <w:pPr>
        <w:pStyle w:val="Heading2"/>
      </w:pPr>
      <w:r>
        <w:t>8. Mark 16 and The Authority Of Scripture</w:t>
      </w:r>
    </w:p>
    <w:p>
      <w:r>
        <w:rPr>
          <w:b/>
          <w:color w:val="2E74B5"/>
        </w:rPr>
        <w:t>1:01:08-1:09:45</w:t>
      </w:r>
    </w:p>
    <w:p>
      <w:r>
        <w:t>Odle focuses on gratitude while working through Mark 16. The message argues that thankfulness remembers God’s mercy and guards the heart from entitlement and complaint. It connects this with the conviction that Scripture is presented as the standard for doctrine, discernment, and daily obedience. The practical emphasis is to trust God’s promises and refuse decisions governed by fear.</w:t>
      </w:r>
    </w:p>
    <w:p>
      <w:pPr>
        <w:pStyle w:val="Heading1"/>
      </w:pPr>
      <w:r>
        <w:t>Scripture Index</w:t>
      </w:r>
    </w:p>
    <w:p>
      <w:r>
        <w:t>Passages are included when named or unmistakably invoked. Inferred references are identified in the description.</w:t>
      </w:r>
    </w:p>
    <w:tbl>
      <w:tblPr>
        <w:tblStyle w:val="TableGrid"/>
        <w:tblW w:type="auto" w:w="0"/>
        <w:tblLook w:firstColumn="1" w:firstRow="1" w:lastColumn="0" w:lastRow="0" w:noHBand="0" w:noVBand="1" w:val="04A0"/>
      </w:tblPr>
      <w:tblGrid>
        <w:gridCol w:w="4896"/>
        <w:gridCol w:w="4896"/>
      </w:tblGrid>
      <w:tr>
        <w:trPr>
          <w:tblHeader w:val="true"/>
        </w:trPr>
        <w:tc>
          <w:tcPr>
            <w:tcW w:type="dxa" w:w="4896"/>
            <w:shd w:fill="E8EEF5"/>
          </w:tcPr>
          <w:p>
            <w:r>
              <w:rPr>
                <w:b/>
              </w:rPr>
              <w:t>Scripture</w:t>
            </w:r>
          </w:p>
        </w:tc>
        <w:tc>
          <w:tcPr>
            <w:tcW w:type="dxa" w:w="4896"/>
            <w:shd w:fill="E8EEF5"/>
          </w:tcPr>
          <w:p>
            <w:r>
              <w:rPr>
                <w:b/>
              </w:rPr>
              <w:t>Use in the Sermon</w:t>
            </w:r>
          </w:p>
        </w:tc>
      </w:tr>
      <w:tr>
        <w:tc>
          <w:tcPr>
            <w:tcW w:type="dxa" w:w="4896"/>
          </w:tcPr>
          <w:p>
            <w:r>
              <w:t>Isaiah 60</w:t>
            </w:r>
          </w:p>
        </w:tc>
        <w:tc>
          <w:tcPr>
            <w:tcW w:type="dxa" w:w="4896"/>
          </w:tcPr>
          <w:p>
            <w:r>
              <w:t>Used in the sermon’s teaching on faith and its practical application.</w:t>
            </w:r>
          </w:p>
        </w:tc>
      </w:tr>
      <w:tr>
        <w:tc>
          <w:tcPr>
            <w:tcW w:type="dxa" w:w="4896"/>
          </w:tcPr>
          <w:p>
            <w:r>
              <w:t>Isaiah 61</w:t>
            </w:r>
          </w:p>
        </w:tc>
        <w:tc>
          <w:tcPr>
            <w:tcW w:type="dxa" w:w="4896"/>
          </w:tcPr>
          <w:p>
            <w:r>
              <w:t>Used in the sermon’s teaching on faith and its practical application.</w:t>
            </w:r>
          </w:p>
        </w:tc>
      </w:tr>
      <w:tr>
        <w:tc>
          <w:tcPr>
            <w:tcW w:type="dxa" w:w="4896"/>
          </w:tcPr>
          <w:p>
            <w:r>
              <w:t>Hebrews 13</w:t>
            </w:r>
          </w:p>
        </w:tc>
        <w:tc>
          <w:tcPr>
            <w:tcW w:type="dxa" w:w="4896"/>
          </w:tcPr>
          <w:p>
            <w:r>
              <w:t>Used in the sermon’s teaching on faith and its practical application.</w:t>
            </w:r>
          </w:p>
        </w:tc>
      </w:tr>
      <w:tr>
        <w:tc>
          <w:tcPr>
            <w:tcW w:type="dxa" w:w="4896"/>
          </w:tcPr>
          <w:p>
            <w:r>
              <w:t>John 14</w:t>
            </w:r>
          </w:p>
        </w:tc>
        <w:tc>
          <w:tcPr>
            <w:tcW w:type="dxa" w:w="4896"/>
          </w:tcPr>
          <w:p>
            <w:r>
              <w:t>Used in the sermon’s teaching on faith and its practical application.</w:t>
            </w:r>
          </w:p>
        </w:tc>
      </w:tr>
      <w:tr>
        <w:tc>
          <w:tcPr>
            <w:tcW w:type="dxa" w:w="4896"/>
          </w:tcPr>
          <w:p>
            <w:r>
              <w:t>Proverbs 28</w:t>
            </w:r>
          </w:p>
        </w:tc>
        <w:tc>
          <w:tcPr>
            <w:tcW w:type="dxa" w:w="4896"/>
          </w:tcPr>
          <w:p>
            <w:r>
              <w:t>Used in the sermon’s teaching on faith and its practical application.</w:t>
            </w:r>
          </w:p>
        </w:tc>
      </w:tr>
      <w:tr>
        <w:tc>
          <w:tcPr>
            <w:tcW w:type="dxa" w:w="4896"/>
          </w:tcPr>
          <w:p>
            <w:r>
              <w:t>John 17</w:t>
            </w:r>
          </w:p>
        </w:tc>
        <w:tc>
          <w:tcPr>
            <w:tcW w:type="dxa" w:w="4896"/>
          </w:tcPr>
          <w:p>
            <w:r>
              <w:t>Used in the sermon’s teaching on faith and its practical application.</w:t>
            </w:r>
          </w:p>
        </w:tc>
      </w:tr>
      <w:tr>
        <w:tc>
          <w:tcPr>
            <w:tcW w:type="dxa" w:w="4896"/>
          </w:tcPr>
          <w:p>
            <w:r>
              <w:t>Mark 16</w:t>
            </w:r>
          </w:p>
        </w:tc>
        <w:tc>
          <w:tcPr>
            <w:tcW w:type="dxa" w:w="4896"/>
          </w:tcPr>
          <w:p>
            <w:r>
              <w:t>Used in the sermon’s teaching on faith and its practical application.</w:t>
            </w:r>
          </w:p>
        </w:tc>
      </w:tr>
    </w:tbl>
    <w:p>
      <w:r>
        <w:br w:type="page"/>
      </w:r>
    </w:p>
    <w:p>
      <w:pPr>
        <w:pStyle w:val="Heading1"/>
      </w:pPr>
      <w:r>
        <w:t>Sources and Editorial Notes</w:t>
      </w:r>
    </w:p>
    <w:p>
      <w:r>
        <w:t>Primary video: https://www.youtube.com/watch?v=m_L_LFjs5e4</w:t>
      </w:r>
    </w:p>
    <w:p>
      <w:r>
        <w:t>YouTube lists 2022-08-10 as the video upload date; no separate recording/service date was established.</w:t>
      </w:r>
    </w:p>
    <w:p>
      <w:r>
        <w:t>Transcript basis: Concise chronological paraphrase prepared from the supplied auto-generated timestamped transcript.</w:t>
      </w:r>
    </w:p>
    <w:p>
      <w:r>
        <w:t>The overview attributes the sermon’s interpretations and disputed claims to the speaker; inclusion does not indicate independent verification.</w:t>
      </w:r>
    </w:p>
    <w:sectPr w:rsidR="00FC693F" w:rsidRPr="0006063C" w:rsidSect="00034616">
      <w:headerReference w:type="default" r:id="rId9"/>
      <w:footerReference w:type="default" r:id="rId10"/>
      <w:pgSz w:w="12240" w:h="15840"/>
      <w:pgMar w:top="1123" w:right="1224" w:bottom="1037" w:left="1224" w:header="504" w:footer="50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t xml:space="preserve">Page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646464"/>
        <w:sz w:val="16"/>
      </w:rPr>
      <w:t>WATCHMAN 33  |  SERMON RESOURCE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9" w:lineRule="auto"/>
    </w:pPr>
    <w:rPr>
      <w:rFonts w:ascii="Aptos" w:hAnsi="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40"/>
      <w:outlineLvl w:val="0"/>
    </w:pPr>
    <w:rPr>
      <w:rFonts w:asciiTheme="majorHAnsi" w:eastAsiaTheme="majorEastAsia" w:hAnsiTheme="majorHAnsi" w:cstheme="majorBidi" w:ascii="Aptos Display" w:hAnsi="Aptos Display"/>
      <w:b/>
      <w:bCs/>
      <w:color w:val="203748"/>
      <w:sz w:val="32"/>
      <w:szCs w:val="28"/>
    </w:rPr>
  </w:style>
  <w:style w:type="paragraph" w:styleId="Heading2">
    <w:name w:val="heading 2"/>
    <w:basedOn w:val="Normal"/>
    <w:next w:val="Normal"/>
    <w:link w:val="Heading2Char"/>
    <w:uiPriority w:val="9"/>
    <w:unhideWhenUsed/>
    <w:qFormat/>
    <w:rsid w:val="00FC693F"/>
    <w:pPr>
      <w:keepNext/>
      <w:keepLines/>
      <w:spacing w:before="220" w:after="80"/>
      <w:outlineLvl w:val="1"/>
    </w:pPr>
    <w:rPr>
      <w:rFonts w:asciiTheme="majorHAnsi" w:eastAsiaTheme="majorEastAsia" w:hAnsiTheme="majorHAnsi" w:cstheme="majorBidi" w:ascii="Aptos Display" w:hAnsi="Aptos Display"/>
      <w:b/>
      <w:bCs/>
      <w:color w:val="2E74B5"/>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before="0"/>
      <w:contextualSpacing/>
    </w:pPr>
    <w:rPr>
      <w:rFonts w:asciiTheme="majorHAnsi" w:eastAsiaTheme="majorEastAsia" w:hAnsiTheme="majorHAnsi" w:cstheme="majorBidi" w:ascii="Aptos Display" w:hAnsi="Aptos Display"/>
      <w:color w:val="203748"/>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pPr>
    <w:rPr>
      <w:rFonts w:asciiTheme="majorHAnsi" w:eastAsiaTheme="majorEastAsia" w:hAnsiTheme="majorHAnsi" w:cstheme="majorBidi" w:ascii="Aptos Display" w:hAnsi="Aptos Display"/>
      <w:i/>
      <w:iCs/>
      <w:color w:val="2E74B5"/>
      <w:spacing w:val="15"/>
      <w:sz w:val="2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