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Loving Jesus</w:t>
      </w:r>
    </w:p>
    <w:p>
      <w:pPr>
        <w:pStyle w:val="Subtitle"/>
        <w:jc w:val="center"/>
      </w:pPr>
      <w:r>
        <w:t>Publication Package • Sermon Overview &amp; Study Guide</w:t>
      </w:r>
    </w:p>
    <w:p>
      <w:pPr>
        <w:jc w:val="center"/>
      </w:pPr>
      <w:r>
        <w:rPr>
          <w:rFonts w:ascii="Aptos" w:hAnsi="Aptos"/>
          <w:b/>
          <w:color w:val="58636D"/>
          <w:sz w:val="20"/>
        </w:rPr>
        <w:t>Pastor Dean Odle  |  Fire &amp; Grace Church</w:t>
      </w:r>
    </w:p>
    <w:tbl>
      <w:tblPr>
        <w:tblW w:type="auto" w:w="0"/>
        <w:jc w:val="center"/>
        <w:tblLayout w:type="fixed"/>
        <w:tblLook w:firstColumn="1" w:firstRow="1" w:lastColumn="0" w:lastRow="0" w:noHBand="0" w:noVBand="1" w:val="04A0"/>
      </w:tblPr>
      <w:tblGrid>
        <w:gridCol w:w="4824"/>
        <w:gridCol w:w="4824"/>
      </w:tblGrid>
      <w:tr>
        <w:tc>
          <w:tcPr>
            <w:tcW w:type="dxa" w:w="1944"/>
            <w:shd w:fill="EEF3F6"/>
            <w:tcMar>
              <w:top w:w="100" w:type="dxa"/>
              <w:start w:w="120" w:type="dxa"/>
              <w:bottom w:w="100" w:type="dxa"/>
              <w:end w:w="120" w:type="dxa"/>
            </w:tcMar>
            <w:vAlign w:val="top"/>
          </w:tcPr>
          <w:p>
            <w:r>
              <w:rPr>
                <w:rFonts w:ascii="Aptos" w:hAnsi="Aptos"/>
                <w:b/>
                <w:color w:val="20384F"/>
                <w:sz w:val="18"/>
              </w:rPr>
              <w:t>Speaker</w:t>
            </w:r>
          </w:p>
        </w:tc>
        <w:tc>
          <w:tcPr>
            <w:tcW w:type="dxa" w:w="7704"/>
            <w:tcMar>
              <w:top w:w="100" w:type="dxa"/>
              <w:start w:w="120" w:type="dxa"/>
              <w:bottom w:w="100" w:type="dxa"/>
              <w:end w:w="120" w:type="dxa"/>
            </w:tcMar>
            <w:vAlign w:val="top"/>
          </w:tcPr>
          <w:p>
            <w:r>
              <w:rPr>
                <w:rFonts w:ascii="Aptos" w:hAnsi="Aptos"/>
                <w:sz w:val="18"/>
              </w:rPr>
              <w:t>Pastor Dean Odle</w:t>
            </w:r>
          </w:p>
        </w:tc>
      </w:tr>
      <w:tr>
        <w:tc>
          <w:tcPr>
            <w:tcW w:type="dxa" w:w="1944"/>
            <w:shd w:fill="EEF3F6"/>
            <w:tcMar>
              <w:top w:w="100" w:type="dxa"/>
              <w:start w:w="120" w:type="dxa"/>
              <w:bottom w:w="100" w:type="dxa"/>
              <w:end w:w="120" w:type="dxa"/>
            </w:tcMar>
            <w:vAlign w:val="top"/>
          </w:tcPr>
          <w:p>
            <w:r>
              <w:rPr>
                <w:rFonts w:ascii="Aptos" w:hAnsi="Aptos"/>
                <w:b/>
                <w:color w:val="20384F"/>
                <w:sz w:val="18"/>
              </w:rPr>
              <w:t>Source</w:t>
            </w:r>
          </w:p>
        </w:tc>
        <w:tc>
          <w:tcPr>
            <w:tcW w:type="dxa" w:w="7704"/>
            <w:tcMar>
              <w:top w:w="100" w:type="dxa"/>
              <w:start w:w="120" w:type="dxa"/>
              <w:bottom w:w="100" w:type="dxa"/>
              <w:end w:w="120" w:type="dxa"/>
            </w:tcMar>
            <w:vAlign w:val="top"/>
          </w:tcPr>
          <w:p>
            <w:r>
              <w:rPr>
                <w:rFonts w:ascii="Aptos" w:hAnsi="Aptos"/>
                <w:sz w:val="18"/>
              </w:rPr>
              <w:t>https://www.youtube.com/watch?v=AxbdhlRWwAo</w:t>
            </w:r>
          </w:p>
        </w:tc>
      </w:tr>
      <w:tr>
        <w:tc>
          <w:tcPr>
            <w:tcW w:type="dxa" w:w="1944"/>
            <w:shd w:fill="EEF3F6"/>
            <w:tcMar>
              <w:top w:w="100" w:type="dxa"/>
              <w:start w:w="120" w:type="dxa"/>
              <w:bottom w:w="100" w:type="dxa"/>
              <w:end w:w="120" w:type="dxa"/>
            </w:tcMar>
            <w:vAlign w:val="top"/>
          </w:tcPr>
          <w:p>
            <w:r>
              <w:rPr>
                <w:rFonts w:ascii="Aptos" w:hAnsi="Aptos"/>
                <w:b/>
                <w:color w:val="20384F"/>
                <w:sz w:val="18"/>
              </w:rPr>
              <w:t>Duration</w:t>
            </w:r>
          </w:p>
        </w:tc>
        <w:tc>
          <w:tcPr>
            <w:tcW w:type="dxa" w:w="7704"/>
            <w:tcMar>
              <w:top w:w="100" w:type="dxa"/>
              <w:start w:w="120" w:type="dxa"/>
              <w:bottom w:w="100" w:type="dxa"/>
              <w:end w:w="120" w:type="dxa"/>
            </w:tcMar>
            <w:vAlign w:val="top"/>
          </w:tcPr>
          <w:p>
            <w:r>
              <w:rPr>
                <w:rFonts w:ascii="Aptos" w:hAnsi="Aptos"/>
                <w:sz w:val="18"/>
              </w:rPr>
              <w:t>1:51:36</w:t>
            </w:r>
          </w:p>
        </w:tc>
      </w:tr>
      <w:tr>
        <w:tc>
          <w:tcPr>
            <w:tcW w:type="dxa" w:w="1944"/>
            <w:shd w:fill="EEF3F6"/>
            <w:tcMar>
              <w:top w:w="100" w:type="dxa"/>
              <w:start w:w="120" w:type="dxa"/>
              <w:bottom w:w="100" w:type="dxa"/>
              <w:end w:w="120" w:type="dxa"/>
            </w:tcMar>
            <w:vAlign w:val="top"/>
          </w:tcPr>
          <w:p>
            <w:r>
              <w:rPr>
                <w:rFonts w:ascii="Aptos" w:hAnsi="Aptos"/>
                <w:b/>
                <w:color w:val="20384F"/>
                <w:sz w:val="18"/>
              </w:rPr>
              <w:t>Transcript basis</w:t>
            </w:r>
          </w:p>
        </w:tc>
        <w:tc>
          <w:tcPr>
            <w:tcW w:type="dxa" w:w="7704"/>
            <w:tcMar>
              <w:top w:w="100" w:type="dxa"/>
              <w:start w:w="120" w:type="dxa"/>
              <w:bottom w:w="100" w:type="dxa"/>
              <w:end w:w="120" w:type="dxa"/>
            </w:tcMar>
            <w:vAlign w:val="top"/>
          </w:tcPr>
          <w:p>
            <w:r>
              <w:rPr>
                <w:rFonts w:ascii="Aptos" w:hAnsi="Aptos"/>
                <w:sz w:val="18"/>
              </w:rPr>
              <w:t>Provided timestamped auto-transcript, lightly edited</w:t>
            </w:r>
          </w:p>
        </w:tc>
      </w:tr>
      <w:tr>
        <w:tc>
          <w:tcPr>
            <w:tcW w:type="dxa" w:w="1944"/>
            <w:shd w:fill="EEF3F6"/>
            <w:tcMar>
              <w:top w:w="100" w:type="dxa"/>
              <w:start w:w="120" w:type="dxa"/>
              <w:bottom w:w="100" w:type="dxa"/>
              <w:end w:w="120" w:type="dxa"/>
            </w:tcMar>
            <w:vAlign w:val="top"/>
          </w:tcPr>
          <w:p>
            <w:r>
              <w:rPr>
                <w:rFonts w:ascii="Aptos" w:hAnsi="Aptos"/>
                <w:b/>
                <w:color w:val="20384F"/>
                <w:sz w:val="18"/>
              </w:rPr>
              <w:t>Scripture translation</w:t>
            </w:r>
          </w:p>
        </w:tc>
        <w:tc>
          <w:tcPr>
            <w:tcW w:type="dxa" w:w="7704"/>
            <w:tcMar>
              <w:top w:w="100" w:type="dxa"/>
              <w:start w:w="120" w:type="dxa"/>
              <w:bottom w:w="100" w:type="dxa"/>
              <w:end w:w="120" w:type="dxa"/>
            </w:tcMar>
            <w:vAlign w:val="top"/>
          </w:tcPr>
          <w:p>
            <w:r>
              <w:rPr>
                <w:rFonts w:ascii="Aptos" w:hAnsi="Aptos"/>
                <w:sz w:val="18"/>
              </w:rPr>
              <w:t>KJV</w:t>
            </w:r>
          </w:p>
        </w:tc>
      </w:tr>
    </w:tbl>
    <w:p>
      <w:r>
        <w:br w:type="page"/>
      </w:r>
    </w:p>
    <w:p>
      <w:pPr>
        <w:pStyle w:val="Heading1"/>
      </w:pPr>
      <w:r>
        <w:t>Contents</w:t>
      </w:r>
    </w:p>
    <w:p>
      <w:pPr>
        <w:pStyle w:val="ListBullet"/>
      </w:pPr>
      <w:r>
        <w:t>Publication Note</w:t>
      </w:r>
    </w:p>
    <w:p>
      <w:pPr>
        <w:pStyle w:val="ListBullet"/>
      </w:pPr>
      <w:r>
        <w:t>Website Summary</w:t>
      </w:r>
    </w:p>
    <w:p>
      <w:pPr>
        <w:pStyle w:val="ListBullet"/>
      </w:pPr>
      <w:r>
        <w:t>Categories and Tags</w:t>
      </w:r>
    </w:p>
    <w:p>
      <w:pPr>
        <w:pStyle w:val="ListBullet"/>
      </w:pPr>
      <w:r>
        <w:t>Sermon Overview &amp; Study Guide</w:t>
      </w:r>
    </w:p>
    <w:p>
      <w:pPr>
        <w:pStyle w:val="ListBullet"/>
      </w:pPr>
      <w:r>
        <w:t>Scripture Index</w:t>
      </w:r>
    </w:p>
    <w:p>
      <w:pPr>
        <w:pStyle w:val="ListBullet"/>
      </w:pPr>
      <w:r>
        <w:t>Sources and Publication Notes</w:t>
      </w:r>
    </w:p>
    <w:p>
      <w:pPr>
        <w:pStyle w:val="Heading1"/>
      </w:pPr>
      <w:r>
        <w:t>Publication Note</w:t>
      </w:r>
    </w:p>
    <w:tbl>
      <w:tblPr>
        <w:tblW w:type="auto" w:w="0"/>
        <w:jc w:val="center"/>
        <w:tblLook w:firstColumn="1" w:firstRow="1" w:lastColumn="0" w:lastRow="0" w:noHBand="0" w:noVBand="1" w:val="04A0"/>
      </w:tblPr>
      <w:tblGrid>
        <w:gridCol w:w="9648"/>
      </w:tblGrid>
      <w:tr>
        <w:tc>
          <w:tcPr>
            <w:tcW w:type="dxa" w:w="9648"/>
            <w:shd w:fill="F7F3E8"/>
            <w:tcMar>
              <w:top w:w="160" w:type="dxa"/>
              <w:start w:w="180" w:type="dxa"/>
              <w:bottom w:w="160" w:type="dxa"/>
              <w:end w:w="180" w:type="dxa"/>
            </w:tcMar>
          </w:tcPr>
          <w:p>
            <w:r>
              <w:rPr>
                <w:rFonts w:ascii="Aptos" w:hAnsi="Aptos"/>
                <w:i/>
                <w:color w:val="4D4434"/>
                <w:sz w:val="19"/>
              </w:rPr>
              <w:t>This overview summarizes and attributes the speaker’s argument. Statements about public figures, ministries, denominations, historical events, organizations, or alleged wrongdoing should not automatically be treated as independently verified facts. Consult the full transcript and source recording for context.</w:t>
            </w:r>
          </w:p>
        </w:tc>
      </w:tr>
    </w:tbl>
    <w:p>
      <w:pPr>
        <w:pStyle w:val="Heading1"/>
      </w:pPr>
      <w:r>
        <w:t>Website Summary</w:t>
      </w:r>
    </w:p>
    <w:p>
      <w:r>
        <w:t>In “Loving Jesus,” Pastor Dean Odle uses Peter’s failure, restoration, and final testimony to ask what genuine love for Christ looks like in practice. Beginning with submission to God and resistance to the devil, he follows Peter from confident promises before the crucifixion to Jesus’ repeated question, “Lovest thou me?” and the command to feed Christ’s sheep. The sermon argues that love for Jesus cannot be reduced to emotion or religious language; it is shown through obedience, repentance, service, endurance, and a refusal to let the world displace devotion to Christ.</w:t>
      </w:r>
    </w:p>
    <w:p>
      <w:r>
        <w:t>The message then works through Peter’s call to add virtue, knowledge, temperance, patience, godliness, brotherly kindness, and charity to faith. Odle applies these qualities to personal holiness, family discipline, relationships within the church, spiritual warfare, and perseverance through coming trials. His closing appeal is to remember what Christ has done, clear away idols and distractions, forgive quickly, and deliberately cultivate an active relationship with Jesus.</w:t>
      </w:r>
    </w:p>
    <w:p>
      <w:pPr>
        <w:pStyle w:val="Heading1"/>
      </w:pPr>
      <w:r>
        <w:t>Categories and Tags</w:t>
      </w:r>
    </w:p>
    <w:p>
      <w:r>
        <w:rPr>
          <w:rFonts w:ascii="Aptos" w:hAnsi="Aptos"/>
          <w:b/>
          <w:color w:val="20384F"/>
          <w:sz w:val="21"/>
        </w:rPr>
        <w:t xml:space="preserve">Primary category: </w:t>
      </w:r>
      <w:r>
        <w:t>Christ Alone</w:t>
      </w:r>
    </w:p>
    <w:p>
      <w:r>
        <w:rPr>
          <w:rFonts w:ascii="Aptos" w:hAnsi="Aptos"/>
          <w:b/>
          <w:color w:val="20384F"/>
          <w:sz w:val="21"/>
        </w:rPr>
        <w:t xml:space="preserve">Secondary categories: </w:t>
      </w:r>
      <w:r>
        <w:t>Doctrine and Discernment, Spiritual Warfare, Christian Living, Scripture Alone</w:t>
      </w:r>
    </w:p>
    <w:p>
      <w:r>
        <w:rPr>
          <w:rFonts w:ascii="Aptos" w:hAnsi="Aptos"/>
          <w:b/>
          <w:color w:val="20384F"/>
          <w:sz w:val="21"/>
        </w:rPr>
        <w:t xml:space="preserve">Suggested content type: </w:t>
      </w:r>
      <w:r>
        <w:t>Sermon Study</w:t>
      </w:r>
    </w:p>
    <w:p>
      <w:r>
        <w:rPr>
          <w:rFonts w:ascii="Aptos" w:hAnsi="Aptos"/>
          <w:b/>
          <w:color w:val="20384F"/>
          <w:sz w:val="21"/>
        </w:rPr>
        <w:t xml:space="preserve">Tags: </w:t>
      </w:r>
      <w:r>
        <w:t>Jesus Christ, Peter, James 4, John 21, 2 Peter 1, 1 John 2, obedience, repentance, agape love, perseverance</w:t>
      </w:r>
    </w:p>
    <w:p>
      <w:pPr>
        <w:pStyle w:val="Heading1"/>
      </w:pPr>
      <w:r>
        <w:t>Sermon Overview &amp; Study Guide</w:t>
      </w:r>
    </w:p>
    <w:p>
      <w:pPr>
        <w:pStyle w:val="Heading2"/>
      </w:pPr>
      <w:r>
        <w:t>1. Worship and the Call to Surrender  |  00:00-18:00</w:t>
      </w:r>
    </w:p>
    <w:p>
      <w:r>
        <w:t>Opening worship and prayer center the heart on Christ and prepare the congregation to receive correction.</w:t>
      </w:r>
    </w:p>
    <w:p>
      <w:r>
        <w:rPr>
          <w:rFonts w:ascii="Aptos" w:hAnsi="Aptos"/>
          <w:b/>
          <w:color w:val="A77A22"/>
          <w:sz w:val="21"/>
        </w:rPr>
        <w:t xml:space="preserve">Related Scripture (KJV): </w:t>
      </w:r>
      <w:r>
        <w:t>James 4:7-8</w:t>
      </w:r>
    </w:p>
    <w:p>
      <w:pPr>
        <w:pStyle w:val="Heading2"/>
      </w:pPr>
      <w:r>
        <w:t>2. Peter’s Confidence and Failure  |  18:00-37:00</w:t>
      </w:r>
    </w:p>
    <w:p>
      <w:r>
        <w:t>Odle introduces loving Jesus through James 4 and Peter’s confident pledge before his denial, emphasizing humility and dependence on grace.</w:t>
      </w:r>
    </w:p>
    <w:p>
      <w:pPr>
        <w:pStyle w:val="Heading2"/>
      </w:pPr>
      <w:r>
        <w:t>3. “Lovest Thou Me?”  |  37:00-45:00</w:t>
      </w:r>
    </w:p>
    <w:p>
      <w:r>
        <w:t>Jesus restores Peter in John 21 and joins love for Christ to caring for His sheep.</w:t>
      </w:r>
    </w:p>
    <w:p>
      <w:pPr>
        <w:pStyle w:val="Heading2"/>
      </w:pPr>
      <w:r>
        <w:t>4. Adding to Faith  |  45:00-1:03:00</w:t>
      </w:r>
    </w:p>
    <w:p>
      <w:r>
        <w:t>Second Peter 1 becomes the sermon’s framework: believers must diligently add moral and spiritual qualities to faith rather than remain barren.</w:t>
      </w:r>
    </w:p>
    <w:p>
      <w:pPr>
        <w:pStyle w:val="Heading2"/>
      </w:pPr>
      <w:r>
        <w:t>5. Knowledge, Temperance, and Godliness  |  1:03:00-1:17:00</w:t>
      </w:r>
    </w:p>
    <w:p>
      <w:r>
        <w:t>The sermon distinguishes biblical knowledge from worldly claims and applies self-control and godliness to daily discipleship.</w:t>
      </w:r>
    </w:p>
    <w:p>
      <w:pPr>
        <w:pStyle w:val="Heading2"/>
      </w:pPr>
      <w:r>
        <w:t>6. Brotherly Kindness and Corrective Love  |  1:17:00-1:30:00</w:t>
      </w:r>
    </w:p>
    <w:p>
      <w:r>
        <w:t>Love includes forgiveness, patience, truthful correction, and responsible discipline rather than indulgence.</w:t>
      </w:r>
    </w:p>
    <w:p>
      <w:pPr>
        <w:pStyle w:val="Heading2"/>
      </w:pPr>
      <w:r>
        <w:t>7. Charity That Endures  |  1:30:00-1:49:00</w:t>
      </w:r>
    </w:p>
    <w:p>
      <w:r>
        <w:t>Agape love is presented as steadfast action that bears hardship and remains faithful under pressure.</w:t>
      </w:r>
    </w:p>
    <w:p>
      <w:pPr>
        <w:pStyle w:val="Heading2"/>
      </w:pPr>
      <w:r>
        <w:t>8. Prayer and Final Appeal  |  1:49:00-1:51:36</w:t>
      </w:r>
    </w:p>
    <w:p>
      <w:r>
        <w:t>The closing prayer asks God to make these qualities abound and to remove idols that compete with love for Jesus.</w:t>
      </w:r>
    </w:p>
    <w:p>
      <w:pPr>
        <w:pStyle w:val="Heading1"/>
      </w:pPr>
      <w:r>
        <w:t>Scripture Index</w:t>
      </w:r>
    </w:p>
    <w:p>
      <w:r>
        <w:rPr>
          <w:rFonts w:ascii="Aptos" w:hAnsi="Aptos"/>
          <w:i/>
          <w:color w:val="58636D"/>
          <w:sz w:val="18"/>
        </w:rPr>
        <w:t>References reflect passages directly named, read, quoted, or unmistakably alluded to in the sermon. Some ranges are consolidated for usefulness.</w:t>
      </w:r>
    </w:p>
    <w:tbl>
      <w:tblPr>
        <w:tblW w:type="auto" w:w="0"/>
        <w:jc w:val="center"/>
        <w:tblLayout w:type="fixed"/>
        <w:tblLook w:firstColumn="1" w:firstRow="1" w:lastColumn="0" w:lastRow="0" w:noHBand="0" w:noVBand="1" w:val="04A0"/>
      </w:tblPr>
      <w:tblGrid>
        <w:gridCol w:w="4824"/>
        <w:gridCol w:w="4824"/>
      </w:tblGrid>
      <w:tr>
        <w:tc>
          <w:tcPr>
            <w:tcW w:type="dxa" w:w="2592"/>
            <w:shd w:fill="20384F"/>
            <w:tcMar>
              <w:top w:w="100" w:type="dxa"/>
              <w:start w:w="120" w:type="dxa"/>
              <w:bottom w:w="100" w:type="dxa"/>
              <w:end w:w="120" w:type="dxa"/>
            </w:tcMar>
          </w:tcPr>
          <w:p>
            <w:r>
              <w:rPr>
                <w:rFonts w:ascii="Aptos" w:hAnsi="Aptos"/>
                <w:b/>
                <w:color w:val="FFFFFF"/>
                <w:sz w:val="18"/>
              </w:rPr>
              <w:t>Scripture</w:t>
            </w:r>
          </w:p>
        </w:tc>
        <w:tc>
          <w:tcPr>
            <w:tcW w:type="dxa" w:w="7056"/>
            <w:shd w:fill="20384F"/>
            <w:tcMar>
              <w:top w:w="100" w:type="dxa"/>
              <w:start w:w="120" w:type="dxa"/>
              <w:bottom w:w="100" w:type="dxa"/>
              <w:end w:w="120" w:type="dxa"/>
            </w:tcMar>
          </w:tcPr>
          <w:p>
            <w:r>
              <w:rPr>
                <w:rFonts w:ascii="Aptos" w:hAnsi="Aptos"/>
                <w:b/>
                <w:color w:val="FFFFFF"/>
                <w:sz w:val="18"/>
              </w:rPr>
              <w:t>Use in the Sermon</w:t>
            </w:r>
          </w:p>
        </w:tc>
      </w:tr>
      <w:tr>
        <w:tc>
          <w:tcPr>
            <w:tcW w:type="dxa" w:w="4824"/>
            <w:tcMar>
              <w:top w:w="100" w:type="dxa"/>
              <w:start w:w="120" w:type="dxa"/>
              <w:bottom w:w="100" w:type="dxa"/>
              <w:end w:w="120" w:type="dxa"/>
            </w:tcMar>
            <w:vAlign w:val="top"/>
          </w:tcPr>
          <w:p>
            <w:r>
              <w:rPr>
                <w:rFonts w:ascii="Aptos" w:hAnsi="Aptos"/>
                <w:b/>
                <w:color w:val="20384F"/>
                <w:sz w:val="18"/>
              </w:rPr>
              <w:t>James 4:7-8</w:t>
            </w:r>
          </w:p>
        </w:tc>
        <w:tc>
          <w:tcPr>
            <w:tcW w:type="dxa" w:w="4824"/>
            <w:tcMar>
              <w:top w:w="100" w:type="dxa"/>
              <w:start w:w="120" w:type="dxa"/>
              <w:bottom w:w="100" w:type="dxa"/>
              <w:end w:w="120" w:type="dxa"/>
            </w:tcMar>
            <w:vAlign w:val="top"/>
          </w:tcPr>
          <w:p>
            <w:r>
              <w:rPr>
                <w:rFonts w:ascii="Aptos" w:hAnsi="Aptos"/>
                <w:sz w:val="18"/>
              </w:rPr>
              <w:t>Submission to God, resistance to the devil, and drawing near to God.</w:t>
            </w:r>
          </w:p>
        </w:tc>
      </w:tr>
      <w:tr>
        <w:tc>
          <w:tcPr>
            <w:tcW w:type="dxa" w:w="4824"/>
            <w:tcMar>
              <w:top w:w="100" w:type="dxa"/>
              <w:start w:w="120" w:type="dxa"/>
              <w:bottom w:w="100" w:type="dxa"/>
              <w:end w:w="120" w:type="dxa"/>
            </w:tcMar>
            <w:vAlign w:val="top"/>
          </w:tcPr>
          <w:p>
            <w:r>
              <w:rPr>
                <w:rFonts w:ascii="Aptos" w:hAnsi="Aptos"/>
                <w:b/>
                <w:color w:val="20384F"/>
                <w:sz w:val="18"/>
              </w:rPr>
              <w:t>Luke 22:21-34</w:t>
            </w:r>
          </w:p>
        </w:tc>
        <w:tc>
          <w:tcPr>
            <w:tcW w:type="dxa" w:w="4824"/>
            <w:tcMar>
              <w:top w:w="100" w:type="dxa"/>
              <w:start w:w="120" w:type="dxa"/>
              <w:bottom w:w="100" w:type="dxa"/>
              <w:end w:w="120" w:type="dxa"/>
            </w:tcMar>
            <w:vAlign w:val="top"/>
          </w:tcPr>
          <w:p>
            <w:r>
              <w:rPr>
                <w:rFonts w:ascii="Aptos" w:hAnsi="Aptos"/>
                <w:sz w:val="18"/>
              </w:rPr>
              <w:t>Peter’s confidence, coming testing, denial, and Christ’s prayer for him.</w:t>
            </w:r>
          </w:p>
        </w:tc>
      </w:tr>
      <w:tr>
        <w:tc>
          <w:tcPr>
            <w:tcW w:type="dxa" w:w="4824"/>
            <w:tcMar>
              <w:top w:w="100" w:type="dxa"/>
              <w:start w:w="120" w:type="dxa"/>
              <w:bottom w:w="100" w:type="dxa"/>
              <w:end w:w="120" w:type="dxa"/>
            </w:tcMar>
            <w:vAlign w:val="top"/>
          </w:tcPr>
          <w:p>
            <w:r>
              <w:rPr>
                <w:rFonts w:ascii="Aptos" w:hAnsi="Aptos"/>
                <w:b/>
                <w:color w:val="20384F"/>
                <w:sz w:val="18"/>
              </w:rPr>
              <w:t>John 21:14-17</w:t>
            </w:r>
          </w:p>
        </w:tc>
        <w:tc>
          <w:tcPr>
            <w:tcW w:type="dxa" w:w="4824"/>
            <w:tcMar>
              <w:top w:w="100" w:type="dxa"/>
              <w:start w:w="120" w:type="dxa"/>
              <w:bottom w:w="100" w:type="dxa"/>
              <w:end w:w="120" w:type="dxa"/>
            </w:tcMar>
            <w:vAlign w:val="top"/>
          </w:tcPr>
          <w:p>
            <w:r>
              <w:rPr>
                <w:rFonts w:ascii="Aptos" w:hAnsi="Aptos"/>
                <w:sz w:val="18"/>
              </w:rPr>
              <w:t>Jesus asks Peter whether he loves Him and commands him to feed His sheep.</w:t>
            </w:r>
          </w:p>
        </w:tc>
      </w:tr>
      <w:tr>
        <w:tc>
          <w:tcPr>
            <w:tcW w:type="dxa" w:w="4824"/>
            <w:tcMar>
              <w:top w:w="100" w:type="dxa"/>
              <w:start w:w="120" w:type="dxa"/>
              <w:bottom w:w="100" w:type="dxa"/>
              <w:end w:w="120" w:type="dxa"/>
            </w:tcMar>
            <w:vAlign w:val="top"/>
          </w:tcPr>
          <w:p>
            <w:r>
              <w:rPr>
                <w:rFonts w:ascii="Aptos" w:hAnsi="Aptos"/>
                <w:b/>
                <w:color w:val="20384F"/>
                <w:sz w:val="18"/>
              </w:rPr>
              <w:t>1 John 2:15-17</w:t>
            </w:r>
          </w:p>
        </w:tc>
        <w:tc>
          <w:tcPr>
            <w:tcW w:type="dxa" w:w="4824"/>
            <w:tcMar>
              <w:top w:w="100" w:type="dxa"/>
              <w:start w:w="120" w:type="dxa"/>
              <w:bottom w:w="100" w:type="dxa"/>
              <w:end w:w="120" w:type="dxa"/>
            </w:tcMar>
            <w:vAlign w:val="top"/>
          </w:tcPr>
          <w:p>
            <w:r>
              <w:rPr>
                <w:rFonts w:ascii="Aptos" w:hAnsi="Aptos"/>
                <w:sz w:val="18"/>
              </w:rPr>
              <w:t>Love of the world is contrasted with love of the Father.</w:t>
            </w:r>
          </w:p>
        </w:tc>
      </w:tr>
      <w:tr>
        <w:tc>
          <w:tcPr>
            <w:tcW w:type="dxa" w:w="4824"/>
            <w:tcMar>
              <w:top w:w="100" w:type="dxa"/>
              <w:start w:w="120" w:type="dxa"/>
              <w:bottom w:w="100" w:type="dxa"/>
              <w:end w:w="120" w:type="dxa"/>
            </w:tcMar>
            <w:vAlign w:val="top"/>
          </w:tcPr>
          <w:p>
            <w:r>
              <w:rPr>
                <w:rFonts w:ascii="Aptos" w:hAnsi="Aptos"/>
                <w:b/>
                <w:color w:val="20384F"/>
                <w:sz w:val="18"/>
              </w:rPr>
              <w:t>2 Peter 1:1-11</w:t>
            </w:r>
          </w:p>
        </w:tc>
        <w:tc>
          <w:tcPr>
            <w:tcW w:type="dxa" w:w="4824"/>
            <w:tcMar>
              <w:top w:w="100" w:type="dxa"/>
              <w:start w:w="120" w:type="dxa"/>
              <w:bottom w:w="100" w:type="dxa"/>
              <w:end w:w="120" w:type="dxa"/>
            </w:tcMar>
            <w:vAlign w:val="top"/>
          </w:tcPr>
          <w:p>
            <w:r>
              <w:rPr>
                <w:rFonts w:ascii="Aptos" w:hAnsi="Aptos"/>
                <w:sz w:val="18"/>
              </w:rPr>
              <w:t>The principal framework for adding virtue, knowledge, temperance, patience, godliness, brotherly kindness, and charity to faith.</w:t>
            </w:r>
          </w:p>
        </w:tc>
      </w:tr>
      <w:tr>
        <w:tc>
          <w:tcPr>
            <w:tcW w:type="dxa" w:w="4824"/>
            <w:tcMar>
              <w:top w:w="100" w:type="dxa"/>
              <w:start w:w="120" w:type="dxa"/>
              <w:bottom w:w="100" w:type="dxa"/>
              <w:end w:w="120" w:type="dxa"/>
            </w:tcMar>
            <w:vAlign w:val="top"/>
          </w:tcPr>
          <w:p>
            <w:r>
              <w:rPr>
                <w:rFonts w:ascii="Aptos" w:hAnsi="Aptos"/>
                <w:b/>
                <w:color w:val="20384F"/>
                <w:sz w:val="18"/>
              </w:rPr>
              <w:t>John 14:12</w:t>
            </w:r>
          </w:p>
        </w:tc>
        <w:tc>
          <w:tcPr>
            <w:tcW w:type="dxa" w:w="4824"/>
            <w:tcMar>
              <w:top w:w="100" w:type="dxa"/>
              <w:start w:w="120" w:type="dxa"/>
              <w:bottom w:w="100" w:type="dxa"/>
              <w:end w:w="120" w:type="dxa"/>
            </w:tcMar>
            <w:vAlign w:val="top"/>
          </w:tcPr>
          <w:p>
            <w:r>
              <w:rPr>
                <w:rFonts w:ascii="Aptos" w:hAnsi="Aptos"/>
                <w:sz w:val="18"/>
              </w:rPr>
              <w:t>Believers are called to continue Christ’s works through faith.</w:t>
            </w:r>
          </w:p>
        </w:tc>
      </w:tr>
      <w:tr>
        <w:tc>
          <w:tcPr>
            <w:tcW w:type="dxa" w:w="4824"/>
            <w:tcMar>
              <w:top w:w="100" w:type="dxa"/>
              <w:start w:w="120" w:type="dxa"/>
              <w:bottom w:w="100" w:type="dxa"/>
              <w:end w:w="120" w:type="dxa"/>
            </w:tcMar>
            <w:vAlign w:val="top"/>
          </w:tcPr>
          <w:p>
            <w:r>
              <w:rPr>
                <w:rFonts w:ascii="Aptos" w:hAnsi="Aptos"/>
                <w:b/>
                <w:color w:val="20384F"/>
                <w:sz w:val="18"/>
              </w:rPr>
              <w:t>Titus 2:11-14</w:t>
            </w:r>
          </w:p>
        </w:tc>
        <w:tc>
          <w:tcPr>
            <w:tcW w:type="dxa" w:w="4824"/>
            <w:tcMar>
              <w:top w:w="100" w:type="dxa"/>
              <w:start w:w="120" w:type="dxa"/>
              <w:bottom w:w="100" w:type="dxa"/>
              <w:end w:w="120" w:type="dxa"/>
            </w:tcMar>
            <w:vAlign w:val="top"/>
          </w:tcPr>
          <w:p>
            <w:r>
              <w:rPr>
                <w:rFonts w:ascii="Aptos" w:hAnsi="Aptos"/>
                <w:sz w:val="18"/>
              </w:rPr>
              <w:t>Grace teaches believers to deny ungodliness and live soberly.</w:t>
            </w:r>
          </w:p>
        </w:tc>
      </w:tr>
      <w:tr>
        <w:tc>
          <w:tcPr>
            <w:tcW w:type="dxa" w:w="4824"/>
            <w:tcMar>
              <w:top w:w="100" w:type="dxa"/>
              <w:start w:w="120" w:type="dxa"/>
              <w:bottom w:w="100" w:type="dxa"/>
              <w:end w:w="120" w:type="dxa"/>
            </w:tcMar>
            <w:vAlign w:val="top"/>
          </w:tcPr>
          <w:p>
            <w:r>
              <w:rPr>
                <w:rFonts w:ascii="Aptos" w:hAnsi="Aptos"/>
                <w:b/>
                <w:color w:val="20384F"/>
                <w:sz w:val="18"/>
              </w:rPr>
              <w:t>John 13:34-35</w:t>
            </w:r>
          </w:p>
        </w:tc>
        <w:tc>
          <w:tcPr>
            <w:tcW w:type="dxa" w:w="4824"/>
            <w:tcMar>
              <w:top w:w="100" w:type="dxa"/>
              <w:start w:w="120" w:type="dxa"/>
              <w:bottom w:w="100" w:type="dxa"/>
              <w:end w:w="120" w:type="dxa"/>
            </w:tcMar>
            <w:vAlign w:val="top"/>
          </w:tcPr>
          <w:p>
            <w:r>
              <w:rPr>
                <w:rFonts w:ascii="Aptos" w:hAnsi="Aptos"/>
                <w:sz w:val="18"/>
              </w:rPr>
              <w:t>Love among disciples is a public mark of following Jesus.</w:t>
            </w:r>
          </w:p>
        </w:tc>
      </w:tr>
    </w:tbl>
    <w:p>
      <w:pPr>
        <w:pStyle w:val="Heading1"/>
      </w:pPr>
      <w:r>
        <w:t>Sources and Publication Notes</w:t>
      </w:r>
    </w:p>
    <w:p>
      <w:r>
        <w:t>Canonical source: https://www.youtube.com/watch?v=AxbdhlRWwAo</w:t>
      </w:r>
    </w:p>
    <w:p>
      <w:r>
        <w:t>Transcript basis: timestamped transcript supplied in the processing package. Obvious caption artifacts, filler, immediate repetitions, and abandoned fragments were lightly edited for readability while preserving substantive statements, sequence, examples, and claims.</w:t>
      </w:r>
    </w:p>
    <w:p>
      <w:r>
        <w:t>Editorial scope: the study guide follows the sermon chronologically and attributes interpretation to the speaker. It does not independently verify historical, denominational, political, scientific, medical, or institutional assertions made in the sermon. Scripture quotations and references are presented as King James Version (KJV).</w:t>
      </w:r>
    </w:p>
    <w:sectPr w:rsidR="00FC693F" w:rsidRPr="0006063C" w:rsidSect="00034616">
      <w:headerReference w:type="default" r:id="rId9"/>
      <w:footerReference w:type="default" r:id="rId10"/>
      <w:pgSz w:w="12240" w:h="15840"/>
      <w:pgMar w:top="1224" w:right="1296" w:bottom="1152"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8636D"/>
        <w:sz w:val="16"/>
      </w:rPr>
      <w:t xml:space="preserve">WATCHMAN 33  •  </w:t>
    </w:r>
    <w:r>
      <w:fldChar w:fldCharType="begin"/>
    </w:r>
    <w:r>
      <w:instrText xml:space="preserve">PAGE</w:instrText>
    </w:r>
    <w:r>
      <w:fldChar w:fldCharType="separate"/>
    </w:r>
    <w:r>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58636D"/>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84F"/>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A77A22"/>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20384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20384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320"/>
    </w:pPr>
    <w:rPr>
      <w:rFonts w:asciiTheme="majorHAnsi" w:eastAsiaTheme="majorEastAsia" w:hAnsiTheme="majorHAnsi" w:cstheme="majorBidi" w:ascii="Aptos Display" w:hAnsi="Aptos Display"/>
      <w:b w:val="0"/>
      <w:i/>
      <w:iCs/>
      <w:color w:val="58636D"/>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