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Pushed</w:t>
      </w:r>
    </w:p>
    <w:p>
      <w:pPr>
        <w:pStyle w:val="Subtitle"/>
        <w:jc w:val="center"/>
      </w:pPr>
      <w:r>
        <w:t>Publication Package • Sermon Overview &amp; Study Guide</w:t>
      </w:r>
    </w:p>
    <w:p>
      <w:pPr>
        <w:jc w:val="center"/>
      </w:pPr>
      <w:r>
        <w:rPr>
          <w:rFonts w:ascii="Aptos" w:hAnsi="Aptos"/>
          <w:b/>
          <w:color w:val="58636D"/>
          <w:sz w:val="20"/>
        </w:rPr>
        <w:t>Pastor Dean Odle  |  Fire &amp; Grace Church</w:t>
      </w:r>
    </w:p>
    <w:tbl>
      <w:tblPr>
        <w:tblW w:type="auto" w:w="0"/>
        <w:jc w:val="center"/>
        <w:tblLayout w:type="fixed"/>
        <w:tblLook w:firstColumn="1" w:firstRow="1" w:lastColumn="0" w:lastRow="0" w:noHBand="0" w:noVBand="1" w:val="04A0"/>
      </w:tblPr>
      <w:tblGrid>
        <w:gridCol w:w="4824"/>
        <w:gridCol w:w="4824"/>
      </w:tblGrid>
      <w:tr>
        <w:tc>
          <w:tcPr>
            <w:tcW w:type="dxa" w:w="1944"/>
            <w:shd w:fill="EEF3F6"/>
            <w:tcMar>
              <w:top w:w="100" w:type="dxa"/>
              <w:start w:w="120" w:type="dxa"/>
              <w:bottom w:w="100" w:type="dxa"/>
              <w:end w:w="120" w:type="dxa"/>
            </w:tcMar>
            <w:vAlign w:val="top"/>
          </w:tcPr>
          <w:p>
            <w:r>
              <w:rPr>
                <w:rFonts w:ascii="Aptos" w:hAnsi="Aptos"/>
                <w:b/>
                <w:color w:val="20384F"/>
                <w:sz w:val="18"/>
              </w:rPr>
              <w:t>Speaker</w:t>
            </w:r>
          </w:p>
        </w:tc>
        <w:tc>
          <w:tcPr>
            <w:tcW w:type="dxa" w:w="7704"/>
            <w:tcMar>
              <w:top w:w="100" w:type="dxa"/>
              <w:start w:w="120" w:type="dxa"/>
              <w:bottom w:w="100" w:type="dxa"/>
              <w:end w:w="120" w:type="dxa"/>
            </w:tcMar>
            <w:vAlign w:val="top"/>
          </w:tcPr>
          <w:p>
            <w:r>
              <w:rPr>
                <w:rFonts w:ascii="Aptos" w:hAnsi="Aptos"/>
                <w:sz w:val="18"/>
              </w:rPr>
              <w:t>Pastor Dean Odle</w:t>
            </w:r>
          </w:p>
        </w:tc>
      </w:tr>
      <w:tr>
        <w:tc>
          <w:tcPr>
            <w:tcW w:type="dxa" w:w="1944"/>
            <w:shd w:fill="EEF3F6"/>
            <w:tcMar>
              <w:top w:w="100" w:type="dxa"/>
              <w:start w:w="120" w:type="dxa"/>
              <w:bottom w:w="100" w:type="dxa"/>
              <w:end w:w="120" w:type="dxa"/>
            </w:tcMar>
            <w:vAlign w:val="top"/>
          </w:tcPr>
          <w:p>
            <w:r>
              <w:rPr>
                <w:rFonts w:ascii="Aptos" w:hAnsi="Aptos"/>
                <w:b/>
                <w:color w:val="20384F"/>
                <w:sz w:val="18"/>
              </w:rPr>
              <w:t>Source</w:t>
            </w:r>
          </w:p>
        </w:tc>
        <w:tc>
          <w:tcPr>
            <w:tcW w:type="dxa" w:w="7704"/>
            <w:tcMar>
              <w:top w:w="100" w:type="dxa"/>
              <w:start w:w="120" w:type="dxa"/>
              <w:bottom w:w="100" w:type="dxa"/>
              <w:end w:w="120" w:type="dxa"/>
            </w:tcMar>
            <w:vAlign w:val="top"/>
          </w:tcPr>
          <w:p>
            <w:r>
              <w:rPr>
                <w:rFonts w:ascii="Aptos" w:hAnsi="Aptos"/>
                <w:sz w:val="18"/>
              </w:rPr>
              <w:t>https://www.youtube.com/watch?v=s688tfJ13io</w:t>
            </w:r>
          </w:p>
        </w:tc>
      </w:tr>
      <w:tr>
        <w:tc>
          <w:tcPr>
            <w:tcW w:type="dxa" w:w="1944"/>
            <w:shd w:fill="EEF3F6"/>
            <w:tcMar>
              <w:top w:w="100" w:type="dxa"/>
              <w:start w:w="120" w:type="dxa"/>
              <w:bottom w:w="100" w:type="dxa"/>
              <w:end w:w="120" w:type="dxa"/>
            </w:tcMar>
            <w:vAlign w:val="top"/>
          </w:tcPr>
          <w:p>
            <w:r>
              <w:rPr>
                <w:rFonts w:ascii="Aptos" w:hAnsi="Aptos"/>
                <w:b/>
                <w:color w:val="20384F"/>
                <w:sz w:val="18"/>
              </w:rPr>
              <w:t>Duration</w:t>
            </w:r>
          </w:p>
        </w:tc>
        <w:tc>
          <w:tcPr>
            <w:tcW w:type="dxa" w:w="7704"/>
            <w:tcMar>
              <w:top w:w="100" w:type="dxa"/>
              <w:start w:w="120" w:type="dxa"/>
              <w:bottom w:w="100" w:type="dxa"/>
              <w:end w:w="120" w:type="dxa"/>
            </w:tcMar>
            <w:vAlign w:val="top"/>
          </w:tcPr>
          <w:p>
            <w:r>
              <w:rPr>
                <w:rFonts w:ascii="Aptos" w:hAnsi="Aptos"/>
                <w:sz w:val="18"/>
              </w:rPr>
              <w:t>1:37:39</w:t>
            </w:r>
          </w:p>
        </w:tc>
      </w:tr>
      <w:tr>
        <w:tc>
          <w:tcPr>
            <w:tcW w:type="dxa" w:w="1944"/>
            <w:shd w:fill="EEF3F6"/>
            <w:tcMar>
              <w:top w:w="100" w:type="dxa"/>
              <w:start w:w="120" w:type="dxa"/>
              <w:bottom w:w="100" w:type="dxa"/>
              <w:end w:w="120" w:type="dxa"/>
            </w:tcMar>
            <w:vAlign w:val="top"/>
          </w:tcPr>
          <w:p>
            <w:r>
              <w:rPr>
                <w:rFonts w:ascii="Aptos" w:hAnsi="Aptos"/>
                <w:b/>
                <w:color w:val="20384F"/>
                <w:sz w:val="18"/>
              </w:rPr>
              <w:t>Transcript basis</w:t>
            </w:r>
          </w:p>
        </w:tc>
        <w:tc>
          <w:tcPr>
            <w:tcW w:type="dxa" w:w="7704"/>
            <w:tcMar>
              <w:top w:w="100" w:type="dxa"/>
              <w:start w:w="120" w:type="dxa"/>
              <w:bottom w:w="100" w:type="dxa"/>
              <w:end w:w="120" w:type="dxa"/>
            </w:tcMar>
            <w:vAlign w:val="top"/>
          </w:tcPr>
          <w:p>
            <w:r>
              <w:rPr>
                <w:rFonts w:ascii="Aptos" w:hAnsi="Aptos"/>
                <w:sz w:val="18"/>
              </w:rPr>
              <w:t>Provided timestamped auto-transcript, lightly edited</w:t>
            </w:r>
          </w:p>
        </w:tc>
      </w:tr>
      <w:tr>
        <w:tc>
          <w:tcPr>
            <w:tcW w:type="dxa" w:w="1944"/>
            <w:shd w:fill="EEF3F6"/>
            <w:tcMar>
              <w:top w:w="100" w:type="dxa"/>
              <w:start w:w="120" w:type="dxa"/>
              <w:bottom w:w="100" w:type="dxa"/>
              <w:end w:w="120" w:type="dxa"/>
            </w:tcMar>
            <w:vAlign w:val="top"/>
          </w:tcPr>
          <w:p>
            <w:r>
              <w:rPr>
                <w:rFonts w:ascii="Aptos" w:hAnsi="Aptos"/>
                <w:b/>
                <w:color w:val="20384F"/>
                <w:sz w:val="18"/>
              </w:rPr>
              <w:t>Scripture translation</w:t>
            </w:r>
          </w:p>
        </w:tc>
        <w:tc>
          <w:tcPr>
            <w:tcW w:type="dxa" w:w="7704"/>
            <w:tcMar>
              <w:top w:w="100" w:type="dxa"/>
              <w:start w:w="120" w:type="dxa"/>
              <w:bottom w:w="100" w:type="dxa"/>
              <w:end w:w="120" w:type="dxa"/>
            </w:tcMar>
            <w:vAlign w:val="top"/>
          </w:tcPr>
          <w:p>
            <w:r>
              <w:rPr>
                <w:rFonts w:ascii="Aptos" w:hAnsi="Aptos"/>
                <w:sz w:val="18"/>
              </w:rPr>
              <w:t>KJV</w:t>
            </w:r>
          </w:p>
        </w:tc>
      </w:tr>
    </w:tbl>
    <w:p>
      <w:r>
        <w:br w:type="page"/>
      </w:r>
    </w:p>
    <w:p>
      <w:pPr>
        <w:pStyle w:val="Heading1"/>
      </w:pPr>
      <w:r>
        <w:t>Contents</w:t>
      </w:r>
    </w:p>
    <w:p>
      <w:pPr>
        <w:pStyle w:val="ListBullet"/>
      </w:pPr>
      <w:r>
        <w:t>Publication Note</w:t>
      </w:r>
    </w:p>
    <w:p>
      <w:pPr>
        <w:pStyle w:val="ListBullet"/>
      </w:pPr>
      <w:r>
        <w:t>Website Summary</w:t>
      </w:r>
    </w:p>
    <w:p>
      <w:pPr>
        <w:pStyle w:val="ListBullet"/>
      </w:pPr>
      <w:r>
        <w:t>Categories and Tags</w:t>
      </w:r>
    </w:p>
    <w:p>
      <w:pPr>
        <w:pStyle w:val="ListBullet"/>
      </w:pPr>
      <w:r>
        <w:t>Sermon Overview &amp; Study Guide</w:t>
      </w:r>
    </w:p>
    <w:p>
      <w:pPr>
        <w:pStyle w:val="ListBullet"/>
      </w:pPr>
      <w:r>
        <w:t>Scripture Index</w:t>
      </w:r>
    </w:p>
    <w:p>
      <w:pPr>
        <w:pStyle w:val="ListBullet"/>
      </w:pPr>
      <w:r>
        <w:t>Sources and Publication Notes</w:t>
      </w:r>
    </w:p>
    <w:p>
      <w:pPr>
        <w:pStyle w:val="Heading1"/>
      </w:pPr>
      <w:r>
        <w:t>Publication Note</w:t>
      </w:r>
    </w:p>
    <w:tbl>
      <w:tblPr>
        <w:tblW w:type="auto" w:w="0"/>
        <w:jc w:val="center"/>
        <w:tblLook w:firstColumn="1" w:firstRow="1" w:lastColumn="0" w:lastRow="0" w:noHBand="0" w:noVBand="1" w:val="04A0"/>
      </w:tblPr>
      <w:tblGrid>
        <w:gridCol w:w="9648"/>
      </w:tblGrid>
      <w:tr>
        <w:tc>
          <w:tcPr>
            <w:tcW w:type="dxa" w:w="9648"/>
            <w:shd w:fill="F7F3E8"/>
            <w:tcMar>
              <w:top w:w="160" w:type="dxa"/>
              <w:start w:w="180" w:type="dxa"/>
              <w:bottom w:w="160" w:type="dxa"/>
              <w:end w:w="180" w:type="dxa"/>
            </w:tcMar>
          </w:tcPr>
          <w:p>
            <w:r>
              <w:rPr>
                <w:rFonts w:ascii="Aptos" w:hAnsi="Aptos"/>
                <w:i/>
                <w:color w:val="4D4434"/>
                <w:sz w:val="19"/>
              </w:rPr>
              <w:t>This overview summarizes and attributes the speaker’s argument. Statements about public figures, ministries, denominations, historical events, organizations, or alleged wrongdoing should not automatically be treated as independently verified facts. Consult the full transcript and source recording for context.</w:t>
            </w:r>
          </w:p>
        </w:tc>
      </w:tr>
    </w:tbl>
    <w:p>
      <w:pPr>
        <w:pStyle w:val="Heading1"/>
      </w:pPr>
      <w:r>
        <w:t>Website Summary</w:t>
      </w:r>
    </w:p>
    <w:p>
      <w:r>
        <w:t>“Pushed” uses the fiery furnace account in Daniel 3 as a pattern for end-time pressure to worship an antichrist system. Pastor Dean Odle traces Nebuchadnezzar’s image, compulsory worship, accusation against dissenters, and threat of death, then connects that pattern to Revelation’s beast, image, mark, and global worship. His central warning is that believers must settle beforehand that they will not bow, even when economic exclusion, government coercion, or death is used to force compliance.</w:t>
      </w:r>
    </w:p>
    <w:p>
      <w:r>
        <w:t>The sermon emphasizes God’s presence with Shadrach, Meshach, and Abednego in the fire and the resurrection hope promised to faithful saints. Odle disputes interpretations that place Revelation’s fulfillment entirely in the past, teaches that the mark is a future test of allegiance, and urges the church to confess Christ without fear. The title also applies to the congregation’s circumstances: pressure surrounding its meeting place has pushed the ministry toward purchasing land and planning a new building. The final application is that God can use unwanted pressure to move His people into His timing and purpose.</w:t>
      </w:r>
    </w:p>
    <w:p>
      <w:pPr>
        <w:pStyle w:val="Heading1"/>
      </w:pPr>
      <w:r>
        <w:t>Categories and Tags</w:t>
      </w:r>
    </w:p>
    <w:p>
      <w:r>
        <w:rPr>
          <w:rFonts w:ascii="Aptos" w:hAnsi="Aptos"/>
          <w:b/>
          <w:color w:val="20384F"/>
          <w:sz w:val="21"/>
        </w:rPr>
        <w:t xml:space="preserve">Primary category: </w:t>
      </w:r>
      <w:r>
        <w:t>End Times</w:t>
      </w:r>
    </w:p>
    <w:p>
      <w:r>
        <w:rPr>
          <w:rFonts w:ascii="Aptos" w:hAnsi="Aptos"/>
          <w:b/>
          <w:color w:val="20384F"/>
          <w:sz w:val="21"/>
        </w:rPr>
        <w:t xml:space="preserve">Secondary categories: </w:t>
      </w:r>
      <w:r>
        <w:t>Bible Prophecy, Revelation, Spiritual Warfare, Doctrine and Discernment</w:t>
      </w:r>
    </w:p>
    <w:p>
      <w:r>
        <w:rPr>
          <w:rFonts w:ascii="Aptos" w:hAnsi="Aptos"/>
          <w:b/>
          <w:color w:val="20384F"/>
          <w:sz w:val="21"/>
        </w:rPr>
        <w:t xml:space="preserve">Suggested content type: </w:t>
      </w:r>
      <w:r>
        <w:t>Sermon Study</w:t>
      </w:r>
    </w:p>
    <w:p>
      <w:r>
        <w:rPr>
          <w:rFonts w:ascii="Aptos" w:hAnsi="Aptos"/>
          <w:b/>
          <w:color w:val="20384F"/>
          <w:sz w:val="21"/>
        </w:rPr>
        <w:t xml:space="preserve">Tags: </w:t>
      </w:r>
      <w:r>
        <w:t>Daniel 3, Revelation 13, Revelation 14, mark of the beast, Antichrist, fiery furnace, persecution, resurrection, faithfulness, church building</w:t>
      </w:r>
    </w:p>
    <w:p>
      <w:pPr>
        <w:pStyle w:val="Heading1"/>
      </w:pPr>
      <w:r>
        <w:t>Sermon Overview &amp; Study Guide</w:t>
      </w:r>
    </w:p>
    <w:p>
      <w:pPr>
        <w:pStyle w:val="Heading2"/>
      </w:pPr>
      <w:r>
        <w:t>1. Worship and Holiness  |  00:00-10:00</w:t>
      </w:r>
    </w:p>
    <w:p>
      <w:r>
        <w:t>Opening worship stresses Christ’s power, holiness, and the seriousness of Christian confession.</w:t>
      </w:r>
    </w:p>
    <w:p>
      <w:r>
        <w:rPr>
          <w:rFonts w:ascii="Aptos" w:hAnsi="Aptos"/>
          <w:b/>
          <w:color w:val="A77A22"/>
          <w:sz w:val="21"/>
        </w:rPr>
        <w:t xml:space="preserve">Related Scripture (KJV): </w:t>
      </w:r>
      <w:r>
        <w:t>Daniel 3:1-30</w:t>
      </w:r>
    </w:p>
    <w:p>
      <w:pPr>
        <w:pStyle w:val="Heading2"/>
      </w:pPr>
      <w:r>
        <w:t>2. The Image and Forced Worship  |  10:00-25:00</w:t>
      </w:r>
    </w:p>
    <w:p>
      <w:r>
        <w:t>Daniel 3 introduces a state-backed image, mandated worship, accusation, and threatened execution.</w:t>
      </w:r>
    </w:p>
    <w:p>
      <w:pPr>
        <w:pStyle w:val="Heading2"/>
      </w:pPr>
      <w:r>
        <w:t>3. Daniel and Revelation  |  25:00-40:00</w:t>
      </w:r>
    </w:p>
    <w:p>
      <w:r>
        <w:t>Odle connects Nebuchadnezzar’s pattern with Revelation 13 and defends a future fulfillment of the beast prophecy.</w:t>
      </w:r>
    </w:p>
    <w:p>
      <w:r>
        <w:rPr>
          <w:rFonts w:ascii="Aptos" w:hAnsi="Aptos"/>
          <w:b/>
          <w:color w:val="A77A22"/>
          <w:sz w:val="21"/>
        </w:rPr>
        <w:t xml:space="preserve">Related Scripture (KJV): </w:t>
      </w:r>
      <w:r>
        <w:t>Daniel 3:1-30; Revelation 13:1-18</w:t>
      </w:r>
    </w:p>
    <w:p>
      <w:pPr>
        <w:pStyle w:val="Heading2"/>
      </w:pPr>
      <w:r>
        <w:t>4. The Furnace and the Fourth Man  |  40:00-55:00</w:t>
      </w:r>
    </w:p>
    <w:p>
      <w:r>
        <w:t>The three Hebrews refuse to bow, are cast into the furnace, and encounter divine presence in the trial.</w:t>
      </w:r>
    </w:p>
    <w:p>
      <w:pPr>
        <w:pStyle w:val="Heading2"/>
      </w:pPr>
      <w:r>
        <w:t>5. The Coming Mark  |  55:00-1:09:00</w:t>
      </w:r>
    </w:p>
    <w:p>
      <w:r>
        <w:t>The sermon applies the pattern to economic coercion and worship connected with the mark of the beast.</w:t>
      </w:r>
    </w:p>
    <w:p>
      <w:pPr>
        <w:pStyle w:val="Heading2"/>
      </w:pPr>
      <w:r>
        <w:t>6. Do Not Worship the Beast  |  1:09:00-1:20:00</w:t>
      </w:r>
    </w:p>
    <w:p>
      <w:r>
        <w:t>Revelation 14’s warning is treated as a decisive call to endure rather than save one’s life through compromise.</w:t>
      </w:r>
    </w:p>
    <w:p>
      <w:pPr>
        <w:pStyle w:val="Heading2"/>
      </w:pPr>
      <w:r>
        <w:t>7. Resurrection and Public Confession  |  1:20:00-1:30:00</w:t>
      </w:r>
    </w:p>
    <w:p>
      <w:r>
        <w:t>Hope in resurrection and Christ’s promise to confess faithful witnesses strengthen resistance to fear.</w:t>
      </w:r>
    </w:p>
    <w:p>
      <w:pPr>
        <w:pStyle w:val="Heading2"/>
      </w:pPr>
      <w:r>
        <w:t>8. Prayer for Courage  |  1:30:00-1:35:00</w:t>
      </w:r>
    </w:p>
    <w:p>
      <w:r>
        <w:t>The church is urged to decide now that it will stand, trust Christ, and refuse the system.</w:t>
      </w:r>
    </w:p>
    <w:p>
      <w:pPr>
        <w:pStyle w:val="Heading2"/>
      </w:pPr>
      <w:r>
        <w:t>9. Pushed Into God’s Timing  |  1:35:00-1:37:39</w:t>
      </w:r>
    </w:p>
    <w:p>
      <w:r>
        <w:t>An update on land and building plans explains how external pressure moved the congregation toward a timely expansion.</w:t>
      </w:r>
    </w:p>
    <w:p>
      <w:pPr>
        <w:pStyle w:val="Heading1"/>
      </w:pPr>
      <w:r>
        <w:t>Scripture Index</w:t>
      </w:r>
    </w:p>
    <w:p>
      <w:r>
        <w:rPr>
          <w:rFonts w:ascii="Aptos" w:hAnsi="Aptos"/>
          <w:i/>
          <w:color w:val="58636D"/>
          <w:sz w:val="18"/>
        </w:rPr>
        <w:t>References reflect passages directly named, read, quoted, or unmistakably alluded to in the sermon. Some ranges are consolidated for usefulness.</w:t>
      </w:r>
    </w:p>
    <w:tbl>
      <w:tblPr>
        <w:tblW w:type="auto" w:w="0"/>
        <w:jc w:val="center"/>
        <w:tblLayout w:type="fixed"/>
        <w:tblLook w:firstColumn="1" w:firstRow="1" w:lastColumn="0" w:lastRow="0" w:noHBand="0" w:noVBand="1" w:val="04A0"/>
      </w:tblPr>
      <w:tblGrid>
        <w:gridCol w:w="4824"/>
        <w:gridCol w:w="4824"/>
      </w:tblGrid>
      <w:tr>
        <w:tc>
          <w:tcPr>
            <w:tcW w:type="dxa" w:w="2592"/>
            <w:shd w:fill="20384F"/>
            <w:tcMar>
              <w:top w:w="100" w:type="dxa"/>
              <w:start w:w="120" w:type="dxa"/>
              <w:bottom w:w="100" w:type="dxa"/>
              <w:end w:w="120" w:type="dxa"/>
            </w:tcMar>
          </w:tcPr>
          <w:p>
            <w:r>
              <w:rPr>
                <w:rFonts w:ascii="Aptos" w:hAnsi="Aptos"/>
                <w:b/>
                <w:color w:val="FFFFFF"/>
                <w:sz w:val="18"/>
              </w:rPr>
              <w:t>Scripture</w:t>
            </w:r>
          </w:p>
        </w:tc>
        <w:tc>
          <w:tcPr>
            <w:tcW w:type="dxa" w:w="7056"/>
            <w:shd w:fill="20384F"/>
            <w:tcMar>
              <w:top w:w="100" w:type="dxa"/>
              <w:start w:w="120" w:type="dxa"/>
              <w:bottom w:w="100" w:type="dxa"/>
              <w:end w:w="120" w:type="dxa"/>
            </w:tcMar>
          </w:tcPr>
          <w:p>
            <w:r>
              <w:rPr>
                <w:rFonts w:ascii="Aptos" w:hAnsi="Aptos"/>
                <w:b/>
                <w:color w:val="FFFFFF"/>
                <w:sz w:val="18"/>
              </w:rPr>
              <w:t>Use in the Sermon</w:t>
            </w:r>
          </w:p>
        </w:tc>
      </w:tr>
      <w:tr>
        <w:tc>
          <w:tcPr>
            <w:tcW w:type="dxa" w:w="4824"/>
            <w:tcMar>
              <w:top w:w="100" w:type="dxa"/>
              <w:start w:w="120" w:type="dxa"/>
              <w:bottom w:w="100" w:type="dxa"/>
              <w:end w:w="120" w:type="dxa"/>
            </w:tcMar>
            <w:vAlign w:val="top"/>
          </w:tcPr>
          <w:p>
            <w:r>
              <w:rPr>
                <w:rFonts w:ascii="Aptos" w:hAnsi="Aptos"/>
                <w:b/>
                <w:color w:val="20384F"/>
                <w:sz w:val="18"/>
              </w:rPr>
              <w:t>Daniel 3:1-30</w:t>
            </w:r>
          </w:p>
        </w:tc>
        <w:tc>
          <w:tcPr>
            <w:tcW w:type="dxa" w:w="4824"/>
            <w:tcMar>
              <w:top w:w="100" w:type="dxa"/>
              <w:start w:w="120" w:type="dxa"/>
              <w:bottom w:w="100" w:type="dxa"/>
              <w:end w:w="120" w:type="dxa"/>
            </w:tcMar>
            <w:vAlign w:val="top"/>
          </w:tcPr>
          <w:p>
            <w:r>
              <w:rPr>
                <w:rFonts w:ascii="Aptos" w:hAnsi="Aptos"/>
                <w:sz w:val="18"/>
              </w:rPr>
              <w:t>The governing pattern: image, mandated worship, refusal, furnace, deliverance, and witness.</w:t>
            </w:r>
          </w:p>
        </w:tc>
      </w:tr>
      <w:tr>
        <w:tc>
          <w:tcPr>
            <w:tcW w:type="dxa" w:w="4824"/>
            <w:tcMar>
              <w:top w:w="100" w:type="dxa"/>
              <w:start w:w="120" w:type="dxa"/>
              <w:bottom w:w="100" w:type="dxa"/>
              <w:end w:w="120" w:type="dxa"/>
            </w:tcMar>
            <w:vAlign w:val="top"/>
          </w:tcPr>
          <w:p>
            <w:r>
              <w:rPr>
                <w:rFonts w:ascii="Aptos" w:hAnsi="Aptos"/>
                <w:b/>
                <w:color w:val="20384F"/>
                <w:sz w:val="18"/>
              </w:rPr>
              <w:t>Revelation 13:1-18</w:t>
            </w:r>
          </w:p>
        </w:tc>
        <w:tc>
          <w:tcPr>
            <w:tcW w:type="dxa" w:w="4824"/>
            <w:tcMar>
              <w:top w:w="100" w:type="dxa"/>
              <w:start w:w="120" w:type="dxa"/>
              <w:bottom w:w="100" w:type="dxa"/>
              <w:end w:w="120" w:type="dxa"/>
            </w:tcMar>
            <w:vAlign w:val="top"/>
          </w:tcPr>
          <w:p>
            <w:r>
              <w:rPr>
                <w:rFonts w:ascii="Aptos" w:hAnsi="Aptos"/>
                <w:sz w:val="18"/>
              </w:rPr>
              <w:t>The beast, image, worship, and mark are connected to Daniel’s pattern.</w:t>
            </w:r>
          </w:p>
        </w:tc>
      </w:tr>
      <w:tr>
        <w:tc>
          <w:tcPr>
            <w:tcW w:type="dxa" w:w="4824"/>
            <w:tcMar>
              <w:top w:w="100" w:type="dxa"/>
              <w:start w:w="120" w:type="dxa"/>
              <w:bottom w:w="100" w:type="dxa"/>
              <w:end w:w="120" w:type="dxa"/>
            </w:tcMar>
            <w:vAlign w:val="top"/>
          </w:tcPr>
          <w:p>
            <w:r>
              <w:rPr>
                <w:rFonts w:ascii="Aptos" w:hAnsi="Aptos"/>
                <w:b/>
                <w:color w:val="20384F"/>
                <w:sz w:val="18"/>
              </w:rPr>
              <w:t>Revelation 14:9-12</w:t>
            </w:r>
          </w:p>
        </w:tc>
        <w:tc>
          <w:tcPr>
            <w:tcW w:type="dxa" w:w="4824"/>
            <w:tcMar>
              <w:top w:w="100" w:type="dxa"/>
              <w:start w:w="120" w:type="dxa"/>
              <w:bottom w:w="100" w:type="dxa"/>
              <w:end w:w="120" w:type="dxa"/>
            </w:tcMar>
            <w:vAlign w:val="top"/>
          </w:tcPr>
          <w:p>
            <w:r>
              <w:rPr>
                <w:rFonts w:ascii="Aptos" w:hAnsi="Aptos"/>
                <w:sz w:val="18"/>
              </w:rPr>
              <w:t>A solemn warning against worshiping the beast or receiving his mark.</w:t>
            </w:r>
          </w:p>
        </w:tc>
      </w:tr>
      <w:tr>
        <w:tc>
          <w:tcPr>
            <w:tcW w:type="dxa" w:w="4824"/>
            <w:tcMar>
              <w:top w:w="100" w:type="dxa"/>
              <w:start w:w="120" w:type="dxa"/>
              <w:bottom w:w="100" w:type="dxa"/>
              <w:end w:w="120" w:type="dxa"/>
            </w:tcMar>
            <w:vAlign w:val="top"/>
          </w:tcPr>
          <w:p>
            <w:r>
              <w:rPr>
                <w:rFonts w:ascii="Aptos" w:hAnsi="Aptos"/>
                <w:b/>
                <w:color w:val="20384F"/>
                <w:sz w:val="18"/>
              </w:rPr>
              <w:t>Luke 9:24</w:t>
            </w:r>
          </w:p>
        </w:tc>
        <w:tc>
          <w:tcPr>
            <w:tcW w:type="dxa" w:w="4824"/>
            <w:tcMar>
              <w:top w:w="100" w:type="dxa"/>
              <w:start w:w="120" w:type="dxa"/>
              <w:bottom w:w="100" w:type="dxa"/>
              <w:end w:w="120" w:type="dxa"/>
            </w:tcMar>
            <w:vAlign w:val="top"/>
          </w:tcPr>
          <w:p>
            <w:r>
              <w:rPr>
                <w:rFonts w:ascii="Aptos" w:hAnsi="Aptos"/>
                <w:sz w:val="18"/>
              </w:rPr>
              <w:t>Those who seek to save their lives will lose them; those who lose them for Christ will save them.</w:t>
            </w:r>
          </w:p>
        </w:tc>
      </w:tr>
      <w:tr>
        <w:tc>
          <w:tcPr>
            <w:tcW w:type="dxa" w:w="4824"/>
            <w:tcMar>
              <w:top w:w="100" w:type="dxa"/>
              <w:start w:w="120" w:type="dxa"/>
              <w:bottom w:w="100" w:type="dxa"/>
              <w:end w:w="120" w:type="dxa"/>
            </w:tcMar>
            <w:vAlign w:val="top"/>
          </w:tcPr>
          <w:p>
            <w:r>
              <w:rPr>
                <w:rFonts w:ascii="Aptos" w:hAnsi="Aptos"/>
                <w:b/>
                <w:color w:val="20384F"/>
                <w:sz w:val="18"/>
              </w:rPr>
              <w:t>John 6:39-40, 44, 54</w:t>
            </w:r>
          </w:p>
        </w:tc>
        <w:tc>
          <w:tcPr>
            <w:tcW w:type="dxa" w:w="4824"/>
            <w:tcMar>
              <w:top w:w="100" w:type="dxa"/>
              <w:start w:w="120" w:type="dxa"/>
              <w:bottom w:w="100" w:type="dxa"/>
              <w:end w:w="120" w:type="dxa"/>
            </w:tcMar>
            <w:vAlign w:val="top"/>
          </w:tcPr>
          <w:p>
            <w:r>
              <w:rPr>
                <w:rFonts w:ascii="Aptos" w:hAnsi="Aptos"/>
                <w:sz w:val="18"/>
              </w:rPr>
              <w:t>Jesus promises to raise believers at the last day.</w:t>
            </w:r>
          </w:p>
        </w:tc>
      </w:tr>
      <w:tr>
        <w:tc>
          <w:tcPr>
            <w:tcW w:type="dxa" w:w="4824"/>
            <w:tcMar>
              <w:top w:w="100" w:type="dxa"/>
              <w:start w:w="120" w:type="dxa"/>
              <w:bottom w:w="100" w:type="dxa"/>
              <w:end w:w="120" w:type="dxa"/>
            </w:tcMar>
            <w:vAlign w:val="top"/>
          </w:tcPr>
          <w:p>
            <w:r>
              <w:rPr>
                <w:rFonts w:ascii="Aptos" w:hAnsi="Aptos"/>
                <w:b/>
                <w:color w:val="20384F"/>
                <w:sz w:val="18"/>
              </w:rPr>
              <w:t>Matthew 10:32-33</w:t>
            </w:r>
          </w:p>
        </w:tc>
        <w:tc>
          <w:tcPr>
            <w:tcW w:type="dxa" w:w="4824"/>
            <w:tcMar>
              <w:top w:w="100" w:type="dxa"/>
              <w:start w:w="120" w:type="dxa"/>
              <w:bottom w:w="100" w:type="dxa"/>
              <w:end w:w="120" w:type="dxa"/>
            </w:tcMar>
            <w:vAlign w:val="top"/>
          </w:tcPr>
          <w:p>
            <w:r>
              <w:rPr>
                <w:rFonts w:ascii="Aptos" w:hAnsi="Aptos"/>
                <w:sz w:val="18"/>
              </w:rPr>
              <w:t>Christ will confess before the Father those who confess Him before men.</w:t>
            </w:r>
          </w:p>
        </w:tc>
      </w:tr>
    </w:tbl>
    <w:p>
      <w:pPr>
        <w:pStyle w:val="Heading1"/>
      </w:pPr>
      <w:r>
        <w:t>Sources and Publication Notes</w:t>
      </w:r>
    </w:p>
    <w:p>
      <w:r>
        <w:t>Canonical source: https://www.youtube.com/watch?v=s688tfJ13io</w:t>
      </w:r>
    </w:p>
    <w:p>
      <w:r>
        <w:t>Transcript basis: timestamped transcript supplied in the processing package. Obvious caption artifacts, filler, immediate repetitions, and abandoned fragments were lightly edited for readability while preserving substantive statements, sequence, examples, and claims.</w:t>
      </w:r>
    </w:p>
    <w:p>
      <w:r>
        <w:t>Editorial scope: the study guide follows the sermon chronologically and attributes interpretation to the speaker. It does not independently verify historical, denominational, political, scientific, medical, or institutional assertions made in the sermon. Scripture quotations and references are presented as King James Version (KJV).</w:t>
      </w:r>
    </w:p>
    <w:sectPr w:rsidR="00FC693F" w:rsidRPr="0006063C" w:rsidSect="00034616">
      <w:headerReference w:type="default" r:id="rId9"/>
      <w:footerReference w:type="default" r:id="rId10"/>
      <w:pgSz w:w="12240" w:h="15840"/>
      <w:pgMar w:top="1224" w:right="1296" w:bottom="1152"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8636D"/>
        <w:sz w:val="16"/>
      </w:rPr>
      <w:t xml:space="preserve">WATCHMAN 33  •  </w:t>
    </w:r>
    <w:r>
      <w:fldChar w:fldCharType="begin"/>
    </w:r>
    <w:r>
      <w:instrText xml:space="preserve">PAGE</w:instrText>
    </w:r>
    <w:r>
      <w:fldChar w:fldCharType="separate"/>
    </w:r>
    <w:r>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58636D"/>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84F"/>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A77A22"/>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20384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20384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320"/>
    </w:pPr>
    <w:rPr>
      <w:rFonts w:asciiTheme="majorHAnsi" w:eastAsiaTheme="majorEastAsia" w:hAnsiTheme="majorHAnsi" w:cstheme="majorBidi" w:ascii="Aptos Display" w:hAnsi="Aptos Display"/>
      <w:b w:val="0"/>
      <w:i/>
      <w:iCs/>
      <w:color w:val="58636D"/>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