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360"/>
        <w:jc w:val="center"/>
      </w:pPr>
      <w:r>
        <w:rPr>
          <w:rFonts w:ascii="Calibri" w:hAnsi="Calibri"/>
          <w:b/>
          <w:color w:val="977523"/>
          <w:sz w:val="22"/>
        </w:rPr>
        <w:t>SERMON PUBLICATION PACKAGE</w:t>
      </w:r>
    </w:p>
    <w:p>
      <w:pPr>
        <w:pStyle w:val="Title"/>
        <w:jc w:val="center"/>
      </w:pPr>
      <w:r>
        <w:rPr>
          <w:rFonts w:ascii="Calibri" w:hAnsi="Calibri"/>
          <w:b/>
          <w:color w:val="0B2545"/>
          <w:sz w:val="60"/>
        </w:rPr>
        <w:t>The Resistance</w:t>
      </w:r>
    </w:p>
    <w:p>
      <w:pPr>
        <w:pStyle w:val="Subtitle"/>
        <w:jc w:val="center"/>
      </w:pPr>
      <w:r>
        <w:rPr>
          <w:rFonts w:ascii="Calibri" w:hAnsi="Calibri"/>
          <w:b w:val="0"/>
          <w:color w:val="1F4D78"/>
          <w:sz w:val="30"/>
        </w:rPr>
        <w:t>Overview &amp; Study Guide</w:t>
      </w:r>
    </w:p>
    <w:p>
      <w:pPr>
        <w:spacing w:before="600"/>
        <w:jc w:val="center"/>
      </w:pPr>
      <w:r>
        <w:rPr>
          <w:rFonts w:ascii="Calibri" w:hAnsi="Calibri"/>
          <w:b/>
          <w:color w:val="0B2545"/>
          <w:sz w:val="24"/>
        </w:rPr>
        <w:t>Pastor Dean Odle</w:t>
      </w:r>
    </w:p>
    <w:p>
      <w:pPr>
        <w:jc w:val="center"/>
      </w:pPr>
      <w:r>
        <w:rPr>
          <w:rFonts w:ascii="Calibri" w:hAnsi="Calibri"/>
          <w:b w:val="0"/>
          <w:color w:val="5A626C"/>
          <w:sz w:val="20"/>
        </w:rPr>
        <w:t>Fire &amp; Grace Church  |  Source: YouTube  |  1:41:17</w:t>
      </w:r>
    </w:p>
    <w:p>
      <w:pPr>
        <w:spacing w:before="1400"/>
        <w:jc w:val="center"/>
      </w:pPr>
      <w:r>
        <w:rPr>
          <w:rFonts w:ascii="Calibri" w:hAnsi="Calibri"/>
          <w:b w:val="0"/>
          <w:i/>
          <w:color w:val="5A626C"/>
          <w:sz w:val="20"/>
        </w:rPr>
        <w:t>Prepared for Watchman 33</w:t>
      </w:r>
    </w:p>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p>
      <w:r>
        <w:t>This publication package summarizes Pastor Dean Odle’s argument and follows the sermon’s chronology. Statements about public figures, ministries, denominations, historical events, organizations, crimes, technology, or contemporary events should not automatically be treated as independently verified facts. Interpretations and allegations are attributed to the speaker. Scripture quotations are from the King James Version (KJV).</w:t>
      </w:r>
    </w:p>
    <w:p>
      <w:r>
        <w:rPr>
          <w:rFonts w:ascii="Calibri" w:hAnsi="Calibri"/>
          <w:b/>
          <w:color w:val="0B2545"/>
          <w:sz w:val="22"/>
        </w:rPr>
        <w:t xml:space="preserve">Transcript basis: </w:t>
      </w:r>
      <w:r>
        <w:rPr>
          <w:rFonts w:ascii="Calibri" w:hAnsi="Calibri"/>
          <w:sz w:val="22"/>
        </w:rPr>
        <w:t>User-provided YouTube auto-generated transcript, lightly corrected for obvious caption artifacts</w:t>
      </w:r>
    </w:p>
    <w:p>
      <w:r>
        <w:rPr>
          <w:rFonts w:ascii="Calibri" w:hAnsi="Calibri"/>
          <w:b/>
          <w:color w:val="0B2545"/>
          <w:sz w:val="22"/>
        </w:rPr>
        <w:t xml:space="preserve">Canonical source: </w:t>
      </w:r>
      <w:r>
        <w:rPr>
          <w:rFonts w:ascii="Calibri" w:hAnsi="Calibri"/>
          <w:sz w:val="22"/>
        </w:rPr>
        <w:t>https://www.youtube.com/watch?v=kuG823KdC18</w:t>
      </w:r>
    </w:p>
    <w:p>
      <w:r>
        <w:rPr>
          <w:rFonts w:ascii="Calibri" w:hAnsi="Calibri"/>
          <w:b/>
          <w:color w:val="0B2545"/>
          <w:sz w:val="22"/>
        </w:rPr>
        <w:t xml:space="preserve">Sermon date: </w:t>
      </w:r>
      <w:r>
        <w:rPr>
          <w:rFonts w:ascii="Calibri" w:hAnsi="Calibri"/>
          <w:sz w:val="22"/>
        </w:rPr>
        <w:t>June 28, 2026</w:t>
      </w:r>
    </w:p>
    <w:p>
      <w:pPr>
        <w:pStyle w:val="Heading1"/>
      </w:pPr>
      <w:r>
        <w:t>Website Summary</w:t>
      </w:r>
    </w:p>
    <w:p>
      <w:r>
        <w:t>In “The Resistance,” Pastor Dean Odle presents Ephesians 6:10-18 as a direct call for Christians to recognize and actively oppose spiritual powers rather than drift into passivity. He argues that the conflict is intimate—touching thoughts, homes, relationships, churches, and public life—and that believers must answer it through submission to God, persistent prayer, Scripture, corporate fellowship, discernment, and the authority of Jesus Christ. James 4:7, Luke 10:19, Hebrews 10:25, John 10:10, and related passages reinforce the message’s central appeal.</w:t>
      </w:r>
    </w:p>
    <w:p>
      <w:r>
        <w:t>Moving from worship and prayer into practical instruction, testimony, warnings about deception, and end-time expectation, Odle calls the church to think like disciplined soldiers rather than spectators. The sermon includes disputed claims about spiritual activity, institutions, technology, public policy, and contemporary events; these are presented as the speaker’s interpretations and allegations. Its concluding application is unmistakable: resist compromise, guard the mind, gather and pray faithfully, hold sound doctrine, and use the spiritual weapons God has supplied so that people may be freed to hear and answer the gospel.</w:t>
      </w:r>
    </w:p>
    <w:p>
      <w:pPr>
        <w:pStyle w:val="Heading1"/>
      </w:pPr>
      <w:r>
        <w:t>Categories and Tags</w:t>
      </w:r>
    </w:p>
    <w:p>
      <w:r>
        <w:rPr>
          <w:rFonts w:ascii="Calibri" w:hAnsi="Calibri"/>
          <w:b/>
          <w:color w:val="0B2545"/>
          <w:sz w:val="22"/>
        </w:rPr>
        <w:t xml:space="preserve">Primary category: </w:t>
      </w:r>
      <w:r>
        <w:rPr>
          <w:rFonts w:ascii="Calibri" w:hAnsi="Calibri"/>
          <w:sz w:val="22"/>
        </w:rPr>
        <w:t>Spiritual Warfare</w:t>
      </w:r>
    </w:p>
    <w:p>
      <w:r>
        <w:rPr>
          <w:rFonts w:ascii="Calibri" w:hAnsi="Calibri"/>
          <w:b/>
          <w:color w:val="0B2545"/>
          <w:sz w:val="22"/>
        </w:rPr>
        <w:t xml:space="preserve">Secondary categories: </w:t>
      </w:r>
      <w:r>
        <w:rPr>
          <w:rFonts w:ascii="Calibri" w:hAnsi="Calibri"/>
          <w:sz w:val="22"/>
        </w:rPr>
        <w:t>Doctrine and Discernment; Apostasy and Deception; End Times; Scripture Alone; Christian Living</w:t>
      </w:r>
    </w:p>
    <w:p>
      <w:r>
        <w:rPr>
          <w:rFonts w:ascii="Calibri" w:hAnsi="Calibri"/>
          <w:b/>
          <w:color w:val="0B2545"/>
          <w:sz w:val="22"/>
        </w:rPr>
        <w:t xml:space="preserve">Suggested content type: </w:t>
      </w:r>
      <w:r>
        <w:rPr>
          <w:rFonts w:ascii="Calibri" w:hAnsi="Calibri"/>
          <w:sz w:val="22"/>
        </w:rPr>
        <w:t>Sermon Study</w:t>
      </w:r>
    </w:p>
    <w:p>
      <w:r>
        <w:rPr>
          <w:rFonts w:ascii="Calibri" w:hAnsi="Calibri"/>
          <w:b/>
          <w:color w:val="0B2545"/>
          <w:sz w:val="22"/>
        </w:rPr>
        <w:t xml:space="preserve">Tags: </w:t>
      </w:r>
      <w:r>
        <w:rPr>
          <w:rFonts w:ascii="Calibri" w:hAnsi="Calibri"/>
          <w:sz w:val="22"/>
        </w:rPr>
        <w:t>Ephesians 6; armor of God; resistance; prayer; local church; spiritual authority; binding and loosing; deception; good soldier; millennium; Pastor Dean Odle; Fire &amp; Grace Church</w:t>
      </w:r>
    </w:p>
    <w:p>
      <w:pPr>
        <w:pStyle w:val="Heading1"/>
      </w:pPr>
      <w:r>
        <w:t>Sermon Overview &amp; Study Guide</w:t>
      </w:r>
    </w:p>
    <w:p>
      <w:pPr>
        <w:pStyle w:val="Heading2"/>
      </w:pPr>
      <w:r>
        <w:t>1. Worship, awakening, and a warrior’s prayer</w:t>
      </w:r>
    </w:p>
    <w:p>
      <w:r>
        <w:rPr>
          <w:rFonts w:ascii="Calibri" w:hAnsi="Calibri"/>
          <w:b/>
          <w:color w:val="977523"/>
          <w:sz w:val="20"/>
        </w:rPr>
        <w:t>00:00–18:54</w:t>
      </w:r>
    </w:p>
    <w:p>
      <w:r>
        <w:t>The service opens with worship emphasizing God’s restoring power, watchfulness, and care. The prayer asks for eyes to see, ears to hear, and the heart of a soldier because the spiritual battle is intensifying.</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Luke 10:19 (KJV)</w:t>
            </w:r>
          </w:p>
          <w:p>
            <w:pPr>
              <w:spacing w:after="0"/>
            </w:pPr>
            <w:r>
              <w:rPr>
                <w:rFonts w:ascii="Calibri" w:hAnsi="Calibri"/>
                <w:b w:val="0"/>
                <w:i/>
                <w:sz w:val="21"/>
              </w:rPr>
              <w:t>“Behold, I give unto you power to tread on serpents and scorpions, and over all the power of the enemy...”</w:t>
            </w:r>
          </w:p>
        </w:tc>
      </w:tr>
    </w:tbl>
    <w:p>
      <w:pPr>
        <w:pStyle w:val="Heading2"/>
      </w:pPr>
      <w:r>
        <w:t>2. The resistance and the unseen wrestling match</w:t>
      </w:r>
    </w:p>
    <w:p>
      <w:r>
        <w:rPr>
          <w:rFonts w:ascii="Calibri" w:hAnsi="Calibri"/>
          <w:b/>
          <w:color w:val="977523"/>
          <w:sz w:val="20"/>
        </w:rPr>
        <w:t>18:54–31:00</w:t>
      </w:r>
    </w:p>
    <w:p>
      <w:r>
        <w:t>Odle turns from a planned Enoch lesson to Ephesians 6 and names the message “The Resistance.” He argues that believers have grown passive while demonic opposition has intensified, beginning in minds and homes before spreading outward. A physical wrestling illustration stresses that spiritual conflict is close, personal, and continual.</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Ephesians 6:10-18 (KJV)</w:t>
            </w:r>
          </w:p>
          <w:p>
            <w:pPr>
              <w:spacing w:after="0"/>
            </w:pPr>
            <w:r>
              <w:rPr>
                <w:rFonts w:ascii="Calibri" w:hAnsi="Calibri"/>
                <w:b w:val="0"/>
                <w:i/>
                <w:sz w:val="21"/>
              </w:rPr>
              <w:t>“For we wrestle not against flesh and blood, but against principalities, against powers, against the rulers of the darkness of this world, against spiritual wickedness in high places.”</w:t>
            </w:r>
          </w:p>
        </w:tc>
      </w:tr>
    </w:tbl>
    <w:p>
      <w:pPr>
        <w:pStyle w:val="Heading2"/>
      </w:pPr>
      <w:r>
        <w:t>3. Prayer, assembly, and refusing passivity</w:t>
      </w:r>
    </w:p>
    <w:p>
      <w:r>
        <w:rPr>
          <w:rFonts w:ascii="Calibri" w:hAnsi="Calibri"/>
          <w:b/>
          <w:color w:val="977523"/>
          <w:sz w:val="20"/>
        </w:rPr>
        <w:t>31:00–41:50</w:t>
      </w:r>
    </w:p>
    <w:p>
      <w:r>
        <w:t>The sermon calls Fire &amp; Grace Church to consistent private and corporate prayer. Odle presents the local congregation as a necessary formation of believers who gather, discern, and resist together, while attributing recent hardships and alleged infiltration attempts to spiritual warfare.</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Hebrews 10:25 (KJV)</w:t>
            </w:r>
          </w:p>
          <w:p>
            <w:pPr>
              <w:spacing w:after="0"/>
            </w:pPr>
            <w:r>
              <w:rPr>
                <w:rFonts w:ascii="Calibri" w:hAnsi="Calibri"/>
                <w:b w:val="0"/>
                <w:i/>
                <w:sz w:val="21"/>
              </w:rPr>
              <w:t>“Not forsaking the assembling of ourselves together, as the manner of some is; but exhorting one another...”</w:t>
            </w:r>
          </w:p>
        </w:tc>
      </w:tr>
    </w:tbl>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John 10:10 (KJV)</w:t>
            </w:r>
          </w:p>
          <w:p>
            <w:pPr>
              <w:spacing w:after="0"/>
            </w:pPr>
            <w:r>
              <w:rPr>
                <w:rFonts w:ascii="Calibri" w:hAnsi="Calibri"/>
                <w:b w:val="0"/>
                <w:i/>
                <w:sz w:val="21"/>
              </w:rPr>
              <w:t>“The thief cometh not, but for to steal, and to kill, and to destroy: I am come that they might have life...”</w:t>
            </w:r>
          </w:p>
        </w:tc>
      </w:tr>
    </w:tbl>
    <w:p>
      <w:pPr>
        <w:pStyle w:val="Heading2"/>
      </w:pPr>
      <w:r>
        <w:t>4. Submit, resist, and exercise authority</w:t>
      </w:r>
    </w:p>
    <w:p>
      <w:r>
        <w:rPr>
          <w:rFonts w:ascii="Calibri" w:hAnsi="Calibri"/>
          <w:b/>
          <w:color w:val="977523"/>
          <w:sz w:val="20"/>
        </w:rPr>
        <w:t>41:50–56:40</w:t>
      </w:r>
    </w:p>
    <w:p>
      <w:r>
        <w:t>Using personal testimony and ministry examples, Odle insists that Christian identity does not remove the need to resist. His repeated pattern is submission to God, spoken use of Scripture, prayer in Jesus’ name, and persistent opposition to evil.</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Luke 10:19 (KJV)</w:t>
            </w:r>
          </w:p>
          <w:p>
            <w:pPr>
              <w:spacing w:after="0"/>
            </w:pPr>
            <w:r>
              <w:rPr>
                <w:rFonts w:ascii="Calibri" w:hAnsi="Calibri"/>
                <w:b w:val="0"/>
                <w:i/>
                <w:sz w:val="21"/>
              </w:rPr>
              <w:t>“Behold, I give unto you power to tread on serpents and scorpions, and over all the power of the enemy...”</w:t>
            </w:r>
          </w:p>
        </w:tc>
      </w:tr>
    </w:tbl>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James 4:7 (KJV)</w:t>
            </w:r>
          </w:p>
          <w:p>
            <w:pPr>
              <w:spacing w:after="0"/>
            </w:pPr>
            <w:r>
              <w:rPr>
                <w:rFonts w:ascii="Calibri" w:hAnsi="Calibri"/>
                <w:b w:val="0"/>
                <w:i/>
                <w:sz w:val="21"/>
              </w:rPr>
              <w:t>“Submit yourselves therefore to God. Resist the devil, and he will flee from you.”</w:t>
            </w:r>
          </w:p>
        </w:tc>
      </w:tr>
    </w:tbl>
    <w:p>
      <w:pPr>
        <w:pStyle w:val="Heading2"/>
      </w:pPr>
      <w:r>
        <w:t>5. Weapons, words, and binding the strong man</w:t>
      </w:r>
    </w:p>
    <w:p>
      <w:r>
        <w:rPr>
          <w:rFonts w:ascii="Calibri" w:hAnsi="Calibri"/>
          <w:b/>
          <w:color w:val="977523"/>
          <w:sz w:val="20"/>
        </w:rPr>
        <w:t>56:40–1:12:00</w:t>
      </w:r>
    </w:p>
    <w:p>
      <w:r>
        <w:t>Odle describes spiritual warfare as operating through prayer, the Word of God, Christ’s authority, and disciplined speech rather than physical force. He recounts earlier ministry influences and argues that believers and churches have delegated authority within their proper spheres.</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Ephesians 6:10-18 (KJV)</w:t>
            </w:r>
          </w:p>
          <w:p>
            <w:pPr>
              <w:spacing w:after="0"/>
            </w:pPr>
            <w:r>
              <w:rPr>
                <w:rFonts w:ascii="Calibri" w:hAnsi="Calibri"/>
                <w:b w:val="0"/>
                <w:i/>
                <w:sz w:val="21"/>
              </w:rPr>
              <w:t>“For we wrestle not against flesh and blood, but against principalities, against powers, against the rulers of the darkness of this world, against spiritual wickedness in high places.”</w:t>
            </w:r>
          </w:p>
        </w:tc>
      </w:tr>
    </w:tbl>
    <w:p>
      <w:pPr>
        <w:pStyle w:val="Heading2"/>
      </w:pPr>
      <w:r>
        <w:t>6. Technology, deception, and end-time pressure</w:t>
      </w:r>
    </w:p>
    <w:p>
      <w:r>
        <w:rPr>
          <w:rFonts w:ascii="Calibri" w:hAnsi="Calibri"/>
          <w:b/>
          <w:color w:val="977523"/>
          <w:sz w:val="20"/>
        </w:rPr>
        <w:t>1:12:00–1:25:00</w:t>
      </w:r>
    </w:p>
    <w:p>
      <w:r>
        <w:t>The message connects spiritual conflict with modern technology, alleged manipulation, disasters, and end-time deception. These claims are the speaker’s interpretations and allegations, not independently verified findings. Matthew 24 supplies the biblical warning to resist deception as upheaval and apostasy increase.</w:t>
      </w:r>
    </w:p>
    <w:p>
      <w:pPr>
        <w:pStyle w:val="Heading2"/>
      </w:pPr>
      <w:r>
        <w:t>7. Good soldiers under tested leadership</w:t>
      </w:r>
    </w:p>
    <w:p>
      <w:r>
        <w:rPr>
          <w:rFonts w:ascii="Calibri" w:hAnsi="Calibri"/>
          <w:b/>
          <w:color w:val="977523"/>
          <w:sz w:val="20"/>
        </w:rPr>
        <w:t>1:25:00–1:31:00</w:t>
      </w:r>
    </w:p>
    <w:p>
      <w:r>
        <w:t>A military analogy frames discipleship as surrendering comfort, accepting training, obeying godly direction, and standing beside fellow believers. Odle warns against inexperienced or compromised spiritual leaders and urges Christians to learn warfare from proven examples.</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2 Timothy 2:3-4 (KJV)</w:t>
            </w:r>
          </w:p>
          <w:p>
            <w:pPr>
              <w:spacing w:after="0"/>
            </w:pPr>
            <w:r>
              <w:rPr>
                <w:rFonts w:ascii="Calibri" w:hAnsi="Calibri"/>
                <w:b w:val="0"/>
                <w:i/>
                <w:sz w:val="21"/>
              </w:rPr>
              <w:t>“Thou therefore endure hardness, as a good soldier of Jesus Christ. No man that warreth entangleth himself with the affairs of this life...”</w:t>
            </w:r>
          </w:p>
        </w:tc>
      </w:tr>
    </w:tbl>
    <w:p>
      <w:pPr>
        <w:pStyle w:val="Heading2"/>
      </w:pPr>
      <w:r>
        <w:t>8. Overcoming, Christ’s return, and the millennium</w:t>
      </w:r>
    </w:p>
    <w:p>
      <w:r>
        <w:rPr>
          <w:rFonts w:ascii="Calibri" w:hAnsi="Calibri"/>
          <w:b/>
          <w:color w:val="977523"/>
          <w:sz w:val="20"/>
        </w:rPr>
        <w:t>1:31:00–1:35:00</w:t>
      </w:r>
    </w:p>
    <w:p>
      <w:r>
        <w:t>The sermon looks beyond present conflict to victory through Christ’s blood and faithful testimony. Odle rejects “little season” chronology, affirms a future second coming and millennial reign, and expects the saints to return with Christ.</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Revelation 12:11 (KJV)</w:t>
            </w:r>
          </w:p>
          <w:p>
            <w:pPr>
              <w:spacing w:after="0"/>
            </w:pPr>
            <w:r>
              <w:rPr>
                <w:rFonts w:ascii="Calibri" w:hAnsi="Calibri"/>
                <w:b w:val="0"/>
                <w:i/>
                <w:sz w:val="21"/>
              </w:rPr>
              <w:t>“And they overcame him by the blood of the Lamb, and by the word of their testimony; and they loved not their lives unto the death.”</w:t>
            </w:r>
          </w:p>
        </w:tc>
      </w:tr>
    </w:tbl>
    <w:p>
      <w:pPr>
        <w:pStyle w:val="Heading2"/>
      </w:pPr>
      <w:r>
        <w:t>9. Doctrine, church discipline, and the final charge</w:t>
      </w:r>
    </w:p>
    <w:p>
      <w:r>
        <w:rPr>
          <w:rFonts w:ascii="Calibri" w:hAnsi="Calibri"/>
          <w:b/>
          <w:color w:val="977523"/>
          <w:sz w:val="20"/>
        </w:rPr>
        <w:t>1:35:00–1:41:17</w:t>
      </w:r>
    </w:p>
    <w:p>
      <w:r>
        <w:t>Odle distinguishes binding demons from loosing people, warns against teachings he considers contrary to Scripture, and defends church discipline under Romans 16. He closes by calling born-again believers to resist compromise, control their thought life, pray consistently, wield the armor and Word of God, and seek freedom for those blinded by Satan.</w:t>
      </w:r>
    </w:p>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Romans 16:17 (KJV)</w:t>
            </w:r>
          </w:p>
          <w:p>
            <w:pPr>
              <w:spacing w:after="0"/>
            </w:pPr>
            <w:r>
              <w:rPr>
                <w:rFonts w:ascii="Calibri" w:hAnsi="Calibri"/>
                <w:b w:val="0"/>
                <w:i/>
                <w:sz w:val="21"/>
              </w:rPr>
              <w:t>“Mark them which cause divisions and offences contrary to the doctrine which ye have learned; and avoid them.”</w:t>
            </w:r>
          </w:p>
        </w:tc>
      </w:tr>
    </w:tbl>
    <w:tbl>
      <w:tblPr>
        <w:tblW w:type="dxa" w:w="9360"/>
        <w:jc w:val="left"/>
        <w:tblLayout w:type="fixed"/>
        <w:tblLook w:firstColumn="1" w:firstRow="1" w:lastColumn="0" w:lastRow="0" w:noHBand="0" w:noVBand="1" w:val="04A0"/>
        <w:tblInd w:type="dxa" w:w="180"/>
      </w:tblPr>
      <w:tblGrid>
        <w:gridCol w:w="9360"/>
      </w:tblGrid>
      <w:tr>
        <w:tc>
          <w:tcPr>
            <w:tcW w:type="dxa" w:w="9360"/>
            <w:tcMar>
              <w:top w:w="120" w:type="dxa"/>
              <w:start w:w="180" w:type="dxa"/>
              <w:bottom w:w="120" w:type="dxa"/>
              <w:end w:w="180" w:type="dxa"/>
            </w:tcMar>
            <w:shd w:fill="F4F6F9"/>
          </w:tcPr>
          <w:p>
            <w:pPr>
              <w:spacing w:after="60"/>
            </w:pPr>
            <w:r>
              <w:rPr>
                <w:rFonts w:ascii="Calibri" w:hAnsi="Calibri"/>
                <w:b/>
                <w:color w:val="1F4D78"/>
                <w:sz w:val="21"/>
              </w:rPr>
              <w:t>Ephesians 6:10-18 (KJV)</w:t>
            </w:r>
          </w:p>
          <w:p>
            <w:pPr>
              <w:spacing w:after="0"/>
            </w:pPr>
            <w:r>
              <w:rPr>
                <w:rFonts w:ascii="Calibri" w:hAnsi="Calibri"/>
                <w:b w:val="0"/>
                <w:i/>
                <w:sz w:val="21"/>
              </w:rPr>
              <w:t>“For we wrestle not against flesh and blood, but against principalities, against powers, against the rulers of the darkness of this world, against spiritual wickedness in high places.”</w:t>
            </w:r>
          </w:p>
        </w:tc>
      </w:tr>
    </w:tbl>
    <w:p>
      <w:pPr>
        <w:pStyle w:val="Heading1"/>
      </w:pPr>
      <w:r>
        <w:t>Scripture Index</w:t>
      </w:r>
    </w:p>
    <w:p>
      <w:r>
        <w:t>Passages explicitly cited or unmistakably alluded to are listed below. “Inferred” indicates a reference identified from the wording or subject rather than explicitly named by the speaker.</w:t>
      </w:r>
    </w:p>
    <w:tbl>
      <w:tblPr>
        <w:tblW w:type="dxa" w:w="9360"/>
        <w:jc w:val="left"/>
        <w:tblLayout w:type="fixed"/>
        <w:tblLook w:firstColumn="1" w:firstRow="1" w:lastColumn="0" w:lastRow="0" w:noHBand="0" w:noVBand="1" w:val="04A0"/>
        <w:tblInd w:type="dxa" w:w="120"/>
      </w:tblPr>
      <w:tblGrid>
        <w:gridCol w:w="2700"/>
        <w:gridCol w:w="6660"/>
      </w:tblGrid>
      <w:tr>
        <w:tc>
          <w:tcPr>
            <w:tcW w:type="dxa" w:w="2700"/>
            <w:shd w:fill="E8EEF5"/>
          </w:tcPr>
          <w:p>
            <w:r>
              <w:rPr>
                <w:rFonts w:ascii="Calibri" w:hAnsi="Calibri"/>
                <w:b/>
                <w:color w:val="0B2545"/>
                <w:sz w:val="21"/>
              </w:rPr>
              <w:t>Scripture</w:t>
            </w:r>
          </w:p>
        </w:tc>
        <w:tc>
          <w:tcPr>
            <w:tcW w:type="dxa" w:w="6660"/>
            <w:shd w:fill="E8EEF5"/>
          </w:tcPr>
          <w:p>
            <w:r>
              <w:rPr>
                <w:rFonts w:ascii="Calibri" w:hAnsi="Calibri"/>
                <w:b/>
                <w:color w:val="0B2545"/>
                <w:sz w:val="21"/>
              </w:rPr>
              <w:t>Use in the Sermon</w:t>
            </w:r>
          </w:p>
        </w:tc>
      </w:tr>
      <w:tr>
        <w:tc>
          <w:tcPr>
            <w:tcW w:type="dxa" w:w="2700"/>
            <w:tcMar>
              <w:top w:w="80" w:type="dxa"/>
              <w:start w:w="120" w:type="dxa"/>
              <w:bottom w:w="80" w:type="dxa"/>
              <w:end w:w="120" w:type="dxa"/>
            </w:tcMar>
            <w:vAlign w:val="center"/>
          </w:tcPr>
          <w:p>
            <w:r>
              <w:rPr>
                <w:rFonts w:ascii="Calibri" w:hAnsi="Calibri"/>
                <w:sz w:val="20"/>
              </w:rPr>
              <w:t>2 Peter 1:12</w:t>
            </w:r>
          </w:p>
        </w:tc>
        <w:tc>
          <w:tcPr>
            <w:tcW w:type="dxa" w:w="6660"/>
            <w:tcMar>
              <w:top w:w="80" w:type="dxa"/>
              <w:start w:w="120" w:type="dxa"/>
              <w:bottom w:w="80" w:type="dxa"/>
              <w:end w:w="120" w:type="dxa"/>
            </w:tcMar>
            <w:vAlign w:val="center"/>
          </w:tcPr>
          <w:p>
            <w:r>
              <w:rPr>
                <w:rFonts w:ascii="Calibri" w:hAnsi="Calibri"/>
                <w:sz w:val="20"/>
              </w:rPr>
              <w:t>Peter’s resolve to keep believers in remembrance of truth already known.</w:t>
            </w:r>
          </w:p>
        </w:tc>
      </w:tr>
      <w:tr>
        <w:tc>
          <w:tcPr>
            <w:tcW w:type="dxa" w:w="2700"/>
            <w:tcMar>
              <w:top w:w="80" w:type="dxa"/>
              <w:start w:w="120" w:type="dxa"/>
              <w:bottom w:w="80" w:type="dxa"/>
              <w:end w:w="120" w:type="dxa"/>
            </w:tcMar>
            <w:vAlign w:val="center"/>
          </w:tcPr>
          <w:p>
            <w:r>
              <w:rPr>
                <w:rFonts w:ascii="Calibri" w:hAnsi="Calibri"/>
                <w:sz w:val="20"/>
              </w:rPr>
              <w:t>Ephesians 6:10-18</w:t>
            </w:r>
          </w:p>
        </w:tc>
        <w:tc>
          <w:tcPr>
            <w:tcW w:type="dxa" w:w="6660"/>
            <w:tcMar>
              <w:top w:w="80" w:type="dxa"/>
              <w:start w:w="120" w:type="dxa"/>
              <w:bottom w:w="80" w:type="dxa"/>
              <w:end w:w="120" w:type="dxa"/>
            </w:tcMar>
            <w:vAlign w:val="center"/>
          </w:tcPr>
          <w:p>
            <w:r>
              <w:rPr>
                <w:rFonts w:ascii="Calibri" w:hAnsi="Calibri"/>
                <w:sz w:val="20"/>
              </w:rPr>
              <w:t>The central text: the believer’s struggle, armor, prayer, and stand against spiritual powers.</w:t>
            </w:r>
          </w:p>
        </w:tc>
      </w:tr>
      <w:tr>
        <w:tc>
          <w:tcPr>
            <w:tcW w:type="dxa" w:w="2700"/>
            <w:tcMar>
              <w:top w:w="80" w:type="dxa"/>
              <w:start w:w="120" w:type="dxa"/>
              <w:bottom w:w="80" w:type="dxa"/>
              <w:end w:w="120" w:type="dxa"/>
            </w:tcMar>
            <w:vAlign w:val="center"/>
          </w:tcPr>
          <w:p>
            <w:r>
              <w:rPr>
                <w:rFonts w:ascii="Calibri" w:hAnsi="Calibri"/>
                <w:sz w:val="20"/>
              </w:rPr>
              <w:t>Proverbs 18:21 (inferred)</w:t>
            </w:r>
          </w:p>
        </w:tc>
        <w:tc>
          <w:tcPr>
            <w:tcW w:type="dxa" w:w="6660"/>
            <w:tcMar>
              <w:top w:w="80" w:type="dxa"/>
              <w:start w:w="120" w:type="dxa"/>
              <w:bottom w:w="80" w:type="dxa"/>
              <w:end w:w="120" w:type="dxa"/>
            </w:tcMar>
            <w:vAlign w:val="center"/>
          </w:tcPr>
          <w:p>
            <w:r>
              <w:rPr>
                <w:rFonts w:ascii="Calibri" w:hAnsi="Calibri"/>
                <w:sz w:val="20"/>
              </w:rPr>
              <w:t>Invoked to explain the power of words in blessing, cursing, and spiritual conflict.</w:t>
            </w:r>
          </w:p>
        </w:tc>
      </w:tr>
      <w:tr>
        <w:tc>
          <w:tcPr>
            <w:tcW w:type="dxa" w:w="2700"/>
            <w:tcMar>
              <w:top w:w="80" w:type="dxa"/>
              <w:start w:w="120" w:type="dxa"/>
              <w:bottom w:w="80" w:type="dxa"/>
              <w:end w:w="120" w:type="dxa"/>
            </w:tcMar>
            <w:vAlign w:val="center"/>
          </w:tcPr>
          <w:p>
            <w:r>
              <w:rPr>
                <w:rFonts w:ascii="Calibri" w:hAnsi="Calibri"/>
                <w:sz w:val="20"/>
              </w:rPr>
              <w:t>Matthew 18:34-35 (inferred)</w:t>
            </w:r>
          </w:p>
        </w:tc>
        <w:tc>
          <w:tcPr>
            <w:tcW w:type="dxa" w:w="6660"/>
            <w:tcMar>
              <w:top w:w="80" w:type="dxa"/>
              <w:start w:w="120" w:type="dxa"/>
              <w:bottom w:w="80" w:type="dxa"/>
              <w:end w:w="120" w:type="dxa"/>
            </w:tcMar>
            <w:vAlign w:val="center"/>
          </w:tcPr>
          <w:p>
            <w:r>
              <w:rPr>
                <w:rFonts w:ascii="Calibri" w:hAnsi="Calibri"/>
                <w:sz w:val="20"/>
              </w:rPr>
              <w:t>Alluded to in the warning that unforgiveness opens a believer to torment.</w:t>
            </w:r>
          </w:p>
        </w:tc>
      </w:tr>
      <w:tr>
        <w:tc>
          <w:tcPr>
            <w:tcW w:type="dxa" w:w="2700"/>
            <w:tcMar>
              <w:top w:w="80" w:type="dxa"/>
              <w:start w:w="120" w:type="dxa"/>
              <w:bottom w:w="80" w:type="dxa"/>
              <w:end w:w="120" w:type="dxa"/>
            </w:tcMar>
            <w:vAlign w:val="center"/>
          </w:tcPr>
          <w:p>
            <w:r>
              <w:rPr>
                <w:rFonts w:ascii="Calibri" w:hAnsi="Calibri"/>
                <w:sz w:val="20"/>
              </w:rPr>
              <w:t>Matthew 16:18 (inferred)</w:t>
            </w:r>
          </w:p>
        </w:tc>
        <w:tc>
          <w:tcPr>
            <w:tcW w:type="dxa" w:w="6660"/>
            <w:tcMar>
              <w:top w:w="80" w:type="dxa"/>
              <w:start w:w="120" w:type="dxa"/>
              <w:bottom w:w="80" w:type="dxa"/>
              <w:end w:w="120" w:type="dxa"/>
            </w:tcMar>
            <w:vAlign w:val="center"/>
          </w:tcPr>
          <w:p>
            <w:r>
              <w:rPr>
                <w:rFonts w:ascii="Calibri" w:hAnsi="Calibri"/>
                <w:sz w:val="20"/>
              </w:rPr>
              <w:t>Supports the necessity and endurance of Christ’s church against the gates of hell.</w:t>
            </w:r>
          </w:p>
        </w:tc>
      </w:tr>
      <w:tr>
        <w:tc>
          <w:tcPr>
            <w:tcW w:type="dxa" w:w="2700"/>
            <w:tcMar>
              <w:top w:w="80" w:type="dxa"/>
              <w:start w:w="120" w:type="dxa"/>
              <w:bottom w:w="80" w:type="dxa"/>
              <w:end w:w="120" w:type="dxa"/>
            </w:tcMar>
            <w:vAlign w:val="center"/>
          </w:tcPr>
          <w:p>
            <w:r>
              <w:rPr>
                <w:rFonts w:ascii="Calibri" w:hAnsi="Calibri"/>
                <w:sz w:val="20"/>
              </w:rPr>
              <w:t>Hebrews 10:25</w:t>
            </w:r>
          </w:p>
        </w:tc>
        <w:tc>
          <w:tcPr>
            <w:tcW w:type="dxa" w:w="6660"/>
            <w:tcMar>
              <w:top w:w="80" w:type="dxa"/>
              <w:start w:w="120" w:type="dxa"/>
              <w:bottom w:w="80" w:type="dxa"/>
              <w:end w:w="120" w:type="dxa"/>
            </w:tcMar>
            <w:vAlign w:val="center"/>
          </w:tcPr>
          <w:p>
            <w:r>
              <w:rPr>
                <w:rFonts w:ascii="Calibri" w:hAnsi="Calibri"/>
                <w:sz w:val="20"/>
              </w:rPr>
              <w:t>Supports gathering faithfully with other believers rather than forsaking assembly.</w:t>
            </w:r>
          </w:p>
        </w:tc>
      </w:tr>
      <w:tr>
        <w:tc>
          <w:tcPr>
            <w:tcW w:type="dxa" w:w="2700"/>
            <w:tcMar>
              <w:top w:w="80" w:type="dxa"/>
              <w:start w:w="120" w:type="dxa"/>
              <w:bottom w:w="80" w:type="dxa"/>
              <w:end w:w="120" w:type="dxa"/>
            </w:tcMar>
            <w:vAlign w:val="center"/>
          </w:tcPr>
          <w:p>
            <w:r>
              <w:rPr>
                <w:rFonts w:ascii="Calibri" w:hAnsi="Calibri"/>
                <w:sz w:val="20"/>
              </w:rPr>
              <w:t>John 10:10</w:t>
            </w:r>
          </w:p>
        </w:tc>
        <w:tc>
          <w:tcPr>
            <w:tcW w:type="dxa" w:w="6660"/>
            <w:tcMar>
              <w:top w:w="80" w:type="dxa"/>
              <w:start w:w="120" w:type="dxa"/>
              <w:bottom w:w="80" w:type="dxa"/>
              <w:end w:w="120" w:type="dxa"/>
            </w:tcMar>
            <w:vAlign w:val="center"/>
          </w:tcPr>
          <w:p>
            <w:r>
              <w:rPr>
                <w:rFonts w:ascii="Calibri" w:hAnsi="Calibri"/>
                <w:sz w:val="20"/>
              </w:rPr>
              <w:t>Contrasts the thief’s destructive purpose with Christ’s gift of life.</w:t>
            </w:r>
          </w:p>
        </w:tc>
      </w:tr>
      <w:tr>
        <w:tc>
          <w:tcPr>
            <w:tcW w:type="dxa" w:w="2700"/>
            <w:tcMar>
              <w:top w:w="80" w:type="dxa"/>
              <w:start w:w="120" w:type="dxa"/>
              <w:bottom w:w="80" w:type="dxa"/>
              <w:end w:w="120" w:type="dxa"/>
            </w:tcMar>
            <w:vAlign w:val="center"/>
          </w:tcPr>
          <w:p>
            <w:r>
              <w:rPr>
                <w:rFonts w:ascii="Calibri" w:hAnsi="Calibri"/>
                <w:sz w:val="20"/>
              </w:rPr>
              <w:t>Luke 10:19</w:t>
            </w:r>
          </w:p>
        </w:tc>
        <w:tc>
          <w:tcPr>
            <w:tcW w:type="dxa" w:w="6660"/>
            <w:tcMar>
              <w:top w:w="80" w:type="dxa"/>
              <w:start w:w="120" w:type="dxa"/>
              <w:bottom w:w="80" w:type="dxa"/>
              <w:end w:w="120" w:type="dxa"/>
            </w:tcMar>
            <w:vAlign w:val="center"/>
          </w:tcPr>
          <w:p>
            <w:r>
              <w:rPr>
                <w:rFonts w:ascii="Calibri" w:hAnsi="Calibri"/>
                <w:sz w:val="20"/>
              </w:rPr>
              <w:t>Grounds the believer’s authority over the power of the enemy.</w:t>
            </w:r>
          </w:p>
        </w:tc>
      </w:tr>
      <w:tr>
        <w:tc>
          <w:tcPr>
            <w:tcW w:type="dxa" w:w="2700"/>
            <w:tcMar>
              <w:top w:w="80" w:type="dxa"/>
              <w:start w:w="120" w:type="dxa"/>
              <w:bottom w:w="80" w:type="dxa"/>
              <w:end w:w="120" w:type="dxa"/>
            </w:tcMar>
            <w:vAlign w:val="center"/>
          </w:tcPr>
          <w:p>
            <w:r>
              <w:rPr>
                <w:rFonts w:ascii="Calibri" w:hAnsi="Calibri"/>
                <w:sz w:val="20"/>
              </w:rPr>
              <w:t>James 4:7</w:t>
            </w:r>
          </w:p>
        </w:tc>
        <w:tc>
          <w:tcPr>
            <w:tcW w:type="dxa" w:w="6660"/>
            <w:tcMar>
              <w:top w:w="80" w:type="dxa"/>
              <w:start w:w="120" w:type="dxa"/>
              <w:bottom w:w="80" w:type="dxa"/>
              <w:end w:w="120" w:type="dxa"/>
            </w:tcMar>
            <w:vAlign w:val="center"/>
          </w:tcPr>
          <w:p>
            <w:r>
              <w:rPr>
                <w:rFonts w:ascii="Calibri" w:hAnsi="Calibri"/>
                <w:sz w:val="20"/>
              </w:rPr>
              <w:t>Gives the sermon’s practical order: submit to God, resist the devil, and he will flee.</w:t>
            </w:r>
          </w:p>
        </w:tc>
      </w:tr>
      <w:tr>
        <w:tc>
          <w:tcPr>
            <w:tcW w:type="dxa" w:w="2700"/>
            <w:tcMar>
              <w:top w:w="80" w:type="dxa"/>
              <w:start w:w="120" w:type="dxa"/>
              <w:bottom w:w="80" w:type="dxa"/>
              <w:end w:w="120" w:type="dxa"/>
            </w:tcMar>
            <w:vAlign w:val="center"/>
          </w:tcPr>
          <w:p>
            <w:r>
              <w:rPr>
                <w:rFonts w:ascii="Calibri" w:hAnsi="Calibri"/>
                <w:sz w:val="20"/>
              </w:rPr>
              <w:t>Psalm 149:5-9</w:t>
            </w:r>
          </w:p>
        </w:tc>
        <w:tc>
          <w:tcPr>
            <w:tcW w:type="dxa" w:w="6660"/>
            <w:tcMar>
              <w:top w:w="80" w:type="dxa"/>
              <w:start w:w="120" w:type="dxa"/>
              <w:bottom w:w="80" w:type="dxa"/>
              <w:end w:w="120" w:type="dxa"/>
            </w:tcMar>
            <w:vAlign w:val="center"/>
          </w:tcPr>
          <w:p>
            <w:r>
              <w:rPr>
                <w:rFonts w:ascii="Calibri" w:hAnsi="Calibri"/>
                <w:sz w:val="20"/>
              </w:rPr>
              <w:t>Used to support spiritual warfare, binding, and executing God-given judgment.</w:t>
            </w:r>
          </w:p>
        </w:tc>
      </w:tr>
      <w:tr>
        <w:tc>
          <w:tcPr>
            <w:tcW w:type="dxa" w:w="2700"/>
            <w:tcMar>
              <w:top w:w="80" w:type="dxa"/>
              <w:start w:w="120" w:type="dxa"/>
              <w:bottom w:w="80" w:type="dxa"/>
              <w:end w:w="120" w:type="dxa"/>
            </w:tcMar>
            <w:vAlign w:val="center"/>
          </w:tcPr>
          <w:p>
            <w:r>
              <w:rPr>
                <w:rFonts w:ascii="Calibri" w:hAnsi="Calibri"/>
                <w:sz w:val="20"/>
              </w:rPr>
              <w:t>Mark 1:21-27 (inferred)</w:t>
            </w:r>
          </w:p>
        </w:tc>
        <w:tc>
          <w:tcPr>
            <w:tcW w:type="dxa" w:w="6660"/>
            <w:tcMar>
              <w:top w:w="80" w:type="dxa"/>
              <w:start w:w="120" w:type="dxa"/>
              <w:bottom w:w="80" w:type="dxa"/>
              <w:end w:w="120" w:type="dxa"/>
            </w:tcMar>
            <w:vAlign w:val="center"/>
          </w:tcPr>
          <w:p>
            <w:r>
              <w:rPr>
                <w:rFonts w:ascii="Calibri" w:hAnsi="Calibri"/>
                <w:sz w:val="20"/>
              </w:rPr>
              <w:t>Alluded to as Jesus casting out unclean spirits by authoritative words.</w:t>
            </w:r>
          </w:p>
        </w:tc>
      </w:tr>
      <w:tr>
        <w:tc>
          <w:tcPr>
            <w:tcW w:type="dxa" w:w="2700"/>
            <w:tcMar>
              <w:top w:w="80" w:type="dxa"/>
              <w:start w:w="120" w:type="dxa"/>
              <w:bottom w:w="80" w:type="dxa"/>
              <w:end w:w="120" w:type="dxa"/>
            </w:tcMar>
            <w:vAlign w:val="center"/>
          </w:tcPr>
          <w:p>
            <w:r>
              <w:rPr>
                <w:rFonts w:ascii="Calibri" w:hAnsi="Calibri"/>
                <w:sz w:val="20"/>
              </w:rPr>
              <w:t>Daniel 10:12-21</w:t>
            </w:r>
          </w:p>
        </w:tc>
        <w:tc>
          <w:tcPr>
            <w:tcW w:type="dxa" w:w="6660"/>
            <w:tcMar>
              <w:top w:w="80" w:type="dxa"/>
              <w:start w:w="120" w:type="dxa"/>
              <w:bottom w:w="80" w:type="dxa"/>
              <w:end w:w="120" w:type="dxa"/>
            </w:tcMar>
            <w:vAlign w:val="center"/>
          </w:tcPr>
          <w:p>
            <w:r>
              <w:rPr>
                <w:rFonts w:ascii="Calibri" w:hAnsi="Calibri"/>
                <w:sz w:val="20"/>
              </w:rPr>
              <w:t>Illustrates angelic conflict involving the princes of Persia and Grecia.</w:t>
            </w:r>
          </w:p>
        </w:tc>
      </w:tr>
      <w:tr>
        <w:tc>
          <w:tcPr>
            <w:tcW w:type="dxa" w:w="2700"/>
            <w:tcMar>
              <w:top w:w="80" w:type="dxa"/>
              <w:start w:w="120" w:type="dxa"/>
              <w:bottom w:w="80" w:type="dxa"/>
              <w:end w:w="120" w:type="dxa"/>
            </w:tcMar>
            <w:vAlign w:val="center"/>
          </w:tcPr>
          <w:p>
            <w:r>
              <w:rPr>
                <w:rFonts w:ascii="Calibri" w:hAnsi="Calibri"/>
                <w:sz w:val="20"/>
              </w:rPr>
              <w:t>Matthew 24:4-24</w:t>
            </w:r>
          </w:p>
        </w:tc>
        <w:tc>
          <w:tcPr>
            <w:tcW w:type="dxa" w:w="6660"/>
            <w:tcMar>
              <w:top w:w="80" w:type="dxa"/>
              <w:start w:w="120" w:type="dxa"/>
              <w:bottom w:w="80" w:type="dxa"/>
              <w:end w:w="120" w:type="dxa"/>
            </w:tcMar>
            <w:vAlign w:val="center"/>
          </w:tcPr>
          <w:p>
            <w:r>
              <w:rPr>
                <w:rFonts w:ascii="Calibri" w:hAnsi="Calibri"/>
                <w:sz w:val="20"/>
              </w:rPr>
              <w:t>Warns of deception, false Christs, false prophets, upheaval, and signs near the end.</w:t>
            </w:r>
          </w:p>
        </w:tc>
      </w:tr>
      <w:tr>
        <w:tc>
          <w:tcPr>
            <w:tcW w:type="dxa" w:w="2700"/>
            <w:tcMar>
              <w:top w:w="80" w:type="dxa"/>
              <w:start w:w="120" w:type="dxa"/>
              <w:bottom w:w="80" w:type="dxa"/>
              <w:end w:w="120" w:type="dxa"/>
            </w:tcMar>
            <w:vAlign w:val="center"/>
          </w:tcPr>
          <w:p>
            <w:r>
              <w:rPr>
                <w:rFonts w:ascii="Calibri" w:hAnsi="Calibri"/>
                <w:sz w:val="20"/>
              </w:rPr>
              <w:t>Revelation 16:17-21 (inferred)</w:t>
            </w:r>
          </w:p>
        </w:tc>
        <w:tc>
          <w:tcPr>
            <w:tcW w:type="dxa" w:w="6660"/>
            <w:tcMar>
              <w:top w:w="80" w:type="dxa"/>
              <w:start w:w="120" w:type="dxa"/>
              <w:bottom w:w="80" w:type="dxa"/>
              <w:end w:w="120" w:type="dxa"/>
            </w:tcMar>
            <w:vAlign w:val="center"/>
          </w:tcPr>
          <w:p>
            <w:r>
              <w:rPr>
                <w:rFonts w:ascii="Calibri" w:hAnsi="Calibri"/>
                <w:sz w:val="20"/>
              </w:rPr>
              <w:t>Alluded to in discussion of the final earthquake and great hail.</w:t>
            </w:r>
          </w:p>
        </w:tc>
      </w:tr>
      <w:tr>
        <w:tc>
          <w:tcPr>
            <w:tcW w:type="dxa" w:w="2700"/>
            <w:tcMar>
              <w:top w:w="80" w:type="dxa"/>
              <w:start w:w="120" w:type="dxa"/>
              <w:bottom w:w="80" w:type="dxa"/>
              <w:end w:w="120" w:type="dxa"/>
            </w:tcMar>
            <w:vAlign w:val="center"/>
          </w:tcPr>
          <w:p>
            <w:r>
              <w:rPr>
                <w:rFonts w:ascii="Calibri" w:hAnsi="Calibri"/>
                <w:sz w:val="20"/>
              </w:rPr>
              <w:t>Zechariah 14:4 (inferred)</w:t>
            </w:r>
          </w:p>
        </w:tc>
        <w:tc>
          <w:tcPr>
            <w:tcW w:type="dxa" w:w="6660"/>
            <w:tcMar>
              <w:top w:w="80" w:type="dxa"/>
              <w:start w:w="120" w:type="dxa"/>
              <w:bottom w:w="80" w:type="dxa"/>
              <w:end w:w="120" w:type="dxa"/>
            </w:tcMar>
            <w:vAlign w:val="center"/>
          </w:tcPr>
          <w:p>
            <w:r>
              <w:rPr>
                <w:rFonts w:ascii="Calibri" w:hAnsi="Calibri"/>
                <w:sz w:val="20"/>
              </w:rPr>
              <w:t>Alluded to when Christ’s feet stand on the Mount of Olives and it splits.</w:t>
            </w:r>
          </w:p>
        </w:tc>
      </w:tr>
      <w:tr>
        <w:tc>
          <w:tcPr>
            <w:tcW w:type="dxa" w:w="2700"/>
            <w:tcMar>
              <w:top w:w="80" w:type="dxa"/>
              <w:start w:w="120" w:type="dxa"/>
              <w:bottom w:w="80" w:type="dxa"/>
              <w:end w:w="120" w:type="dxa"/>
            </w:tcMar>
            <w:vAlign w:val="center"/>
          </w:tcPr>
          <w:p>
            <w:r>
              <w:rPr>
                <w:rFonts w:ascii="Calibri" w:hAnsi="Calibri"/>
                <w:sz w:val="20"/>
              </w:rPr>
              <w:t>2 Timothy 2:3-4 (inferred)</w:t>
            </w:r>
          </w:p>
        </w:tc>
        <w:tc>
          <w:tcPr>
            <w:tcW w:type="dxa" w:w="6660"/>
            <w:tcMar>
              <w:top w:w="80" w:type="dxa"/>
              <w:start w:w="120" w:type="dxa"/>
              <w:bottom w:w="80" w:type="dxa"/>
              <w:end w:w="120" w:type="dxa"/>
            </w:tcMar>
            <w:vAlign w:val="center"/>
          </w:tcPr>
          <w:p>
            <w:r>
              <w:rPr>
                <w:rFonts w:ascii="Calibri" w:hAnsi="Calibri"/>
                <w:sz w:val="20"/>
              </w:rPr>
              <w:t>Alluded to in the appeal to endure hardship as a good soldier of Jesus Christ.</w:t>
            </w:r>
          </w:p>
        </w:tc>
      </w:tr>
      <w:tr>
        <w:tc>
          <w:tcPr>
            <w:tcW w:type="dxa" w:w="2700"/>
            <w:tcMar>
              <w:top w:w="80" w:type="dxa"/>
              <w:start w:w="120" w:type="dxa"/>
              <w:bottom w:w="80" w:type="dxa"/>
              <w:end w:w="120" w:type="dxa"/>
            </w:tcMar>
            <w:vAlign w:val="center"/>
          </w:tcPr>
          <w:p>
            <w:r>
              <w:rPr>
                <w:rFonts w:ascii="Calibri" w:hAnsi="Calibri"/>
                <w:sz w:val="20"/>
              </w:rPr>
              <w:t>2 Timothy 4:7 (inferred)</w:t>
            </w:r>
          </w:p>
        </w:tc>
        <w:tc>
          <w:tcPr>
            <w:tcW w:type="dxa" w:w="6660"/>
            <w:tcMar>
              <w:top w:w="80" w:type="dxa"/>
              <w:start w:w="120" w:type="dxa"/>
              <w:bottom w:w="80" w:type="dxa"/>
              <w:end w:w="120" w:type="dxa"/>
            </w:tcMar>
            <w:vAlign w:val="center"/>
          </w:tcPr>
          <w:p>
            <w:r>
              <w:rPr>
                <w:rFonts w:ascii="Calibri" w:hAnsi="Calibri"/>
                <w:sz w:val="20"/>
              </w:rPr>
              <w:t>Paul’s “good fight” becomes a model of faithful spiritual combat.</w:t>
            </w:r>
          </w:p>
        </w:tc>
      </w:tr>
      <w:tr>
        <w:tc>
          <w:tcPr>
            <w:tcW w:type="dxa" w:w="2700"/>
            <w:tcMar>
              <w:top w:w="80" w:type="dxa"/>
              <w:start w:w="120" w:type="dxa"/>
              <w:bottom w:w="80" w:type="dxa"/>
              <w:end w:w="120" w:type="dxa"/>
            </w:tcMar>
            <w:vAlign w:val="center"/>
          </w:tcPr>
          <w:p>
            <w:r>
              <w:rPr>
                <w:rFonts w:ascii="Calibri" w:hAnsi="Calibri"/>
                <w:sz w:val="20"/>
              </w:rPr>
              <w:t>Revelation 12:11 (inferred)</w:t>
            </w:r>
          </w:p>
        </w:tc>
        <w:tc>
          <w:tcPr>
            <w:tcW w:type="dxa" w:w="6660"/>
            <w:tcMar>
              <w:top w:w="80" w:type="dxa"/>
              <w:start w:w="120" w:type="dxa"/>
              <w:bottom w:w="80" w:type="dxa"/>
              <w:end w:w="120" w:type="dxa"/>
            </w:tcMar>
            <w:vAlign w:val="center"/>
          </w:tcPr>
          <w:p>
            <w:r>
              <w:rPr>
                <w:rFonts w:ascii="Calibri" w:hAnsi="Calibri"/>
                <w:sz w:val="20"/>
              </w:rPr>
              <w:t>Believers overcome by Christ’s blood, their testimony, and surrender even unto death.</w:t>
            </w:r>
          </w:p>
        </w:tc>
      </w:tr>
      <w:tr>
        <w:tc>
          <w:tcPr>
            <w:tcW w:type="dxa" w:w="2700"/>
            <w:tcMar>
              <w:top w:w="80" w:type="dxa"/>
              <w:start w:w="120" w:type="dxa"/>
              <w:bottom w:w="80" w:type="dxa"/>
              <w:end w:w="120" w:type="dxa"/>
            </w:tcMar>
            <w:vAlign w:val="center"/>
          </w:tcPr>
          <w:p>
            <w:r>
              <w:rPr>
                <w:rFonts w:ascii="Calibri" w:hAnsi="Calibri"/>
                <w:sz w:val="20"/>
              </w:rPr>
              <w:t>Revelation 19:11-16 (inferred)</w:t>
            </w:r>
          </w:p>
        </w:tc>
        <w:tc>
          <w:tcPr>
            <w:tcW w:type="dxa" w:w="6660"/>
            <w:tcMar>
              <w:top w:w="80" w:type="dxa"/>
              <w:start w:w="120" w:type="dxa"/>
              <w:bottom w:w="80" w:type="dxa"/>
              <w:end w:w="120" w:type="dxa"/>
            </w:tcMar>
            <w:vAlign w:val="center"/>
          </w:tcPr>
          <w:p>
            <w:r>
              <w:rPr>
                <w:rFonts w:ascii="Calibri" w:hAnsi="Calibri"/>
                <w:sz w:val="20"/>
              </w:rPr>
              <w:t>Alluded to in the expectation of returning with Christ in victory.</w:t>
            </w:r>
          </w:p>
        </w:tc>
      </w:tr>
      <w:tr>
        <w:tc>
          <w:tcPr>
            <w:tcW w:type="dxa" w:w="2700"/>
            <w:tcMar>
              <w:top w:w="80" w:type="dxa"/>
              <w:start w:w="120" w:type="dxa"/>
              <w:bottom w:w="80" w:type="dxa"/>
              <w:end w:w="120" w:type="dxa"/>
            </w:tcMar>
            <w:vAlign w:val="center"/>
          </w:tcPr>
          <w:p>
            <w:r>
              <w:rPr>
                <w:rFonts w:ascii="Calibri" w:hAnsi="Calibri"/>
                <w:sz w:val="20"/>
              </w:rPr>
              <w:t>Revelation 20:1-6 (inferred)</w:t>
            </w:r>
          </w:p>
        </w:tc>
        <w:tc>
          <w:tcPr>
            <w:tcW w:type="dxa" w:w="6660"/>
            <w:tcMar>
              <w:top w:w="80" w:type="dxa"/>
              <w:start w:w="120" w:type="dxa"/>
              <w:bottom w:w="80" w:type="dxa"/>
              <w:end w:w="120" w:type="dxa"/>
            </w:tcMar>
            <w:vAlign w:val="center"/>
          </w:tcPr>
          <w:p>
            <w:r>
              <w:rPr>
                <w:rFonts w:ascii="Calibri" w:hAnsi="Calibri"/>
                <w:sz w:val="20"/>
              </w:rPr>
              <w:t>Frames the future millennial reign and rejects the claim that it has already occurred.</w:t>
            </w:r>
          </w:p>
        </w:tc>
      </w:tr>
      <w:tr>
        <w:tc>
          <w:tcPr>
            <w:tcW w:type="dxa" w:w="2700"/>
            <w:tcMar>
              <w:top w:w="80" w:type="dxa"/>
              <w:start w:w="120" w:type="dxa"/>
              <w:bottom w:w="80" w:type="dxa"/>
              <w:end w:w="120" w:type="dxa"/>
            </w:tcMar>
            <w:vAlign w:val="center"/>
          </w:tcPr>
          <w:p>
            <w:r>
              <w:rPr>
                <w:rFonts w:ascii="Calibri" w:hAnsi="Calibri"/>
                <w:sz w:val="20"/>
              </w:rPr>
              <w:t>Luke 13:10-16 (inferred)</w:t>
            </w:r>
          </w:p>
        </w:tc>
        <w:tc>
          <w:tcPr>
            <w:tcW w:type="dxa" w:w="6660"/>
            <w:tcMar>
              <w:top w:w="80" w:type="dxa"/>
              <w:start w:w="120" w:type="dxa"/>
              <w:bottom w:w="80" w:type="dxa"/>
              <w:end w:w="120" w:type="dxa"/>
            </w:tcMar>
            <w:vAlign w:val="center"/>
          </w:tcPr>
          <w:p>
            <w:r>
              <w:rPr>
                <w:rFonts w:ascii="Calibri" w:hAnsi="Calibri"/>
                <w:sz w:val="20"/>
              </w:rPr>
              <w:t>Supports the distinction that people are loosed from bondage while demons are bound.</w:t>
            </w:r>
          </w:p>
        </w:tc>
      </w:tr>
      <w:tr>
        <w:tc>
          <w:tcPr>
            <w:tcW w:type="dxa" w:w="2700"/>
            <w:tcMar>
              <w:top w:w="80" w:type="dxa"/>
              <w:start w:w="120" w:type="dxa"/>
              <w:bottom w:w="80" w:type="dxa"/>
              <w:end w:w="120" w:type="dxa"/>
            </w:tcMar>
            <w:vAlign w:val="center"/>
          </w:tcPr>
          <w:p>
            <w:r>
              <w:rPr>
                <w:rFonts w:ascii="Calibri" w:hAnsi="Calibri"/>
                <w:sz w:val="20"/>
              </w:rPr>
              <w:t>Romans 16:17</w:t>
            </w:r>
          </w:p>
        </w:tc>
        <w:tc>
          <w:tcPr>
            <w:tcW w:type="dxa" w:w="6660"/>
            <w:tcMar>
              <w:top w:w="80" w:type="dxa"/>
              <w:start w:w="120" w:type="dxa"/>
              <w:bottom w:w="80" w:type="dxa"/>
              <w:end w:w="120" w:type="dxa"/>
            </w:tcMar>
            <w:vAlign w:val="center"/>
          </w:tcPr>
          <w:p>
            <w:r>
              <w:rPr>
                <w:rFonts w:ascii="Calibri" w:hAnsi="Calibri"/>
                <w:sz w:val="20"/>
              </w:rPr>
              <w:t>Commands believers to mark and avoid those causing divisions contrary to doctrine.</w:t>
            </w:r>
          </w:p>
        </w:tc>
      </w:tr>
      <w:tr>
        <w:tc>
          <w:tcPr>
            <w:tcW w:type="dxa" w:w="2700"/>
            <w:tcMar>
              <w:top w:w="80" w:type="dxa"/>
              <w:start w:w="120" w:type="dxa"/>
              <w:bottom w:w="80" w:type="dxa"/>
              <w:end w:w="120" w:type="dxa"/>
            </w:tcMar>
            <w:vAlign w:val="center"/>
          </w:tcPr>
          <w:p>
            <w:r>
              <w:rPr>
                <w:rFonts w:ascii="Calibri" w:hAnsi="Calibri"/>
                <w:sz w:val="20"/>
              </w:rPr>
              <w:t>2 Corinthians 10:3-5 (inferred)</w:t>
            </w:r>
          </w:p>
        </w:tc>
        <w:tc>
          <w:tcPr>
            <w:tcW w:type="dxa" w:w="6660"/>
            <w:tcMar>
              <w:top w:w="80" w:type="dxa"/>
              <w:start w:w="120" w:type="dxa"/>
              <w:bottom w:w="80" w:type="dxa"/>
              <w:end w:w="120" w:type="dxa"/>
            </w:tcMar>
            <w:vAlign w:val="center"/>
          </w:tcPr>
          <w:p>
            <w:r>
              <w:rPr>
                <w:rFonts w:ascii="Calibri" w:hAnsi="Calibri"/>
                <w:sz w:val="20"/>
              </w:rPr>
              <w:t>Alluded to in the closing prayer concerning non-carnal weapons mighty through God.</w:t>
            </w:r>
          </w:p>
        </w:tc>
      </w:tr>
      <w:tr>
        <w:tc>
          <w:tcPr>
            <w:tcW w:type="dxa" w:w="2700"/>
            <w:tcMar>
              <w:top w:w="80" w:type="dxa"/>
              <w:start w:w="120" w:type="dxa"/>
              <w:bottom w:w="80" w:type="dxa"/>
              <w:end w:w="120" w:type="dxa"/>
            </w:tcMar>
            <w:vAlign w:val="center"/>
          </w:tcPr>
          <w:p>
            <w:r>
              <w:rPr>
                <w:rFonts w:ascii="Calibri" w:hAnsi="Calibri"/>
                <w:sz w:val="20"/>
              </w:rPr>
              <w:t>Matthew 16:19 (inferred)</w:t>
            </w:r>
          </w:p>
        </w:tc>
        <w:tc>
          <w:tcPr>
            <w:tcW w:type="dxa" w:w="6660"/>
            <w:tcMar>
              <w:top w:w="80" w:type="dxa"/>
              <w:start w:w="120" w:type="dxa"/>
              <w:bottom w:w="80" w:type="dxa"/>
              <w:end w:w="120" w:type="dxa"/>
            </w:tcMar>
            <w:vAlign w:val="center"/>
          </w:tcPr>
          <w:p>
            <w:r>
              <w:rPr>
                <w:rFonts w:ascii="Calibri" w:hAnsi="Calibri"/>
                <w:sz w:val="20"/>
              </w:rPr>
              <w:t>Alluded to in the closing reference to the keys of the kingdom, binding, and loosing.</w:t>
            </w:r>
          </w:p>
        </w:tc>
      </w:tr>
    </w:tbl>
    <w:p>
      <w:pPr>
        <w:pStyle w:val="Heading1"/>
      </w:pPr>
      <w:r>
        <w:t>Sources and Publication Notes</w:t>
      </w:r>
    </w:p>
    <w:p>
      <w:r>
        <w:t>Primary source: Pastor Dean Odle, “The Resistance,” YouTube video. https://www.youtube.com/watch?v=kuG823KdC18</w:t>
      </w:r>
    </w:p>
    <w:p>
      <w:r>
        <w:t>The overview is an editorial guide, not an independent endorsement or verification of every claim. Tangential allegations are condensed in the overview but retained in the lightly edited transcript for fidelity. The sermon date and full runtime were recovered from the canonical YouTube source metadata; the supplied transcript itself ends at 1:41:05. Some Scripture references were inferred from unmistakable wording and are identified as such.</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color w:val="5A626C"/>
        <w:sz w:val="18"/>
      </w:rPr>
      <w:t>Watchman 33  •  The Resistance</w:t>
    </w:r>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b/>
        <w:color w:val="5A626C"/>
        <w:sz w:val="18"/>
      </w:rPr>
      <w:t>WATCHMAN 33  |  PUBLICATION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1E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val="0"/>
      <w:color w:val="0B25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40"/>
    </w:pPr>
    <w:rPr>
      <w:rFonts w:asciiTheme="majorHAnsi" w:eastAsiaTheme="majorEastAsia" w:hAnsiTheme="majorHAnsi" w:cstheme="majorBidi" w:ascii="Calibri" w:hAnsi="Calibri"/>
      <w:b w:val="0"/>
      <w:i/>
      <w:iCs/>
      <w:color w:val="1F4D78"/>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