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Rekindle the Fire</w:t>
      </w:r>
    </w:p>
    <w:p>
      <w:pPr>
        <w:pStyle w:val="Subtitle"/>
        <w:jc w:val="center"/>
      </w:pPr>
      <w:r>
        <w:t>Publication Package • Sermon Overview &amp; Study Guide</w:t>
      </w:r>
    </w:p>
    <w:p>
      <w:pPr>
        <w:jc w:val="center"/>
      </w:pPr>
      <w:r>
        <w:rPr>
          <w:rFonts w:ascii="Aptos" w:hAnsi="Aptos"/>
          <w:b/>
          <w:color w:val="58636D"/>
          <w:sz w:val="20"/>
        </w:rPr>
        <w:t>Pastor Dean Odle  |  Fire &amp; Grace Church</w:t>
      </w:r>
    </w:p>
    <w:tbl>
      <w:tblPr>
        <w:tblW w:type="auto" w:w="0"/>
        <w:jc w:val="center"/>
        <w:tblLayout w:type="fixed"/>
        <w:tblLook w:firstColumn="1" w:firstRow="1" w:lastColumn="0" w:lastRow="0" w:noHBand="0" w:noVBand="1" w:val="04A0"/>
      </w:tblPr>
      <w:tblGrid>
        <w:gridCol w:w="4824"/>
        <w:gridCol w:w="4824"/>
      </w:tblGrid>
      <w:tr>
        <w:tc>
          <w:tcPr>
            <w:tcW w:type="dxa" w:w="1944"/>
            <w:shd w:fill="EEF3F6"/>
            <w:tcMar>
              <w:top w:w="100" w:type="dxa"/>
              <w:start w:w="120" w:type="dxa"/>
              <w:bottom w:w="100" w:type="dxa"/>
              <w:end w:w="120" w:type="dxa"/>
            </w:tcMar>
            <w:vAlign w:val="top"/>
          </w:tcPr>
          <w:p>
            <w:r>
              <w:rPr>
                <w:rFonts w:ascii="Aptos" w:hAnsi="Aptos"/>
                <w:b/>
                <w:color w:val="20384F"/>
                <w:sz w:val="18"/>
              </w:rPr>
              <w:t>Speaker</w:t>
            </w:r>
          </w:p>
        </w:tc>
        <w:tc>
          <w:tcPr>
            <w:tcW w:type="dxa" w:w="7704"/>
            <w:tcMar>
              <w:top w:w="100" w:type="dxa"/>
              <w:start w:w="120" w:type="dxa"/>
              <w:bottom w:w="100" w:type="dxa"/>
              <w:end w:w="120" w:type="dxa"/>
            </w:tcMar>
            <w:vAlign w:val="top"/>
          </w:tcPr>
          <w:p>
            <w:r>
              <w:rPr>
                <w:rFonts w:ascii="Aptos" w:hAnsi="Aptos"/>
                <w:sz w:val="18"/>
              </w:rPr>
              <w:t>Pastor Dean Odle</w:t>
            </w:r>
          </w:p>
        </w:tc>
      </w:tr>
      <w:tr>
        <w:tc>
          <w:tcPr>
            <w:tcW w:type="dxa" w:w="1944"/>
            <w:shd w:fill="EEF3F6"/>
            <w:tcMar>
              <w:top w:w="100" w:type="dxa"/>
              <w:start w:w="120" w:type="dxa"/>
              <w:bottom w:w="100" w:type="dxa"/>
              <w:end w:w="120" w:type="dxa"/>
            </w:tcMar>
            <w:vAlign w:val="top"/>
          </w:tcPr>
          <w:p>
            <w:r>
              <w:rPr>
                <w:rFonts w:ascii="Aptos" w:hAnsi="Aptos"/>
                <w:b/>
                <w:color w:val="20384F"/>
                <w:sz w:val="18"/>
              </w:rPr>
              <w:t>Source</w:t>
            </w:r>
          </w:p>
        </w:tc>
        <w:tc>
          <w:tcPr>
            <w:tcW w:type="dxa" w:w="7704"/>
            <w:tcMar>
              <w:top w:w="100" w:type="dxa"/>
              <w:start w:w="120" w:type="dxa"/>
              <w:bottom w:w="100" w:type="dxa"/>
              <w:end w:w="120" w:type="dxa"/>
            </w:tcMar>
            <w:vAlign w:val="top"/>
          </w:tcPr>
          <w:p>
            <w:r>
              <w:rPr>
                <w:rFonts w:ascii="Aptos" w:hAnsi="Aptos"/>
                <w:sz w:val="18"/>
              </w:rPr>
              <w:t>https://www.youtube.com/watch?v=QbHjG1fEfjU</w:t>
            </w:r>
          </w:p>
        </w:tc>
      </w:tr>
      <w:tr>
        <w:tc>
          <w:tcPr>
            <w:tcW w:type="dxa" w:w="1944"/>
            <w:shd w:fill="EEF3F6"/>
            <w:tcMar>
              <w:top w:w="100" w:type="dxa"/>
              <w:start w:w="120" w:type="dxa"/>
              <w:bottom w:w="100" w:type="dxa"/>
              <w:end w:w="120" w:type="dxa"/>
            </w:tcMar>
            <w:vAlign w:val="top"/>
          </w:tcPr>
          <w:p>
            <w:r>
              <w:rPr>
                <w:rFonts w:ascii="Aptos" w:hAnsi="Aptos"/>
                <w:b/>
                <w:color w:val="20384F"/>
                <w:sz w:val="18"/>
              </w:rPr>
              <w:t>Duration</w:t>
            </w:r>
          </w:p>
        </w:tc>
        <w:tc>
          <w:tcPr>
            <w:tcW w:type="dxa" w:w="7704"/>
            <w:tcMar>
              <w:top w:w="100" w:type="dxa"/>
              <w:start w:w="120" w:type="dxa"/>
              <w:bottom w:w="100" w:type="dxa"/>
              <w:end w:w="120" w:type="dxa"/>
            </w:tcMar>
            <w:vAlign w:val="top"/>
          </w:tcPr>
          <w:p>
            <w:r>
              <w:rPr>
                <w:rFonts w:ascii="Aptos" w:hAnsi="Aptos"/>
                <w:sz w:val="18"/>
              </w:rPr>
              <w:t>2:33:37</w:t>
            </w:r>
          </w:p>
        </w:tc>
      </w:tr>
      <w:tr>
        <w:tc>
          <w:tcPr>
            <w:tcW w:type="dxa" w:w="1944"/>
            <w:shd w:fill="EEF3F6"/>
            <w:tcMar>
              <w:top w:w="100" w:type="dxa"/>
              <w:start w:w="120" w:type="dxa"/>
              <w:bottom w:w="100" w:type="dxa"/>
              <w:end w:w="120" w:type="dxa"/>
            </w:tcMar>
            <w:vAlign w:val="top"/>
          </w:tcPr>
          <w:p>
            <w:r>
              <w:rPr>
                <w:rFonts w:ascii="Aptos" w:hAnsi="Aptos"/>
                <w:b/>
                <w:color w:val="20384F"/>
                <w:sz w:val="18"/>
              </w:rPr>
              <w:t>Transcript basis</w:t>
            </w:r>
          </w:p>
        </w:tc>
        <w:tc>
          <w:tcPr>
            <w:tcW w:type="dxa" w:w="7704"/>
            <w:tcMar>
              <w:top w:w="100" w:type="dxa"/>
              <w:start w:w="120" w:type="dxa"/>
              <w:bottom w:w="100" w:type="dxa"/>
              <w:end w:w="120" w:type="dxa"/>
            </w:tcMar>
            <w:vAlign w:val="top"/>
          </w:tcPr>
          <w:p>
            <w:r>
              <w:rPr>
                <w:rFonts w:ascii="Aptos" w:hAnsi="Aptos"/>
                <w:sz w:val="18"/>
              </w:rPr>
              <w:t>Provided timestamped auto-transcript, lightly edited</w:t>
            </w:r>
          </w:p>
        </w:tc>
      </w:tr>
      <w:tr>
        <w:tc>
          <w:tcPr>
            <w:tcW w:type="dxa" w:w="1944"/>
            <w:shd w:fill="EEF3F6"/>
            <w:tcMar>
              <w:top w:w="100" w:type="dxa"/>
              <w:start w:w="120" w:type="dxa"/>
              <w:bottom w:w="100" w:type="dxa"/>
              <w:end w:w="120" w:type="dxa"/>
            </w:tcMar>
            <w:vAlign w:val="top"/>
          </w:tcPr>
          <w:p>
            <w:r>
              <w:rPr>
                <w:rFonts w:ascii="Aptos" w:hAnsi="Aptos"/>
                <w:b/>
                <w:color w:val="20384F"/>
                <w:sz w:val="18"/>
              </w:rPr>
              <w:t>Scripture translation</w:t>
            </w:r>
          </w:p>
        </w:tc>
        <w:tc>
          <w:tcPr>
            <w:tcW w:type="dxa" w:w="7704"/>
            <w:tcMar>
              <w:top w:w="100" w:type="dxa"/>
              <w:start w:w="120" w:type="dxa"/>
              <w:bottom w:w="100" w:type="dxa"/>
              <w:end w:w="120" w:type="dxa"/>
            </w:tcMar>
            <w:vAlign w:val="top"/>
          </w:tcPr>
          <w:p>
            <w:r>
              <w:rPr>
                <w:rFonts w:ascii="Aptos" w:hAnsi="Aptos"/>
                <w:sz w:val="18"/>
              </w:rPr>
              <w:t>KJV</w:t>
            </w:r>
          </w:p>
        </w:tc>
      </w:tr>
    </w:tbl>
    <w:p>
      <w:r>
        <w:br w:type="page"/>
      </w:r>
    </w:p>
    <w:p>
      <w:pPr>
        <w:pStyle w:val="Heading1"/>
      </w:pPr>
      <w:r>
        <w:t>Contents</w:t>
      </w:r>
    </w:p>
    <w:p>
      <w:pPr>
        <w:pStyle w:val="ListBullet"/>
      </w:pPr>
      <w:r>
        <w:t>Publication Note</w:t>
      </w:r>
    </w:p>
    <w:p>
      <w:pPr>
        <w:pStyle w:val="ListBullet"/>
      </w:pPr>
      <w:r>
        <w:t>Website Summary</w:t>
      </w:r>
    </w:p>
    <w:p>
      <w:pPr>
        <w:pStyle w:val="ListBullet"/>
      </w:pPr>
      <w:r>
        <w:t>Categories and Tags</w:t>
      </w:r>
    </w:p>
    <w:p>
      <w:pPr>
        <w:pStyle w:val="ListBullet"/>
      </w:pPr>
      <w:r>
        <w:t>Sermon Overview &amp; Study Guide</w:t>
      </w:r>
    </w:p>
    <w:p>
      <w:pPr>
        <w:pStyle w:val="ListBullet"/>
      </w:pPr>
      <w:r>
        <w:t>Scripture Index</w:t>
      </w:r>
    </w:p>
    <w:p>
      <w:pPr>
        <w:pStyle w:val="ListBullet"/>
      </w:pPr>
      <w:r>
        <w:t>Sources and Publication Notes</w:t>
      </w:r>
    </w:p>
    <w:p>
      <w:pPr>
        <w:pStyle w:val="Heading1"/>
      </w:pPr>
      <w:r>
        <w:t>Publication Note</w:t>
      </w:r>
    </w:p>
    <w:tbl>
      <w:tblPr>
        <w:tblW w:type="auto" w:w="0"/>
        <w:jc w:val="center"/>
        <w:tblLook w:firstColumn="1" w:firstRow="1" w:lastColumn="0" w:lastRow="0" w:noHBand="0" w:noVBand="1" w:val="04A0"/>
      </w:tblPr>
      <w:tblGrid>
        <w:gridCol w:w="9648"/>
      </w:tblGrid>
      <w:tr>
        <w:tc>
          <w:tcPr>
            <w:tcW w:type="dxa" w:w="9648"/>
            <w:shd w:fill="F7F3E8"/>
            <w:tcMar>
              <w:top w:w="160" w:type="dxa"/>
              <w:start w:w="180" w:type="dxa"/>
              <w:bottom w:w="160" w:type="dxa"/>
              <w:end w:w="180" w:type="dxa"/>
            </w:tcMar>
          </w:tcPr>
          <w:p>
            <w:r>
              <w:rPr>
                <w:rFonts w:ascii="Aptos" w:hAnsi="Aptos"/>
                <w:i/>
                <w:color w:val="4D4434"/>
                <w:sz w:val="19"/>
              </w:rPr>
              <w:t>This overview summarizes and attributes the speaker’s argument. Statements about public figures, ministries, denominations, historical events, organizations, or alleged wrongdoing should not automatically be treated as independently verified facts. Consult the full transcript and source recording for context.</w:t>
            </w:r>
          </w:p>
        </w:tc>
      </w:tr>
    </w:tbl>
    <w:p>
      <w:pPr>
        <w:pStyle w:val="Heading1"/>
      </w:pPr>
      <w:r>
        <w:t>Website Summary</w:t>
      </w:r>
    </w:p>
    <w:p>
      <w:r>
        <w:t>In “Rekindle the Fire,” Pastor Dean Odle calls weary believers to receive fresh strength from the Holy Spirit rather than allow trials, fear, or restrictive teaching to quench spiritual life. Beginning with 1 Peter 4’s “fiery trial,” he acknowledges suffering and end-time pressure but insists that hardship should drive Christians first toward God. Prayer, worship, Scripture, and dependence on the Spirit are presented as the means by which faith is built up and love for Christ is renewed.</w:t>
      </w:r>
    </w:p>
    <w:p>
      <w:r>
        <w:t>Much of the sermon defends the continuing work and gifts of the Holy Spirit, especially prayer in tongues, through Jude, 1 Corinthians 14, Acts 2, Acts 10, Acts 19, and Mark 16. Odle mixes biblical exposition with personal testimony to challenge cessationist teaching and passive unbelief. He does not present spiritual gifts as substitutes for the gospel or holiness; rather, he urges believers to seek God’s promised help, preach boldly, and act on Scripture. The service closes in extended worship and prayer for refreshing, healing, renewed anointing, and a rekindled fire.</w:t>
      </w:r>
    </w:p>
    <w:p>
      <w:pPr>
        <w:pStyle w:val="Heading1"/>
      </w:pPr>
      <w:r>
        <w:t>Categories and Tags</w:t>
      </w:r>
    </w:p>
    <w:p>
      <w:r>
        <w:rPr>
          <w:rFonts w:ascii="Aptos" w:hAnsi="Aptos"/>
          <w:b/>
          <w:color w:val="20384F"/>
          <w:sz w:val="21"/>
        </w:rPr>
        <w:t xml:space="preserve">Primary category: </w:t>
      </w:r>
      <w:r>
        <w:t>Spiritual Warfare</w:t>
      </w:r>
    </w:p>
    <w:p>
      <w:r>
        <w:rPr>
          <w:rFonts w:ascii="Aptos" w:hAnsi="Aptos"/>
          <w:b/>
          <w:color w:val="20384F"/>
          <w:sz w:val="21"/>
        </w:rPr>
        <w:t xml:space="preserve">Secondary categories: </w:t>
      </w:r>
      <w:r>
        <w:t>Christian Living, Doctrine and Discernment, Scripture Alone, Christ Alone</w:t>
      </w:r>
    </w:p>
    <w:p>
      <w:r>
        <w:rPr>
          <w:rFonts w:ascii="Aptos" w:hAnsi="Aptos"/>
          <w:b/>
          <w:color w:val="20384F"/>
          <w:sz w:val="21"/>
        </w:rPr>
        <w:t xml:space="preserve">Suggested content type: </w:t>
      </w:r>
      <w:r>
        <w:t>Sermon Study</w:t>
      </w:r>
    </w:p>
    <w:p>
      <w:r>
        <w:rPr>
          <w:rFonts w:ascii="Aptos" w:hAnsi="Aptos"/>
          <w:b/>
          <w:color w:val="20384F"/>
          <w:sz w:val="21"/>
        </w:rPr>
        <w:t xml:space="preserve">Tags: </w:t>
      </w:r>
      <w:r>
        <w:t>Holy Spirit, spiritual gifts, tongues, 1 Peter 4, Jude, 1 Corinthians 14, Acts 2, Acts 10, Acts 19, Mark 16, revival</w:t>
      </w:r>
    </w:p>
    <w:p>
      <w:pPr>
        <w:pStyle w:val="Heading1"/>
      </w:pPr>
      <w:r>
        <w:t>Sermon Overview &amp; Study Guide</w:t>
      </w:r>
    </w:p>
    <w:p>
      <w:pPr>
        <w:pStyle w:val="Heading2"/>
      </w:pPr>
      <w:r>
        <w:t>1. Worship and Love for Christ  |  00:00-14:00</w:t>
      </w:r>
    </w:p>
    <w:p>
      <w:r>
        <w:t>Extended worship calls the congregation away from love of the world and toward wholehearted devotion to Jesus.</w:t>
      </w:r>
    </w:p>
    <w:p>
      <w:r>
        <w:rPr>
          <w:rFonts w:ascii="Aptos" w:hAnsi="Aptos"/>
          <w:b/>
          <w:color w:val="A77A22"/>
          <w:sz w:val="21"/>
        </w:rPr>
        <w:t xml:space="preserve">Related Scripture (KJV): </w:t>
      </w:r>
      <w:r>
        <w:t>1 John 2:15-17</w:t>
      </w:r>
    </w:p>
    <w:p>
      <w:pPr>
        <w:pStyle w:val="Heading2"/>
      </w:pPr>
      <w:r>
        <w:t>2. The Fiery Trial  |  14:00-26:00</w:t>
      </w:r>
    </w:p>
    <w:p>
      <w:r>
        <w:t>First Peter 4 frames suffering as a test in which believers share Christ’s sufferings and must not be surprised.</w:t>
      </w:r>
    </w:p>
    <w:p>
      <w:pPr>
        <w:pStyle w:val="Heading2"/>
      </w:pPr>
      <w:r>
        <w:t>3. Seek God First  |  26:00-36:00</w:t>
      </w:r>
    </w:p>
    <w:p>
      <w:r>
        <w:t>Odle urges prayer and communion with God before reacting to attacks or relying on techniques.</w:t>
      </w:r>
    </w:p>
    <w:p>
      <w:pPr>
        <w:pStyle w:val="Heading2"/>
      </w:pPr>
      <w:r>
        <w:t>4. Building Up Faith  |  36:00-50:00</w:t>
      </w:r>
    </w:p>
    <w:p>
      <w:r>
        <w:t>Jude and 1 Corinthians 14 introduce prayer in the Holy Ghost and the edifying purpose of tongues.</w:t>
      </w:r>
    </w:p>
    <w:p>
      <w:pPr>
        <w:pStyle w:val="Heading2"/>
      </w:pPr>
      <w:r>
        <w:t>5. The Gift in Acts  |  50:00-1:05:00</w:t>
      </w:r>
    </w:p>
    <w:p>
      <w:r>
        <w:t>Acts 2, 10, and 19 are presented as repeated New Testament examples of believers receiving the Holy Ghost.</w:t>
      </w:r>
    </w:p>
    <w:p>
      <w:r>
        <w:rPr>
          <w:rFonts w:ascii="Aptos" w:hAnsi="Aptos"/>
          <w:b/>
          <w:color w:val="A77A22"/>
          <w:sz w:val="21"/>
        </w:rPr>
        <w:t xml:space="preserve">Related Scripture (KJV): </w:t>
      </w:r>
      <w:r>
        <w:t>Acts 2:1-18; Acts 10:44-48</w:t>
      </w:r>
    </w:p>
    <w:p>
      <w:pPr>
        <w:pStyle w:val="Heading2"/>
      </w:pPr>
      <w:r>
        <w:t>6. Testimony and Childlike Faith  |  1:05:00-1:22:00</w:t>
      </w:r>
    </w:p>
    <w:p>
      <w:r>
        <w:t>Personal testimony illustrates asking God sincerely, receiving by faith, and resisting fear or denominational barriers.</w:t>
      </w:r>
    </w:p>
    <w:p>
      <w:pPr>
        <w:pStyle w:val="Heading2"/>
      </w:pPr>
      <w:r>
        <w:t>7. Signs Following Believers  |  1:22:00-1:39:00</w:t>
      </w:r>
    </w:p>
    <w:p>
      <w:r>
        <w:t>Mark 16 is used to argue that Christ’s promised signs accompany believing witness and remain relevant.</w:t>
      </w:r>
    </w:p>
    <w:p>
      <w:pPr>
        <w:pStyle w:val="Heading2"/>
      </w:pPr>
      <w:r>
        <w:t>8. Answering Cessationism  |  1:39:00-1:52:00</w:t>
      </w:r>
    </w:p>
    <w:p>
      <w:r>
        <w:t>Odle challenges claims that tongues ended with the apostolic age or completion of the biblical canon.</w:t>
      </w:r>
    </w:p>
    <w:p>
      <w:pPr>
        <w:pStyle w:val="Heading2"/>
      </w:pPr>
      <w:r>
        <w:t>9. Invitation to Receive  |  1:52:00-2:09:00</w:t>
      </w:r>
    </w:p>
    <w:p>
      <w:r>
        <w:t>The congregation is invited to seek fresh filling, prayer, healing, and renewed boldness.</w:t>
      </w:r>
    </w:p>
    <w:p>
      <w:pPr>
        <w:pStyle w:val="Heading2"/>
      </w:pPr>
      <w:r>
        <w:t>10. Worship, Refreshing, and Prayer  |  2:09:00-2:33:37</w:t>
      </w:r>
    </w:p>
    <w:p>
      <w:r>
        <w:t>Extended worship culminates in prayer that the Spirit revive, refresh, heal, and flow through God’s people.</w:t>
      </w:r>
    </w:p>
    <w:p>
      <w:pPr>
        <w:pStyle w:val="Heading1"/>
      </w:pPr>
      <w:r>
        <w:t>Scripture Index</w:t>
      </w:r>
    </w:p>
    <w:p>
      <w:r>
        <w:rPr>
          <w:rFonts w:ascii="Aptos" w:hAnsi="Aptos"/>
          <w:i/>
          <w:color w:val="58636D"/>
          <w:sz w:val="18"/>
        </w:rPr>
        <w:t>References reflect passages directly named, read, quoted, or unmistakably alluded to in the sermon. Some ranges are consolidated for usefulness.</w:t>
      </w:r>
    </w:p>
    <w:tbl>
      <w:tblPr>
        <w:tblW w:type="auto" w:w="0"/>
        <w:jc w:val="center"/>
        <w:tblLayout w:type="fixed"/>
        <w:tblLook w:firstColumn="1" w:firstRow="1" w:lastColumn="0" w:lastRow="0" w:noHBand="0" w:noVBand="1" w:val="04A0"/>
      </w:tblPr>
      <w:tblGrid>
        <w:gridCol w:w="4824"/>
        <w:gridCol w:w="4824"/>
      </w:tblGrid>
      <w:tr>
        <w:tc>
          <w:tcPr>
            <w:tcW w:type="dxa" w:w="2592"/>
            <w:shd w:fill="20384F"/>
            <w:tcMar>
              <w:top w:w="100" w:type="dxa"/>
              <w:start w:w="120" w:type="dxa"/>
              <w:bottom w:w="100" w:type="dxa"/>
              <w:end w:w="120" w:type="dxa"/>
            </w:tcMar>
          </w:tcPr>
          <w:p>
            <w:r>
              <w:rPr>
                <w:rFonts w:ascii="Aptos" w:hAnsi="Aptos"/>
                <w:b/>
                <w:color w:val="FFFFFF"/>
                <w:sz w:val="18"/>
              </w:rPr>
              <w:t>Scripture</w:t>
            </w:r>
          </w:p>
        </w:tc>
        <w:tc>
          <w:tcPr>
            <w:tcW w:type="dxa" w:w="7056"/>
            <w:shd w:fill="20384F"/>
            <w:tcMar>
              <w:top w:w="100" w:type="dxa"/>
              <w:start w:w="120" w:type="dxa"/>
              <w:bottom w:w="100" w:type="dxa"/>
              <w:end w:w="120" w:type="dxa"/>
            </w:tcMar>
          </w:tcPr>
          <w:p>
            <w:r>
              <w:rPr>
                <w:rFonts w:ascii="Aptos" w:hAnsi="Aptos"/>
                <w:b/>
                <w:color w:val="FFFFFF"/>
                <w:sz w:val="18"/>
              </w:rPr>
              <w:t>Use in the Sermon</w:t>
            </w:r>
          </w:p>
        </w:tc>
      </w:tr>
      <w:tr>
        <w:tc>
          <w:tcPr>
            <w:tcW w:type="dxa" w:w="4824"/>
            <w:tcMar>
              <w:top w:w="100" w:type="dxa"/>
              <w:start w:w="120" w:type="dxa"/>
              <w:bottom w:w="100" w:type="dxa"/>
              <w:end w:w="120" w:type="dxa"/>
            </w:tcMar>
            <w:vAlign w:val="top"/>
          </w:tcPr>
          <w:p>
            <w:r>
              <w:rPr>
                <w:rFonts w:ascii="Aptos" w:hAnsi="Aptos"/>
                <w:b/>
                <w:color w:val="20384F"/>
                <w:sz w:val="18"/>
              </w:rPr>
              <w:t>1 John 2:15-17</w:t>
            </w:r>
          </w:p>
        </w:tc>
        <w:tc>
          <w:tcPr>
            <w:tcW w:type="dxa" w:w="4824"/>
            <w:tcMar>
              <w:top w:w="100" w:type="dxa"/>
              <w:start w:w="120" w:type="dxa"/>
              <w:bottom w:w="100" w:type="dxa"/>
              <w:end w:w="120" w:type="dxa"/>
            </w:tcMar>
            <w:vAlign w:val="top"/>
          </w:tcPr>
          <w:p>
            <w:r>
              <w:rPr>
                <w:rFonts w:ascii="Aptos" w:hAnsi="Aptos"/>
                <w:sz w:val="18"/>
              </w:rPr>
              <w:t>Love of the world is contrasted with love of the Father.</w:t>
            </w:r>
          </w:p>
        </w:tc>
      </w:tr>
      <w:tr>
        <w:tc>
          <w:tcPr>
            <w:tcW w:type="dxa" w:w="4824"/>
            <w:tcMar>
              <w:top w:w="100" w:type="dxa"/>
              <w:start w:w="120" w:type="dxa"/>
              <w:bottom w:w="100" w:type="dxa"/>
              <w:end w:w="120" w:type="dxa"/>
            </w:tcMar>
            <w:vAlign w:val="top"/>
          </w:tcPr>
          <w:p>
            <w:r>
              <w:rPr>
                <w:rFonts w:ascii="Aptos" w:hAnsi="Aptos"/>
                <w:b/>
                <w:color w:val="20384F"/>
                <w:sz w:val="18"/>
              </w:rPr>
              <w:t>1 Peter 4:12-19</w:t>
            </w:r>
          </w:p>
        </w:tc>
        <w:tc>
          <w:tcPr>
            <w:tcW w:type="dxa" w:w="4824"/>
            <w:tcMar>
              <w:top w:w="100" w:type="dxa"/>
              <w:start w:w="120" w:type="dxa"/>
              <w:bottom w:w="100" w:type="dxa"/>
              <w:end w:w="120" w:type="dxa"/>
            </w:tcMar>
            <w:vAlign w:val="top"/>
          </w:tcPr>
          <w:p>
            <w:r>
              <w:rPr>
                <w:rFonts w:ascii="Aptos" w:hAnsi="Aptos"/>
                <w:sz w:val="18"/>
              </w:rPr>
              <w:t>Fiery trials, suffering for Christ, and committing the soul to a faithful Creator.</w:t>
            </w:r>
          </w:p>
        </w:tc>
      </w:tr>
      <w:tr>
        <w:tc>
          <w:tcPr>
            <w:tcW w:type="dxa" w:w="4824"/>
            <w:tcMar>
              <w:top w:w="100" w:type="dxa"/>
              <w:start w:w="120" w:type="dxa"/>
              <w:bottom w:w="100" w:type="dxa"/>
              <w:end w:w="120" w:type="dxa"/>
            </w:tcMar>
            <w:vAlign w:val="top"/>
          </w:tcPr>
          <w:p>
            <w:r>
              <w:rPr>
                <w:rFonts w:ascii="Aptos" w:hAnsi="Aptos"/>
                <w:b/>
                <w:color w:val="20384F"/>
                <w:sz w:val="18"/>
              </w:rPr>
              <w:t>Jude 20-23</w:t>
            </w:r>
          </w:p>
        </w:tc>
        <w:tc>
          <w:tcPr>
            <w:tcW w:type="dxa" w:w="4824"/>
            <w:tcMar>
              <w:top w:w="100" w:type="dxa"/>
              <w:start w:w="120" w:type="dxa"/>
              <w:bottom w:w="100" w:type="dxa"/>
              <w:end w:w="120" w:type="dxa"/>
            </w:tcMar>
            <w:vAlign w:val="top"/>
          </w:tcPr>
          <w:p>
            <w:r>
              <w:rPr>
                <w:rFonts w:ascii="Aptos" w:hAnsi="Aptos"/>
                <w:sz w:val="18"/>
              </w:rPr>
              <w:t>Believers build themselves up by praying in the Holy Ghost.</w:t>
            </w:r>
          </w:p>
        </w:tc>
      </w:tr>
      <w:tr>
        <w:tc>
          <w:tcPr>
            <w:tcW w:type="dxa" w:w="4824"/>
            <w:tcMar>
              <w:top w:w="100" w:type="dxa"/>
              <w:start w:w="120" w:type="dxa"/>
              <w:bottom w:w="100" w:type="dxa"/>
              <w:end w:w="120" w:type="dxa"/>
            </w:tcMar>
            <w:vAlign w:val="top"/>
          </w:tcPr>
          <w:p>
            <w:r>
              <w:rPr>
                <w:rFonts w:ascii="Aptos" w:hAnsi="Aptos"/>
                <w:b/>
                <w:color w:val="20384F"/>
                <w:sz w:val="18"/>
              </w:rPr>
              <w:t>1 Corinthians 14:1-40</w:t>
            </w:r>
          </w:p>
        </w:tc>
        <w:tc>
          <w:tcPr>
            <w:tcW w:type="dxa" w:w="4824"/>
            <w:tcMar>
              <w:top w:w="100" w:type="dxa"/>
              <w:start w:w="120" w:type="dxa"/>
              <w:bottom w:w="100" w:type="dxa"/>
              <w:end w:w="120" w:type="dxa"/>
            </w:tcMar>
            <w:vAlign w:val="top"/>
          </w:tcPr>
          <w:p>
            <w:r>
              <w:rPr>
                <w:rFonts w:ascii="Aptos" w:hAnsi="Aptos"/>
                <w:sz w:val="18"/>
              </w:rPr>
              <w:t>Spiritual gifts, edification, prayer in tongues, interpretation, and orderly worship.</w:t>
            </w:r>
          </w:p>
        </w:tc>
      </w:tr>
      <w:tr>
        <w:tc>
          <w:tcPr>
            <w:tcW w:type="dxa" w:w="4824"/>
            <w:tcMar>
              <w:top w:w="100" w:type="dxa"/>
              <w:start w:w="120" w:type="dxa"/>
              <w:bottom w:w="100" w:type="dxa"/>
              <w:end w:w="120" w:type="dxa"/>
            </w:tcMar>
            <w:vAlign w:val="top"/>
          </w:tcPr>
          <w:p>
            <w:r>
              <w:rPr>
                <w:rFonts w:ascii="Aptos" w:hAnsi="Aptos"/>
                <w:b/>
                <w:color w:val="20384F"/>
                <w:sz w:val="18"/>
              </w:rPr>
              <w:t>Acts 2:1-18</w:t>
            </w:r>
          </w:p>
        </w:tc>
        <w:tc>
          <w:tcPr>
            <w:tcW w:type="dxa" w:w="4824"/>
            <w:tcMar>
              <w:top w:w="100" w:type="dxa"/>
              <w:start w:w="120" w:type="dxa"/>
              <w:bottom w:w="100" w:type="dxa"/>
              <w:end w:w="120" w:type="dxa"/>
            </w:tcMar>
            <w:vAlign w:val="top"/>
          </w:tcPr>
          <w:p>
            <w:r>
              <w:rPr>
                <w:rFonts w:ascii="Aptos" w:hAnsi="Aptos"/>
                <w:sz w:val="18"/>
              </w:rPr>
              <w:t>The Spirit is poured out at Pentecost with tongues and prophetic fulfillment.</w:t>
            </w:r>
          </w:p>
        </w:tc>
      </w:tr>
      <w:tr>
        <w:tc>
          <w:tcPr>
            <w:tcW w:type="dxa" w:w="4824"/>
            <w:tcMar>
              <w:top w:w="100" w:type="dxa"/>
              <w:start w:w="120" w:type="dxa"/>
              <w:bottom w:w="100" w:type="dxa"/>
              <w:end w:w="120" w:type="dxa"/>
            </w:tcMar>
            <w:vAlign w:val="top"/>
          </w:tcPr>
          <w:p>
            <w:r>
              <w:rPr>
                <w:rFonts w:ascii="Aptos" w:hAnsi="Aptos"/>
                <w:b/>
                <w:color w:val="20384F"/>
                <w:sz w:val="18"/>
              </w:rPr>
              <w:t>Acts 10:44-48</w:t>
            </w:r>
          </w:p>
        </w:tc>
        <w:tc>
          <w:tcPr>
            <w:tcW w:type="dxa" w:w="4824"/>
            <w:tcMar>
              <w:top w:w="100" w:type="dxa"/>
              <w:start w:w="120" w:type="dxa"/>
              <w:bottom w:w="100" w:type="dxa"/>
              <w:end w:w="120" w:type="dxa"/>
            </w:tcMar>
            <w:vAlign w:val="top"/>
          </w:tcPr>
          <w:p>
            <w:r>
              <w:rPr>
                <w:rFonts w:ascii="Aptos" w:hAnsi="Aptos"/>
                <w:sz w:val="18"/>
              </w:rPr>
              <w:t>The Holy Ghost falls on Cornelius’s household and is recognized through spiritual manifestation.</w:t>
            </w:r>
          </w:p>
        </w:tc>
      </w:tr>
      <w:tr>
        <w:tc>
          <w:tcPr>
            <w:tcW w:type="dxa" w:w="4824"/>
            <w:tcMar>
              <w:top w:w="100" w:type="dxa"/>
              <w:start w:w="120" w:type="dxa"/>
              <w:bottom w:w="100" w:type="dxa"/>
              <w:end w:w="120" w:type="dxa"/>
            </w:tcMar>
            <w:vAlign w:val="top"/>
          </w:tcPr>
          <w:p>
            <w:r>
              <w:rPr>
                <w:rFonts w:ascii="Aptos" w:hAnsi="Aptos"/>
                <w:b/>
                <w:color w:val="20384F"/>
                <w:sz w:val="18"/>
              </w:rPr>
              <w:t>Acts 19:1-7</w:t>
            </w:r>
          </w:p>
        </w:tc>
        <w:tc>
          <w:tcPr>
            <w:tcW w:type="dxa" w:w="4824"/>
            <w:tcMar>
              <w:top w:w="100" w:type="dxa"/>
              <w:start w:w="120" w:type="dxa"/>
              <w:bottom w:w="100" w:type="dxa"/>
              <w:end w:w="120" w:type="dxa"/>
            </w:tcMar>
            <w:vAlign w:val="top"/>
          </w:tcPr>
          <w:p>
            <w:r>
              <w:rPr>
                <w:rFonts w:ascii="Aptos" w:hAnsi="Aptos"/>
                <w:sz w:val="18"/>
              </w:rPr>
              <w:t>Disciples at Ephesus receive the Holy Ghost and speak with tongues.</w:t>
            </w:r>
          </w:p>
        </w:tc>
      </w:tr>
      <w:tr>
        <w:tc>
          <w:tcPr>
            <w:tcW w:type="dxa" w:w="4824"/>
            <w:tcMar>
              <w:top w:w="100" w:type="dxa"/>
              <w:start w:w="120" w:type="dxa"/>
              <w:bottom w:w="100" w:type="dxa"/>
              <w:end w:w="120" w:type="dxa"/>
            </w:tcMar>
            <w:vAlign w:val="top"/>
          </w:tcPr>
          <w:p>
            <w:r>
              <w:rPr>
                <w:rFonts w:ascii="Aptos" w:hAnsi="Aptos"/>
                <w:b/>
                <w:color w:val="20384F"/>
                <w:sz w:val="18"/>
              </w:rPr>
              <w:t>Mark 16:15-18</w:t>
            </w:r>
          </w:p>
        </w:tc>
        <w:tc>
          <w:tcPr>
            <w:tcW w:type="dxa" w:w="4824"/>
            <w:tcMar>
              <w:top w:w="100" w:type="dxa"/>
              <w:start w:w="120" w:type="dxa"/>
              <w:bottom w:w="100" w:type="dxa"/>
              <w:end w:w="120" w:type="dxa"/>
            </w:tcMar>
            <w:vAlign w:val="top"/>
          </w:tcPr>
          <w:p>
            <w:r>
              <w:rPr>
                <w:rFonts w:ascii="Aptos" w:hAnsi="Aptos"/>
                <w:sz w:val="18"/>
              </w:rPr>
              <w:t>Signs are promised to follow believers as they preach the gospel.</w:t>
            </w:r>
          </w:p>
        </w:tc>
      </w:tr>
      <w:tr>
        <w:tc>
          <w:tcPr>
            <w:tcW w:type="dxa" w:w="4824"/>
            <w:tcMar>
              <w:top w:w="100" w:type="dxa"/>
              <w:start w:w="120" w:type="dxa"/>
              <w:bottom w:w="100" w:type="dxa"/>
              <w:end w:w="120" w:type="dxa"/>
            </w:tcMar>
            <w:vAlign w:val="top"/>
          </w:tcPr>
          <w:p>
            <w:r>
              <w:rPr>
                <w:rFonts w:ascii="Aptos" w:hAnsi="Aptos"/>
                <w:b/>
                <w:color w:val="20384F"/>
                <w:sz w:val="18"/>
              </w:rPr>
              <w:t>Romans 8:14-16</w:t>
            </w:r>
          </w:p>
        </w:tc>
        <w:tc>
          <w:tcPr>
            <w:tcW w:type="dxa" w:w="4824"/>
            <w:tcMar>
              <w:top w:w="100" w:type="dxa"/>
              <w:start w:w="120" w:type="dxa"/>
              <w:bottom w:w="100" w:type="dxa"/>
              <w:end w:w="120" w:type="dxa"/>
            </w:tcMar>
            <w:vAlign w:val="top"/>
          </w:tcPr>
          <w:p>
            <w:r>
              <w:rPr>
                <w:rFonts w:ascii="Aptos" w:hAnsi="Aptos"/>
                <w:sz w:val="18"/>
              </w:rPr>
              <w:t>The Spirit leads God’s children and bears witness with their spirit.</w:t>
            </w:r>
          </w:p>
        </w:tc>
      </w:tr>
      <w:tr>
        <w:tc>
          <w:tcPr>
            <w:tcW w:type="dxa" w:w="4824"/>
            <w:tcMar>
              <w:top w:w="100" w:type="dxa"/>
              <w:start w:w="120" w:type="dxa"/>
              <w:bottom w:w="100" w:type="dxa"/>
              <w:end w:w="120" w:type="dxa"/>
            </w:tcMar>
            <w:vAlign w:val="top"/>
          </w:tcPr>
          <w:p>
            <w:r>
              <w:rPr>
                <w:rFonts w:ascii="Aptos" w:hAnsi="Aptos"/>
                <w:b/>
                <w:color w:val="20384F"/>
                <w:sz w:val="18"/>
              </w:rPr>
              <w:t>Luke 11:9-13</w:t>
            </w:r>
          </w:p>
        </w:tc>
        <w:tc>
          <w:tcPr>
            <w:tcW w:type="dxa" w:w="4824"/>
            <w:tcMar>
              <w:top w:w="100" w:type="dxa"/>
              <w:start w:w="120" w:type="dxa"/>
              <w:bottom w:w="100" w:type="dxa"/>
              <w:end w:w="120" w:type="dxa"/>
            </w:tcMar>
            <w:vAlign w:val="top"/>
          </w:tcPr>
          <w:p>
            <w:r>
              <w:rPr>
                <w:rFonts w:ascii="Aptos" w:hAnsi="Aptos"/>
                <w:sz w:val="18"/>
              </w:rPr>
              <w:t>The Father gives the Holy Spirit to those who ask Him.</w:t>
            </w:r>
          </w:p>
        </w:tc>
      </w:tr>
    </w:tbl>
    <w:p>
      <w:pPr>
        <w:pStyle w:val="Heading1"/>
      </w:pPr>
      <w:r>
        <w:t>Sources and Publication Notes</w:t>
      </w:r>
    </w:p>
    <w:p>
      <w:r>
        <w:t>Canonical source: https://www.youtube.com/watch?v=QbHjG1fEfjU</w:t>
      </w:r>
    </w:p>
    <w:p>
      <w:r>
        <w:t>Transcript basis: timestamped transcript supplied in the processing package. Obvious caption artifacts, filler, immediate repetitions, and abandoned fragments were lightly edited for readability while preserving substantive statements, sequence, examples, and claims.</w:t>
      </w:r>
    </w:p>
    <w:p>
      <w:r>
        <w:t>Editorial scope: the study guide follows the sermon chronologically and attributes interpretation to the speaker. It does not independently verify historical, denominational, political, scientific, medical, or institutional assertions made in the sermon. Scripture quotations and references are presented as King James Version (KJV).</w:t>
      </w:r>
    </w:p>
    <w:sectPr w:rsidR="00FC693F" w:rsidRPr="0006063C" w:rsidSect="00034616">
      <w:headerReference w:type="default" r:id="rId9"/>
      <w:footerReference w:type="default" r:id="rId10"/>
      <w:pgSz w:w="12240" w:h="15840"/>
      <w:pgMar w:top="1224" w:right="1296" w:bottom="1152"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8636D"/>
        <w:sz w:val="16"/>
      </w:rPr>
      <w:t xml:space="preserve">WATCHMAN 33  •  </w:t>
    </w:r>
    <w:r>
      <w:fldChar w:fldCharType="begin"/>
    </w:r>
    <w:r>
      <w:instrText xml:space="preserve">PAGE</w:instrText>
    </w:r>
    <w:r>
      <w:fldChar w:fldCharType="separate"/>
    </w:r>
    <w:r>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58636D"/>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84F"/>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A77A22"/>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20384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20384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320"/>
    </w:pPr>
    <w:rPr>
      <w:rFonts w:asciiTheme="majorHAnsi" w:eastAsiaTheme="majorEastAsia" w:hAnsiTheme="majorHAnsi" w:cstheme="majorBidi" w:ascii="Aptos Display" w:hAnsi="Aptos Display"/>
      <w:b w:val="0"/>
      <w:i/>
      <w:iCs/>
      <w:color w:val="58636D"/>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