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240"/>
      </w:pPr>
    </w:p>
    <w:p>
      <w:pPr>
        <w:spacing w:after="240"/>
      </w:pPr>
    </w:p>
    <w:p>
      <w:pPr>
        <w:spacing w:after="240"/>
      </w:pPr>
    </w:p>
    <w:p>
      <w:pPr>
        <w:spacing w:after="240"/>
      </w:pPr>
    </w:p>
    <w:p>
      <w:pPr>
        <w:spacing w:after="240"/>
      </w:pPr>
    </w:p>
    <w:p>
      <w:pPr>
        <w:pStyle w:val="Heading3"/>
        <w:jc w:val="center"/>
      </w:pPr>
      <w:r>
        <w:t>WATCHMAN 33</w:t>
      </w:r>
    </w:p>
    <w:p>
      <w:pPr>
        <w:pStyle w:val="Title"/>
        <w:jc w:val="center"/>
      </w:pPr>
      <w:r>
        <w:t>The Firmament Revisited</w:t>
      </w:r>
    </w:p>
    <w:p>
      <w:pPr>
        <w:pStyle w:val="Subtitle"/>
        <w:jc w:val="center"/>
      </w:pPr>
      <w:r>
        <w:t>Publication Package</w:t>
      </w:r>
    </w:p>
    <w:p>
      <w:pPr>
        <w:jc w:val="center"/>
      </w:pPr>
      <w:r>
        <w:t>Prepared for Scripture-centered study and publication</w:t>
      </w:r>
    </w:p>
    <w:p>
      <w:r>
        <w:br w:type="page"/>
      </w:r>
    </w:p>
    <w:p>
      <w:pPr>
        <w:pStyle w:val="Heading1"/>
      </w:pPr>
      <w:r>
        <w:t>Contents</w:t>
      </w:r>
    </w:p>
    <w:p>
      <w:pPr>
        <w:pStyle w:val="ListBullet"/>
      </w:pPr>
      <w:r>
        <w:t>Publication Note</w:t>
      </w:r>
    </w:p>
    <w:p>
      <w:pPr>
        <w:pStyle w:val="ListBullet"/>
      </w:pPr>
      <w:r>
        <w:t>Website Summary</w:t>
      </w:r>
    </w:p>
    <w:p>
      <w:pPr>
        <w:pStyle w:val="ListBullet"/>
      </w:pPr>
      <w:r>
        <w:t>Categories and Tags</w:t>
      </w:r>
    </w:p>
    <w:p>
      <w:pPr>
        <w:pStyle w:val="ListBullet"/>
      </w:pPr>
      <w:r>
        <w:t>Sermon Overview &amp; Study Guide</w:t>
      </w:r>
    </w:p>
    <w:p>
      <w:pPr>
        <w:pStyle w:val="ListBullet"/>
      </w:pPr>
      <w:r>
        <w:t>Scripture Index</w:t>
      </w:r>
    </w:p>
    <w:p>
      <w:pPr>
        <w:pStyle w:val="ListBullet"/>
      </w:pPr>
      <w:r>
        <w:t>Sources and Publication Notes</w:t>
      </w:r>
    </w:p>
    <w:p>
      <w:pPr>
        <w:pStyle w:val="Heading1"/>
      </w:pPr>
      <w:r>
        <w:t>Publication Note</w:t>
      </w:r>
    </w:p>
    <w:p>
      <w:r>
        <w:t>This package summarizes Pastor Dean Odle’s argument for study and publication. Interpretations and statements concerning public figures, ministries, institutions, historical events, scientific matters, organizations, or crimes are attributed to the speaker and should not automatically be treated as independently verified facts.</w:t>
      </w:r>
    </w:p>
    <w:tbl>
      <w:tblPr>
        <w:tblStyle w:val="TableGrid"/>
        <w:tblW w:type="auto" w:w="0"/>
        <w:jc w:val="left"/>
        <w:tblLayout w:type="fixed"/>
        <w:tblLook w:firstColumn="1" w:firstRow="1" w:lastColumn="0" w:lastRow="0" w:noHBand="0" w:noVBand="1" w:val="04A0"/>
        <w:tblW w:w="9360" w:type="dxa"/>
        <w:tblInd w:w="120" w:type="dxa"/>
      </w:tblPr>
      <w:tblGrid>
        <w:gridCol w:w="2700"/>
        <w:gridCol w:w="6660"/>
      </w:tblGrid>
      <w:tr>
        <w:tc>
          <w:tcPr>
            <w:tcW w:type="dxa" w:w="4680"/>
            <w:shd w:fill="E8EEF5"/>
            <w:tcW w:w="2700" w:type="dxa"/>
            <w:vAlign w:val="center"/>
          </w:tcPr>
          <w:p>
            <w:r>
              <w:rPr>
                <w:b/>
              </w:rPr>
              <w:t>Speaker</w:t>
            </w:r>
          </w:p>
        </w:tc>
        <w:tc>
          <w:tcPr>
            <w:tcW w:type="dxa" w:w="4680"/>
            <w:tcW w:w="6660" w:type="dxa"/>
            <w:vAlign w:val="center"/>
          </w:tcPr>
          <w:p>
            <w:r>
              <w:t>Pastor Dean Odle</w:t>
            </w:r>
          </w:p>
        </w:tc>
      </w:tr>
      <w:tr>
        <w:tc>
          <w:tcPr>
            <w:tcW w:type="dxa" w:w="4680"/>
            <w:shd w:fill="E8EEF5"/>
            <w:tcW w:w="2700" w:type="dxa"/>
            <w:vAlign w:val="center"/>
          </w:tcPr>
          <w:p>
            <w:r>
              <w:rPr>
                <w:b/>
              </w:rPr>
              <w:t>Source</w:t>
            </w:r>
          </w:p>
        </w:tc>
        <w:tc>
          <w:tcPr>
            <w:tcW w:type="dxa" w:w="4680"/>
            <w:tcW w:w="6660" w:type="dxa"/>
            <w:vAlign w:val="center"/>
          </w:tcPr>
          <w:p>
            <w:r>
              <w:t>https://www.youtube.com/watch?v=SYn50ir1jdA</w:t>
            </w:r>
          </w:p>
        </w:tc>
      </w:tr>
      <w:tr>
        <w:tc>
          <w:tcPr>
            <w:tcW w:type="dxa" w:w="4680"/>
            <w:shd w:fill="E8EEF5"/>
            <w:tcW w:w="2700" w:type="dxa"/>
            <w:vAlign w:val="center"/>
          </w:tcPr>
          <w:p>
            <w:r>
              <w:rPr>
                <w:b/>
              </w:rPr>
              <w:t>Duration</w:t>
            </w:r>
          </w:p>
        </w:tc>
        <w:tc>
          <w:tcPr>
            <w:tcW w:type="dxa" w:w="4680"/>
            <w:tcW w:w="6660" w:type="dxa"/>
            <w:vAlign w:val="center"/>
          </w:tcPr>
          <w:p>
            <w:r>
              <w:t>01:56:25</w:t>
            </w:r>
          </w:p>
        </w:tc>
      </w:tr>
      <w:tr>
        <w:tc>
          <w:tcPr>
            <w:tcW w:type="dxa" w:w="4680"/>
            <w:shd w:fill="E8EEF5"/>
            <w:tcW w:w="2700" w:type="dxa"/>
            <w:vAlign w:val="center"/>
          </w:tcPr>
          <w:p>
            <w:r>
              <w:rPr>
                <w:b/>
              </w:rPr>
              <w:t>Sermon date</w:t>
            </w:r>
          </w:p>
        </w:tc>
        <w:tc>
          <w:tcPr>
            <w:tcW w:type="dxa" w:w="4680"/>
            <w:tcW w:w="6660" w:type="dxa"/>
            <w:vAlign w:val="center"/>
          </w:tcPr>
          <w:p>
            <w:r>
              <w:t>Not stated in supplied transcript</w:t>
            </w:r>
          </w:p>
        </w:tc>
      </w:tr>
      <w:tr>
        <w:tc>
          <w:tcPr>
            <w:tcW w:type="dxa" w:w="4680"/>
            <w:shd w:fill="E8EEF5"/>
            <w:tcW w:w="2700" w:type="dxa"/>
            <w:vAlign w:val="center"/>
          </w:tcPr>
          <w:p>
            <w:r>
              <w:rPr>
                <w:b/>
              </w:rPr>
              <w:t>Transcript basis</w:t>
            </w:r>
          </w:p>
        </w:tc>
        <w:tc>
          <w:tcPr>
            <w:tcW w:type="dxa" w:w="4680"/>
            <w:tcW w:w="6660" w:type="dxa"/>
            <w:vAlign w:val="center"/>
          </w:tcPr>
          <w:p>
            <w:r>
              <w:t>Supplied transcript, lightly corrected and organized; no external fact-checking performed.</w:t>
            </w:r>
          </w:p>
        </w:tc>
      </w:tr>
      <w:tr>
        <w:tc>
          <w:tcPr>
            <w:tcW w:type="dxa" w:w="4680"/>
            <w:shd w:fill="E8EEF5"/>
            <w:tcW w:w="2700" w:type="dxa"/>
            <w:vAlign w:val="center"/>
          </w:tcPr>
          <w:p>
            <w:r>
              <w:rPr>
                <w:b/>
              </w:rPr>
              <w:t>Scripture translation</w:t>
            </w:r>
          </w:p>
        </w:tc>
        <w:tc>
          <w:tcPr>
            <w:tcW w:type="dxa" w:w="4680"/>
            <w:tcW w:w="6660" w:type="dxa"/>
            <w:vAlign w:val="center"/>
          </w:tcPr>
          <w:p>
            <w:r>
              <w:t>King James Version (KJV)</w:t>
            </w:r>
          </w:p>
        </w:tc>
      </w:tr>
    </w:tbl>
    <w:p>
      <w:pPr>
        <w:pStyle w:val="Heading1"/>
      </w:pPr>
      <w:r>
        <w:t>Website Summary</w:t>
      </w:r>
    </w:p>
    <w:p>
      <w:r>
        <w:t>In The Firmament Revisited, Pastor Dean Odle offers an extended defense of his biblical-cosmology reading of the firmament as a real, strong structure created by God to divide waters above from waters below. Working through Genesis 1, Psalm 19, Job 37, Ezekiel 1, Exodus 24, Isaiah 40, and related passages, he argues that Scripture presents the firmament as part of God’s handiwork and glory rather than an empty expanse.</w:t>
      </w:r>
    </w:p>
    <w:p>
      <w:r>
        <w:t>Odle supplements his textual case with Hebrew and Greek word studies, early Jewish and Christian sources, Operation Fishbowl footage, and claims concerning a so-called sky stone. These scientific and historical conclusions are the speaker’s claims and are not independently verified here. His central exhortation is that Christians treat the question as an issue of truth and biblical authority, study the words in context, endure ridicule without shame, and speak what they believe Scripture teaches.</w:t>
      </w:r>
    </w:p>
    <w:p>
      <w:pPr>
        <w:pStyle w:val="Heading1"/>
      </w:pPr>
      <w:r>
        <w:t>Categories and Tags</w:t>
      </w:r>
    </w:p>
    <w:tbl>
      <w:tblPr>
        <w:tblStyle w:val="TableGrid"/>
        <w:tblW w:type="auto" w:w="0"/>
        <w:jc w:val="left"/>
        <w:tblLayout w:type="fixed"/>
        <w:tblLook w:firstColumn="1" w:firstRow="1" w:lastColumn="0" w:lastRow="0" w:noHBand="0" w:noVBand="1" w:val="04A0"/>
        <w:tblW w:w="9360" w:type="dxa"/>
        <w:tblInd w:w="120" w:type="dxa"/>
      </w:tblPr>
      <w:tblGrid>
        <w:gridCol w:w="2700"/>
        <w:gridCol w:w="6660"/>
      </w:tblGrid>
      <w:tr>
        <w:tc>
          <w:tcPr>
            <w:tcW w:type="dxa" w:w="4680"/>
            <w:shd w:fill="E8EEF5"/>
            <w:tcW w:w="2700" w:type="dxa"/>
            <w:vAlign w:val="center"/>
          </w:tcPr>
          <w:p>
            <w:r>
              <w:rPr>
                <w:b/>
              </w:rPr>
              <w:t>Primary category</w:t>
            </w:r>
          </w:p>
        </w:tc>
        <w:tc>
          <w:tcPr>
            <w:tcW w:type="dxa" w:w="4680"/>
            <w:tcW w:w="6660" w:type="dxa"/>
            <w:vAlign w:val="center"/>
          </w:tcPr>
          <w:p>
            <w:r>
              <w:t>Biblical Cosmology</w:t>
            </w:r>
          </w:p>
        </w:tc>
      </w:tr>
      <w:tr>
        <w:tc>
          <w:tcPr>
            <w:tcW w:type="dxa" w:w="4680"/>
            <w:shd w:fill="E8EEF5"/>
            <w:tcW w:w="2700" w:type="dxa"/>
            <w:vAlign w:val="center"/>
          </w:tcPr>
          <w:p>
            <w:r>
              <w:rPr>
                <w:b/>
              </w:rPr>
              <w:t>Secondary categories</w:t>
            </w:r>
          </w:p>
        </w:tc>
        <w:tc>
          <w:tcPr>
            <w:tcW w:type="dxa" w:w="4680"/>
            <w:tcW w:w="6660" w:type="dxa"/>
            <w:vAlign w:val="center"/>
          </w:tcPr>
          <w:p>
            <w:r>
              <w:t>Scripture Alone, Doctrine and Discernment, Creation, Apostasy and Deception</w:t>
            </w:r>
          </w:p>
        </w:tc>
      </w:tr>
      <w:tr>
        <w:tc>
          <w:tcPr>
            <w:tcW w:type="dxa" w:w="4680"/>
            <w:shd w:fill="E8EEF5"/>
            <w:tcW w:w="2700" w:type="dxa"/>
            <w:vAlign w:val="center"/>
          </w:tcPr>
          <w:p>
            <w:r>
              <w:rPr>
                <w:b/>
              </w:rPr>
              <w:t>Suggested content type</w:t>
            </w:r>
          </w:p>
        </w:tc>
        <w:tc>
          <w:tcPr>
            <w:tcW w:type="dxa" w:w="4680"/>
            <w:tcW w:w="6660" w:type="dxa"/>
            <w:vAlign w:val="center"/>
          </w:tcPr>
          <w:p>
            <w:r>
              <w:t>Doctrine Exposé</w:t>
            </w:r>
          </w:p>
        </w:tc>
      </w:tr>
      <w:tr>
        <w:tc>
          <w:tcPr>
            <w:tcW w:type="dxa" w:w="4680"/>
            <w:shd w:fill="E8EEF5"/>
            <w:tcW w:w="2700" w:type="dxa"/>
            <w:vAlign w:val="center"/>
          </w:tcPr>
          <w:p>
            <w:r>
              <w:rPr>
                <w:b/>
              </w:rPr>
              <w:t>Tags</w:t>
            </w:r>
          </w:p>
        </w:tc>
        <w:tc>
          <w:tcPr>
            <w:tcW w:type="dxa" w:w="4680"/>
            <w:tcW w:w="6660" w:type="dxa"/>
            <w:vAlign w:val="center"/>
          </w:tcPr>
          <w:p>
            <w:r>
              <w:t>Genesis 1, firmament, Psalm 19, Ezekiel 1, Job 37, raqia, stereoma, Operation Fishbowl, biblical creation, John 8</w:t>
            </w:r>
          </w:p>
        </w:tc>
      </w:tr>
    </w:tbl>
    <w:p>
      <w:pPr>
        <w:pStyle w:val="Heading1"/>
      </w:pPr>
      <w:r>
        <w:t>Sermon Overview &amp; Study Guide</w:t>
      </w:r>
    </w:p>
    <w:p>
      <w:pPr>
        <w:pStyle w:val="Heading2"/>
      </w:pPr>
      <w:r>
        <w:t>1. Worship and a call to guard speech</w:t>
      </w:r>
    </w:p>
    <w:p>
      <w:r>
        <w:rPr>
          <w:b/>
          <w:color w:val="666666"/>
        </w:rPr>
        <w:t>00:00:00-00:17:00</w:t>
      </w:r>
    </w:p>
    <w:p>
      <w:r>
        <w:t>The opening worship emphasizes holiness, reverence, and asking God to set a watch over the tongue before the teaching begins.</w:t>
      </w:r>
    </w:p>
    <w:p>
      <w:pPr>
        <w:pStyle w:val="Heading2"/>
      </w:pPr>
      <w:r>
        <w:t>2. The firmament displays God’s handiwork</w:t>
      </w:r>
    </w:p>
    <w:p>
      <w:r>
        <w:rPr>
          <w:b/>
          <w:color w:val="666666"/>
        </w:rPr>
        <w:t>00:17:00-00:30:00</w:t>
      </w:r>
    </w:p>
    <w:p>
      <w:r>
        <w:t>Psalm 19 introduces the thesis that the firmament is a created work that declares God’s glory. Odle distinguishes the atmosphere, the firmament, and the heaven above.</w:t>
      </w:r>
    </w:p>
    <w:p>
      <w:pPr>
        <w:spacing w:before="80" w:after="160"/>
        <w:ind w:left="360" w:right="360"/>
      </w:pPr>
      <w:r>
        <w:rPr>
          <w:b/>
        </w:rPr>
        <w:t xml:space="preserve">Psalm 19:1 (KJV) — </w:t>
      </w:r>
      <w:r>
        <w:t>The heavens declare the glory of God; and the firmament sheweth his handywork.</w:t>
      </w:r>
    </w:p>
    <w:p>
      <w:pPr>
        <w:pStyle w:val="Heading2"/>
      </w:pPr>
      <w:r>
        <w:t>3. Word study and the Genesis creation account</w:t>
      </w:r>
    </w:p>
    <w:p>
      <w:r>
        <w:rPr>
          <w:b/>
          <w:color w:val="666666"/>
        </w:rPr>
        <w:t>00:30:00-00:45:00</w:t>
      </w:r>
    </w:p>
    <w:p>
      <w:r>
        <w:t>Hebrew terms and Job 37 are joined to Genesis 1. Odle argues that the firmament is strong, divides waters, is called Heaven, and contains the created lights.</w:t>
      </w:r>
    </w:p>
    <w:p>
      <w:pPr>
        <w:spacing w:before="80" w:after="160"/>
        <w:ind w:left="360" w:right="360"/>
      </w:pPr>
      <w:r>
        <w:rPr>
          <w:b/>
        </w:rPr>
        <w:t xml:space="preserve">Genesis 1:6-8 (KJV) — </w:t>
      </w:r>
      <w:r>
        <w:t>And God said, Let there be a firmament in the midst of the waters, and let it divide the waters from the waters... And God called the firmament Heaven.</w:t>
      </w:r>
    </w:p>
    <w:p>
      <w:pPr>
        <w:pStyle w:val="Heading2"/>
      </w:pPr>
      <w:r>
        <w:t>4. Boundaries, windows, and end-time shaking</w:t>
      </w:r>
    </w:p>
    <w:p>
      <w:r>
        <w:rPr>
          <w:b/>
          <w:color w:val="666666"/>
        </w:rPr>
        <w:t>00:45:00-01:00:00</w:t>
      </w:r>
    </w:p>
    <w:p>
      <w:r>
        <w:t>Proverbs, Job, Isaiah, and Revelation are used to describe boundaries, windows, stars, and the future shaking or opening of heaven.</w:t>
      </w:r>
    </w:p>
    <w:p>
      <w:pPr>
        <w:pStyle w:val="Heading2"/>
      </w:pPr>
      <w:r>
        <w:t>5. Ancient witnesses and translation language</w:t>
      </w:r>
    </w:p>
    <w:p>
      <w:r>
        <w:rPr>
          <w:b/>
          <w:color w:val="666666"/>
        </w:rPr>
        <w:t>01:00:00-01:10:00</w:t>
      </w:r>
    </w:p>
    <w:p>
      <w:r>
        <w:t>Josephus, the Septuagint term stereoma, and lexicons are offered as historical-linguistic evidence that ancient readers understood a made-firm heavenly structure.</w:t>
      </w:r>
    </w:p>
    <w:p>
      <w:pPr>
        <w:pStyle w:val="Heading2"/>
      </w:pPr>
      <w:r>
        <w:t>6. Ezekiel’s crystal and alleged physical evidence</w:t>
      </w:r>
    </w:p>
    <w:p>
      <w:r>
        <w:rPr>
          <w:b/>
          <w:color w:val="666666"/>
        </w:rPr>
        <w:t>01:10:00-01:20:00</w:t>
      </w:r>
    </w:p>
    <w:p>
      <w:r>
        <w:t>Ezekiel’s vision and Exodus 24 are compared with Operation Fishbowl and “sky stone” claims. The latter are presented as Odle’s interpretation, not independently verified findings.</w:t>
      </w:r>
    </w:p>
    <w:p>
      <w:pPr>
        <w:spacing w:before="80" w:after="160"/>
        <w:ind w:left="360" w:right="360"/>
      </w:pPr>
      <w:r>
        <w:rPr>
          <w:b/>
        </w:rPr>
        <w:t xml:space="preserve">Ezekiel 1:22, 26 (KJV) — </w:t>
      </w:r>
      <w:r>
        <w:t>And the likeness of the firmament upon the heads of the living creature was as the colour of the terrible crystal... And above the firmament... was the likeness of a throne...</w:t>
      </w:r>
    </w:p>
    <w:p>
      <w:pPr>
        <w:pStyle w:val="Heading2"/>
      </w:pPr>
      <w:r>
        <w:t>7. Truth, translation, and the authority of Scripture</w:t>
      </w:r>
    </w:p>
    <w:p>
      <w:r>
        <w:rPr>
          <w:b/>
          <w:color w:val="666666"/>
        </w:rPr>
        <w:t>01:20:00-01:30:00</w:t>
      </w:r>
    </w:p>
    <w:p>
      <w:r>
        <w:t>Odle addresses translation choices, defends the King James Bible’s textual lineage, and argues that the firmament is an honor-and-truth issue rather than a peripheral curiosity.</w:t>
      </w:r>
    </w:p>
    <w:p>
      <w:pPr>
        <w:pStyle w:val="Heading2"/>
      </w:pPr>
      <w:r>
        <w:t>8. Witness, ridicule, and fidelity</w:t>
      </w:r>
    </w:p>
    <w:p>
      <w:r>
        <w:rPr>
          <w:b/>
          <w:color w:val="666666"/>
        </w:rPr>
        <w:t>01:30:00-01:40:00</w:t>
      </w:r>
    </w:p>
    <w:p>
      <w:r>
        <w:t>John 8 anchors the appeal to continue in Christ’s Word. Odle describes conversions associated with biblical-cosmology preaching and urges believers not to fear being treated as foolish.</w:t>
      </w:r>
    </w:p>
    <w:p>
      <w:pPr>
        <w:spacing w:before="80" w:after="160"/>
        <w:ind w:left="360" w:right="360"/>
      </w:pPr>
      <w:r>
        <w:rPr>
          <w:b/>
        </w:rPr>
        <w:t xml:space="preserve">John 8:31-32 (KJV) — </w:t>
      </w:r>
      <w:r>
        <w:t>If ye continue in my word, then are ye my disciples indeed; And ye shall know the truth, and the truth shall make you free.</w:t>
      </w:r>
    </w:p>
    <w:p>
      <w:pPr>
        <w:pStyle w:val="Heading2"/>
      </w:pPr>
      <w:r>
        <w:t>9. Persecution over unpopular doctrine</w:t>
      </w:r>
    </w:p>
    <w:p>
      <w:r>
        <w:rPr>
          <w:b/>
          <w:color w:val="666666"/>
        </w:rPr>
        <w:t>01:40:00-01:50:00</w:t>
      </w:r>
    </w:p>
    <w:p>
      <w:r>
        <w:t>Historical and personal examples illustrate the cost of challenging religious consensus, whether over cosmology, repentance, holiness, or spiritual gifts.</w:t>
      </w:r>
    </w:p>
    <w:p>
      <w:pPr>
        <w:pStyle w:val="Heading2"/>
      </w:pPr>
      <w:r>
        <w:t>10. Closing warning against suppression</w:t>
      </w:r>
    </w:p>
    <w:p>
      <w:r>
        <w:rPr>
          <w:b/>
          <w:color w:val="666666"/>
        </w:rPr>
        <w:t>01:50:00-01:56:25</w:t>
      </w:r>
    </w:p>
    <w:p>
      <w:r>
        <w:t>Comments from prominent podcasts become an example of alleged topic suppression. Odle closes by refusing silence and affirming the firmament as God’s handiwork.</w:t>
      </w:r>
    </w:p>
    <w:p>
      <w:pPr>
        <w:pStyle w:val="Heading1"/>
      </w:pPr>
      <w:r>
        <w:t>Scripture Index</w:t>
      </w:r>
    </w:p>
    <w:p>
      <w:r>
        <w:t>References are those directly read, quoted, or unmistakably invoked in the sermon. Some verse ranges consolidate adjoining material.</w:t>
      </w:r>
    </w:p>
    <w:tbl>
      <w:tblPr>
        <w:tblStyle w:val="TableGrid"/>
        <w:tblW w:type="auto" w:w="0"/>
        <w:jc w:val="left"/>
        <w:tblLayout w:type="fixed"/>
        <w:tblLook w:firstColumn="1" w:firstRow="1" w:lastColumn="0" w:lastRow="0" w:noHBand="0" w:noVBand="1" w:val="04A0"/>
        <w:tblW w:w="9360" w:type="dxa"/>
        <w:tblInd w:w="120" w:type="dxa"/>
      </w:tblPr>
      <w:tblGrid>
        <w:gridCol w:w="2500"/>
        <w:gridCol w:w="6860"/>
      </w:tblGrid>
      <w:tr>
        <w:tc>
          <w:tcPr>
            <w:tcW w:type="dxa" w:w="4680"/>
            <w:shd w:fill="E8EEF5"/>
            <w:tcW w:w="2500" w:type="dxa"/>
            <w:vAlign w:val="center"/>
          </w:tcPr>
          <w:p>
            <w:r>
              <w:rPr>
                <w:b/>
              </w:rPr>
              <w:t>Scripture</w:t>
            </w:r>
          </w:p>
        </w:tc>
        <w:tc>
          <w:tcPr>
            <w:tcW w:type="dxa" w:w="4680"/>
            <w:shd w:fill="E8EEF5"/>
            <w:tcW w:w="6860" w:type="dxa"/>
            <w:vAlign w:val="center"/>
          </w:tcPr>
          <w:p>
            <w:r>
              <w:rPr>
                <w:b/>
              </w:rPr>
              <w:t>Use in the Sermon</w:t>
            </w:r>
          </w:p>
        </w:tc>
      </w:tr>
      <w:tr>
        <w:tc>
          <w:tcPr>
            <w:tcW w:type="dxa" w:w="4680"/>
            <w:tcW w:w="2500" w:type="dxa"/>
            <w:vAlign w:val="center"/>
          </w:tcPr>
          <w:p>
            <w:r>
              <w:t>Psalm 19:1-6</w:t>
            </w:r>
          </w:p>
        </w:tc>
        <w:tc>
          <w:tcPr>
            <w:tcW w:type="dxa" w:w="4680"/>
            <w:tcW w:w="6860" w:type="dxa"/>
            <w:vAlign w:val="center"/>
          </w:tcPr>
          <w:p>
            <w:r>
              <w:t>Primary text connecting the heavens, firmament, and the sun’s circuit.</w:t>
            </w:r>
          </w:p>
        </w:tc>
      </w:tr>
      <w:tr>
        <w:tc>
          <w:tcPr>
            <w:tcW w:type="dxa" w:w="4680"/>
            <w:tcW w:w="2500" w:type="dxa"/>
            <w:vAlign w:val="center"/>
          </w:tcPr>
          <w:p>
            <w:r>
              <w:t>Psalm 108:4</w:t>
            </w:r>
          </w:p>
        </w:tc>
        <w:tc>
          <w:tcPr>
            <w:tcW w:type="dxa" w:w="4680"/>
            <w:tcW w:w="6860" w:type="dxa"/>
            <w:vAlign w:val="center"/>
          </w:tcPr>
          <w:p>
            <w:r>
              <w:t>God’s truth reaches unto the clouds/heavens in the sermon’s word study.</w:t>
            </w:r>
          </w:p>
        </w:tc>
      </w:tr>
      <w:tr>
        <w:tc>
          <w:tcPr>
            <w:tcW w:type="dxa" w:w="4680"/>
            <w:tcW w:w="2500" w:type="dxa"/>
            <w:vAlign w:val="center"/>
          </w:tcPr>
          <w:p>
            <w:r>
              <w:t>Job 37:18</w:t>
            </w:r>
          </w:p>
        </w:tc>
        <w:tc>
          <w:tcPr>
            <w:tcW w:type="dxa" w:w="4680"/>
            <w:tcW w:w="6860" w:type="dxa"/>
            <w:vAlign w:val="center"/>
          </w:tcPr>
          <w:p>
            <w:r>
              <w:t>The sky is described as strong and like a molten looking glass.</w:t>
            </w:r>
          </w:p>
        </w:tc>
      </w:tr>
      <w:tr>
        <w:tc>
          <w:tcPr>
            <w:tcW w:type="dxa" w:w="4680"/>
            <w:tcW w:w="2500" w:type="dxa"/>
            <w:vAlign w:val="center"/>
          </w:tcPr>
          <w:p>
            <w:r>
              <w:t>Genesis 1:6-18</w:t>
            </w:r>
          </w:p>
        </w:tc>
        <w:tc>
          <w:tcPr>
            <w:tcW w:type="dxa" w:w="4680"/>
            <w:tcW w:w="6860" w:type="dxa"/>
            <w:vAlign w:val="center"/>
          </w:tcPr>
          <w:p>
            <w:r>
              <w:t>The firmament divides waters and contains the lights.</w:t>
            </w:r>
          </w:p>
        </w:tc>
      </w:tr>
      <w:tr>
        <w:tc>
          <w:tcPr>
            <w:tcW w:type="dxa" w:w="4680"/>
            <w:tcW w:w="2500" w:type="dxa"/>
            <w:vAlign w:val="center"/>
          </w:tcPr>
          <w:p>
            <w:r>
              <w:t>Proverbs 8:27-29</w:t>
            </w:r>
          </w:p>
        </w:tc>
        <w:tc>
          <w:tcPr>
            <w:tcW w:type="dxa" w:w="4680"/>
            <w:tcW w:w="6860" w:type="dxa"/>
            <w:vAlign w:val="center"/>
          </w:tcPr>
          <w:p>
            <w:r>
              <w:t>Creation boundaries and the establishment of the heavens and sea.</w:t>
            </w:r>
          </w:p>
        </w:tc>
      </w:tr>
      <w:tr>
        <w:tc>
          <w:tcPr>
            <w:tcW w:type="dxa" w:w="4680"/>
            <w:tcW w:w="2500" w:type="dxa"/>
            <w:vAlign w:val="center"/>
          </w:tcPr>
          <w:p>
            <w:r>
              <w:t>Ezekiel 1:22-26</w:t>
            </w:r>
          </w:p>
        </w:tc>
        <w:tc>
          <w:tcPr>
            <w:tcW w:type="dxa" w:w="4680"/>
            <w:tcW w:w="6860" w:type="dxa"/>
            <w:vAlign w:val="center"/>
          </w:tcPr>
          <w:p>
            <w:r>
              <w:t>The terrible crystal firmament and throne above it.</w:t>
            </w:r>
          </w:p>
        </w:tc>
      </w:tr>
      <w:tr>
        <w:tc>
          <w:tcPr>
            <w:tcW w:type="dxa" w:w="4680"/>
            <w:tcW w:w="2500" w:type="dxa"/>
            <w:vAlign w:val="center"/>
          </w:tcPr>
          <w:p>
            <w:r>
              <w:t>Exodus 24:9-10</w:t>
            </w:r>
          </w:p>
        </w:tc>
        <w:tc>
          <w:tcPr>
            <w:tcW w:type="dxa" w:w="4680"/>
            <w:tcW w:w="6860" w:type="dxa"/>
            <w:vAlign w:val="center"/>
          </w:tcPr>
          <w:p>
            <w:r>
              <w:t>The paved work of sapphire under the God of Israel.</w:t>
            </w:r>
          </w:p>
        </w:tc>
      </w:tr>
      <w:tr>
        <w:tc>
          <w:tcPr>
            <w:tcW w:type="dxa" w:w="4680"/>
            <w:tcW w:w="2500" w:type="dxa"/>
            <w:vAlign w:val="center"/>
          </w:tcPr>
          <w:p>
            <w:r>
              <w:t>Isaiah 40:22</w:t>
            </w:r>
          </w:p>
        </w:tc>
        <w:tc>
          <w:tcPr>
            <w:tcW w:type="dxa" w:w="4680"/>
            <w:tcW w:w="6860" w:type="dxa"/>
            <w:vAlign w:val="center"/>
          </w:tcPr>
          <w:p>
            <w:r>
              <w:t>God sits above the circle of the earth and stretches out the heavens.</w:t>
            </w:r>
          </w:p>
        </w:tc>
      </w:tr>
      <w:tr>
        <w:tc>
          <w:tcPr>
            <w:tcW w:type="dxa" w:w="4680"/>
            <w:tcW w:w="2500" w:type="dxa"/>
            <w:vAlign w:val="center"/>
          </w:tcPr>
          <w:p>
            <w:r>
              <w:t>Revelation 6:12-17</w:t>
            </w:r>
          </w:p>
        </w:tc>
        <w:tc>
          <w:tcPr>
            <w:tcW w:type="dxa" w:w="4680"/>
            <w:tcW w:w="6860" w:type="dxa"/>
            <w:vAlign w:val="center"/>
          </w:tcPr>
          <w:p>
            <w:r>
              <w:t>Heaven departs as a scroll and the world faces the Lamb’s wrath.</w:t>
            </w:r>
          </w:p>
        </w:tc>
      </w:tr>
      <w:tr>
        <w:tc>
          <w:tcPr>
            <w:tcW w:type="dxa" w:w="4680"/>
            <w:tcW w:w="2500" w:type="dxa"/>
            <w:vAlign w:val="center"/>
          </w:tcPr>
          <w:p>
            <w:r>
              <w:t>John 8:31-32</w:t>
            </w:r>
          </w:p>
        </w:tc>
        <w:tc>
          <w:tcPr>
            <w:tcW w:type="dxa" w:w="4680"/>
            <w:tcW w:w="6860" w:type="dxa"/>
            <w:vAlign w:val="center"/>
          </w:tcPr>
          <w:p>
            <w:r>
              <w:t>Continuing in Christ’s Word and knowing truth that makes free.</w:t>
            </w:r>
          </w:p>
        </w:tc>
      </w:tr>
    </w:tbl>
    <w:p>
      <w:pPr>
        <w:pStyle w:val="Heading1"/>
      </w:pPr>
      <w:r>
        <w:t>Sources and Publication Notes</w:t>
      </w:r>
    </w:p>
    <w:p>
      <w:r>
        <w:t>Canonical source: https://www.youtube.com/watch?v=SYn50ir1jdA</w:t>
      </w:r>
    </w:p>
    <w:p>
      <w:r>
        <w:t>Source basis: transcript supplied in the sermon processing package. Obvious transcription noise was corrected only where context made the intended wording clear. The sermon’s disputed historical, political, scientific, medical, institutional, and personal claims remain attributed to Pastor Dean Odle and were not independently verified for this publication package.</w:t>
      </w:r>
    </w:p>
    <w:p>
      <w:r>
        <w:t>The Scripture quotations displayed in the study guide are from the King James Version (KJV) and are selectively excerpted. The import manifest is structured for later CMS mapping; it is not a guarantee of direct compatibility with a specific CMS schema.</w:t>
      </w:r>
    </w:p>
    <w:sectPr w:rsidR="00FC693F" w:rsidRPr="0006063C" w:rsidSect="00034616">
      <w:headerReference w:type="default" r:id="rId9"/>
      <w:footerReference w:type="default" r:id="rId10"/>
      <w:pgSz w:w="12240" w:h="15840"/>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8"/>
      </w:rPr>
      <w:t xml:space="preserve">Page </w:t>
    </w:r>
    <w:r>
      <w:fldChar w:fldCharType="begin"/>
      <w:instrText xml:space="preserve">PAGE</w:instrText>
      <w:fldChar w:fldCharType="separate"/>
      <w:t>1</w: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r>
      <w:rPr>
        <w:color w:val="666666"/>
        <w:sz w:val="18"/>
      </w:rPr>
      <w:t>WATCHMAN 33 | SERMON RESOURCE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300" w:lineRule="auto"/>
    </w:pPr>
    <w:rPr>
      <w:rFonts w:ascii="Calibri" w:hAnsi="Calibri"/>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60" w:after="200"/>
      <w:outlineLvl w:val="0"/>
    </w:pPr>
    <w:rPr>
      <w:rFonts w:asciiTheme="majorHAnsi" w:eastAsiaTheme="majorEastAsia" w:hAnsiTheme="majorHAnsi" w:cstheme="majorBidi" w:ascii="Calibri" w:hAnsi="Calibri"/>
      <w:b/>
      <w:bCs/>
      <w:color w:val="2E74B5"/>
      <w:sz w:val="32"/>
      <w:szCs w:val="28"/>
    </w:rPr>
  </w:style>
  <w:style w:type="paragraph" w:styleId="Heading2">
    <w:name w:val="heading 2"/>
    <w:basedOn w:val="Normal"/>
    <w:next w:val="Normal"/>
    <w:link w:val="Heading2Char"/>
    <w:uiPriority w:val="9"/>
    <w:unhideWhenUsed/>
    <w:qFormat/>
    <w:rsid w:val="00FC693F"/>
    <w:pPr>
      <w:keepNext/>
      <w:keepLines/>
      <w:spacing w:before="280" w:after="140"/>
      <w:outlineLvl w:val="1"/>
    </w:pPr>
    <w:rPr>
      <w:rFonts w:asciiTheme="majorHAnsi" w:eastAsiaTheme="majorEastAsia" w:hAnsiTheme="majorHAnsi" w:cstheme="majorBidi" w:ascii="Calibri" w:hAnsi="Calibri"/>
      <w:b/>
      <w:bCs/>
      <w:color w:val="2E74B5"/>
      <w:sz w:val="26"/>
      <w:szCs w:val="26"/>
    </w:rPr>
  </w:style>
  <w:style w:type="paragraph" w:styleId="Heading3">
    <w:name w:val="heading 3"/>
    <w:basedOn w:val="Normal"/>
    <w:next w:val="Normal"/>
    <w:link w:val="Heading3Char"/>
    <w:uiPriority w:val="9"/>
    <w:unhideWhenUsed/>
    <w:qFormat/>
    <w:rsid w:val="00FC693F"/>
    <w:pPr>
      <w:keepNext/>
      <w:keepLines/>
      <w:spacing w:before="200" w:after="100"/>
      <w:outlineLvl w:val="2"/>
    </w:pPr>
    <w:rPr>
      <w:rFonts w:asciiTheme="majorHAnsi" w:eastAsiaTheme="majorEastAsia" w:hAnsiTheme="majorHAnsi" w:cstheme="majorBidi" w:ascii="Calibri" w:hAnsi="Calibri"/>
      <w:b/>
      <w:bCs/>
      <w:color w:val="1F4D78"/>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60" w:line="240" w:lineRule="auto" w:before="0"/>
      <w:contextualSpacing/>
    </w:pPr>
    <w:rPr>
      <w:rFonts w:asciiTheme="majorHAnsi" w:eastAsiaTheme="majorEastAsia" w:hAnsiTheme="majorHAnsi" w:cstheme="majorBidi" w:ascii="Calibri" w:hAnsi="Calibri"/>
      <w:b/>
      <w:color w:val="203748"/>
      <w:spacing w:val="5"/>
      <w:kern w:val="28"/>
      <w:sz w:val="6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480"/>
    </w:pPr>
    <w:rPr>
      <w:rFonts w:asciiTheme="majorHAnsi" w:eastAsiaTheme="majorEastAsia" w:hAnsiTheme="majorHAnsi" w:cstheme="majorBidi" w:ascii="Calibri" w:hAnsi="Calibri"/>
      <w:i/>
      <w:iCs/>
      <w:color w:val="666666"/>
      <w:spacing w:val="15"/>
      <w:sz w:val="28"/>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