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eCTD software request for proposal</w:t>
      </w:r>
    </w:p>
    <w:p>
      <w:r>
        <w:t>Editable buyer template • October 5, 2026</w:t>
      </w:r>
    </w:p>
    <w:p>
      <w:r>
        <w:t>Complete bracketed fields with the application, technical baseline and purchased scope. Record actual observations separately from supplier claims. An unanswered mandatory requirement remains unresolved. This procurement template is not an agency form or executed qualification record.</w:t>
      </w:r>
    </w:p>
    <w:p>
      <w:pPr>
        <w:pStyle w:val="Heading1"/>
      </w:pPr>
      <w:r>
        <w:t>Scope</w:t>
      </w:r>
    </w:p>
    <w:tbl>
      <w:tblPr>
        <w:tblW w:type="auto" w:w="0"/>
        <w:tblLayout w:type="fixed"/>
        <w:tblLook w:firstColumn="1" w:firstRow="1" w:lastColumn="0" w:lastRow="0" w:noHBand="0" w:noVBand="1" w:val="04A0"/>
      </w:tblPr>
      <w:tblGrid>
        <w:gridCol w:w="5112"/>
        <w:gridCol w:w="5112"/>
      </w:tblGrid>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17324D"/>
          </w:tcPr>
          <w:p>
            <w:r>
              <w:rPr>
                <w:b/>
                <w:color w:val="FFFFFF"/>
              </w:rPr>
              <w:t>Scope field</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17324D"/>
          </w:tcPr>
          <w:p>
            <w:r>
              <w:rPr>
                <w:b/>
                <w:color w:val="FFFFFF"/>
              </w:rPr>
              <w:t>Buyer entry</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2F5F8"/>
          </w:tcPr>
          <w:p>
            <w:r>
              <w:t>Authority and application</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2F5F8"/>
          </w:tcPr>
          <w:p>
            <w:r>
              <w:t>[Authority, application type and relevant procedure]</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FFFFF"/>
          </w:tcPr>
          <w:p>
            <w:r>
              <w:t>Starting lifecycle</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FFFFF"/>
          </w:tcPr>
          <w:p>
            <w:r>
              <w:t>[New application or existing history, including current technical version]</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2F5F8"/>
          </w:tcPr>
          <w:p>
            <w:r>
              <w:t>Required operations</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2F5F8"/>
          </w:tcPr>
          <w:p>
            <w:r>
              <w:t>[Preparation, validation, publishing, viewing, transmission, archive; assign each owner]</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FFFFF"/>
          </w:tcPr>
          <w:p>
            <w:r>
              <w:t>Technical baseline</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FFFFF"/>
          </w:tcPr>
          <w:p>
            <w:r>
              <w:t>[Applicable specifications, controlled vocabularies, validation criteria and dates]</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2F5F8"/>
          </w:tcPr>
          <w:p>
            <w:r>
              <w:t>Users and clients</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2F5F8"/>
          </w:tcPr>
          <w:p>
            <w:r>
              <w:t>[Internal roles, external reviewers, separately controlled clients/programs]</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FFFFF"/>
          </w:tcPr>
          <w:p>
            <w:r>
              <w:t>Deployment and connections</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FFFFF"/>
          </w:tcPr>
          <w:p>
            <w:r>
              <w:t>[Environment, repositories, required APIs and customer-managed components]</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2F5F8"/>
          </w:tcPr>
          <w:p>
            <w:r>
              <w:t>Evaluation output</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2F5F8"/>
          </w:tcPr>
          <w:p>
            <w:r>
              <w:t>[Representative package, report, record export and receiving reviewer]</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FFFFF"/>
          </w:tcPr>
          <w:p>
            <w:r>
              <w:t>Commercial scenario</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FFFFF"/>
          </w:tcPr>
          <w:p>
            <w:r>
              <w:t>[Users, programs, expected work, term, currency and included services]</w:t>
            </w:r>
          </w:p>
        </w:tc>
      </w:tr>
    </w:tbl>
    <w:p>
      <w:pPr>
        <w:pStyle w:val="Heading1"/>
        <w:pageBreakBefore/>
      </w:pPr>
      <w:r>
        <w:t>Requirements</w:t>
      </w:r>
    </w:p>
    <w:p>
      <w:pPr>
        <w:pStyle w:val="Heading2"/>
      </w:pPr>
      <w:r>
        <w:t>U01</w:t>
      </w:r>
    </w:p>
    <w:p>
      <w:pPr>
        <w:keepNext/>
      </w:pPr>
      <w:r>
        <w:t>Publish the defined application activity using the agreed technical baseline | Inspect the actual output and version-specific check results | [Mandatory/preference; owner]</w:t>
      </w:r>
    </w:p>
    <w:p>
      <w:pPr>
        <w:keepLines/>
      </w:pPr>
      <w:r>
        <w:t>Vendor/product/release: [complete]</w:t>
        <w:br/>
        <w:t>Actual observation and evidence: [complete]</w:t>
        <w:br/>
        <w:t>Result: [pass / fail / unresolved / excluded with approved reason]</w:t>
        <w:br/>
        <w:t>Decision owner and next action: [complete]</w:t>
      </w:r>
    </w:p>
    <w:p>
      <w:pPr>
        <w:pStyle w:val="Heading2"/>
      </w:pPr>
      <w:r>
        <w:t>U02</w:t>
      </w:r>
    </w:p>
    <w:p>
      <w:pPr>
        <w:keepNext/>
      </w:pPr>
      <w:r>
        <w:t>Review the relevant existing submission history | Retrieve the agreed prior/current content and explain its lifecycle relationships | [Priority; owner]</w:t>
      </w:r>
    </w:p>
    <w:p>
      <w:pPr>
        <w:keepLines/>
      </w:pPr>
      <w:r>
        <w:t>Vendor/product/release: [complete]</w:t>
        <w:br/>
        <w:t>Actual observation and evidence: [complete]</w:t>
        <w:br/>
        <w:t>Result: [pass / fail / unresolved / excluded with approved reason]</w:t>
        <w:br/>
        <w:t>Decision owner and next action: [complete]</w:t>
      </w:r>
    </w:p>
    <w:p>
      <w:pPr>
        <w:pStyle w:val="Heading2"/>
      </w:pPr>
      <w:r>
        <w:t>U03</w:t>
      </w:r>
    </w:p>
    <w:p>
      <w:pPr>
        <w:keepNext/>
      </w:pPr>
      <w:r>
        <w:t>Identify and resolve a deliberate technical defect | Retain initial finding, correction and rerun result | [Priority; owner]</w:t>
      </w:r>
    </w:p>
    <w:p>
      <w:pPr>
        <w:keepLines/>
      </w:pPr>
      <w:r>
        <w:t>Vendor/product/release: [complete]</w:t>
        <w:br/>
        <w:t>Actual observation and evidence: [complete]</w:t>
        <w:br/>
        <w:t>Result: [pass / fail / unresolved / excluded with approved reason]</w:t>
        <w:br/>
        <w:t>Decision owner and next action: [complete]</w:t>
      </w:r>
    </w:p>
    <w:p>
      <w:pPr>
        <w:pStyle w:val="Heading2"/>
      </w:pPr>
      <w:r>
        <w:t>U04</w:t>
      </w:r>
    </w:p>
    <w:p>
      <w:pPr>
        <w:keepNext/>
      </w:pPr>
      <w:r>
        <w:t>Limit each user to authorized client/program content | Test permitted access and prohibited search, direct link and export paths | [Priority; owner]</w:t>
      </w:r>
    </w:p>
    <w:p>
      <w:pPr>
        <w:keepLines/>
      </w:pPr>
      <w:r>
        <w:t>Vendor/product/release: [complete]</w:t>
        <w:br/>
        <w:t>Actual observation and evidence: [complete]</w:t>
        <w:br/>
        <w:t>Result: [pass / fail / unresolved / excluded with approved reason]</w:t>
        <w:br/>
        <w:t>Decision owner and next action: [complete]</w:t>
      </w:r>
    </w:p>
    <w:p>
      <w:pPr>
        <w:pStyle w:val="Heading2"/>
      </w:pPr>
      <w:r>
        <w:t>U05</w:t>
      </w:r>
    </w:p>
    <w:p>
      <w:pPr>
        <w:keepNext/>
      </w:pPr>
      <w:r>
        <w:t>Trace release to the approved input set | Identify source versions, release decision and resulting package | [Priority; owner]</w:t>
      </w:r>
    </w:p>
    <w:p>
      <w:pPr>
        <w:keepLines/>
      </w:pPr>
      <w:r>
        <w:t>Vendor/product/release: [complete]</w:t>
        <w:br/>
        <w:t>Actual observation and evidence: [complete]</w:t>
        <w:br/>
        <w:t>Result: [pass / fail / unresolved / excluded with approved reason]</w:t>
        <w:br/>
        <w:t>Decision owner and next action: [complete]</w:t>
      </w:r>
    </w:p>
    <w:p>
      <w:pPr>
        <w:pStyle w:val="Heading2"/>
      </w:pPr>
      <w:r>
        <w:t>U06</w:t>
      </w:r>
    </w:p>
    <w:p>
      <w:pPr>
        <w:keepNext/>
      </w:pPr>
      <w:r>
        <w:t>Retrieve documents and agreed records outside the application | Open the exported files and interpret the supplied history | [Priority; owner]</w:t>
      </w:r>
    </w:p>
    <w:p>
      <w:pPr>
        <w:keepLines/>
      </w:pPr>
      <w:r>
        <w:t>Vendor/product/release: [complete]</w:t>
        <w:br/>
        <w:t>Actual observation and evidence: [complete]</w:t>
        <w:br/>
        <w:t>Result: [pass / fail / unresolved / excluded with approved reason]</w:t>
        <w:br/>
        <w:t>Decision owner and next action: [complete]</w:t>
      </w:r>
    </w:p>
    <w:p>
      <w:pPr>
        <w:pStyle w:val="Heading2"/>
      </w:pPr>
      <w:r>
        <w:t>U07</w:t>
      </w:r>
    </w:p>
    <w:p>
      <w:pPr>
        <w:keepNext/>
      </w:pPr>
      <w:r>
        <w:t>Recover the agreed service and records after interruption | Observe the recovery scenario and reconcile restored content | [Priority; owner]</w:t>
      </w:r>
    </w:p>
    <w:p>
      <w:pPr>
        <w:keepLines/>
      </w:pPr>
      <w:r>
        <w:t>Vendor/product/release: [complete]</w:t>
        <w:br/>
        <w:t>Actual observation and evidence: [complete]</w:t>
        <w:br/>
        <w:t>Result: [pass / fail / unresolved / excluded with approved reason]</w:t>
        <w:br/>
        <w:t>Decision owner and next action: [complete]</w:t>
      </w:r>
    </w:p>
    <w:p>
      <w:pPr>
        <w:pStyle w:val="Heading2"/>
      </w:pPr>
      <w:r>
        <w:t>U08</w:t>
      </w:r>
    </w:p>
    <w:p>
      <w:pPr>
        <w:keepNext/>
      </w:pPr>
      <w:r>
        <w:t>Connect required systems without ambiguous duplicate actions | Demonstrate the specified API or handoff behavior | [Priority; owner]</w:t>
      </w:r>
    </w:p>
    <w:p>
      <w:pPr>
        <w:keepLines/>
      </w:pPr>
      <w:r>
        <w:t>Vendor/product/release: [complete]</w:t>
        <w:br/>
        <w:t>Actual observation and evidence: [complete]</w:t>
        <w:br/>
        <w:t>Result: [pass / fail / unresolved / excluded with approved reason]</w:t>
        <w:br/>
        <w:t>Decision owner and next action: [complete]</w:t>
      </w:r>
    </w:p>
    <w:p>
      <w:pPr>
        <w:pStyle w:val="Heading1"/>
        <w:pageBreakBefore/>
      </w:pPr>
      <w:r>
        <w:t>Supplier evidence</w:t>
      </w:r>
    </w:p>
    <w:p>
      <w:pPr>
        <w:pStyle w:val="Heading2"/>
      </w:pPr>
      <w:r>
        <w:t>Scope and version record</w:t>
      </w:r>
    </w:p>
    <w:p>
      <w:pPr>
        <w:keepNext/>
      </w:pPr>
      <w:r>
        <w:t>Which product, release, environment and functions are covered? | Reconcile with the quoted deployment</w:t>
      </w:r>
    </w:p>
    <w:p>
      <w:pPr>
        <w:keepLines/>
      </w:pPr>
      <w:r>
        <w:t>Vendor/product/release: [complete]</w:t>
        <w:br/>
        <w:t>Actual observation and evidence: [complete]</w:t>
        <w:br/>
        <w:t>Result: [pass / fail / unresolved / excluded with approved reason]</w:t>
        <w:br/>
        <w:t>Decision owner and next action: [complete]</w:t>
      </w:r>
    </w:p>
    <w:p>
      <w:pPr>
        <w:pStyle w:val="Heading2"/>
      </w:pPr>
      <w:r>
        <w:t>Requirements-to-test mapping</w:t>
      </w:r>
    </w:p>
    <w:p>
      <w:pPr>
        <w:keepNext/>
      </w:pPr>
      <w:r>
        <w:t>Which supplied tests address each relevant requirement? | Identify covered and uncovered URS rows</w:t>
      </w:r>
    </w:p>
    <w:p>
      <w:pPr>
        <w:keepLines/>
      </w:pPr>
      <w:r>
        <w:t>Vendor/product/release: [complete]</w:t>
        <w:br/>
        <w:t>Actual observation and evidence: [complete]</w:t>
        <w:br/>
        <w:t>Result: [pass / fail / unresolved / excluded with approved reason]</w:t>
        <w:br/>
        <w:t>Decision owner and next action: [complete]</w:t>
      </w:r>
    </w:p>
    <w:p>
      <w:pPr>
        <w:pStyle w:val="Heading2"/>
      </w:pPr>
      <w:r>
        <w:t>Executed evidence</w:t>
      </w:r>
    </w:p>
    <w:p>
      <w:pPr>
        <w:keepNext/>
      </w:pPr>
      <w:r>
        <w:t>What inputs, expected results and actual outcomes support the claim? | Inspect representative records and exceptions</w:t>
      </w:r>
    </w:p>
    <w:p>
      <w:pPr>
        <w:keepLines/>
      </w:pPr>
      <w:r>
        <w:t>Vendor/product/release: [complete]</w:t>
        <w:br/>
        <w:t>Actual observation and evidence: [complete]</w:t>
        <w:br/>
        <w:t>Result: [pass / fail / unresolved / excluded with approved reason]</w:t>
        <w:br/>
        <w:t>Decision owner and next action: [complete]</w:t>
      </w:r>
    </w:p>
    <w:p>
      <w:pPr>
        <w:pStyle w:val="Heading2"/>
      </w:pPr>
      <w:r>
        <w:t>Known limitations and defects</w:t>
      </w:r>
    </w:p>
    <w:p>
      <w:pPr>
        <w:keepNext/>
      </w:pPr>
      <w:r>
        <w:t>Which open issues affect the intended workflow? | Assign disposition and required mitigation</w:t>
      </w:r>
    </w:p>
    <w:p>
      <w:pPr>
        <w:keepLines/>
      </w:pPr>
      <w:r>
        <w:t>Vendor/product/release: [complete]</w:t>
        <w:br/>
        <w:t>Actual observation and evidence: [complete]</w:t>
        <w:br/>
        <w:t>Result: [pass / fail / unresolved / excluded with approved reason]</w:t>
        <w:br/>
        <w:t>Decision owner and next action: [complete]</w:t>
      </w:r>
    </w:p>
    <w:p>
      <w:pPr>
        <w:pStyle w:val="Heading2"/>
      </w:pPr>
      <w:r>
        <w:t>Change and release information</w:t>
      </w:r>
    </w:p>
    <w:p>
      <w:pPr>
        <w:keepNext/>
      </w:pPr>
      <w:r>
        <w:t>What changes require customer assessment? | Agree notification, impact review and verification ownership</w:t>
      </w:r>
    </w:p>
    <w:p>
      <w:pPr>
        <w:keepLines/>
      </w:pPr>
      <w:r>
        <w:t>Vendor/product/release: [complete]</w:t>
        <w:br/>
        <w:t>Actual observation and evidence: [complete]</w:t>
        <w:br/>
        <w:t>Result: [pass / fail / unresolved / excluded with approved reason]</w:t>
        <w:br/>
        <w:t>Decision owner and next action: [complete]</w:t>
      </w:r>
    </w:p>
    <w:p>
      <w:pPr>
        <w:pStyle w:val="Heading2"/>
      </w:pPr>
      <w:r>
        <w:t>Customer work</w:t>
      </w:r>
    </w:p>
    <w:p>
      <w:pPr>
        <w:keepNext/>
      </w:pPr>
      <w:r>
        <w:t>What configuration and use-specific checks remain with the buyer? | Include the activities and owners in implementation planning</w:t>
      </w:r>
    </w:p>
    <w:p>
      <w:pPr>
        <w:keepLines/>
      </w:pPr>
      <w:r>
        <w:t>Vendor/product/release: [complete]</w:t>
        <w:br/>
        <w:t>Actual observation and evidence: [complete]</w:t>
        <w:br/>
        <w:t>Result: [pass / fail / unresolved / excluded with approved reason]</w:t>
        <w:br/>
        <w:t>Decision owner and next action: [complete]</w:t>
      </w:r>
    </w:p>
    <w:p>
      <w:pPr>
        <w:pStyle w:val="Heading1"/>
        <w:pageBreakBefore/>
      </w:pPr>
      <w:r>
        <w:t>Support</w:t>
      </w:r>
    </w:p>
    <w:tbl>
      <w:tblPr>
        <w:tblW w:type="auto" w:w="0"/>
        <w:tblLayout w:type="fixed"/>
        <w:tblLook w:firstColumn="1" w:firstRow="1" w:lastColumn="0" w:lastRow="0" w:noHBand="0" w:noVBand="1" w:val="04A0"/>
      </w:tblPr>
      <w:tblGrid>
        <w:gridCol w:w="5112"/>
        <w:gridCol w:w="5112"/>
      </w:tblGrid>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17324D"/>
          </w:tcPr>
          <w:p>
            <w:r>
              <w:rPr>
                <w:b/>
                <w:color w:val="FFFFFF"/>
              </w:rPr>
              <w:t>Support field</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17324D"/>
          </w:tcPr>
          <w:p>
            <w:r>
              <w:rPr>
                <w:b/>
                <w:color w:val="FFFFFF"/>
              </w:rPr>
              <w:t>Entry required from the proposal</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2F5F8"/>
          </w:tcPr>
          <w:p>
            <w:r>
              <w:t>Covered hours</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2F5F8"/>
          </w:tcPr>
          <w:p>
            <w:r>
              <w:t>[Time zone, working days, holidays and out-of-hours route]</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FFFFF"/>
          </w:tcPr>
          <w:p>
            <w:r>
              <w:t>Incident classification</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FFFFF"/>
          </w:tcPr>
          <w:p>
            <w:r>
              <w:t>[Observable trigger and who can assign or escalate severity]</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2F5F8"/>
          </w:tcPr>
          <w:p>
            <w:r>
              <w:t>Response commitment</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2F5F8"/>
          </w:tcPr>
          <w:p>
            <w:r>
              <w:t>[What action counts as response and when the clock starts]</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FFFFF"/>
          </w:tcPr>
          <w:p>
            <w:r>
              <w:t>Restoration or workaround</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FFFFF"/>
          </w:tcPr>
          <w:p>
            <w:r>
              <w:t>[Commitment, exclusions and definition of a usable workaround]</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2F5F8"/>
          </w:tcPr>
          <w:p>
            <w:r>
              <w:t>Escalation</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2F5F8"/>
          </w:tcPr>
          <w:p>
            <w:r>
              <w:t>[Named role, contact path and next escalation point]</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FFFFF"/>
          </w:tcPr>
          <w:p>
            <w:r>
              <w:t>Responsibility at handoff</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FFFFF"/>
          </w:tcPr>
          <w:p>
            <w:r>
              <w:t>[Software vendor, infrastructure provider, publisher and sponsor actions]</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2F5F8"/>
          </w:tcPr>
          <w:p>
            <w:r>
              <w:t>Commercial scope</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2F5F8"/>
          </w:tcPr>
          <w:p>
            <w:r>
              <w:t>[Included service, premium coverage and additional charges]</w:t>
            </w:r>
          </w:p>
        </w:tc>
      </w:tr>
    </w:tbl>
    <w:p>
      <w:pPr>
        <w:pStyle w:val="Heading1"/>
        <w:pageBreakBefore/>
      </w:pPr>
      <w:r>
        <w:t>Integration</w:t>
      </w:r>
    </w:p>
    <w:tbl>
      <w:tblPr>
        <w:tblW w:type="auto" w:w="0"/>
        <w:tblLayout w:type="fixed"/>
        <w:tblLook w:firstColumn="1" w:firstRow="1" w:lastColumn="0" w:lastRow="0" w:noHBand="0" w:noVBand="1" w:val="04A0"/>
      </w:tblPr>
      <w:tblGrid>
        <w:gridCol w:w="5112"/>
        <w:gridCol w:w="5112"/>
      </w:tblGrid>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17324D"/>
          </w:tcPr>
          <w:p>
            <w:r>
              <w:rPr>
                <w:b/>
                <w:color w:val="FFFFFF"/>
              </w:rPr>
              <w:t>Integration field</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17324D"/>
          </w:tcPr>
          <w:p>
            <w:r>
              <w:rPr>
                <w:b/>
                <w:color w:val="FFFFFF"/>
              </w:rPr>
              <w:t>Buyer requirement to complete</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2F5F8"/>
          </w:tcPr>
          <w:p>
            <w:r>
              <w:t>Operation and direction</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2F5F8"/>
          </w:tcPr>
          <w:p>
            <w:r>
              <w:t>[System A sends/requests which object from System B]</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FFFFF"/>
          </w:tcPr>
          <w:p>
            <w:r>
              <w:t>Identity and version</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FFFFF"/>
          </w:tcPr>
          <w:p>
            <w:r>
              <w:t>[Stable identifier, source version and authoritative system]</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2F5F8"/>
          </w:tcPr>
          <w:p>
            <w:r>
              <w:t>Authorization</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2F5F8"/>
          </w:tcPr>
          <w:p>
            <w:r>
              <w:t>[Permitted client/program scope and service-account ownership]</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FFFFF"/>
          </w:tcPr>
          <w:p>
            <w:r>
              <w:t>Duplicate handling</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FFFFF"/>
          </w:tcPr>
          <w:p>
            <w:r>
              <w:t>[Expected result when the same request is retried]</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2F5F8"/>
          </w:tcPr>
          <w:p>
            <w:r>
              <w:t>Conflicting updates</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2F5F8"/>
          </w:tcPr>
          <w:p>
            <w:r>
              <w:t>[How a stale version is rejected or routed for reconciliation]</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FFFFF"/>
          </w:tcPr>
          <w:p>
            <w:r>
              <w:t>Completion evidence</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FFFFF"/>
          </w:tcPr>
          <w:p>
            <w:r>
              <w:t>[How the caller distinguishes accepted work from completed work]</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2F5F8"/>
          </w:tcPr>
          <w:p>
            <w:r>
              <w:t>Failure and recovery</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2F5F8"/>
          </w:tcPr>
          <w:p>
            <w:r>
              <w:t>[Error record, retry limits, reconciliation and accountable owner]</w:t>
            </w:r>
          </w:p>
        </w:tc>
      </w:tr>
      <w:tr>
        <w:tc>
          <w:tcPr>
            <w:tcW w:type="dxa" w:w="2880"/>
            <w:tcBorders>
              <w:top w:val="single" w:sz="4" w:color="D9D9D9"/>
              <w:left w:val="single" w:sz="4" w:color="D9D9D9"/>
              <w:bottom w:val="single" w:sz="4" w:color="D9D9D9"/>
              <w:right w:val="single" w:sz="4" w:color="D9D9D9"/>
              <w:insideH w:val="single" w:sz="4" w:color="D9D9D9"/>
              <w:insideV w:val="single" w:sz="4" w:color="D9D9D9"/>
            </w:tcBorders>
            <w:shd w:fill="FFFFFF"/>
          </w:tcPr>
          <w:p>
            <w:r>
              <w:t>Limits and maintenance</w:t>
            </w:r>
          </w:p>
        </w:tc>
        <w:tc>
          <w:tcPr>
            <w:tcW w:type="dxa" w:w="7200"/>
            <w:tcBorders>
              <w:top w:val="single" w:sz="4" w:color="D9D9D9"/>
              <w:left w:val="single" w:sz="4" w:color="D9D9D9"/>
              <w:bottom w:val="single" w:sz="4" w:color="D9D9D9"/>
              <w:right w:val="single" w:sz="4" w:color="D9D9D9"/>
              <w:insideH w:val="single" w:sz="4" w:color="D9D9D9"/>
              <w:insideV w:val="single" w:sz="4" w:color="D9D9D9"/>
            </w:tcBorders>
            <w:shd w:fill="FFFFFF"/>
          </w:tcPr>
          <w:p>
            <w:r>
              <w:t>[Documented quotas, version policy, change notice and support]</w:t>
            </w:r>
          </w:p>
        </w:tc>
      </w:tr>
    </w:tbl>
    <w:p>
      <w:pPr>
        <w:pStyle w:val="Heading1"/>
        <w:pageBreakBefore/>
      </w:pPr>
      <w:r>
        <w:t>Recovery example</w:t>
      </w:r>
    </w:p>
    <w:tbl>
      <w:tblPr>
        <w:tblW w:type="auto" w:w="0"/>
        <w:tblLayout w:type="fixed"/>
        <w:tblLook w:firstColumn="1" w:firstRow="1" w:lastColumn="0" w:lastRow="0" w:noHBand="0" w:noVBand="1" w:val="04A0"/>
      </w:tblPr>
      <w:tblGrid>
        <w:gridCol w:w="3408"/>
        <w:gridCol w:w="3408"/>
        <w:gridCol w:w="3408"/>
      </w:tblGrid>
      <w:tr>
        <w:tc>
          <w:tcPr>
            <w:tcW w:type="dxa" w:w="3355"/>
            <w:tcBorders>
              <w:top w:val="single" w:sz="4" w:color="D9D9D9"/>
              <w:left w:val="single" w:sz="4" w:color="D9D9D9"/>
              <w:bottom w:val="single" w:sz="4" w:color="D9D9D9"/>
              <w:right w:val="single" w:sz="4" w:color="D9D9D9"/>
              <w:insideH w:val="single" w:sz="4" w:color="D9D9D9"/>
              <w:insideV w:val="single" w:sz="4" w:color="D9D9D9"/>
            </w:tcBorders>
            <w:shd w:fill="17324D"/>
          </w:tcPr>
          <w:p>
            <w:r>
              <w:rPr>
                <w:b/>
                <w:color w:val="FFFFFF"/>
              </w:rPr>
              <w:t>Fictional acceptance value</w:t>
            </w:r>
          </w:p>
        </w:tc>
        <w:tc>
          <w:tcPr>
            <w:tcW w:type="dxa" w:w="3355"/>
            <w:tcBorders>
              <w:top w:val="single" w:sz="4" w:color="D9D9D9"/>
              <w:left w:val="single" w:sz="4" w:color="D9D9D9"/>
              <w:bottom w:val="single" w:sz="4" w:color="D9D9D9"/>
              <w:right w:val="single" w:sz="4" w:color="D9D9D9"/>
              <w:insideH w:val="single" w:sz="4" w:color="D9D9D9"/>
              <w:insideV w:val="single" w:sz="4" w:color="D9D9D9"/>
            </w:tcBorders>
            <w:shd w:fill="17324D"/>
          </w:tcPr>
          <w:p>
            <w:r>
              <w:rPr>
                <w:b/>
                <w:color w:val="FFFFFF"/>
              </w:rPr>
              <w:t>Observation</w:t>
            </w:r>
          </w:p>
        </w:tc>
        <w:tc>
          <w:tcPr>
            <w:tcW w:type="dxa" w:w="3355"/>
            <w:tcBorders>
              <w:top w:val="single" w:sz="4" w:color="D9D9D9"/>
              <w:left w:val="single" w:sz="4" w:color="D9D9D9"/>
              <w:bottom w:val="single" w:sz="4" w:color="D9D9D9"/>
              <w:right w:val="single" w:sz="4" w:color="D9D9D9"/>
              <w:insideH w:val="single" w:sz="4" w:color="D9D9D9"/>
              <w:insideV w:val="single" w:sz="4" w:color="D9D9D9"/>
            </w:tcBorders>
            <w:shd w:fill="17324D"/>
          </w:tcPr>
          <w:p>
            <w:r>
              <w:rPr>
                <w:b/>
                <w:color w:val="FFFFFF"/>
              </w:rPr>
              <w:t>Disposition</w:t>
            </w:r>
          </w:p>
        </w:tc>
      </w:tr>
      <w:tr>
        <w:tc>
          <w:tcPr>
            <w:tcW w:type="dxa" w:w="3355"/>
            <w:tcBorders>
              <w:top w:val="single" w:sz="4" w:color="D9D9D9"/>
              <w:left w:val="single" w:sz="4" w:color="D9D9D9"/>
              <w:bottom w:val="single" w:sz="4" w:color="D9D9D9"/>
              <w:right w:val="single" w:sz="4" w:color="D9D9D9"/>
              <w:insideH w:val="single" w:sz="4" w:color="D9D9D9"/>
              <w:insideV w:val="single" w:sz="4" w:color="D9D9D9"/>
            </w:tcBorders>
            <w:shd w:fill="F2F5F8"/>
          </w:tcPr>
          <w:p>
            <w:r>
              <w:t>RTO: 180 minutes, measured from interruption to usable restored service</w:t>
            </w:r>
          </w:p>
        </w:tc>
        <w:tc>
          <w:tcPr>
            <w:tcW w:type="dxa" w:w="3355"/>
            <w:tcBorders>
              <w:top w:val="single" w:sz="4" w:color="D9D9D9"/>
              <w:left w:val="single" w:sz="4" w:color="D9D9D9"/>
              <w:bottom w:val="single" w:sz="4" w:color="D9D9D9"/>
              <w:right w:val="single" w:sz="4" w:color="D9D9D9"/>
              <w:insideH w:val="single" w:sz="4" w:color="D9D9D9"/>
              <w:insideV w:val="single" w:sz="4" w:color="D9D9D9"/>
            </w:tcBorders>
            <w:shd w:fill="F2F5F8"/>
          </w:tcPr>
          <w:p>
            <w:r>
              <w:t>Interruption 15:20; usable service 17:40: 140 minutes</w:t>
            </w:r>
          </w:p>
        </w:tc>
        <w:tc>
          <w:tcPr>
            <w:tcW w:type="dxa" w:w="3355"/>
            <w:tcBorders>
              <w:top w:val="single" w:sz="4" w:color="D9D9D9"/>
              <w:left w:val="single" w:sz="4" w:color="D9D9D9"/>
              <w:bottom w:val="single" w:sz="4" w:color="D9D9D9"/>
              <w:right w:val="single" w:sz="4" w:color="D9D9D9"/>
              <w:insideH w:val="single" w:sz="4" w:color="D9D9D9"/>
              <w:insideV w:val="single" w:sz="4" w:color="D9D9D9"/>
            </w:tcBorders>
            <w:shd w:fill="F2F5F8"/>
          </w:tcPr>
          <w:p>
            <w:r>
              <w:t>Meets this time objective</w:t>
            </w:r>
          </w:p>
        </w:tc>
      </w:tr>
      <w:tr>
        <w:tc>
          <w:tcPr>
            <w:tcW w:type="dxa" w:w="3355"/>
            <w:tcBorders>
              <w:top w:val="single" w:sz="4" w:color="D9D9D9"/>
              <w:left w:val="single" w:sz="4" w:color="D9D9D9"/>
              <w:bottom w:val="single" w:sz="4" w:color="D9D9D9"/>
              <w:right w:val="single" w:sz="4" w:color="D9D9D9"/>
              <w:insideH w:val="single" w:sz="4" w:color="D9D9D9"/>
              <w:insideV w:val="single" w:sz="4" w:color="D9D9D9"/>
            </w:tcBorders>
            <w:shd w:fill="FFFFFF"/>
          </w:tcPr>
          <w:p>
            <w:r>
              <w:t>RPO: 60 minutes for the agreed record set</w:t>
            </w:r>
          </w:p>
        </w:tc>
        <w:tc>
          <w:tcPr>
            <w:tcW w:type="dxa" w:w="3355"/>
            <w:tcBorders>
              <w:top w:val="single" w:sz="4" w:color="D9D9D9"/>
              <w:left w:val="single" w:sz="4" w:color="D9D9D9"/>
              <w:bottom w:val="single" w:sz="4" w:color="D9D9D9"/>
              <w:right w:val="single" w:sz="4" w:color="D9D9D9"/>
              <w:insideH w:val="single" w:sz="4" w:color="D9D9D9"/>
              <w:insideV w:val="single" w:sz="4" w:color="D9D9D9"/>
            </w:tcBorders>
            <w:shd w:fill="FFFFFF"/>
          </w:tcPr>
          <w:p>
            <w:r>
              <w:t>Latest complete restored state is 14:10: 70 minutes before interruption</w:t>
            </w:r>
          </w:p>
        </w:tc>
        <w:tc>
          <w:tcPr>
            <w:tcW w:type="dxa" w:w="3355"/>
            <w:tcBorders>
              <w:top w:val="single" w:sz="4" w:color="D9D9D9"/>
              <w:left w:val="single" w:sz="4" w:color="D9D9D9"/>
              <w:bottom w:val="single" w:sz="4" w:color="D9D9D9"/>
              <w:right w:val="single" w:sz="4" w:color="D9D9D9"/>
              <w:insideH w:val="single" w:sz="4" w:color="D9D9D9"/>
              <w:insideV w:val="single" w:sz="4" w:color="D9D9D9"/>
            </w:tcBorders>
            <w:shd w:fill="FFFFFF"/>
          </w:tcPr>
          <w:p>
            <w:r>
              <w:t>Fails this data-loss objective</w:t>
            </w:r>
          </w:p>
        </w:tc>
      </w:tr>
      <w:tr>
        <w:tc>
          <w:tcPr>
            <w:tcW w:type="dxa" w:w="3355"/>
            <w:tcBorders>
              <w:top w:val="single" w:sz="4" w:color="D9D9D9"/>
              <w:left w:val="single" w:sz="4" w:color="D9D9D9"/>
              <w:bottom w:val="single" w:sz="4" w:color="D9D9D9"/>
              <w:right w:val="single" w:sz="4" w:color="D9D9D9"/>
              <w:insideH w:val="single" w:sz="4" w:color="D9D9D9"/>
              <w:insideV w:val="single" w:sz="4" w:color="D9D9D9"/>
            </w:tcBorders>
            <w:shd w:fill="F2F5F8"/>
          </w:tcPr>
          <w:p>
            <w:r>
              <w:t>Required restored permissions</w:t>
            </w:r>
          </w:p>
        </w:tc>
        <w:tc>
          <w:tcPr>
            <w:tcW w:type="dxa" w:w="3355"/>
            <w:tcBorders>
              <w:top w:val="single" w:sz="4" w:color="D9D9D9"/>
              <w:left w:val="single" w:sz="4" w:color="D9D9D9"/>
              <w:bottom w:val="single" w:sz="4" w:color="D9D9D9"/>
              <w:right w:val="single" w:sz="4" w:color="D9D9D9"/>
              <w:insideH w:val="single" w:sz="4" w:color="D9D9D9"/>
              <w:insideV w:val="single" w:sz="4" w:color="D9D9D9"/>
            </w:tcBorders>
            <w:shd w:fill="F2F5F8"/>
          </w:tcPr>
          <w:p>
            <w:r>
              <w:t>Removed reviewer's access remains blocked</w:t>
            </w:r>
          </w:p>
        </w:tc>
        <w:tc>
          <w:tcPr>
            <w:tcW w:type="dxa" w:w="3355"/>
            <w:tcBorders>
              <w:top w:val="single" w:sz="4" w:color="D9D9D9"/>
              <w:left w:val="single" w:sz="4" w:color="D9D9D9"/>
              <w:bottom w:val="single" w:sz="4" w:color="D9D9D9"/>
              <w:right w:val="single" w:sz="4" w:color="D9D9D9"/>
              <w:insideH w:val="single" w:sz="4" w:color="D9D9D9"/>
              <w:insideV w:val="single" w:sz="4" w:color="D9D9D9"/>
            </w:tcBorders>
            <w:shd w:fill="F2F5F8"/>
          </w:tcPr>
          <w:p>
            <w:r>
              <w:t>Must be checked separately; timing results do not prove it</w:t>
            </w:r>
          </w:p>
        </w:tc>
      </w:tr>
    </w:tbl>
    <w:p>
      <w:r>
        <w:t>Source: https://www.assyro.com/blog/ectd-software-rfp-template</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eCTD software request for proposal</dc:title>
  <dc:subject/>
  <dc:creator>Assyro</dc:creator>
  <cp:keywords/>
  <dc:description>generated by python-docx</dc:description>
  <cp:lastModifiedBy/>
  <cp:revision>1</cp:revision>
  <dcterms:created xsi:type="dcterms:W3CDTF">2013-12-23T23:15:00Z</dcterms:created>
  <dcterms:modified xsi:type="dcterms:W3CDTF">2013-12-23T23:15:00Z</dcterms:modified>
  <cp:category/>
</cp:coreProperties>
</file>