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pPr>
      <w:bookmarkStart w:colFirst="0" w:colLast="0" w:name="_qonhrnpl9m25" w:id="0"/>
      <w:bookmarkEnd w:id="0"/>
      <w:r w:rsidDel="00000000" w:rsidR="00000000" w:rsidRPr="00000000">
        <w:rPr>
          <w:rtl w:val="0"/>
        </w:rPr>
        <w:t xml:space="preserve">M155 - </w:t>
      </w:r>
      <w:r w:rsidDel="00000000" w:rsidR="00000000" w:rsidRPr="00000000">
        <w:rPr>
          <w:rtl w:val="0"/>
        </w:rPr>
        <w:t xml:space="preserve">Right Triangle Trigonometry</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sz w:val="26"/>
          <w:szCs w:val="26"/>
        </w:rPr>
      </w:pPr>
      <w:r w:rsidDel="00000000" w:rsidR="00000000" w:rsidRPr="00000000">
        <w:rPr>
          <w:b w:val="1"/>
          <w:sz w:val="26"/>
          <w:szCs w:val="26"/>
          <w:rtl w:val="0"/>
        </w:rPr>
        <w:t xml:space="preserve">Badge Specific Essential Concepts</w:t>
      </w:r>
    </w:p>
    <w:p w:rsidR="00000000" w:rsidDel="00000000" w:rsidP="00000000" w:rsidRDefault="00000000" w:rsidRPr="00000000" w14:paraId="00000004">
      <w:pPr>
        <w:keepNext w:val="0"/>
        <w:keepLines w:val="0"/>
        <w:numPr>
          <w:ilvl w:val="0"/>
          <w:numId w:val="2"/>
        </w:numPr>
        <w:spacing w:after="80" w:before="200" w:line="240" w:lineRule="auto"/>
        <w:ind w:left="720" w:hanging="360"/>
        <w:rPr/>
      </w:pPr>
      <w:r w:rsidDel="00000000" w:rsidR="00000000" w:rsidRPr="00000000">
        <w:rPr>
          <w:rtl w:val="0"/>
        </w:rPr>
        <w:t xml:space="preserve">Recognizing congruence, similarity, symmetry, measurement opportunities, and other geometric ideas, including right triangle trigonometry in real-world contexts, provides a means of building understanding of these concepts and is a powerful tool for solving problems related to the physical world in which we live.</w:t>
      </w:r>
      <w:r w:rsidDel="00000000" w:rsidR="00000000" w:rsidRPr="00000000">
        <w:rPr>
          <w:rtl w:val="0"/>
        </w:rPr>
        <w:t xml:space="preserve"> </w:t>
      </w:r>
      <w:r w:rsidDel="00000000" w:rsidR="00000000" w:rsidRPr="00000000">
        <w:rPr>
          <w:rtl w:val="0"/>
        </w:rPr>
        <w:t xml:space="preserve">[NCTM Essential Concept EC.GM.SAPM.1]</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sz w:val="26"/>
          <w:szCs w:val="26"/>
        </w:rPr>
      </w:pPr>
      <w:r w:rsidDel="00000000" w:rsidR="00000000" w:rsidRPr="00000000">
        <w:rPr>
          <w:b w:val="1"/>
          <w:sz w:val="26"/>
          <w:szCs w:val="26"/>
          <w:rtl w:val="0"/>
        </w:rPr>
        <w:t xml:space="preserve">Administration Notes</w:t>
      </w:r>
    </w:p>
    <w:p w:rsidR="00000000" w:rsidDel="00000000" w:rsidP="00000000" w:rsidRDefault="00000000" w:rsidRPr="00000000" w14:paraId="00000007">
      <w:pPr>
        <w:rPr>
          <w:highlight w:val="white"/>
        </w:rPr>
      </w:pPr>
      <w:r w:rsidDel="00000000" w:rsidR="00000000" w:rsidRPr="00000000">
        <w:rPr>
          <w:highlight w:val="white"/>
          <w:rtl w:val="0"/>
        </w:rPr>
        <w:t xml:space="preserve">This Pre-Post Task is to be used as a tool for students to understand their learning. When administering this task, it is important to highlight a few things for students:</w:t>
      </w:r>
    </w:p>
    <w:p w:rsidR="00000000" w:rsidDel="00000000" w:rsidP="00000000" w:rsidRDefault="00000000" w:rsidRPr="00000000" w14:paraId="00000008">
      <w:pPr>
        <w:numPr>
          <w:ilvl w:val="0"/>
          <w:numId w:val="1"/>
        </w:numPr>
        <w:ind w:left="720" w:hanging="360"/>
        <w:rPr>
          <w:highlight w:val="white"/>
        </w:rPr>
      </w:pPr>
      <w:r w:rsidDel="00000000" w:rsidR="00000000" w:rsidRPr="00000000">
        <w:rPr>
          <w:highlight w:val="white"/>
          <w:rtl w:val="0"/>
        </w:rPr>
        <w:t xml:space="preserve">Students will have the opportunity to complete the task at the beginning and the end of this badge. This is because we want students to be able to see how much they’ve learned and reflect on that learning in ways that matter to them.</w:t>
      </w:r>
    </w:p>
    <w:p w:rsidR="00000000" w:rsidDel="00000000" w:rsidP="00000000" w:rsidRDefault="00000000" w:rsidRPr="00000000" w14:paraId="00000009">
      <w:pPr>
        <w:numPr>
          <w:ilvl w:val="0"/>
          <w:numId w:val="1"/>
        </w:numPr>
        <w:ind w:left="720" w:hanging="360"/>
        <w:rPr>
          <w:highlight w:val="white"/>
        </w:rPr>
      </w:pPr>
      <w:r w:rsidDel="00000000" w:rsidR="00000000" w:rsidRPr="00000000">
        <w:rPr>
          <w:highlight w:val="white"/>
          <w:rtl w:val="0"/>
        </w:rPr>
        <w:t xml:space="preserve">The work on the task will not be graded. The task is not a quiz or a test - it is designed to support students in understanding how much they have learned from the beginning of the badge to the end.</w:t>
      </w:r>
    </w:p>
    <w:p w:rsidR="00000000" w:rsidDel="00000000" w:rsidP="00000000" w:rsidRDefault="00000000" w:rsidRPr="00000000" w14:paraId="0000000A">
      <w:pPr>
        <w:numPr>
          <w:ilvl w:val="0"/>
          <w:numId w:val="1"/>
        </w:numPr>
        <w:ind w:left="720" w:hanging="360"/>
        <w:rPr>
          <w:highlight w:val="white"/>
        </w:rPr>
      </w:pPr>
      <w:r w:rsidDel="00000000" w:rsidR="00000000" w:rsidRPr="00000000">
        <w:rPr>
          <w:highlight w:val="white"/>
          <w:rtl w:val="0"/>
        </w:rPr>
        <w:t xml:space="preserve">Students can have access to any technology that they typically use during classroom instruction to complete this task. </w:t>
      </w:r>
    </w:p>
    <w:p w:rsidR="00000000" w:rsidDel="00000000" w:rsidP="00000000" w:rsidRDefault="00000000" w:rsidRPr="00000000" w14:paraId="0000000B">
      <w:pPr>
        <w:numPr>
          <w:ilvl w:val="0"/>
          <w:numId w:val="1"/>
        </w:numPr>
        <w:ind w:left="720" w:hanging="360"/>
        <w:rPr>
          <w:highlight w:val="white"/>
        </w:rPr>
      </w:pPr>
      <w:r w:rsidDel="00000000" w:rsidR="00000000" w:rsidRPr="00000000">
        <w:rPr>
          <w:highlight w:val="white"/>
          <w:rtl w:val="0"/>
        </w:rPr>
        <w:t xml:space="preserve">Students should work individually on the task.</w:t>
      </w:r>
    </w:p>
    <w:p w:rsidR="00000000" w:rsidDel="00000000" w:rsidP="00000000" w:rsidRDefault="00000000" w:rsidRPr="00000000" w14:paraId="0000000C">
      <w:pPr>
        <w:rPr>
          <w:highlight w:val="white"/>
        </w:rPr>
      </w:pPr>
      <w:r w:rsidDel="00000000" w:rsidR="00000000" w:rsidRPr="00000000">
        <w:rPr>
          <w:rtl w:val="0"/>
        </w:rPr>
      </w:r>
    </w:p>
    <w:p w:rsidR="00000000" w:rsidDel="00000000" w:rsidP="00000000" w:rsidRDefault="00000000" w:rsidRPr="00000000" w14:paraId="0000000D">
      <w:pPr>
        <w:rPr>
          <w:highlight w:val="white"/>
        </w:rPr>
      </w:pPr>
      <w:r w:rsidDel="00000000" w:rsidR="00000000" w:rsidRPr="00000000">
        <w:rPr>
          <w:highlight w:val="white"/>
          <w:rtl w:val="0"/>
        </w:rPr>
        <w:t xml:space="preserve">Please share these things with students, reinforcing the idea that this task has been designed to support them in reflecting on the mathematics they have learned. In some tasks, students may create work in different places. It is helpful for them to have their own online folders to store their pre-post tasks as well as any supporting artifacts, such as screenshots from online tools that they use.</w:t>
      </w:r>
    </w:p>
    <w:p w:rsidR="00000000" w:rsidDel="00000000" w:rsidP="00000000" w:rsidRDefault="00000000" w:rsidRPr="00000000" w14:paraId="0000000E">
      <w:pPr>
        <w:rPr>
          <w:b w:val="1"/>
          <w:sz w:val="28"/>
          <w:szCs w:val="28"/>
        </w:rPr>
      </w:pPr>
      <w:r w:rsidDel="00000000" w:rsidR="00000000" w:rsidRPr="00000000">
        <w:rPr>
          <w:rtl w:val="0"/>
        </w:rPr>
      </w:r>
    </w:p>
    <w:p w:rsidR="00000000" w:rsidDel="00000000" w:rsidP="00000000" w:rsidRDefault="00000000" w:rsidRPr="00000000" w14:paraId="0000000F">
      <w:pPr>
        <w:rPr>
          <w:b w:val="1"/>
          <w:sz w:val="26"/>
          <w:szCs w:val="26"/>
        </w:rPr>
      </w:pPr>
      <w:r w:rsidDel="00000000" w:rsidR="00000000" w:rsidRPr="00000000">
        <w:rPr>
          <w:b w:val="1"/>
          <w:sz w:val="26"/>
          <w:szCs w:val="26"/>
          <w:rtl w:val="0"/>
        </w:rPr>
        <w:t xml:space="preserve">Task Analysis</w:t>
      </w:r>
    </w:p>
    <w:p w:rsidR="00000000" w:rsidDel="00000000" w:rsidP="00000000" w:rsidRDefault="00000000" w:rsidRPr="00000000" w14:paraId="00000010">
      <w:pPr>
        <w:rPr>
          <w:b w:val="1"/>
        </w:rPr>
      </w:pPr>
      <w:r w:rsidDel="00000000" w:rsidR="00000000" w:rsidRPr="00000000">
        <w:rPr>
          <w:highlight w:val="white"/>
          <w:rtl w:val="0"/>
        </w:rPr>
        <w:t xml:space="preserve">The purpose of the task analysis section is to report on student performance at two points in time -- before and after badge instruction. Complete a table for each student based on an analysis of their responses. You can create summary data for yourself if you choose to understand more globally how students are doing on the concepts measured by the task.</w:t>
      </w:r>
      <w:r w:rsidDel="00000000" w:rsidR="00000000" w:rsidRPr="00000000">
        <w:rPr>
          <w:rtl w:val="0"/>
        </w:rPr>
      </w:r>
    </w:p>
    <w:p w:rsidR="00000000" w:rsidDel="00000000" w:rsidP="00000000" w:rsidRDefault="00000000" w:rsidRPr="00000000" w14:paraId="00000011">
      <w:pPr>
        <w:widowControl w:val="0"/>
        <w:spacing w:line="240" w:lineRule="auto"/>
        <w:rPr>
          <w:b w:val="1"/>
          <w:sz w:val="28"/>
          <w:szCs w:val="28"/>
        </w:rPr>
      </w:pPr>
      <w:r w:rsidDel="00000000" w:rsidR="00000000" w:rsidRPr="00000000">
        <w:rPr>
          <w:rtl w:val="0"/>
        </w:rPr>
      </w:r>
    </w:p>
    <w:p w:rsidR="00000000" w:rsidDel="00000000" w:rsidP="00000000" w:rsidRDefault="00000000" w:rsidRPr="00000000" w14:paraId="00000012">
      <w:pPr>
        <w:widowControl w:val="0"/>
        <w:spacing w:line="240" w:lineRule="auto"/>
        <w:rPr>
          <w:b w:val="1"/>
          <w:sz w:val="20"/>
          <w:szCs w:val="20"/>
          <w:highlight w:val="white"/>
        </w:rPr>
      </w:pPr>
      <w:r w:rsidDel="00000000" w:rsidR="00000000" w:rsidRPr="00000000">
        <w:rPr>
          <w:rtl w:val="0"/>
        </w:rPr>
      </w:r>
    </w:p>
    <w:p w:rsidR="00000000" w:rsidDel="00000000" w:rsidP="00000000" w:rsidRDefault="00000000" w:rsidRPr="00000000" w14:paraId="00000013">
      <w:pPr>
        <w:widowControl w:val="0"/>
        <w:spacing w:line="240" w:lineRule="auto"/>
        <w:rPr>
          <w:b w:val="1"/>
          <w:sz w:val="20"/>
          <w:szCs w:val="20"/>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14">
      <w:pPr>
        <w:widowControl w:val="0"/>
        <w:spacing w:line="240" w:lineRule="auto"/>
        <w:rPr>
          <w:b w:val="1"/>
          <w:sz w:val="24"/>
          <w:szCs w:val="24"/>
          <w:highlight w:val="white"/>
        </w:rPr>
      </w:pPr>
      <w:r w:rsidDel="00000000" w:rsidR="00000000" w:rsidRPr="00000000">
        <w:rPr>
          <w:b w:val="1"/>
          <w:sz w:val="24"/>
          <w:szCs w:val="24"/>
          <w:highlight w:val="white"/>
          <w:rtl w:val="0"/>
        </w:rPr>
        <w:t xml:space="preserve">PRE</w:t>
      </w:r>
    </w:p>
    <w:p w:rsidR="00000000" w:rsidDel="00000000" w:rsidP="00000000" w:rsidRDefault="00000000" w:rsidRPr="00000000" w14:paraId="00000015">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16">
      <w:pPr>
        <w:widowControl w:val="0"/>
        <w:spacing w:line="240" w:lineRule="auto"/>
        <w:rPr>
          <w:sz w:val="24"/>
          <w:szCs w:val="24"/>
          <w:highlight w:val="white"/>
        </w:rPr>
      </w:pPr>
      <w:r w:rsidDel="00000000" w:rsidR="00000000" w:rsidRPr="00000000">
        <w:rPr>
          <w:sz w:val="24"/>
          <w:szCs w:val="24"/>
          <w:highlight w:val="white"/>
          <w:rtl w:val="0"/>
        </w:rPr>
        <w:t xml:space="preserve">Were there any interesting or instructionally useful responses or insights from students? Please record those here:</w:t>
      </w:r>
    </w:p>
    <w:p w:rsidR="00000000" w:rsidDel="00000000" w:rsidP="00000000" w:rsidRDefault="00000000" w:rsidRPr="00000000" w14:paraId="00000017">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18">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19">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1A">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1B">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1C">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1D">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1E">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1F">
      <w:pPr>
        <w:widowControl w:val="0"/>
        <w:spacing w:line="240" w:lineRule="auto"/>
        <w:rPr>
          <w:sz w:val="20"/>
          <w:szCs w:val="20"/>
          <w:highlight w:val="white"/>
        </w:rPr>
      </w:pPr>
      <w:r w:rsidDel="00000000" w:rsidR="00000000" w:rsidRPr="00000000">
        <w:rPr>
          <w:rtl w:val="0"/>
        </w:rPr>
      </w:r>
    </w:p>
    <w:tbl>
      <w:tblPr>
        <w:tblStyle w:val="Table1"/>
        <w:tblW w:w="126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75"/>
        <w:gridCol w:w="1575"/>
        <w:gridCol w:w="1125"/>
        <w:gridCol w:w="1395"/>
        <w:gridCol w:w="945"/>
        <w:gridCol w:w="3360"/>
        <w:tblGridChange w:id="0">
          <w:tblGrid>
            <w:gridCol w:w="4275"/>
            <w:gridCol w:w="1575"/>
            <w:gridCol w:w="1125"/>
            <w:gridCol w:w="1395"/>
            <w:gridCol w:w="945"/>
            <w:gridCol w:w="3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sz w:val="20"/>
                <w:szCs w:val="20"/>
                <w:highlight w:val="white"/>
              </w:rPr>
            </w:pPr>
            <w:r w:rsidDel="00000000" w:rsidR="00000000" w:rsidRPr="00000000">
              <w:rPr>
                <w:sz w:val="20"/>
                <w:szCs w:val="20"/>
                <w:highlight w:val="white"/>
                <w:rtl w:val="0"/>
              </w:rPr>
              <w:t xml:space="preserve">Question/Look For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sz w:val="20"/>
                <w:szCs w:val="20"/>
                <w:highlight w:val="white"/>
              </w:rPr>
            </w:pPr>
            <w:r w:rsidDel="00000000" w:rsidR="00000000" w:rsidRPr="00000000">
              <w:rPr>
                <w:sz w:val="20"/>
                <w:szCs w:val="20"/>
                <w:highlight w:val="white"/>
                <w:rtl w:val="0"/>
              </w:rPr>
              <w:t xml:space="preserve">Blank or similar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sz w:val="20"/>
                <w:szCs w:val="20"/>
                <w:highlight w:val="white"/>
              </w:rPr>
            </w:pPr>
            <w:r w:rsidDel="00000000" w:rsidR="00000000" w:rsidRPr="00000000">
              <w:rPr>
                <w:sz w:val="20"/>
                <w:szCs w:val="20"/>
                <w:highlight w:val="white"/>
                <w:rtl w:val="0"/>
              </w:rPr>
              <w:t xml:space="preserve">Emerging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sz w:val="20"/>
                <w:szCs w:val="20"/>
                <w:highlight w:val="white"/>
              </w:rPr>
            </w:pPr>
            <w:r w:rsidDel="00000000" w:rsidR="00000000" w:rsidRPr="00000000">
              <w:rPr>
                <w:sz w:val="20"/>
                <w:szCs w:val="20"/>
                <w:highlight w:val="white"/>
                <w:rtl w:val="0"/>
              </w:rPr>
              <w:t xml:space="preserve">Approaching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sz w:val="20"/>
                <w:szCs w:val="20"/>
                <w:highlight w:val="white"/>
              </w:rPr>
            </w:pPr>
            <w:r w:rsidDel="00000000" w:rsidR="00000000" w:rsidRPr="00000000">
              <w:rPr>
                <w:sz w:val="20"/>
                <w:szCs w:val="20"/>
                <w:highlight w:val="white"/>
                <w:rtl w:val="0"/>
              </w:rPr>
              <w:t xml:space="preserve">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sz w:val="20"/>
                <w:szCs w:val="20"/>
                <w:highlight w:val="white"/>
              </w:rPr>
            </w:pPr>
            <w:r w:rsidDel="00000000" w:rsidR="00000000" w:rsidRPr="00000000">
              <w:rPr>
                <w:sz w:val="20"/>
                <w:szCs w:val="20"/>
                <w:highlight w:val="white"/>
                <w:rtl w:val="0"/>
              </w:rPr>
              <w:t xml:space="preserve">Other Notes</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sz w:val="20"/>
                <w:szCs w:val="20"/>
              </w:rPr>
            </w:pPr>
            <w:r w:rsidDel="00000000" w:rsidR="00000000" w:rsidRPr="00000000">
              <w:rPr>
                <w:sz w:val="20"/>
                <w:szCs w:val="20"/>
                <w:rtl w:val="0"/>
              </w:rPr>
              <w:t xml:space="preserve">(1) Student is able to determine the unknown side lengths of triangles DEF and LMN using properties of similar triangles.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sz w:val="20"/>
                <w:szCs w:val="20"/>
                <w:highlight w:val="white"/>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sz w:val="20"/>
                <w:szCs w:val="20"/>
              </w:rPr>
            </w:pPr>
            <w:r w:rsidDel="00000000" w:rsidR="00000000" w:rsidRPr="00000000">
              <w:rPr>
                <w:sz w:val="20"/>
                <w:szCs w:val="20"/>
                <w:rtl w:val="0"/>
              </w:rPr>
              <w:t xml:space="preserve">(2) Student is able to evaluate the trigonometric expressions using their answers from the previous question.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sz w:val="20"/>
                <w:szCs w:val="20"/>
                <w:highlight w:val="white"/>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sz w:val="20"/>
                <w:szCs w:val="20"/>
              </w:rPr>
            </w:pPr>
            <w:r w:rsidDel="00000000" w:rsidR="00000000" w:rsidRPr="00000000">
              <w:rPr>
                <w:sz w:val="20"/>
                <w:szCs w:val="20"/>
                <w:rtl w:val="0"/>
              </w:rPr>
              <w:t xml:space="preserve">(3) Student is able to find the unknown side lengths and evaluate the trigonometric expressions.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sz w:val="20"/>
                <w:szCs w:val="20"/>
                <w:highlight w:val="white"/>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sz w:val="20"/>
                <w:szCs w:val="20"/>
              </w:rPr>
            </w:pPr>
            <w:r w:rsidDel="00000000" w:rsidR="00000000" w:rsidRPr="00000000">
              <w:rPr>
                <w:sz w:val="20"/>
                <w:szCs w:val="20"/>
                <w:rtl w:val="0"/>
              </w:rPr>
              <w:t xml:space="preserve">(4) Student is able to find the length of YW and evaluate the three trigonometric expressions.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sz w:val="20"/>
                <w:szCs w:val="20"/>
                <w:highlight w:val="white"/>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sz w:val="20"/>
                <w:szCs w:val="20"/>
              </w:rPr>
            </w:pPr>
            <w:r w:rsidDel="00000000" w:rsidR="00000000" w:rsidRPr="00000000">
              <w:rPr>
                <w:sz w:val="20"/>
                <w:szCs w:val="20"/>
                <w:rtl w:val="0"/>
              </w:rPr>
              <w:t xml:space="preserve">(5) Student is able to determine the height of the tree and provide mathematical justification for this answer using a trigonometric equation.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sz w:val="20"/>
                <w:szCs w:val="20"/>
                <w:highlight w:val="white"/>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sz w:val="20"/>
                <w:szCs w:val="20"/>
              </w:rPr>
            </w:pPr>
            <w:r w:rsidDel="00000000" w:rsidR="00000000" w:rsidRPr="00000000">
              <w:rPr>
                <w:sz w:val="20"/>
                <w:szCs w:val="20"/>
                <w:rtl w:val="0"/>
              </w:rPr>
              <w:t xml:space="preserve">(6) Student is able to calculate the value of each trigonometric expression.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sz w:val="20"/>
                <w:szCs w:val="20"/>
                <w:highlight w:val="white"/>
              </w:rPr>
            </w:pPr>
            <w:r w:rsidDel="00000000" w:rsidR="00000000" w:rsidRPr="00000000">
              <w:rPr>
                <w:rtl w:val="0"/>
              </w:rPr>
            </w:r>
          </w:p>
        </w:tc>
      </w:tr>
    </w:tbl>
    <w:p w:rsidR="00000000" w:rsidDel="00000000" w:rsidP="00000000" w:rsidRDefault="00000000" w:rsidRPr="00000000" w14:paraId="0000004A">
      <w:pPr>
        <w:rPr>
          <w:b w:val="1"/>
          <w:sz w:val="20"/>
          <w:szCs w:val="20"/>
          <w:highlight w:val="white"/>
        </w:rPr>
      </w:pPr>
      <w:r w:rsidDel="00000000" w:rsidR="00000000" w:rsidRPr="00000000">
        <w:rPr>
          <w:rtl w:val="0"/>
        </w:rPr>
      </w:r>
    </w:p>
    <w:p w:rsidR="00000000" w:rsidDel="00000000" w:rsidP="00000000" w:rsidRDefault="00000000" w:rsidRPr="00000000" w14:paraId="0000004B">
      <w:pPr>
        <w:rPr>
          <w:b w:val="1"/>
          <w:sz w:val="24"/>
          <w:szCs w:val="24"/>
          <w:highlight w:val="white"/>
        </w:rPr>
      </w:pPr>
      <w:r w:rsidDel="00000000" w:rsidR="00000000" w:rsidRPr="00000000">
        <w:rPr>
          <w:b w:val="1"/>
          <w:sz w:val="24"/>
          <w:szCs w:val="24"/>
          <w:highlight w:val="white"/>
          <w:rtl w:val="0"/>
        </w:rPr>
        <w:t xml:space="preserve">POST</w:t>
      </w:r>
    </w:p>
    <w:p w:rsidR="00000000" w:rsidDel="00000000" w:rsidP="00000000" w:rsidRDefault="00000000" w:rsidRPr="00000000" w14:paraId="0000004C">
      <w:pPr>
        <w:rPr>
          <w:b w:val="1"/>
          <w:sz w:val="24"/>
          <w:szCs w:val="24"/>
          <w:highlight w:val="white"/>
        </w:rPr>
      </w:pPr>
      <w:r w:rsidDel="00000000" w:rsidR="00000000" w:rsidRPr="00000000">
        <w:rPr>
          <w:rtl w:val="0"/>
        </w:rPr>
      </w:r>
    </w:p>
    <w:p w:rsidR="00000000" w:rsidDel="00000000" w:rsidP="00000000" w:rsidRDefault="00000000" w:rsidRPr="00000000" w14:paraId="0000004D">
      <w:pPr>
        <w:widowControl w:val="0"/>
        <w:spacing w:line="240" w:lineRule="auto"/>
        <w:rPr>
          <w:sz w:val="24"/>
          <w:szCs w:val="24"/>
          <w:highlight w:val="white"/>
        </w:rPr>
      </w:pPr>
      <w:r w:rsidDel="00000000" w:rsidR="00000000" w:rsidRPr="00000000">
        <w:rPr>
          <w:sz w:val="24"/>
          <w:szCs w:val="24"/>
          <w:highlight w:val="white"/>
          <w:rtl w:val="0"/>
        </w:rPr>
        <w:t xml:space="preserve">Were there any interesting or instructionally useful responses or insights from students? Please record those here:</w:t>
      </w:r>
    </w:p>
    <w:p w:rsidR="00000000" w:rsidDel="00000000" w:rsidP="00000000" w:rsidRDefault="00000000" w:rsidRPr="00000000" w14:paraId="0000004E">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4F">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50">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51">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52">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53">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54">
      <w:pPr>
        <w:widowControl w:val="0"/>
        <w:spacing w:line="240" w:lineRule="auto"/>
        <w:rPr>
          <w:sz w:val="20"/>
          <w:szCs w:val="20"/>
          <w:highlight w:val="white"/>
        </w:rPr>
      </w:pPr>
      <w:r w:rsidDel="00000000" w:rsidR="00000000" w:rsidRPr="00000000">
        <w:rPr>
          <w:rtl w:val="0"/>
        </w:rPr>
      </w:r>
    </w:p>
    <w:tbl>
      <w:tblPr>
        <w:tblStyle w:val="Table2"/>
        <w:tblW w:w="126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75"/>
        <w:gridCol w:w="1575"/>
        <w:gridCol w:w="1125"/>
        <w:gridCol w:w="1395"/>
        <w:gridCol w:w="945"/>
        <w:gridCol w:w="3360"/>
        <w:tblGridChange w:id="0">
          <w:tblGrid>
            <w:gridCol w:w="4275"/>
            <w:gridCol w:w="1575"/>
            <w:gridCol w:w="1125"/>
            <w:gridCol w:w="1395"/>
            <w:gridCol w:w="945"/>
            <w:gridCol w:w="3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sz w:val="20"/>
                <w:szCs w:val="20"/>
                <w:highlight w:val="white"/>
              </w:rPr>
            </w:pPr>
            <w:r w:rsidDel="00000000" w:rsidR="00000000" w:rsidRPr="00000000">
              <w:rPr>
                <w:sz w:val="20"/>
                <w:szCs w:val="20"/>
                <w:highlight w:val="white"/>
                <w:rtl w:val="0"/>
              </w:rPr>
              <w:t xml:space="preserve">Question/Look For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sz w:val="20"/>
                <w:szCs w:val="20"/>
                <w:highlight w:val="white"/>
              </w:rPr>
            </w:pPr>
            <w:r w:rsidDel="00000000" w:rsidR="00000000" w:rsidRPr="00000000">
              <w:rPr>
                <w:sz w:val="20"/>
                <w:szCs w:val="20"/>
                <w:highlight w:val="white"/>
                <w:rtl w:val="0"/>
              </w:rPr>
              <w:t xml:space="preserve">Blank or similar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sz w:val="20"/>
                <w:szCs w:val="20"/>
                <w:highlight w:val="white"/>
              </w:rPr>
            </w:pPr>
            <w:r w:rsidDel="00000000" w:rsidR="00000000" w:rsidRPr="00000000">
              <w:rPr>
                <w:sz w:val="20"/>
                <w:szCs w:val="20"/>
                <w:highlight w:val="white"/>
                <w:rtl w:val="0"/>
              </w:rPr>
              <w:t xml:space="preserve">Emerging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sz w:val="20"/>
                <w:szCs w:val="20"/>
                <w:highlight w:val="white"/>
              </w:rPr>
            </w:pPr>
            <w:r w:rsidDel="00000000" w:rsidR="00000000" w:rsidRPr="00000000">
              <w:rPr>
                <w:sz w:val="20"/>
                <w:szCs w:val="20"/>
                <w:highlight w:val="white"/>
                <w:rtl w:val="0"/>
              </w:rPr>
              <w:t xml:space="preserve">Approaching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sz w:val="20"/>
                <w:szCs w:val="20"/>
                <w:highlight w:val="white"/>
              </w:rPr>
            </w:pPr>
            <w:r w:rsidDel="00000000" w:rsidR="00000000" w:rsidRPr="00000000">
              <w:rPr>
                <w:sz w:val="20"/>
                <w:szCs w:val="20"/>
                <w:highlight w:val="white"/>
                <w:rtl w:val="0"/>
              </w:rPr>
              <w:t xml:space="preserve">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sz w:val="20"/>
                <w:szCs w:val="20"/>
                <w:highlight w:val="white"/>
              </w:rPr>
            </w:pPr>
            <w:r w:rsidDel="00000000" w:rsidR="00000000" w:rsidRPr="00000000">
              <w:rPr>
                <w:sz w:val="20"/>
                <w:szCs w:val="20"/>
                <w:highlight w:val="white"/>
                <w:rtl w:val="0"/>
              </w:rPr>
              <w:t xml:space="preserve">Other Notes</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sz w:val="20"/>
                <w:szCs w:val="20"/>
              </w:rPr>
            </w:pPr>
            <w:r w:rsidDel="00000000" w:rsidR="00000000" w:rsidRPr="00000000">
              <w:rPr>
                <w:sz w:val="20"/>
                <w:szCs w:val="20"/>
                <w:rtl w:val="0"/>
              </w:rPr>
              <w:t xml:space="preserve">(1) Student is able to determine the unknown side lengths of triangles DEF and LMN using properties of similar triangles.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sz w:val="20"/>
                <w:szCs w:val="20"/>
                <w:highlight w:val="white"/>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sz w:val="20"/>
                <w:szCs w:val="20"/>
              </w:rPr>
            </w:pPr>
            <w:r w:rsidDel="00000000" w:rsidR="00000000" w:rsidRPr="00000000">
              <w:rPr>
                <w:sz w:val="20"/>
                <w:szCs w:val="20"/>
                <w:rtl w:val="0"/>
              </w:rPr>
              <w:t xml:space="preserve">(2) Student is able to evaluate the trigonometric expressions using their answers from the previous question.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sz w:val="20"/>
                <w:szCs w:val="20"/>
                <w:highlight w:val="white"/>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sz w:val="20"/>
                <w:szCs w:val="20"/>
              </w:rPr>
            </w:pPr>
            <w:r w:rsidDel="00000000" w:rsidR="00000000" w:rsidRPr="00000000">
              <w:rPr>
                <w:sz w:val="20"/>
                <w:szCs w:val="20"/>
                <w:rtl w:val="0"/>
              </w:rPr>
              <w:t xml:space="preserve">(3) Student is able to find the unknown side lengths and evaluate the trigonometric expressions.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sz w:val="20"/>
                <w:szCs w:val="20"/>
                <w:highlight w:val="white"/>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sz w:val="20"/>
                <w:szCs w:val="20"/>
              </w:rPr>
            </w:pPr>
            <w:r w:rsidDel="00000000" w:rsidR="00000000" w:rsidRPr="00000000">
              <w:rPr>
                <w:sz w:val="20"/>
                <w:szCs w:val="20"/>
                <w:rtl w:val="0"/>
              </w:rPr>
              <w:t xml:space="preserve">(4) Student is able to find the length of YW and evaluate the three trigonometric expressions.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sz w:val="20"/>
                <w:szCs w:val="20"/>
                <w:highlight w:val="white"/>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sz w:val="20"/>
                <w:szCs w:val="20"/>
              </w:rPr>
            </w:pPr>
            <w:r w:rsidDel="00000000" w:rsidR="00000000" w:rsidRPr="00000000">
              <w:rPr>
                <w:sz w:val="20"/>
                <w:szCs w:val="20"/>
                <w:rtl w:val="0"/>
              </w:rPr>
              <w:t xml:space="preserve">(5) Student is able to determine the height of the tree and provide mathematical justification for this answer using a trigonometric equation.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sz w:val="20"/>
                <w:szCs w:val="20"/>
                <w:highlight w:val="white"/>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sz w:val="20"/>
                <w:szCs w:val="20"/>
              </w:rPr>
            </w:pPr>
            <w:r w:rsidDel="00000000" w:rsidR="00000000" w:rsidRPr="00000000">
              <w:rPr>
                <w:sz w:val="20"/>
                <w:szCs w:val="20"/>
                <w:rtl w:val="0"/>
              </w:rPr>
              <w:t xml:space="preserve">(6) Student is able to calculate the value of each trigonometric expression.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sz w:val="20"/>
                <w:szCs w:val="20"/>
                <w:highlight w:val="white"/>
              </w:rPr>
            </w:pPr>
            <w:r w:rsidDel="00000000" w:rsidR="00000000" w:rsidRPr="00000000">
              <w:rPr>
                <w:rtl w:val="0"/>
              </w:rPr>
            </w:r>
          </w:p>
        </w:tc>
      </w:tr>
    </w:tbl>
    <w:p w:rsidR="00000000" w:rsidDel="00000000" w:rsidP="00000000" w:rsidRDefault="00000000" w:rsidRPr="00000000" w14:paraId="0000007F">
      <w:pPr>
        <w:rPr>
          <w:sz w:val="28"/>
          <w:szCs w:val="28"/>
        </w:rPr>
      </w:pPr>
      <w:r w:rsidDel="00000000" w:rsidR="00000000" w:rsidRPr="00000000">
        <w:rPr>
          <w:rtl w:val="0"/>
        </w:rPr>
      </w:r>
    </w:p>
    <w:sectPr>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