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M152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label the coordinates of the three points.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generate a congruent triangle for the given conditions.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generate a congruent triangle for the given conditions.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The student is able to justify a position using understanding of congruence and rigid motions.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label the coordinates of the three points.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generate a congruent triangle for the given conditions.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generate a congruent triangle for the given conditions.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The student is able to justify a position using understanding of congruence and rigid motions.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JQIB2KzoAGUfh5Np95+eSj0zQ==">CgMxLjA4AHIhMVRPMTlHOGFTWm5GNWtVelI1LVltWEgtcno1UWFES0pi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