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rPr>
          <w:rFonts w:ascii="IBM Plex Sans" w:cs="IBM Plex Sans" w:eastAsia="IBM Plex Sans" w:hAnsi="IBM Plex Sans"/>
          <w:b w:val="1"/>
          <w:sz w:val="28"/>
          <w:szCs w:val="28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8"/>
          <w:szCs w:val="28"/>
          <w:rtl w:val="0"/>
        </w:rPr>
        <w:t xml:space="preserve">Example 1: Eco-Friendly Product</w:t>
      </w:r>
    </w:p>
    <w:p w:rsidR="00000000" w:rsidDel="00000000" w:rsidP="00000000" w:rsidRDefault="00000000" w:rsidRPr="00000000" w14:paraId="00000002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left"/>
        <w:tblInd w:w="-545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0"/>
        <w:gridCol w:w="900"/>
        <w:gridCol w:w="3330"/>
        <w:tblGridChange w:id="0">
          <w:tblGrid>
            <w:gridCol w:w="6300"/>
            <w:gridCol w:w="900"/>
            <w:gridCol w:w="333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bottom w:color="000000" w:space="0" w:sz="24" w:val="single"/>
            </w:tcBorders>
            <w:shd w:fill="8ed873" w:val="clear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KG Be Still And Know" w:cs="KG Be Still And Know" w:eastAsia="KG Be Still And Know" w:hAnsi="KG Be Still And Know"/>
                <w:b w:val="1"/>
                <w:sz w:val="32"/>
                <w:szCs w:val="32"/>
                <w:rtl w:val="0"/>
              </w:rPr>
              <w:t xml:space="preserve">Part 1:</w:t>
            </w:r>
            <w:r w:rsidDel="00000000" w:rsidR="00000000" w:rsidRPr="00000000">
              <w:rPr>
                <w:rFonts w:ascii="Aptos" w:cs="Aptos" w:eastAsia="Aptos" w:hAnsi="Aptos"/>
                <w:sz w:val="32"/>
                <w:szCs w:val="32"/>
                <w:rtl w:val="0"/>
              </w:rPr>
              <w:t xml:space="preserve"> Design Phase (Option 1—Game Controller)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24" w:val="single"/>
              <w:bottom w:color="000000" w:space="0" w:sz="24" w:val="single"/>
              <w:right w:color="000000" w:space="0" w:sz="4" w:val="dotted"/>
            </w:tcBorders>
          </w:tcPr>
          <w:p w:rsidR="00000000" w:rsidDel="00000000" w:rsidP="00000000" w:rsidRDefault="00000000" w:rsidRPr="00000000" w14:paraId="00000006">
            <w:pPr>
              <w:spacing w:after="240" w:line="240" w:lineRule="auto"/>
              <w:rPr>
                <w:rFonts w:ascii="Janda Safe and Sound" w:cs="Janda Safe and Sound" w:eastAsia="Janda Safe and Sound" w:hAnsi="Janda Safe and Sound"/>
                <w:sz w:val="32"/>
                <w:szCs w:val="32"/>
              </w:rPr>
            </w:pPr>
            <w:r w:rsidDel="00000000" w:rsidR="00000000" w:rsidRPr="00000000">
              <w:rPr>
                <w:rFonts w:ascii="Janda Safe and Sound" w:cs="Janda Safe and Sound" w:eastAsia="Janda Safe and Sound" w:hAnsi="Janda Safe and Sound"/>
                <w:color w:val="1f1f1f"/>
                <w:rtl w:val="0"/>
              </w:rPr>
              <w:t xml:space="preserve">You are a small business owner and you will create a new controller (or gaming device) for your favorite gaming system. You plan to sell your product on an online store to reach a greater market.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before="240" w:line="240" w:lineRule="auto"/>
              <w:ind w:left="720" w:hanging="36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0d0d0d"/>
                <w:sz w:val="24"/>
                <w:szCs w:val="24"/>
                <w:highlight w:val="white"/>
                <w:rtl w:val="0"/>
              </w:rPr>
              <w:t xml:space="preserve">Consider the </w:t>
            </w:r>
            <w:r w:rsidDel="00000000" w:rsidR="00000000" w:rsidRPr="00000000">
              <w:rPr>
                <w:b w:val="1"/>
                <w:color w:val="0d0d0d"/>
                <w:sz w:val="24"/>
                <w:szCs w:val="24"/>
                <w:highlight w:val="white"/>
                <w:rtl w:val="0"/>
              </w:rPr>
              <w:t xml:space="preserve">qualities</w:t>
            </w:r>
            <w:r w:rsidDel="00000000" w:rsidR="00000000" w:rsidRPr="00000000">
              <w:rPr>
                <w:color w:val="0d0d0d"/>
                <w:sz w:val="24"/>
                <w:szCs w:val="24"/>
                <w:highlight w:val="white"/>
                <w:rtl w:val="0"/>
              </w:rPr>
              <w:t xml:space="preserve"> that make a controller effective for gaming and identify design elements that may hinder its usability.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before="240" w:line="240" w:lineRule="auto"/>
              <w:ind w:left="720" w:hanging="36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Create a rough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rtl w:val="0"/>
              </w:rPr>
              <w:t xml:space="preserve">sketch</w:t>
            </w: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 of your controller or gaming device design. 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ind w:left="720" w:firstLine="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1f1f1f"/>
                <w:sz w:val="24"/>
                <w:szCs w:val="24"/>
                <w:rtl w:val="0"/>
              </w:rPr>
              <w:t xml:space="preserve">Consider the shapes you’ll use in your redesign: a prism, cone, pyramid, or some combination of these shapes [or any three-dimensional geometric figure you can describe.]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before="240" w:line="240" w:lineRule="auto"/>
              <w:ind w:left="720" w:hanging="36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Determine the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rtl w:val="0"/>
              </w:rPr>
              <w:t xml:space="preserve">size/dimensions</w:t>
            </w: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 of your product.</w:t>
            </w:r>
          </w:p>
          <w:p w:rsidR="00000000" w:rsidDel="00000000" w:rsidP="00000000" w:rsidRDefault="00000000" w:rsidRPr="00000000" w14:paraId="0000000B">
            <w:pPr>
              <w:spacing w:before="240" w:line="240" w:lineRule="auto"/>
              <w:ind w:left="360" w:firstLine="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4" w:val="dotted"/>
              <w:bottom w:color="000000" w:space="0" w:sz="24" w:val="single"/>
            </w:tcBorders>
            <w:shd w:fill="d9f2d0" w:val="clea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color w:val="1f1f1f"/>
              </w:rPr>
            </w:pPr>
            <w:r w:rsidDel="00000000" w:rsidR="00000000" w:rsidRPr="00000000">
              <w:rPr>
                <w:rFonts w:ascii="KG Be Still And Know" w:cs="KG Be Still And Know" w:eastAsia="KG Be Still And Know" w:hAnsi="KG Be Still And Know"/>
                <w:b w:val="1"/>
                <w:color w:val="1f1f1f"/>
                <w:rtl w:val="0"/>
              </w:rPr>
              <w:t xml:space="preserve">Need inspiration: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28114</wp:posOffset>
                  </wp:positionH>
                  <wp:positionV relativeFrom="paragraph">
                    <wp:posOffset>285115</wp:posOffset>
                  </wp:positionV>
                  <wp:extent cx="1967230" cy="1451403"/>
                  <wp:effectExtent b="28575" l="28575" r="28575" t="28575"/>
                  <wp:wrapSquare wrapText="bothSides" distB="0" distT="0" distL="114300" distR="114300"/>
                  <wp:docPr descr="Video game devices old retro joystick gamepad Vector Image" id="4" name="image1.jpg"/>
                  <a:graphic>
                    <a:graphicData uri="http://schemas.openxmlformats.org/drawingml/2006/picture">
                      <pic:pic>
                        <pic:nvPicPr>
                          <pic:cNvPr descr="Video game devices old retro joystick gamepad Vector Image" id="0" name="image1.jpg"/>
                          <pic:cNvPicPr preferRelativeResize="0"/>
                        </pic:nvPicPr>
                        <pic:blipFill>
                          <a:blip r:embed="rId6"/>
                          <a:srcRect b="10987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51403"/>
                          </a:xfrm>
                          <a:prstGeom prst="rect"/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Aptos" w:cs="Aptos" w:eastAsia="Aptos" w:hAnsi="Aptos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Aptos" w:cs="Aptos" w:eastAsia="Aptos" w:hAnsi="Aptos"/>
                <w:i w:val="1"/>
                <w:sz w:val="24"/>
                <w:szCs w:val="24"/>
                <w:rtl w:val="0"/>
              </w:rPr>
              <w:t xml:space="preserve">Consider old and current gaming controllers and handheld gaming devices </w:t>
            </w:r>
          </w:p>
          <w:p w:rsidR="00000000" w:rsidDel="00000000" w:rsidP="00000000" w:rsidRDefault="00000000" w:rsidRPr="00000000" w14:paraId="0000000F">
            <w:pPr>
              <w:spacing w:before="240" w:line="240" w:lineRule="auto"/>
              <w:rPr>
                <w:color w:val="1f1f1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0.5078125" w:hRule="atLeast"/>
          <w:tblHeader w:val="0"/>
        </w:trPr>
        <w:tc>
          <w:tcPr>
            <w:gridSpan w:val="3"/>
            <w:tcBorders>
              <w:top w:color="000000" w:space="0" w:sz="24" w:val="single"/>
              <w:bottom w:color="000000" w:space="0" w:sz="24" w:val="single"/>
            </w:tcBorders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24" w:val="single"/>
              <w:bottom w:color="000000" w:space="0" w:sz="24" w:val="single"/>
            </w:tcBorders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  <w:rtl w:val="0"/>
              </w:rPr>
              <w:t xml:space="preserve">Explain your design: 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bottom w:color="000000" w:space="0" w:sz="24" w:val="single"/>
            </w:tcBorders>
            <w:shd w:fill="8ed873" w:val="clea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Aptos" w:cs="Aptos" w:eastAsia="Aptos" w:hAnsi="Aptos"/>
                <w:sz w:val="24"/>
                <w:szCs w:val="24"/>
              </w:rPr>
            </w:pPr>
            <w:r w:rsidDel="00000000" w:rsidR="00000000" w:rsidRPr="00000000">
              <w:rPr>
                <w:rFonts w:ascii="KG Be Still And Know" w:cs="KG Be Still And Know" w:eastAsia="KG Be Still And Know" w:hAnsi="KG Be Still And Know"/>
                <w:b w:val="1"/>
                <w:sz w:val="32"/>
                <w:szCs w:val="32"/>
                <w:rtl w:val="0"/>
              </w:rPr>
              <w:t xml:space="preserve">Part 2:</w:t>
            </w:r>
            <w:r w:rsidDel="00000000" w:rsidR="00000000" w:rsidRPr="00000000">
              <w:rPr>
                <w:rFonts w:ascii="Aptos" w:cs="Aptos" w:eastAsia="Aptos" w:hAnsi="Aptos"/>
                <w:sz w:val="32"/>
                <w:szCs w:val="32"/>
                <w:rtl w:val="0"/>
              </w:rPr>
              <w:t xml:space="preserve"> Ecofriendly product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24" w:val="single"/>
              <w:bottom w:color="000000" w:space="0" w:sz="24" w:val="single"/>
            </w:tcBorders>
          </w:tcPr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0d0d0d"/>
                <w:sz w:val="24"/>
                <w:szCs w:val="24"/>
                <w:highlight w:val="white"/>
                <w:rtl w:val="0"/>
              </w:rPr>
              <w:t xml:space="preserve">Investigate the different methods that companies are using to create environmentally sustainable products.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What did you learn? Why might this be important?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spacing w:after="240" w:line="240" w:lineRule="auto"/>
              <w:ind w:left="720" w:hanging="360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What do you want to aspire to as you reflect on the design of your product? If you need to revisit and redesign your product, you may.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bottom w:color="000000" w:space="0" w:sz="24" w:val="single"/>
            </w:tcBorders>
            <w:shd w:fill="d9f2d0" w:val="clear"/>
          </w:tcPr>
          <w:p w:rsidR="00000000" w:rsidDel="00000000" w:rsidP="00000000" w:rsidRDefault="00000000" w:rsidRPr="00000000" w14:paraId="0000004D">
            <w:pPr>
              <w:spacing w:after="240"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489412</wp:posOffset>
                  </wp:positionH>
                  <wp:positionV relativeFrom="paragraph">
                    <wp:posOffset>0</wp:posOffset>
                  </wp:positionV>
                  <wp:extent cx="1837690" cy="858520"/>
                  <wp:effectExtent b="0" l="0" r="0" t="0"/>
                  <wp:wrapSquare wrapText="bothSides" distB="0" distT="0" distL="114300" distR="114300"/>
                  <wp:docPr descr="Sustainable Business Plan for Eco-Friendly Products | by Peak Plans -  Business Plan Writers &amp; Consulting | Feb, 2024 | Medium" id="8" name="image2.png"/>
                  <a:graphic>
                    <a:graphicData uri="http://schemas.openxmlformats.org/drawingml/2006/picture">
                      <pic:pic>
                        <pic:nvPicPr>
                          <pic:cNvPr descr="Sustainable Business Plan for Eco-Friendly Products | by Peak Plans -  Business Plan Writers &amp; Consulting | Feb, 2024 | Medium" id="0" name="image2.png"/>
                          <pic:cNvPicPr preferRelativeResize="0"/>
                        </pic:nvPicPr>
                        <pic:blipFill>
                          <a:blip r:embed="rId7"/>
                          <a:srcRect b="18230" l="0" r="0" t="1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858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E">
            <w:pPr>
              <w:spacing w:after="240" w:line="240" w:lineRule="auto"/>
              <w:rPr>
                <w:rFonts w:ascii="KG Be Still And Know" w:cs="KG Be Still And Know" w:eastAsia="KG Be Still And Know" w:hAnsi="KG Be Still And Know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240"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240" w:line="240" w:lineRule="auto"/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KG Be Still And Know" w:cs="KG Be Still And Know" w:eastAsia="KG Be Still And Know" w:hAnsi="KG Be Still And Know"/>
                <w:b w:val="1"/>
                <w:sz w:val="24"/>
                <w:szCs w:val="24"/>
                <w:rtl w:val="0"/>
              </w:rPr>
              <w:t xml:space="preserve">Need inspiration: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3"/>
              </w:numPr>
              <w:spacing w:line="240" w:lineRule="auto"/>
              <w:ind w:left="169" w:hanging="180"/>
              <w:rPr>
                <w:color w:val="77206e"/>
                <w:sz w:val="21"/>
                <w:szCs w:val="21"/>
              </w:rPr>
            </w:pPr>
            <w:r w:rsidDel="00000000" w:rsidR="00000000" w:rsidRPr="00000000">
              <w:rPr>
                <w:color w:val="77206e"/>
                <w:sz w:val="21"/>
                <w:szCs w:val="21"/>
                <w:u w:val="single"/>
                <w:rtl w:val="0"/>
              </w:rPr>
              <w:t xml:space="preserve">What Does Eco-Friendly Actually Mean?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ind w:left="169" w:hanging="180"/>
              <w:rPr>
                <w:sz w:val="21"/>
                <w:szCs w:val="21"/>
              </w:rPr>
            </w:pPr>
            <w:r w:rsidDel="00000000" w:rsidR="00000000" w:rsidRPr="00000000">
              <w:rPr>
                <w:color w:val="434343"/>
                <w:sz w:val="21"/>
                <w:szCs w:val="21"/>
                <w:rtl w:val="0"/>
              </w:rPr>
              <w:t xml:space="preserve">● </w:t>
            </w:r>
            <w:hyperlink r:id="rId8">
              <w:r w:rsidDel="00000000" w:rsidR="00000000" w:rsidRPr="00000000">
                <w:rPr>
                  <w:color w:val="3a7d22"/>
                  <w:sz w:val="21"/>
                  <w:szCs w:val="21"/>
                  <w:u w:val="single"/>
                  <w:rtl w:val="0"/>
                </w:rPr>
                <w:t xml:space="preserve">What Does Eco-Friendly Mean?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spacing w:line="240" w:lineRule="auto"/>
              <w:ind w:left="169" w:hanging="180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3a7d22"/>
                  <w:sz w:val="21"/>
                  <w:szCs w:val="21"/>
                  <w:u w:val="single"/>
                  <w:rtl w:val="0"/>
                </w:rPr>
                <w:t xml:space="preserve">Eco-Friendly Building Materials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spacing w:after="240" w:line="240" w:lineRule="auto"/>
              <w:ind w:left="169" w:hanging="180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3a7d22"/>
                  <w:sz w:val="21"/>
                  <w:szCs w:val="21"/>
                  <w:u w:val="single"/>
                  <w:rtl w:val="0"/>
                </w:rPr>
                <w:t xml:space="preserve">Sustainable Materials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Recycled Materials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Design the controller using recycled materials such as recycled plastic or bioplastics made from renewable resources. This reduces the reliance on virgin materials and minimizes environmental impact.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Biodegradable Components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Incorporate biodegradable components into the controller's construction. This includes buttons, casing, and other parts made from biodegradable materials that break down naturally at the end of the product's life cycle.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Solar-Powered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Implement solar panels into the controller's design to harness solar energy for charging. This reduces the need for disposable batteries or electricity from non-renewable sources.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Energy-Efficient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Design the controller to be energy-efficient, with features such as automatic power-off when not in use or low-power consumption components to extend battery life.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Modular Design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Create a modular controller with interchangeable parts that allow for easy repair and upgrades. This extends the lifespan of the controller and reduces electronic waste.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Carbon Offsetting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Offset the carbon footprint of production and shipping processes by investing in carbon offset projects, such as reforestation or renewable energy initiatives.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ind w:left="169" w:hanging="180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b w:val="1"/>
                <w:color w:val="0d0d0d"/>
                <w:sz w:val="18"/>
                <w:szCs w:val="18"/>
                <w:rtl w:val="0"/>
              </w:rPr>
              <w:t xml:space="preserve">Education and Awareness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  <w:rtl w:val="0"/>
              </w:rPr>
              <w:t xml:space="preserve">: Include educational materials with the controller to raise awareness about environmental issues and promote sustainable gaming practices among consumers.</w:t>
            </w:r>
          </w:p>
          <w:p w:rsidR="00000000" w:rsidDel="00000000" w:rsidP="00000000" w:rsidRDefault="00000000" w:rsidRPr="00000000" w14:paraId="0000005C">
            <w:pPr>
              <w:pBdr>
                <w:top w:color="e3e3e3" w:space="0" w:sz="4" w:val="single"/>
                <w:left w:color="e3e3e3" w:space="5" w:sz="4" w:val="single"/>
                <w:bottom w:color="e3e3e3" w:space="0" w:sz="4" w:val="single"/>
                <w:right w:color="e3e3e3" w:space="0" w:sz="4" w:val="single"/>
              </w:pBdr>
              <w:shd w:fill="d9f2d0" w:val="clear"/>
              <w:spacing w:line="240" w:lineRule="auto"/>
              <w:rPr>
                <w:rFonts w:ascii="Quattrocento Sans" w:cs="Quattrocento Sans" w:eastAsia="Quattrocento Sans" w:hAnsi="Quattrocento Sans"/>
                <w:color w:val="0d0d0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line="240" w:lineRule="auto"/>
        <w:rPr/>
        <w:sectPr>
          <w:headerReference r:id="rId11" w:type="default"/>
          <w:footerReference r:id="rId12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jc w:val="center"/>
        <w:rPr>
          <w:rFonts w:ascii="IBM Plex Sans" w:cs="IBM Plex Sans" w:eastAsia="IBM Plex Sans" w:hAnsi="IBM Plex Sans"/>
          <w:b w:val="1"/>
          <w:color w:val="434343"/>
          <w:sz w:val="28"/>
          <w:szCs w:val="28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color w:val="434343"/>
          <w:sz w:val="28"/>
          <w:szCs w:val="28"/>
          <w:rtl w:val="0"/>
        </w:rPr>
        <w:t xml:space="preserve">Example 2: Roses for Rosa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4476927</wp:posOffset>
            </wp:positionH>
            <wp:positionV relativeFrom="paragraph">
              <wp:posOffset>257175</wp:posOffset>
            </wp:positionV>
            <wp:extent cx="1866900" cy="2407816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80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078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Rosa and her family are planning for her Quinceañera. Each of the 15 tables at Rosa’s reception will have a centerpiece—a cylindrical glass vase filled one-third of the way with glass marbles holding a rose in place.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The glass vases are 10 inches tall with a 4 inch diameter.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Rosa can choose between marbles that are 12mm or 16mm in diameter.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The 12mm marbles cost $11.99 for 340 pieces.</w:t>
      </w:r>
    </w:p>
    <w:p w:rsidR="00000000" w:rsidDel="00000000" w:rsidP="00000000" w:rsidRDefault="00000000" w:rsidRPr="00000000" w14:paraId="00000069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The 16mm marbles cost $11.99 for 140 pieces.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Rosa spent $110 on the vases.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The florist is not charging Rosa for the 15 extra roses for the centerpieces. </w:t>
      </w:r>
    </w:p>
    <w:p w:rsidR="00000000" w:rsidDel="00000000" w:rsidP="00000000" w:rsidRDefault="00000000" w:rsidRPr="00000000" w14:paraId="0000006C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If Rosa chooses 12mm marbles, how many bags will she need? How many bags will she need if she chooses 16mm marbles?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Rosa’s budget for the centerpieces is $250. Will she be able to stay within her budget?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line="276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The marble company also sells 8mm marbles (1100 pieces for $11.99). Would you recommend Rosa buy these marbles instead?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</w:rPr>
        <w:drawing>
          <wp:inline distB="114300" distT="114300" distL="114300" distR="114300">
            <wp:extent cx="1559576" cy="1644644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9576" cy="1644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</w:t>
        <w:tab/>
        <w:tab/>
        <w:tab/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</w:rPr>
        <w:drawing>
          <wp:inline distB="114300" distT="114300" distL="114300" distR="114300">
            <wp:extent cx="1566863" cy="165391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653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75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12 mm marbles</w:t>
        <w:tab/>
        <w:tab/>
        <w:tab/>
        <w:tab/>
        <w:t xml:space="preserve">16 mm marbles</w:t>
      </w:r>
    </w:p>
    <w:p w:rsidR="00000000" w:rsidDel="00000000" w:rsidP="00000000" w:rsidRDefault="00000000" w:rsidRPr="00000000" w14:paraId="00000077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340 pieces</w:t>
        <w:tab/>
        <w:tab/>
        <w:tab/>
        <w:tab/>
        <w:tab/>
        <w:t xml:space="preserve">140 pieces</w:t>
      </w:r>
    </w:p>
    <w:p w:rsidR="00000000" w:rsidDel="00000000" w:rsidP="00000000" w:rsidRDefault="00000000" w:rsidRPr="00000000" w14:paraId="00000078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$11.99</w:t>
        <w:tab/>
        <w:tab/>
        <w:tab/>
        <w:tab/>
        <w:tab/>
        <w:tab/>
        <w:t xml:space="preserve">$11.99</w:t>
        <w:tab/>
      </w:r>
    </w:p>
    <w:p w:rsidR="00000000" w:rsidDel="00000000" w:rsidP="00000000" w:rsidRDefault="00000000" w:rsidRPr="00000000" w14:paraId="00000079">
      <w:pPr>
        <w:spacing w:line="276" w:lineRule="auto"/>
        <w:ind w:left="720" w:firstLine="720"/>
        <w:rPr>
          <w:rFonts w:ascii="IBM Plex Sans" w:cs="IBM Plex Sans" w:eastAsia="IBM Plex Sans" w:hAnsi="IBM Plex Sans"/>
          <w:color w:val="434343"/>
          <w:sz w:val="20"/>
          <w:szCs w:val="20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240" w:lineRule="auto"/>
        <w:rPr>
          <w:rFonts w:ascii="IBM Plex Sans" w:cs="IBM Plex Sans" w:eastAsia="IBM Plex Sans" w:hAnsi="IBM Plex Sans"/>
          <w:b w:val="1"/>
          <w:color w:val="434343"/>
          <w:sz w:val="24"/>
          <w:szCs w:val="24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color w:val="434343"/>
          <w:sz w:val="24"/>
          <w:szCs w:val="24"/>
          <w:rtl w:val="0"/>
        </w:rPr>
        <w:t xml:space="preserve">Example 3: Similar Solids</w:t>
      </w:r>
    </w:p>
    <w:p w:rsidR="00000000" w:rsidDel="00000000" w:rsidP="00000000" w:rsidRDefault="00000000" w:rsidRPr="00000000" w14:paraId="0000007B">
      <w:pPr>
        <w:spacing w:after="240" w:before="240" w:line="240" w:lineRule="auto"/>
        <w:rPr>
          <w:rFonts w:ascii="IBM Plex Sans" w:cs="IBM Plex Sans" w:eastAsia="IBM Plex Sans" w:hAnsi="IBM Plex Sans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240" w:before="240" w:line="240" w:lineRule="auto"/>
        <w:rPr>
          <w:rFonts w:ascii="IBM Plex Sans" w:cs="IBM Plex Sans" w:eastAsia="IBM Plex Sans" w:hAnsi="IBM Plex Sans"/>
          <w:b w:val="1"/>
          <w:color w:val="434343"/>
          <w:sz w:val="24"/>
          <w:szCs w:val="24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color w:val="434343"/>
          <w:sz w:val="24"/>
          <w:szCs w:val="24"/>
          <w:rtl w:val="0"/>
        </w:rPr>
        <w:t xml:space="preserve">Name: </w:t>
      </w:r>
    </w:p>
    <w:p w:rsidR="00000000" w:rsidDel="00000000" w:rsidP="00000000" w:rsidRDefault="00000000" w:rsidRPr="00000000" w14:paraId="0000007D">
      <w:pPr>
        <w:spacing w:after="240" w:before="240" w:line="240" w:lineRule="auto"/>
        <w:jc w:val="center"/>
        <w:rPr>
          <w:rFonts w:ascii="IBM Plex Sans" w:cs="IBM Plex Sans" w:eastAsia="IBM Plex Sans" w:hAnsi="IBM Plex Sans"/>
          <w:b w:val="1"/>
          <w:color w:val="434343"/>
          <w:sz w:val="32"/>
          <w:szCs w:val="3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color w:val="434343"/>
          <w:sz w:val="32"/>
          <w:szCs w:val="32"/>
          <w:rtl w:val="0"/>
        </w:rPr>
        <w:t xml:space="preserve">Similar Solids</w:t>
      </w:r>
    </w:p>
    <w:p w:rsidR="00000000" w:rsidDel="00000000" w:rsidP="00000000" w:rsidRDefault="00000000" w:rsidRPr="00000000" w14:paraId="0000007E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What are some ways these two solids are alike? </w:t>
      </w:r>
    </w:p>
    <w:p w:rsidR="00000000" w:rsidDel="00000000" w:rsidP="00000000" w:rsidRDefault="00000000" w:rsidRPr="00000000" w14:paraId="0000007F">
      <w:pPr>
        <w:spacing w:after="240" w:before="240" w:line="240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="240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spacing w:after="240" w:before="240" w:line="240" w:lineRule="auto"/>
        <w:ind w:left="720" w:hanging="36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What are some ways these two solids are different?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A                                                                 B</w:t>
      </w:r>
    </w:p>
    <w:p w:rsidR="00000000" w:rsidDel="00000000" w:rsidP="00000000" w:rsidRDefault="00000000" w:rsidRPr="00000000" w14:paraId="00000086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</w:rPr>
        <mc:AlternateContent>
          <mc:Choice Requires="wpg">
            <w:drawing>
              <wp:inline distB="114300" distT="114300" distL="114300" distR="114300">
                <wp:extent cx="3619500" cy="1646968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36250" y="2956500"/>
                          <a:ext cx="3619500" cy="1646968"/>
                          <a:chOff x="3536250" y="2956500"/>
                          <a:chExt cx="3619500" cy="1647000"/>
                        </a:xfrm>
                      </wpg:grpSpPr>
                      <wpg:grpSp>
                        <wpg:cNvGrpSpPr/>
                        <wpg:grpSpPr>
                          <a:xfrm>
                            <a:off x="3536250" y="2956516"/>
                            <a:ext cx="3619500" cy="1646968"/>
                            <a:chOff x="3536250" y="2956500"/>
                            <a:chExt cx="3619500" cy="16470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536250" y="2956500"/>
                              <a:ext cx="3619500" cy="164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536250" y="2956516"/>
                              <a:ext cx="3619500" cy="1646968"/>
                              <a:chOff x="3536225" y="2956475"/>
                              <a:chExt cx="3619550" cy="16470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536225" y="2956475"/>
                                <a:ext cx="3619550" cy="1647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536250" y="2956516"/>
                                <a:ext cx="3619500" cy="1646968"/>
                                <a:chOff x="3531475" y="2951750"/>
                                <a:chExt cx="3629050" cy="165650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531475" y="2951750"/>
                                  <a:ext cx="3629050" cy="1656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536250" y="2956516"/>
                                  <a:ext cx="3619500" cy="1646968"/>
                                  <a:chOff x="3536250" y="2956516"/>
                                  <a:chExt cx="3619500" cy="1646968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3536250" y="2956516"/>
                                    <a:ext cx="3619500" cy="1646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3536250" y="2956516"/>
                                    <a:ext cx="3619500" cy="1646968"/>
                                    <a:chOff x="3536250" y="2956516"/>
                                    <a:chExt cx="3619500" cy="1646968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3536250" y="2956516"/>
                                      <a:ext cx="3619500" cy="164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3536250" y="2956516"/>
                                      <a:ext cx="3619500" cy="1646968"/>
                                      <a:chOff x="3536250" y="2956516"/>
                                      <a:chExt cx="3619500" cy="1646968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3536250" y="2956516"/>
                                        <a:ext cx="3619500" cy="1646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3536250" y="2956516"/>
                                        <a:ext cx="3619500" cy="1646968"/>
                                        <a:chOff x="3536250" y="2956516"/>
                                        <a:chExt cx="3619500" cy="1646968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3536250" y="2956516"/>
                                          <a:ext cx="3619500" cy="1646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3536250" y="2956516"/>
                                          <a:ext cx="3619500" cy="1646968"/>
                                          <a:chOff x="970475" y="1058700"/>
                                          <a:chExt cx="3578200" cy="161760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970475" y="1058700"/>
                                            <a:ext cx="3578200" cy="16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970475" y="1058700"/>
                                            <a:ext cx="1313700" cy="1617600"/>
                                          </a:xfrm>
                                          <a:prstGeom prst="can">
                                            <a:avLst>
                                              <a:gd fmla="val 25000" name="adj"/>
                                            </a:avLst>
                                          </a:prstGeom>
                                          <a:solidFill>
                                            <a:srgbClr val="CFE2F3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>
                                            <a:off x="2803575" y="1058700"/>
                                            <a:ext cx="1745100" cy="1499700"/>
                                          </a:xfrm>
                                          <a:prstGeom prst="cube">
                                            <a:avLst>
                                              <a:gd fmla="val 14604" name="adj"/>
                                            </a:avLst>
                                          </a:prstGeom>
                                          <a:solidFill>
                                            <a:srgbClr val="CFE2F3"/>
                                          </a:solidFill>
                                          <a:ln cap="flat" cmpd="sng" w="9525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len="sm" w="sm" type="none"/>
                                            <a:tailEnd len="sm" w="sm" type="none"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619500" cy="1646968"/>
                <wp:effectExtent b="0" l="0" r="0" t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0" cy="164696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before="240" w:line="276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numPr>
          <w:ilvl w:val="0"/>
          <w:numId w:val="5"/>
        </w:numPr>
        <w:spacing w:before="240" w:line="240" w:lineRule="auto"/>
        <w:ind w:left="720" w:hanging="360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What information would you need to calculate the volume of each solid?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before="240" w:line="240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before="240" w:line="240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spacing w:after="240" w:line="240" w:lineRule="auto"/>
        <w:ind w:left="720" w:hanging="360"/>
        <w:rPr>
          <w:rFonts w:ascii="IBM Plex Sans" w:cs="IBM Plex Sans" w:eastAsia="IBM Plex Sans" w:hAnsi="IBM Plex Sans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What is the same and different about how you would find the volume of each solid?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These images show the same number of coins arranged in different ways:</w:t>
      </w:r>
    </w:p>
    <w:p w:rsidR="00000000" w:rsidDel="00000000" w:rsidP="00000000" w:rsidRDefault="00000000" w:rsidRPr="00000000" w14:paraId="00000090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                     </w:t>
      </w:r>
    </w:p>
    <w:p w:rsidR="00000000" w:rsidDel="00000000" w:rsidP="00000000" w:rsidRDefault="00000000" w:rsidRPr="00000000" w14:paraId="00000091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 C                                                                             </w:t>
        <w:tab/>
        <w:tab/>
        <w:t xml:space="preserve">      D</w:t>
      </w:r>
    </w:p>
    <w:p w:rsidR="00000000" w:rsidDel="00000000" w:rsidP="00000000" w:rsidRDefault="00000000" w:rsidRPr="00000000" w14:paraId="00000093">
      <w:pPr>
        <w:spacing w:after="240" w:before="240" w:line="240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</w:rPr>
        <w:drawing>
          <wp:inline distB="114300" distT="114300" distL="114300" distR="114300">
            <wp:extent cx="5943600" cy="2260600"/>
            <wp:effectExtent b="0" l="0" r="0" t="0"/>
            <wp:docPr descr="A stack of coins&#10;&#10;Description automatically generated with low confidence" id="6" name="image4.png"/>
            <a:graphic>
              <a:graphicData uri="http://schemas.openxmlformats.org/drawingml/2006/picture">
                <pic:pic>
                  <pic:nvPicPr>
                    <pic:cNvPr descr="A stack of coins&#10;&#10;Description automatically generated with low confidence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240" w:line="276" w:lineRule="auto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5"/>
        </w:numPr>
        <w:spacing w:before="240" w:line="240" w:lineRule="auto"/>
        <w:ind w:left="720" w:hanging="360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How are the two coin stacks different from each other?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40" w:line="240" w:lineRule="auto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40" w:line="240" w:lineRule="auto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240"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5"/>
        </w:numPr>
        <w:spacing w:line="240" w:lineRule="auto"/>
        <w:ind w:left="720" w:hanging="360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Does either stack resemble a geometric solid? If so, which stack and solid?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5"/>
        </w:numPr>
        <w:spacing w:line="240" w:lineRule="auto"/>
        <w:ind w:left="720" w:hanging="360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How do the heights of the two stacks compare?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ind w:left="720" w:firstLine="0"/>
        <w:rPr>
          <w:rFonts w:ascii="IBM Plex Sans" w:cs="IBM Plex Sans" w:eastAsia="IBM Plex Sans" w:hAnsi="IBM Plex Sans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5"/>
        </w:numPr>
        <w:spacing w:after="240" w:line="240" w:lineRule="auto"/>
        <w:ind w:left="720" w:hanging="360"/>
        <w:rPr>
          <w:rFonts w:ascii="IBM Plex Sans" w:cs="IBM Plex Sans" w:eastAsia="IBM Plex Sans" w:hAnsi="IBM Plex Sans"/>
          <w:i w:val="1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i w:val="1"/>
          <w:color w:val="434343"/>
          <w:sz w:val="20"/>
          <w:szCs w:val="20"/>
          <w:rtl w:val="0"/>
        </w:rPr>
        <w:t xml:space="preserve">How do the volumes of the two stacks compare? Explain your reasoning.</w:t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ptos"/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anda Safe and Sound"/>
  <w:font w:name="KG Be Still And Kno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-3248024</wp:posOffset>
              </wp:positionH>
              <wp:positionV relativeFrom="paragraph">
                <wp:posOffset>304800</wp:posOffset>
              </wp:positionV>
              <wp:extent cx="10129838" cy="23812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1" name="Shape 21"/>
                    <wps:spPr>
                      <a:xfrm>
                        <a:off x="2223900" y="3691800"/>
                        <a:ext cx="6244200" cy="176400"/>
                      </a:xfrm>
                      <a:prstGeom prst="rect">
                        <a:avLst/>
                      </a:prstGeom>
                      <a:solidFill>
                        <a:srgbClr val="38B449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-3248024</wp:posOffset>
              </wp:positionH>
              <wp:positionV relativeFrom="paragraph">
                <wp:posOffset>304800</wp:posOffset>
              </wp:positionV>
              <wp:extent cx="10129838" cy="238125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29838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-123824</wp:posOffset>
              </wp:positionV>
              <wp:extent cx="3295650" cy="347928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3500" y="3618450"/>
                        <a:ext cx="3225000" cy="32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IBM Plex Sans" w:cs="IBM Plex Sans" w:eastAsia="IBM Plex Sans" w:hAnsi="IBM Plex Sans"/>
                              <w:b w:val="0"/>
                              <w:i w:val="0"/>
                              <w:smallCaps w:val="0"/>
                              <w:strike w:val="0"/>
                              <w:color w:val="434343"/>
                              <w:sz w:val="18"/>
                              <w:vertAlign w:val="baseline"/>
                            </w:rPr>
                            <w:t xml:space="preserve">© 2021-202</w:t>
                          </w:r>
                          <w:r w:rsidDel="00000000" w:rsidR="00000000" w:rsidRPr="00000000">
                            <w:rPr>
                              <w:rFonts w:ascii="IBM Plex Sans" w:cs="IBM Plex Sans" w:eastAsia="IBM Plex Sans" w:hAnsi="IBM Plex Sans"/>
                              <w:b w:val="0"/>
                              <w:i w:val="0"/>
                              <w:smallCaps w:val="0"/>
                              <w:strike w:val="0"/>
                              <w:color w:val="434343"/>
                              <w:sz w:val="18"/>
                              <w:vertAlign w:val="baseline"/>
                            </w:rPr>
                            <w:t xml:space="preserve">4</w:t>
                          </w:r>
                          <w:r w:rsidDel="00000000" w:rsidR="00000000" w:rsidRPr="00000000">
                            <w:rPr>
                              <w:rFonts w:ascii="IBM Plex Sans" w:cs="IBM Plex Sans" w:eastAsia="IBM Plex Sans" w:hAnsi="IBM Plex Sans"/>
                              <w:b w:val="0"/>
                              <w:i w:val="0"/>
                              <w:smallCaps w:val="0"/>
                              <w:strike w:val="0"/>
                              <w:color w:val="434343"/>
                              <w:sz w:val="18"/>
                              <w:vertAlign w:val="baseline"/>
                            </w:rPr>
                            <w:t xml:space="preserve"> XQ Institute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-123824</wp:posOffset>
              </wp:positionV>
              <wp:extent cx="3295650" cy="347928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95650" cy="3479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rPr>
        <w:rFonts w:ascii="IBM Plex Sans" w:cs="IBM Plex Sans" w:eastAsia="IBM Plex Sans" w:hAnsi="IBM Plex Sans"/>
        <w:b w:val="1"/>
      </w:rPr>
    </w:pPr>
    <w:r w:rsidDel="00000000" w:rsidR="00000000" w:rsidRPr="00000000">
      <w:rPr>
        <w:rFonts w:ascii="IBM Plex Sans" w:cs="IBM Plex Sans" w:eastAsia="IBM Plex Sans" w:hAnsi="IBM Plex Sans"/>
        <w:b w:val="1"/>
        <w:rtl w:val="0"/>
      </w:rPr>
      <w:t xml:space="preserve">Student-facing Assignment Templates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15" Type="http://schemas.openxmlformats.org/officeDocument/2006/relationships/image" Target="media/image6.jpg"/><Relationship Id="rId14" Type="http://schemas.openxmlformats.org/officeDocument/2006/relationships/image" Target="media/image3.jpg"/><Relationship Id="rId17" Type="http://schemas.openxmlformats.org/officeDocument/2006/relationships/image" Target="media/image4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about:bla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