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M154 - </w:t>
      </w:r>
      <w:r w:rsidDel="00000000" w:rsidR="00000000" w:rsidRPr="00000000">
        <w:rPr>
          <w:rtl w:val="0"/>
        </w:rPr>
        <w:t xml:space="preserve">Coordinate Geometry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pStyle w:val="Heading2"/>
        <w:keepNext w:val="0"/>
        <w:keepLines w:val="0"/>
        <w:numPr>
          <w:ilvl w:val="0"/>
          <w:numId w:val="2"/>
        </w:numPr>
        <w:spacing w:after="80" w:before="200" w:line="240" w:lineRule="auto"/>
        <w:ind w:left="720" w:hanging="360"/>
        <w:rPr/>
      </w:pPr>
      <w:r w:rsidDel="00000000" w:rsidR="00000000" w:rsidRPr="00000000">
        <w:rPr>
          <w:sz w:val="24"/>
          <w:szCs w:val="24"/>
          <w:rtl w:val="0"/>
        </w:rPr>
        <w:t xml:space="preserve">Proofs of theorems can sometimes be made with transformations, coordinates, or algebra; all approaches can be useful and in some cases one may provide a more accessible or understandable argument than another. [NCTM Essential Concept EC.GM.GARP.3]</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7">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8">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9">
      <w:pPr>
        <w:numPr>
          <w:ilvl w:val="0"/>
          <w:numId w:val="1"/>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0E">
      <w:pPr>
        <w:rPr>
          <w:b w:val="1"/>
          <w:sz w:val="28"/>
          <w:szCs w:val="28"/>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0">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student based on an analysis of their responses. You can create summary data for yourself if you choose to understand more globally how students are doing on the concepts measured by the task.</w:t>
      </w:r>
      <w:r w:rsidDel="00000000" w:rsidR="00000000" w:rsidRPr="00000000">
        <w:rPr>
          <w:rtl w:val="0"/>
        </w:rPr>
      </w:r>
    </w:p>
    <w:p w:rsidR="00000000" w:rsidDel="00000000" w:rsidP="00000000" w:rsidRDefault="00000000" w:rsidRPr="00000000" w14:paraId="00000011">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2">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3">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b w:val="1"/>
          <w:sz w:val="24"/>
          <w:szCs w:val="24"/>
          <w:highlight w:val="white"/>
        </w:rPr>
      </w:pPr>
      <w:r w:rsidDel="00000000" w:rsidR="00000000" w:rsidRPr="00000000">
        <w:rPr>
          <w:b w:val="1"/>
          <w:sz w:val="24"/>
          <w:szCs w:val="24"/>
          <w:highlight w:val="white"/>
          <w:rtl w:val="0"/>
        </w:rPr>
        <w:t xml:space="preserve">PRE</w:t>
      </w:r>
    </w:p>
    <w:p w:rsidR="00000000" w:rsidDel="00000000" w:rsidP="00000000" w:rsidRDefault="00000000" w:rsidRPr="00000000" w14:paraId="0000001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determine the perimeter and area of the triangle and justify it with calculations.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locate at least one point P such that the resulting figure is a parallelogram.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sz w:val="20"/>
                <w:szCs w:val="20"/>
                <w:highlight w:val="white"/>
                <w:rtl w:val="0"/>
              </w:rPr>
              <w:t xml:space="preserve">(3) Student understands that the figure is not a rhombus, and justifies their position mathematically.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select the appropriate classifications for the resulting figure and justify them through proof.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3F">
      <w:pPr>
        <w:rPr>
          <w:sz w:val="20"/>
          <w:szCs w:val="20"/>
          <w:highlight w:val="white"/>
        </w:rPr>
      </w:pPr>
      <w:r w:rsidDel="00000000" w:rsidR="00000000" w:rsidRPr="00000000">
        <w:rPr>
          <w:rtl w:val="0"/>
        </w:rPr>
      </w:r>
    </w:p>
    <w:p w:rsidR="00000000" w:rsidDel="00000000" w:rsidP="00000000" w:rsidRDefault="00000000" w:rsidRPr="00000000" w14:paraId="00000040">
      <w:pPr>
        <w:rPr>
          <w:b w:val="1"/>
          <w:sz w:val="20"/>
          <w:szCs w:val="20"/>
          <w:highlight w:val="white"/>
        </w:rPr>
      </w:pPr>
      <w:r w:rsidDel="00000000" w:rsidR="00000000" w:rsidRPr="00000000">
        <w:rPr>
          <w:rtl w:val="0"/>
        </w:rPr>
      </w:r>
    </w:p>
    <w:p w:rsidR="00000000" w:rsidDel="00000000" w:rsidP="00000000" w:rsidRDefault="00000000" w:rsidRPr="00000000" w14:paraId="00000041">
      <w:pPr>
        <w:rPr>
          <w:b w:val="1"/>
          <w:sz w:val="20"/>
          <w:szCs w:val="20"/>
          <w:highlight w:val="white"/>
        </w:rPr>
      </w:pPr>
      <w:r w:rsidDel="00000000" w:rsidR="00000000" w:rsidRPr="00000000">
        <w:rPr>
          <w:rtl w:val="0"/>
        </w:rPr>
      </w:r>
    </w:p>
    <w:p w:rsidR="00000000" w:rsidDel="00000000" w:rsidP="00000000" w:rsidRDefault="00000000" w:rsidRPr="00000000" w14:paraId="00000042">
      <w:pPr>
        <w:rPr>
          <w:b w:val="1"/>
          <w:sz w:val="20"/>
          <w:szCs w:val="20"/>
          <w:highlight w:val="white"/>
        </w:rPr>
      </w:pPr>
      <w:r w:rsidDel="00000000" w:rsidR="00000000" w:rsidRPr="00000000">
        <w:rPr>
          <w:rtl w:val="0"/>
        </w:rPr>
      </w:r>
    </w:p>
    <w:p w:rsidR="00000000" w:rsidDel="00000000" w:rsidP="00000000" w:rsidRDefault="00000000" w:rsidRPr="00000000" w14:paraId="00000043">
      <w:pPr>
        <w:rPr>
          <w:b w:val="1"/>
          <w:sz w:val="20"/>
          <w:szCs w:val="20"/>
          <w:highlight w:val="white"/>
        </w:rPr>
      </w:pPr>
      <w:r w:rsidDel="00000000" w:rsidR="00000000" w:rsidRPr="00000000">
        <w:rPr>
          <w:rtl w:val="0"/>
        </w:rPr>
      </w:r>
    </w:p>
    <w:p w:rsidR="00000000" w:rsidDel="00000000" w:rsidP="00000000" w:rsidRDefault="00000000" w:rsidRPr="00000000" w14:paraId="00000044">
      <w:pPr>
        <w:rPr>
          <w:b w:val="1"/>
          <w:sz w:val="20"/>
          <w:szCs w:val="20"/>
          <w:highlight w:val="white"/>
        </w:rPr>
      </w:pPr>
      <w:r w:rsidDel="00000000" w:rsidR="00000000" w:rsidRPr="00000000">
        <w:rPr>
          <w:rtl w:val="0"/>
        </w:rPr>
      </w:r>
    </w:p>
    <w:p w:rsidR="00000000" w:rsidDel="00000000" w:rsidP="00000000" w:rsidRDefault="00000000" w:rsidRPr="00000000" w14:paraId="00000045">
      <w:pPr>
        <w:rPr>
          <w:b w:val="1"/>
          <w:sz w:val="20"/>
          <w:szCs w:val="20"/>
          <w:highlight w:val="white"/>
        </w:rPr>
      </w:pPr>
      <w:r w:rsidDel="00000000" w:rsidR="00000000" w:rsidRPr="00000000">
        <w:rPr>
          <w:rtl w:val="0"/>
        </w:rPr>
      </w:r>
    </w:p>
    <w:p w:rsidR="00000000" w:rsidDel="00000000" w:rsidP="00000000" w:rsidRDefault="00000000" w:rsidRPr="00000000" w14:paraId="00000046">
      <w:pPr>
        <w:rPr>
          <w:b w:val="1"/>
          <w:sz w:val="20"/>
          <w:szCs w:val="20"/>
          <w:highlight w:val="white"/>
        </w:rPr>
      </w:pPr>
      <w:r w:rsidDel="00000000" w:rsidR="00000000" w:rsidRPr="00000000">
        <w:rPr>
          <w:rtl w:val="0"/>
        </w:rPr>
      </w:r>
    </w:p>
    <w:p w:rsidR="00000000" w:rsidDel="00000000" w:rsidP="00000000" w:rsidRDefault="00000000" w:rsidRPr="00000000" w14:paraId="00000047">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48">
      <w:pPr>
        <w:rPr>
          <w:b w:val="1"/>
          <w:sz w:val="20"/>
          <w:szCs w:val="20"/>
          <w:highlight w:val="white"/>
        </w:rPr>
      </w:pPr>
      <w:r w:rsidDel="00000000" w:rsidR="00000000" w:rsidRPr="00000000">
        <w:rPr>
          <w:rtl w:val="0"/>
        </w:rPr>
      </w:r>
    </w:p>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4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determine the perimeter and area of the triangle and justify it with calculations.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locate at least one point P such that the resulting figure is a parallelogram.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sz w:val="20"/>
                <w:szCs w:val="20"/>
                <w:highlight w:val="white"/>
                <w:rtl w:val="0"/>
              </w:rPr>
              <w:t xml:space="preserve">(3) Student understands that the figure is not a rhombus, and justifies their position mathematically.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select the appropriate classifications for the resulting figure and justify them through proof.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6F">
      <w:pPr>
        <w:rPr>
          <w:sz w:val="20"/>
          <w:szCs w:val="20"/>
          <w:highlight w:val="white"/>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