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M154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1125"/>
        <w:gridCol w:w="1365"/>
        <w:gridCol w:w="1755"/>
        <w:gridCol w:w="1320"/>
        <w:tblGridChange w:id="0">
          <w:tblGrid>
            <w:gridCol w:w="4005"/>
            <w:gridCol w:w="1125"/>
            <w:gridCol w:w="1365"/>
            <w:gridCol w:w="1755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determine the perimeter and area of the triangle and justify it with calculations.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locate at least one point P such that the resulting figure is a parallelogram.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Student understands that the figure is not a rhombus, and justifies their position mathematically.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select the appropriate classifications for the resulting figure and justify them through proof.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1170"/>
        <w:gridCol w:w="1410"/>
        <w:gridCol w:w="1785"/>
        <w:gridCol w:w="1260"/>
        <w:tblGridChange w:id="0">
          <w:tblGrid>
            <w:gridCol w:w="3945"/>
            <w:gridCol w:w="1170"/>
            <w:gridCol w:w="1410"/>
            <w:gridCol w:w="178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determine the perimeter and area of the triangle and justify it with calculations.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locate at least one point P such that the resulting figure is a parallelogram.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Student understands that the figure is not a rhombus, and justifies their position mathematically.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select the appropriate classifications for the resulting figure and justify them through proof.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s2LODcHq2zUXjxtNZfQF0uNUg==">CgMxLjA4AHIhMTk1TDhhVlBTaHMwd0QtZjFlTWdCQ0d1UkNQRHFnQWdJ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