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782BB0"/>
          <w:sz w:val="48"/>
        </w:rPr>
        <w:t>360-Degree Feedback Questionnaire</w:t>
      </w:r>
    </w:p>
    <w:p>
      <w:r>
        <w:rPr>
          <w:color w:val="555566"/>
          <w:sz w:val="22"/>
        </w:rPr>
        <w:t>Template — competency ratings, open-ended prompts, self-assessment rule, scoring and debrief guide</w:t>
      </w:r>
    </w:p>
    <w:p>
      <w:pPr>
        <w:spacing w:after="120"/>
      </w:pPr>
      <w:r>
        <w:rPr>
          <w:i w:val="0"/>
          <w:color w:val="555566"/>
          <w:sz w:val="18"/>
        </w:rPr>
        <w:t>Future Savvy · futuresavvy.co.uk · Use freely inside your organisation. Please keep the attribution.</w:t>
      </w:r>
    </w:p>
    <w:p>
      <w:pPr>
        <w:pStyle w:val="Heading1"/>
      </w:pPr>
      <w:r>
        <w:rPr>
          <w:color w:val="782BB0"/>
        </w:rPr>
        <w:t>For the coordinator</w:t>
      </w:r>
    </w:p>
    <w:p>
      <w:pPr>
        <w:spacing w:after="120"/>
      </w:pPr>
      <w:r>
        <w:rPr>
          <w:i w:val="0"/>
          <w:sz w:val="21"/>
        </w:rPr>
        <w:t>Who rates whom. Ask for one self-assessment, the line manager, two to four peers and — for people managers — two to four direct reports. Fewer than three responses in any group cannot be anonymised; merge groups or drop the breakdown rather than expose a single rater.</w:t>
      </w:r>
    </w:p>
    <w:p>
      <w:pPr>
        <w:spacing w:after="120"/>
      </w:pPr>
      <w:r>
        <w:rPr>
          <w:i w:val="0"/>
          <w:sz w:val="21"/>
        </w:rPr>
        <w:t>Time. Twenty-eight rated statements and five written prompts take a rater ten to twelve minutes. Do not add sections without removing others: survey fatigue shows up first as N/O ticks and one-line answers.</w:t>
      </w:r>
    </w:p>
    <w:p>
      <w:pPr>
        <w:spacing w:after="120"/>
      </w:pPr>
      <w:r>
        <w:rPr>
          <w:i w:val="0"/>
          <w:sz w:val="21"/>
        </w:rPr>
        <w:t>Purpose. This questionnaire is for development, not for pay or grading. Say so in the invitation. The moment raters believe a score affects someone's bonus, the scores compress towards 4 and the written answers dry up.</w:t>
      </w:r>
    </w:p>
    <w:p>
      <w:pPr>
        <w:spacing w:after="120"/>
      </w:pPr>
      <w:r>
        <w:rPr>
          <w:i w:val="0"/>
          <w:sz w:val="21"/>
        </w:rPr>
        <w:t>Scale. 1–5 frequency (below), plus N/O for behaviour the rater has not had the chance to observe. Frequency beats agreement: 'how often' is something a colleague has actually seen; 'how much do you agree' invites a general impression.</w:t>
      </w:r>
    </w:p>
    <w:p>
      <w:pPr>
        <w:spacing w:after="120"/>
      </w:pPr>
      <w:r>
        <w:rPr>
          <w:i w:val="0"/>
          <w:sz w:val="21"/>
        </w:rPr>
        <w:t>Self-assessment. Send the same questionnaire to the person being reviewed with one change: replace 'this person' with 'I' in every statement. The gap between the self score and the others' scores is where the debrief starts.</w:t>
      </w:r>
    </w:p>
    <w:p>
      <w:pPr>
        <w:pStyle w:val="Heading2"/>
      </w:pPr>
      <w:r>
        <w:rPr>
          <w:color w:val="782BB0"/>
        </w:rPr>
        <w:t>Rater instructions (include with every copy)</w:t>
      </w:r>
    </w:p>
    <w:p>
      <w:pPr>
        <w:spacing w:after="120"/>
      </w:pPr>
      <w:r>
        <w:rPr>
          <w:i w:val="0"/>
          <w:sz w:val="21"/>
        </w:rPr>
        <w:t>You are being asked about a colleague's behaviour at work over roughly the last six months. Rate what you have actually observed, not what you assume. Your individual answers are not shown to the person; they see averages by group (manager, peers, direct reports) and your written comments without names.</w:t>
      </w:r>
    </w:p>
    <w:p>
      <w:pPr>
        <w:spacing w:after="120"/>
      </w:pPr>
      <w:r>
        <w:rPr>
          <w:i w:val="0"/>
          <w:sz w:val="21"/>
        </w:rPr>
        <w:t>Your working relationship with this person (tick one):   ☐ Manager   ☐ Peer   ☐ Direct report   ☐ Self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604"/>
        <w:gridCol w:w="1604"/>
        <w:gridCol w:w="1604"/>
        <w:gridCol w:w="1604"/>
        <w:gridCol w:w="1604"/>
        <w:gridCol w:w="1604"/>
      </w:tblGrid>
      <w:tr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1</w:t>
            </w:r>
          </w:p>
        </w:tc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2</w:t>
            </w:r>
          </w:p>
        </w:tc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3</w:t>
            </w:r>
          </w:p>
        </w:tc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4</w:t>
            </w:r>
          </w:p>
        </w:tc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5</w:t>
            </w:r>
          </w:p>
        </w:tc>
        <w:tc>
          <w:tcPr>
            <w:tcW w:type="dxa" w:w="160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</w:rPr>
              <w:t>N/O</w:t>
            </w:r>
          </w:p>
        </w:tc>
      </w:tr>
      <w:tr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Rarely or never</w:t>
            </w:r>
          </w:p>
        </w:tc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Occasionally</w:t>
            </w:r>
          </w:p>
        </w:tc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About half the time</w:t>
            </w:r>
          </w:p>
        </w:tc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Usually</w:t>
            </w:r>
          </w:p>
        </w:tc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Almost always</w:t>
            </w:r>
          </w:p>
        </w:tc>
        <w:tc>
          <w:tcPr>
            <w:tcW w:type="dxa" w:w="1604"/>
          </w:tcPr>
          <w:p>
            <w:pPr>
              <w:jc w:val="center"/>
            </w:pPr>
            <w:r/>
            <w:r>
              <w:rPr>
                <w:sz w:val="19"/>
              </w:rPr>
              <w:t>Not observed</w:t>
            </w:r>
          </w:p>
        </w:tc>
      </w:tr>
    </w:tbl>
    <w:p/>
    <w:p>
      <w:r>
        <w:br w:type="page"/>
      </w:r>
    </w:p>
    <w:p>
      <w:pPr>
        <w:pStyle w:val="Heading1"/>
      </w:pPr>
      <w:r>
        <w:rPr>
          <w:color w:val="782BB0"/>
        </w:rPr>
        <w:t>Section A — Competency ratings</w:t>
      </w:r>
    </w:p>
    <w:p>
      <w:pPr>
        <w:spacing w:after="120"/>
      </w:pPr>
      <w:r>
        <w:rPr>
          <w:i/>
          <w:color w:val="555566"/>
          <w:sz w:val="21"/>
        </w:rPr>
        <w:t>Tick one box per statement. If you have not had the chance to see this behaviour, tick N/O — a guess is worse than a gap.</w:t>
      </w:r>
    </w:p>
    <w:p>
      <w:pPr>
        <w:pStyle w:val="Heading2"/>
      </w:pPr>
      <w:r>
        <w:rPr>
          <w:color w:val="782BB0"/>
        </w:rPr>
        <w:t>Communication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Explains ideas clearly enough that others can act on them without coming back for clarification.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Listens to the end of a point before responding, and checks they have understood.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Adapts how they communicate to the audience — a technical peer, a new starter, a director.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Shares information others need before they have to ask for it.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Teamwork and collaboration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Offers help when a colleague is under pressure, without being asked.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Gives credit to others for their contribution.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Raises disagreements directly with the person involved rather than around them.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Follows through on commitments made to the team.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Problem-solving and decision-making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Works out what is actually causing a problem before proposing a fix.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Involves the people affected by a decision before it is made.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Makes decisions in a reasonable time rather than waiting for certainty.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Changes course when the evidence shows a decision was wrong.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Leadership and developing others (people managers)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Sets out what good looks like for a piece of work before it starts.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Gives feedback that is specific enough to act on, close to the event.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Delegates whole tasks with the authority to complete them, not just the chores.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Makes time for development conversations, not only for status updates.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Organisation and delivery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Prioritises work by its impact rather than by whoever asked most recently.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Meets the deadlines they agree, or flags early when they will not.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Keeps the people who depend on their work informed of progress.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Finishes what they start rather than leaving loose ends for others.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Adaptability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Responds to a change of plan by working out what to do next, not by relitigating the change.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Picks up new tools and ways of working without needing to be pushed.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Stays effective when priorities shift at short notice.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Treats mistakes — their own and others' — as something to learn from.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pPr>
        <w:pStyle w:val="Heading2"/>
      </w:pPr>
      <w:r>
        <w:rPr>
          <w:color w:val="782BB0"/>
        </w:rPr>
        <w:t>Emotional intelligence and self-awareness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</w:tblPr>
      <w:tblGrid>
        <w:gridCol w:w="5443"/>
        <w:gridCol w:w="624"/>
        <w:gridCol w:w="624"/>
        <w:gridCol w:w="624"/>
        <w:gridCol w:w="624"/>
        <w:gridCol w:w="624"/>
        <w:gridCol w:w="737"/>
      </w:tblGrid>
      <w:tr>
        <w:tc>
          <w:tcPr>
            <w:tcW w:type="dxa" w:w="5443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Statement — how often does this person…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1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2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3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4</w:t>
            </w:r>
          </w:p>
        </w:tc>
        <w:tc>
          <w:tcPr>
            <w:tcW w:type="dxa" w:w="624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5</w:t>
            </w:r>
          </w:p>
        </w:tc>
        <w:tc>
          <w:tcPr>
            <w:tcW w:type="dxa" w:w="737"/>
            <w:shd w:val="clear" w:color="auto" w:fill="782BB0"/>
          </w:tcPr>
          <w:p>
            <w:pPr>
              <w:jc w:val="center"/>
            </w:pPr>
            <w:r/>
            <w:r>
              <w:rPr>
                <w:b/>
                <w:color w:val="FFFFFF"/>
                <w:sz w:val="19"/>
              </w:rPr>
              <w:t>N/O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Notices when a colleague is struggling and responds appropriately.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Keeps their composure under pressure in a way that steadies others.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Recognises the effect their behaviour has on the people around them.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sz w:val="20"/>
              </w:rPr>
              <w:t>Asks for feedback and acts on it.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624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  <w:tc>
          <w:tcPr>
            <w:tcW w:type="dxa" w:w="737"/>
          </w:tcPr>
          <w:p>
            <w:pPr>
              <w:jc w:val="center"/>
            </w:pPr>
            <w:r/>
            <w:r>
              <w:rPr>
                <w:sz w:val="24"/>
              </w:rPr>
              <w:t>☐</w:t>
            </w:r>
          </w:p>
        </w:tc>
      </w:tr>
    </w:tbl>
    <w:p/>
    <w:p>
      <w:r>
        <w:br w:type="page"/>
      </w:r>
    </w:p>
    <w:p>
      <w:pPr>
        <w:pStyle w:val="Heading1"/>
      </w:pPr>
      <w:r>
        <w:rPr>
          <w:color w:val="782BB0"/>
        </w:rPr>
        <w:t>Section B — In your own words</w:t>
      </w:r>
    </w:p>
    <w:p>
      <w:pPr>
        <w:spacing w:after="120"/>
      </w:pPr>
      <w:r>
        <w:rPr>
          <w:i/>
          <w:color w:val="555566"/>
          <w:sz w:val="21"/>
        </w:rPr>
        <w:t>Specific beats general. 'Good communicator' tells the person nothing they can act on; 'in the March planning meeting they summarised three conflicting views so the room could decide' does.</w:t>
      </w:r>
    </w:p>
    <w:p>
      <w:r>
        <w:rPr>
          <w:b/>
          <w:sz w:val="21"/>
        </w:rPr>
        <w:t>1. What is this person's greatest strength at work? Give a recent example of when you saw it.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/>
    <w:p>
      <w:r>
        <w:rPr>
          <w:b/>
          <w:sz w:val="21"/>
        </w:rPr>
        <w:t>2. What is one thing this person should start doing that would make the biggest difference to the people they work with?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/>
    <w:p>
      <w:r>
        <w:rPr>
          <w:b/>
          <w:sz w:val="21"/>
        </w:rPr>
        <w:t>3. What is one thing this person should stop doing, or do less of?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/>
    <w:p>
      <w:r>
        <w:rPr>
          <w:b/>
          <w:sz w:val="21"/>
        </w:rPr>
        <w:t>4. When this person disagrees with a decision or an approach, how do they typically handle it? Describe a specific occasion.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/>
    <w:p>
      <w:r>
        <w:rPr>
          <w:b/>
          <w:sz w:val="21"/>
        </w:rPr>
        <w:t>5. What support, resource or development would most help this person be more effective in the next six months?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>
      <w:pPr>
        <w:spacing w:after="40"/>
      </w:pPr>
      <w:r>
        <w:rPr>
          <w:color w:val="BBBBBB"/>
          <w:sz w:val="18"/>
        </w:rPr>
        <w:t>____________________________________________________________________________________________</w:t>
      </w:r>
    </w:p>
    <w:p/>
    <w:p>
      <w:pPr>
        <w:pStyle w:val="Heading2"/>
      </w:pPr>
      <w:r>
        <w:rPr>
          <w:color w:val="782BB0"/>
        </w:rPr>
        <w:t>Section C — Overall (optional)</w:t>
      </w:r>
    </w:p>
    <w:p>
      <w:pPr>
        <w:spacing w:after="120"/>
      </w:pPr>
      <w:r>
        <w:rPr>
          <w:i w:val="0"/>
          <w:sz w:val="21"/>
        </w:rPr>
        <w:t>One word you would use to describe working with this person: ____________________</w:t>
      </w:r>
    </w:p>
    <w:p>
      <w:pPr>
        <w:spacing w:after="120"/>
      </w:pPr>
      <w:r>
        <w:rPr>
          <w:i w:val="0"/>
          <w:sz w:val="21"/>
        </w:rPr>
        <w:t>Would you choose to work closely with this person again?   ☐ Yes   ☐ Depends on the work   ☐ No</w:t>
      </w:r>
    </w:p>
    <w:p>
      <w:r>
        <w:br w:type="page"/>
      </w:r>
    </w:p>
    <w:p>
      <w:pPr>
        <w:pStyle w:val="Heading1"/>
      </w:pPr>
      <w:r>
        <w:rPr>
          <w:color w:val="782BB0"/>
        </w:rPr>
        <w:t>Scoring and debrief (coordinator)</w:t>
      </w:r>
    </w:p>
    <w:p>
      <w:pPr>
        <w:pStyle w:val="Heading2"/>
      </w:pPr>
      <w:r>
        <w:rPr>
          <w:color w:val="782BB0"/>
        </w:rPr>
        <w:t>1. Score it</w:t>
      </w:r>
    </w:p>
    <w:p>
      <w:pPr>
        <w:pStyle w:val="ListBullet"/>
      </w:pPr>
      <w:r>
        <w:rPr>
          <w:sz w:val="21"/>
        </w:rPr>
        <w:t>For each competency, average the four statements per rater group (self, manager, peers, direct reports). Ignore N/O in the denominator.</w:t>
      </w:r>
    </w:p>
    <w:p>
      <w:pPr>
        <w:pStyle w:val="ListBullet"/>
      </w:pPr>
      <w:r>
        <w:rPr>
          <w:sz w:val="21"/>
        </w:rPr>
        <w:t>Report to one decimal place. A 3.2 and a 3.4 are the same number; do not let the recipient argue about tenths.</w:t>
      </w:r>
    </w:p>
    <w:p>
      <w:pPr>
        <w:pStyle w:val="ListBullet"/>
      </w:pPr>
      <w:r>
        <w:rPr>
          <w:sz w:val="21"/>
        </w:rPr>
        <w:t>Do not compute an overall score. It hides the only thing worth knowing — where the groups disagree.</w:t>
      </w:r>
    </w:p>
    <w:p>
      <w:pPr>
        <w:pStyle w:val="Heading2"/>
      </w:pPr>
      <w:r>
        <w:rPr>
          <w:color w:val="782BB0"/>
        </w:rPr>
        <w:t>2. Find the gaps</w:t>
      </w:r>
    </w:p>
    <w:p>
      <w:pPr>
        <w:pStyle w:val="ListBullet"/>
      </w:pPr>
      <w:r>
        <w:rPr>
          <w:sz w:val="21"/>
        </w:rPr>
        <w:t>Self higher than others by 1.0 or more: a blind spot. This is the debrief's first topic.</w:t>
      </w:r>
    </w:p>
    <w:p>
      <w:pPr>
        <w:pStyle w:val="ListBullet"/>
      </w:pPr>
      <w:r>
        <w:rPr>
          <w:sz w:val="21"/>
        </w:rPr>
        <w:t>Self lower than others by 1.0 or more: a hidden strength. Say so explicitly — people under-rate what comes easily to them.</w:t>
      </w:r>
    </w:p>
    <w:p>
      <w:pPr>
        <w:pStyle w:val="ListBullet"/>
      </w:pPr>
      <w:r>
        <w:rPr>
          <w:sz w:val="21"/>
        </w:rPr>
        <w:t>Manager and direct reports differing by 1.0 or more: the person behaves differently upward and downward. Usually the most important finding for a people manager.</w:t>
      </w:r>
    </w:p>
    <w:p>
      <w:pPr>
        <w:pStyle w:val="Heading2"/>
      </w:pPr>
      <w:r>
        <w:rPr>
          <w:color w:val="782BB0"/>
        </w:rPr>
        <w:t>3. Run the debrief (30 minutes)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1247"/>
        <w:gridCol w:w="8391"/>
      </w:tblGrid>
      <w:tr>
        <w:tc>
          <w:tcPr>
            <w:tcW w:type="dxa" w:w="1247"/>
            <w:shd w:val="clear" w:color="auto" w:fill="782BB0"/>
          </w:tcPr>
          <w:p>
            <w:r/>
            <w:r>
              <w:rPr>
                <w:b/>
                <w:color w:val="FFFFFF"/>
              </w:rPr>
              <w:t>Minutes</w:t>
            </w:r>
          </w:p>
        </w:tc>
        <w:tc>
          <w:tcPr>
            <w:tcW w:type="dxa" w:w="8391"/>
            <w:shd w:val="clear" w:color="auto" w:fill="782BB0"/>
          </w:tcPr>
          <w:p>
            <w:r/>
            <w:r>
              <w:rPr>
                <w:b/>
                <w:color w:val="FFFFFF"/>
              </w:rPr>
              <w:t>What happens</w:t>
            </w:r>
          </w:p>
        </w:tc>
      </w:tr>
      <w:tr>
        <w:tc>
          <w:tcPr>
            <w:tcW w:type="dxa" w:w="1247"/>
          </w:tcPr>
          <w:p>
            <w:r>
              <w:t>0–5</w:t>
            </w:r>
          </w:p>
        </w:tc>
        <w:tc>
          <w:tcPr>
            <w:tcW w:type="dxa" w:w="8391"/>
          </w:tcPr>
          <w:p>
            <w:r>
              <w:t>Recipient reads the report alone, before the meeting, and arrives with the two results that surprised them most.</w:t>
            </w:r>
          </w:p>
        </w:tc>
      </w:tr>
      <w:tr>
        <w:tc>
          <w:tcPr>
            <w:tcW w:type="dxa" w:w="1247"/>
          </w:tcPr>
          <w:p>
            <w:r>
              <w:t>5–15</w:t>
            </w:r>
          </w:p>
        </w:tc>
        <w:tc>
          <w:tcPr>
            <w:tcW w:type="dxa" w:w="8391"/>
          </w:tcPr>
          <w:p>
            <w:r>
              <w:t>Strengths first: the two highest competencies and the written examples behind them. Specific quotes, not adjectives.</w:t>
            </w:r>
          </w:p>
        </w:tc>
      </w:tr>
      <w:tr>
        <w:tc>
          <w:tcPr>
            <w:tcW w:type="dxa" w:w="1247"/>
          </w:tcPr>
          <w:p>
            <w:r>
              <w:t>15–25</w:t>
            </w:r>
          </w:p>
        </w:tc>
        <w:tc>
          <w:tcPr>
            <w:tcW w:type="dxa" w:w="8391"/>
          </w:tcPr>
          <w:p>
            <w:r>
              <w:t>One gap, chosen by the recipient. Read the written comments on it aloud. Ask what the raters might have seen. Do not defend the raters or the recipient.</w:t>
            </w:r>
          </w:p>
        </w:tc>
      </w:tr>
      <w:tr>
        <w:tc>
          <w:tcPr>
            <w:tcW w:type="dxa" w:w="1247"/>
          </w:tcPr>
          <w:p>
            <w:r>
              <w:t>25–30</w:t>
            </w:r>
          </w:p>
        </w:tc>
        <w:tc>
          <w:tcPr>
            <w:tcW w:type="dxa" w:w="8391"/>
          </w:tcPr>
          <w:p>
            <w:r>
              <w:t>Agree one behaviour to change in the next eight weeks and who will notice if it changes. Book the follow-up.</w:t>
            </w:r>
          </w:p>
        </w:tc>
      </w:tr>
    </w:tbl>
    <w:p/>
    <w:p>
      <w:pPr>
        <w:pStyle w:val="Heading2"/>
      </w:pPr>
      <w:r>
        <w:rPr>
          <w:color w:val="782BB0"/>
        </w:rPr>
        <w:t>4. Individual development plan (one page)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  <w:tblLayout w:type="fixed"/>
      </w:tblPr>
      <w:tblGrid>
        <w:gridCol w:w="2409"/>
        <w:gridCol w:w="2409"/>
        <w:gridCol w:w="2409"/>
        <w:gridCol w:w="2409"/>
      </w:tblGrid>
      <w:tr>
        <w:tc>
          <w:tcPr>
            <w:tcW w:type="dxa" w:w="2409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Behaviour to change</w:t>
            </w:r>
          </w:p>
        </w:tc>
        <w:tc>
          <w:tcPr>
            <w:tcW w:type="dxa" w:w="2409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What I will do differently</w:t>
            </w:r>
          </w:p>
        </w:tc>
        <w:tc>
          <w:tcPr>
            <w:tcW w:type="dxa" w:w="2409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Who will notice, and how</w:t>
            </w:r>
          </w:p>
        </w:tc>
        <w:tc>
          <w:tcPr>
            <w:tcW w:type="dxa" w:w="2409"/>
            <w:shd w:val="clear" w:color="auto" w:fill="782BB0"/>
          </w:tcPr>
          <w:p>
            <w:r/>
            <w:r>
              <w:rPr>
                <w:b/>
                <w:color w:val="FFFFFF"/>
                <w:sz w:val="19"/>
              </w:rPr>
              <w:t>Review date</w:t>
            </w:r>
          </w:p>
        </w:tc>
      </w:tr>
      <w:tr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</w:tr>
      <w:tr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</w:tr>
      <w:tr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  <w:tc>
          <w:tcPr>
            <w:tcW w:type="dxa" w:w="2409"/>
          </w:tcPr>
          <w:p>
            <w:r>
              <w:br/>
              <w:br/>
            </w:r>
          </w:p>
        </w:tc>
      </w:tr>
    </w:tbl>
    <w:p/>
    <w:p>
      <w:pPr>
        <w:spacing w:after="120"/>
      </w:pPr>
      <w:r>
        <w:rPr>
          <w:i w:val="0"/>
          <w:color w:val="555566"/>
          <w:sz w:val="20"/>
        </w:rPr>
        <w:t>Training that follows a 360 lands better than training that precedes it: the recipient has just heard, from six people, why the skill matters. Future Savvy's Emerging Managers course is built for exactly that moment — futuresavvy.co.uk/courses/business-professional-skills/emerging-managers.</w:t>
      </w:r>
    </w:p>
    <w:sectPr w:rsidR="00FC693F" w:rsidRPr="0006063C" w:rsidSect="00034616">
      <w:pgSz w:w="11906" w:h="16838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