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Security Policy Template Pack</w:t>
      </w:r>
    </w:p>
    <w:p>
      <w:r>
        <w:t>Free from Hook Security · hooksecurity.co · Version: November 2026</w:t>
      </w:r>
    </w:p>
    <w:p>
      <w:r>
        <w:t>How to use this pack: replace "Your Company" with your business name, name your Security Lead, fill in the owner, effective date and next review date for each policy, and have every employee acknowledge the policies in writing. Review the pack at least once a year and after any incident or major business change. Keep prior versions. HIPAA requires policy documentation to be kept for 6 years.</w:t>
      </w:r>
    </w:p>
    <w:p>
      <w:r>
        <w:rPr>
          <w:i/>
        </w:rPr>
        <w:t>These templates are a starting point, not legal advice. Have your counsel or compliance lead confirm they meet the rules that apply to you.</w:t>
      </w:r>
    </w:p>
    <w:p>
      <w:r>
        <w:br w:type="page"/>
      </w:r>
    </w:p>
    <w:p>
      <w:pPr>
        <w:pStyle w:val="Heading1"/>
      </w:pPr>
      <w:r>
        <w:t>1. Information security program policy</w:t>
      </w:r>
    </w:p>
    <w:tbl>
      <w:tblPr>
        <w:tblStyle w:val="TableGrid"/>
        <w:tblW w:type="auto" w:w="0"/>
        <w:tblLook w:firstColumn="1" w:firstRow="1" w:lastColumn="0" w:lastRow="0" w:noHBand="0" w:noVBand="1" w:val="04A0"/>
      </w:tblPr>
      <w:tblGrid>
        <w:gridCol w:w="4320"/>
        <w:gridCol w:w="4320"/>
      </w:tblGrid>
      <w:tr>
        <w:tc>
          <w:tcPr>
            <w:tcW w:type="dxa" w:w="4320"/>
          </w:tcPr>
          <w:p>
            <w:r>
              <w:t>Policy owner</w:t>
            </w:r>
          </w:p>
        </w:tc>
        <w:tc>
          <w:tcPr>
            <w:tcW w:type="dxa" w:w="4320"/>
          </w:tcPr>
          <w:p>
            <w:r/>
          </w:p>
        </w:tc>
      </w:tr>
      <w:tr>
        <w:tc>
          <w:tcPr>
            <w:tcW w:type="dxa" w:w="4320"/>
          </w:tcPr>
          <w:p>
            <w:r>
              <w:t>Effective date</w:t>
            </w:r>
          </w:p>
        </w:tc>
        <w:tc>
          <w:tcPr>
            <w:tcW w:type="dxa" w:w="4320"/>
          </w:tcPr>
          <w:p>
            <w:r/>
          </w:p>
        </w:tc>
      </w:tr>
      <w:tr>
        <w:tc>
          <w:tcPr>
            <w:tcW w:type="dxa" w:w="4320"/>
          </w:tcPr>
          <w:p>
            <w:r>
              <w:t>Next review date</w:t>
            </w:r>
          </w:p>
        </w:tc>
        <w:tc>
          <w:tcPr>
            <w:tcW w:type="dxa" w:w="4320"/>
          </w:tcPr>
          <w:p>
            <w:r/>
          </w:p>
        </w:tc>
      </w:tr>
    </w:tbl>
    <w:p>
      <w:r>
        <w:rPr>
          <w:i/>
        </w:rPr>
        <w:t>Why you need it: the FTC Safeguards Rule requires a written information security program and a named qualified individual who oversees it (16 CFR 314.3(a) and 314.4(a)).</w:t>
      </w:r>
    </w:p>
    <w:p>
      <w:pPr>
        <w:pStyle w:val="Heading2"/>
      </w:pPr>
      <w:r>
        <w:t>Policy</w:t>
      </w:r>
    </w:p>
    <w:p>
      <w:pPr>
        <w:pStyle w:val="ListBullet"/>
      </w:pPr>
      <w:r>
        <w:t>Your Company maintains a written information security program made up of the policies in this pack.</w:t>
      </w:r>
    </w:p>
    <w:p>
      <w:pPr>
        <w:pStyle w:val="ListBullet"/>
      </w:pPr>
      <w:r>
        <w:t>The Security Lead (name and title) oversees the program, enforces these policies and approves any exception in writing.</w:t>
      </w:r>
    </w:p>
    <w:p>
      <w:pPr>
        <w:pStyle w:val="ListBullet"/>
      </w:pPr>
      <w:r>
        <w:t>The Security Lead reviews the program at least once a year and after any significant security event or business change.</w:t>
      </w:r>
    </w:p>
    <w:p>
      <w:pPr>
        <w:pStyle w:val="ListBullet"/>
      </w:pPr>
      <w:r>
        <w:t>The Security Lead reports in writing on the state of the program at least once a year to the owner or board.</w:t>
      </w:r>
    </w:p>
    <w:p>
      <w:pPr>
        <w:pStyle w:val="ListBullet"/>
      </w:pPr>
      <w:r>
        <w:t>Each policy lists its owner, effective date and next review date.</w:t>
      </w:r>
    </w:p>
    <w:p>
      <w:r>
        <w:br w:type="page"/>
      </w:r>
    </w:p>
    <w:p>
      <w:pPr>
        <w:pStyle w:val="Heading1"/>
      </w:pPr>
      <w:r>
        <w:t>2. Acceptable use policy</w:t>
      </w:r>
    </w:p>
    <w:tbl>
      <w:tblPr>
        <w:tblStyle w:val="TableGrid"/>
        <w:tblW w:type="auto" w:w="0"/>
        <w:tblLook w:firstColumn="1" w:firstRow="1" w:lastColumn="0" w:lastRow="0" w:noHBand="0" w:noVBand="1" w:val="04A0"/>
      </w:tblPr>
      <w:tblGrid>
        <w:gridCol w:w="4320"/>
        <w:gridCol w:w="4320"/>
      </w:tblGrid>
      <w:tr>
        <w:tc>
          <w:tcPr>
            <w:tcW w:type="dxa" w:w="4320"/>
          </w:tcPr>
          <w:p>
            <w:r>
              <w:t>Policy owner</w:t>
            </w:r>
          </w:p>
        </w:tc>
        <w:tc>
          <w:tcPr>
            <w:tcW w:type="dxa" w:w="4320"/>
          </w:tcPr>
          <w:p>
            <w:r/>
          </w:p>
        </w:tc>
      </w:tr>
      <w:tr>
        <w:tc>
          <w:tcPr>
            <w:tcW w:type="dxa" w:w="4320"/>
          </w:tcPr>
          <w:p>
            <w:r>
              <w:t>Effective date</w:t>
            </w:r>
          </w:p>
        </w:tc>
        <w:tc>
          <w:tcPr>
            <w:tcW w:type="dxa" w:w="4320"/>
          </w:tcPr>
          <w:p>
            <w:r/>
          </w:p>
        </w:tc>
      </w:tr>
      <w:tr>
        <w:tc>
          <w:tcPr>
            <w:tcW w:type="dxa" w:w="4320"/>
          </w:tcPr>
          <w:p>
            <w:r>
              <w:t>Next review date</w:t>
            </w:r>
          </w:p>
        </w:tc>
        <w:tc>
          <w:tcPr>
            <w:tcW w:type="dxa" w:w="4320"/>
          </w:tcPr>
          <w:p>
            <w:r/>
          </w:p>
        </w:tc>
      </w:tr>
    </w:tbl>
    <w:p>
      <w:r>
        <w:rPr>
          <w:i/>
        </w:rPr>
        <w:t>Why you need it: it sets the ground rules for company devices, accounts and data, and it is the first policy cyber insurers and auditors ask to see.</w:t>
      </w:r>
    </w:p>
    <w:p>
      <w:pPr>
        <w:pStyle w:val="Heading2"/>
      </w:pPr>
      <w:r>
        <w:t>Policy</w:t>
      </w:r>
    </w:p>
    <w:p>
      <w:pPr>
        <w:pStyle w:val="ListBullet"/>
      </w:pPr>
      <w:r>
        <w:t>Company devices, accounts and data are for business use. Limited personal use is fine when it does not conflict with this policy.</w:t>
      </w:r>
    </w:p>
    <w:p>
      <w:pPr>
        <w:pStyle w:val="ListBullet"/>
      </w:pPr>
      <w:r>
        <w:t>Employees install only software approved by the Security Lead or the IT provider.</w:t>
      </w:r>
    </w:p>
    <w:p>
      <w:pPr>
        <w:pStyle w:val="ListBullet"/>
      </w:pPr>
      <w:r>
        <w:t>Employees do not share accounts, and do not store company data in personal email, personal cloud storage or unapproved AI tools.</w:t>
      </w:r>
    </w:p>
    <w:p>
      <w:pPr>
        <w:pStyle w:val="ListBullet"/>
      </w:pPr>
      <w:r>
        <w:t>Employees do not disable security software, updates or device encryption.</w:t>
      </w:r>
    </w:p>
    <w:p>
      <w:pPr>
        <w:pStyle w:val="ListBullet"/>
      </w:pPr>
      <w:r>
        <w:t>Your Company may monitor company systems for security purposes, as permitted by law.</w:t>
      </w:r>
    </w:p>
    <w:p>
      <w:r>
        <w:br w:type="page"/>
      </w:r>
    </w:p>
    <w:p>
      <w:pPr>
        <w:pStyle w:val="Heading1"/>
      </w:pPr>
      <w:r>
        <w:t>3. Password and multi-factor authentication policy</w:t>
      </w:r>
    </w:p>
    <w:tbl>
      <w:tblPr>
        <w:tblStyle w:val="TableGrid"/>
        <w:tblW w:type="auto" w:w="0"/>
        <w:tblLook w:firstColumn="1" w:firstRow="1" w:lastColumn="0" w:lastRow="0" w:noHBand="0" w:noVBand="1" w:val="04A0"/>
      </w:tblPr>
      <w:tblGrid>
        <w:gridCol w:w="4320"/>
        <w:gridCol w:w="4320"/>
      </w:tblGrid>
      <w:tr>
        <w:tc>
          <w:tcPr>
            <w:tcW w:type="dxa" w:w="4320"/>
          </w:tcPr>
          <w:p>
            <w:r>
              <w:t>Policy owner</w:t>
            </w:r>
          </w:p>
        </w:tc>
        <w:tc>
          <w:tcPr>
            <w:tcW w:type="dxa" w:w="4320"/>
          </w:tcPr>
          <w:p>
            <w:r/>
          </w:p>
        </w:tc>
      </w:tr>
      <w:tr>
        <w:tc>
          <w:tcPr>
            <w:tcW w:type="dxa" w:w="4320"/>
          </w:tcPr>
          <w:p>
            <w:r>
              <w:t>Effective date</w:t>
            </w:r>
          </w:p>
        </w:tc>
        <w:tc>
          <w:tcPr>
            <w:tcW w:type="dxa" w:w="4320"/>
          </w:tcPr>
          <w:p>
            <w:r/>
          </w:p>
        </w:tc>
      </w:tr>
      <w:tr>
        <w:tc>
          <w:tcPr>
            <w:tcW w:type="dxa" w:w="4320"/>
          </w:tcPr>
          <w:p>
            <w:r>
              <w:t>Next review date</w:t>
            </w:r>
          </w:p>
        </w:tc>
        <w:tc>
          <w:tcPr>
            <w:tcW w:type="dxa" w:w="4320"/>
          </w:tcPr>
          <w:p>
            <w:r/>
          </w:p>
        </w:tc>
      </w:tr>
    </w:tbl>
    <w:p>
      <w:r>
        <w:rPr>
          <w:i/>
        </w:rPr>
        <w:t>Why you need it: the FTC Safeguards Rule requires multi-factor authentication for anyone accessing an information system unless the qualified individual approves an exception in writing (16 CFR 314.4(c)(5)).</w:t>
      </w:r>
    </w:p>
    <w:p>
      <w:pPr>
        <w:pStyle w:val="Heading2"/>
      </w:pPr>
      <w:r>
        <w:t>Policy</w:t>
      </w:r>
    </w:p>
    <w:p>
      <w:pPr>
        <w:pStyle w:val="ListBullet"/>
      </w:pPr>
      <w:r>
        <w:t>Every account that reaches company data uses multi-factor authentication. Exceptions need written approval from the Security Lead.</w:t>
      </w:r>
    </w:p>
    <w:p>
      <w:pPr>
        <w:pStyle w:val="ListBullet"/>
      </w:pPr>
      <w:r>
        <w:t>Passwords are at least 14 characters, unique to each account and stored in the company password manager. Long passphrases are encouraged.</w:t>
      </w:r>
    </w:p>
    <w:p>
      <w:pPr>
        <w:pStyle w:val="ListBullet"/>
      </w:pPr>
      <w:r>
        <w:t>Employees never share passwords or MFA codes, including with anyone who claims to be IT support.</w:t>
      </w:r>
    </w:p>
    <w:p>
      <w:pPr>
        <w:pStyle w:val="ListBullet"/>
      </w:pPr>
      <w:r>
        <w:t>A password is changed immediately if there is any sign the account was exposed.</w:t>
      </w:r>
    </w:p>
    <w:p>
      <w:r>
        <w:br w:type="page"/>
      </w:r>
    </w:p>
    <w:p>
      <w:pPr>
        <w:pStyle w:val="Heading1"/>
      </w:pPr>
      <w:r>
        <w:t>4. Access control and offboarding policy</w:t>
      </w:r>
    </w:p>
    <w:tbl>
      <w:tblPr>
        <w:tblStyle w:val="TableGrid"/>
        <w:tblW w:type="auto" w:w="0"/>
        <w:tblLook w:firstColumn="1" w:firstRow="1" w:lastColumn="0" w:lastRow="0" w:noHBand="0" w:noVBand="1" w:val="04A0"/>
      </w:tblPr>
      <w:tblGrid>
        <w:gridCol w:w="4320"/>
        <w:gridCol w:w="4320"/>
      </w:tblGrid>
      <w:tr>
        <w:tc>
          <w:tcPr>
            <w:tcW w:type="dxa" w:w="4320"/>
          </w:tcPr>
          <w:p>
            <w:r>
              <w:t>Policy owner</w:t>
            </w:r>
          </w:p>
        </w:tc>
        <w:tc>
          <w:tcPr>
            <w:tcW w:type="dxa" w:w="4320"/>
          </w:tcPr>
          <w:p>
            <w:r/>
          </w:p>
        </w:tc>
      </w:tr>
      <w:tr>
        <w:tc>
          <w:tcPr>
            <w:tcW w:type="dxa" w:w="4320"/>
          </w:tcPr>
          <w:p>
            <w:r>
              <w:t>Effective date</w:t>
            </w:r>
          </w:p>
        </w:tc>
        <w:tc>
          <w:tcPr>
            <w:tcW w:type="dxa" w:w="4320"/>
          </w:tcPr>
          <w:p>
            <w:r/>
          </w:p>
        </w:tc>
      </w:tr>
      <w:tr>
        <w:tc>
          <w:tcPr>
            <w:tcW w:type="dxa" w:w="4320"/>
          </w:tcPr>
          <w:p>
            <w:r>
              <w:t>Next review date</w:t>
            </w:r>
          </w:p>
        </w:tc>
        <w:tc>
          <w:tcPr>
            <w:tcW w:type="dxa" w:w="4320"/>
          </w:tcPr>
          <w:p>
            <w:r/>
          </w:p>
        </w:tc>
      </w:tr>
    </w:tbl>
    <w:p>
      <w:r>
        <w:rPr>
          <w:i/>
        </w:rPr>
        <w:t>Why you need it: the Safeguards Rule requires access controls that are implemented and periodically reviewed (16 CFR 314.4(c)(1)), and HIPAA expects the same discipline for patient data.</w:t>
      </w:r>
    </w:p>
    <w:p>
      <w:pPr>
        <w:pStyle w:val="Heading2"/>
      </w:pPr>
      <w:r>
        <w:t>Policy</w:t>
      </w:r>
    </w:p>
    <w:p>
      <w:pPr>
        <w:pStyle w:val="ListBullet"/>
      </w:pPr>
      <w:r>
        <w:t>Employees get only the access their role needs.</w:t>
      </w:r>
    </w:p>
    <w:p>
      <w:pPr>
        <w:pStyle w:val="ListBullet"/>
      </w:pPr>
      <w:r>
        <w:t>Admin accounts are separate from everyday accounts and are used only for admin work.</w:t>
      </w:r>
    </w:p>
    <w:p>
      <w:pPr>
        <w:pStyle w:val="ListBullet"/>
      </w:pPr>
      <w:r>
        <w:t>Managers request access changes in writing, and the Security Lead or IT provider records each change.</w:t>
      </w:r>
    </w:p>
    <w:p>
      <w:pPr>
        <w:pStyle w:val="ListBullet"/>
      </w:pPr>
      <w:r>
        <w:t>The Security Lead reviews who has access to what at least twice a year.</w:t>
      </w:r>
    </w:p>
    <w:p>
      <w:pPr>
        <w:pStyle w:val="ListBullet"/>
      </w:pPr>
      <w:r>
        <w:t>When an employee leaves, all access is removed on their last day and company devices are returned.</w:t>
      </w:r>
    </w:p>
    <w:p>
      <w:r>
        <w:br w:type="page"/>
      </w:r>
    </w:p>
    <w:p>
      <w:pPr>
        <w:pStyle w:val="Heading1"/>
      </w:pPr>
      <w:r>
        <w:t>5. Payment and request verification policy</w:t>
      </w:r>
    </w:p>
    <w:tbl>
      <w:tblPr>
        <w:tblStyle w:val="TableGrid"/>
        <w:tblW w:type="auto" w:w="0"/>
        <w:tblLook w:firstColumn="1" w:firstRow="1" w:lastColumn="0" w:lastRow="0" w:noHBand="0" w:noVBand="1" w:val="04A0"/>
      </w:tblPr>
      <w:tblGrid>
        <w:gridCol w:w="4320"/>
        <w:gridCol w:w="4320"/>
      </w:tblGrid>
      <w:tr>
        <w:tc>
          <w:tcPr>
            <w:tcW w:type="dxa" w:w="4320"/>
          </w:tcPr>
          <w:p>
            <w:r>
              <w:t>Policy owner</w:t>
            </w:r>
          </w:p>
        </w:tc>
        <w:tc>
          <w:tcPr>
            <w:tcW w:type="dxa" w:w="4320"/>
          </w:tcPr>
          <w:p>
            <w:r/>
          </w:p>
        </w:tc>
      </w:tr>
      <w:tr>
        <w:tc>
          <w:tcPr>
            <w:tcW w:type="dxa" w:w="4320"/>
          </w:tcPr>
          <w:p>
            <w:r>
              <w:t>Effective date</w:t>
            </w:r>
          </w:p>
        </w:tc>
        <w:tc>
          <w:tcPr>
            <w:tcW w:type="dxa" w:w="4320"/>
          </w:tcPr>
          <w:p>
            <w:r/>
          </w:p>
        </w:tc>
      </w:tr>
      <w:tr>
        <w:tc>
          <w:tcPr>
            <w:tcW w:type="dxa" w:w="4320"/>
          </w:tcPr>
          <w:p>
            <w:r>
              <w:t>Next review date</w:t>
            </w:r>
          </w:p>
        </w:tc>
        <w:tc>
          <w:tcPr>
            <w:tcW w:type="dxa" w:w="4320"/>
          </w:tcPr>
          <w:p>
            <w:r/>
          </w:p>
        </w:tc>
      </w:tr>
    </w:tbl>
    <w:p>
      <w:r>
        <w:rPr>
          <w:i/>
        </w:rPr>
        <w:t>Why you need it: the FTC lists business email imposters among the most common attacks on small businesses. A written callback rule stops most of them before money moves.</w:t>
      </w:r>
    </w:p>
    <w:p>
      <w:pPr>
        <w:pStyle w:val="Heading2"/>
      </w:pPr>
      <w:r>
        <w:t>Policy</w:t>
      </w:r>
    </w:p>
    <w:p>
      <w:pPr>
        <w:pStyle w:val="ListBullet"/>
      </w:pPr>
      <w:r>
        <w:t>Any request to send money, buy gift cards, change bank or payroll details, or share sensitive data is verified by calling the requester at a phone number already on file, never one in the message.</w:t>
      </w:r>
    </w:p>
    <w:p>
      <w:pPr>
        <w:pStyle w:val="ListBullet"/>
      </w:pPr>
      <w:r>
        <w:t>Urgency, secrecy or pressure in a request is a reason to slow down and verify, not a reason to skip steps.</w:t>
      </w:r>
    </w:p>
    <w:p>
      <w:pPr>
        <w:pStyle w:val="ListBullet"/>
      </w:pPr>
      <w:r>
        <w:t>A second person approves payments above an amount Your Company sets.</w:t>
      </w:r>
    </w:p>
    <w:p>
      <w:pPr>
        <w:pStyle w:val="ListBullet"/>
      </w:pPr>
      <w:r>
        <w:t>Employees report suspicious messages with the report button or to the Security Lead. Reporting is always welcome, even after a click.</w:t>
      </w:r>
    </w:p>
    <w:p>
      <w:r>
        <w:br w:type="page"/>
      </w:r>
    </w:p>
    <w:p>
      <w:pPr>
        <w:pStyle w:val="Heading1"/>
      </w:pPr>
      <w:r>
        <w:t>6. Remote work and device policy</w:t>
      </w:r>
    </w:p>
    <w:tbl>
      <w:tblPr>
        <w:tblStyle w:val="TableGrid"/>
        <w:tblW w:type="auto" w:w="0"/>
        <w:tblLook w:firstColumn="1" w:firstRow="1" w:lastColumn="0" w:lastRow="0" w:noHBand="0" w:noVBand="1" w:val="04A0"/>
      </w:tblPr>
      <w:tblGrid>
        <w:gridCol w:w="4320"/>
        <w:gridCol w:w="4320"/>
      </w:tblGrid>
      <w:tr>
        <w:tc>
          <w:tcPr>
            <w:tcW w:type="dxa" w:w="4320"/>
          </w:tcPr>
          <w:p>
            <w:r>
              <w:t>Policy owner</w:t>
            </w:r>
          </w:p>
        </w:tc>
        <w:tc>
          <w:tcPr>
            <w:tcW w:type="dxa" w:w="4320"/>
          </w:tcPr>
          <w:p>
            <w:r/>
          </w:p>
        </w:tc>
      </w:tr>
      <w:tr>
        <w:tc>
          <w:tcPr>
            <w:tcW w:type="dxa" w:w="4320"/>
          </w:tcPr>
          <w:p>
            <w:r>
              <w:t>Effective date</w:t>
            </w:r>
          </w:p>
        </w:tc>
        <w:tc>
          <w:tcPr>
            <w:tcW w:type="dxa" w:w="4320"/>
          </w:tcPr>
          <w:p>
            <w:r/>
          </w:p>
        </w:tc>
      </w:tr>
      <w:tr>
        <w:tc>
          <w:tcPr>
            <w:tcW w:type="dxa" w:w="4320"/>
          </w:tcPr>
          <w:p>
            <w:r>
              <w:t>Next review date</w:t>
            </w:r>
          </w:p>
        </w:tc>
        <w:tc>
          <w:tcPr>
            <w:tcW w:type="dxa" w:w="4320"/>
          </w:tcPr>
          <w:p>
            <w:r/>
          </w:p>
        </w:tc>
      </w:tr>
    </w:tbl>
    <w:p>
      <w:r>
        <w:rPr>
          <w:i/>
        </w:rPr>
        <w:t>Why you need it: the Safeguards Rule requires encryption of customer information in transit over external networks and at rest (16 CFR 314.4(c)(3)), and most of that data now lives on laptops and phones.</w:t>
      </w:r>
    </w:p>
    <w:p>
      <w:pPr>
        <w:pStyle w:val="Heading2"/>
      </w:pPr>
      <w:r>
        <w:t>Policy</w:t>
      </w:r>
    </w:p>
    <w:p>
      <w:pPr>
        <w:pStyle w:val="ListBullet"/>
      </w:pPr>
      <w:r>
        <w:t>Company laptops and phones use full-disk encryption, a screen lock and automatic updates.</w:t>
      </w:r>
    </w:p>
    <w:p>
      <w:pPr>
        <w:pStyle w:val="ListBullet"/>
      </w:pPr>
      <w:r>
        <w:t>Personal devices reach company email or files only when enrolled in device management or approved by the Security Lead.</w:t>
      </w:r>
    </w:p>
    <w:p>
      <w:pPr>
        <w:pStyle w:val="ListBullet"/>
      </w:pPr>
      <w:r>
        <w:t>Employees avoid public Wi-Fi for company work unless connected through the company VPN or a personal hotspot.</w:t>
      </w:r>
    </w:p>
    <w:p>
      <w:pPr>
        <w:pStyle w:val="ListBullet"/>
      </w:pPr>
      <w:r>
        <w:t>Lost or stolen devices are reported to the Security Lead immediately.</w:t>
      </w:r>
    </w:p>
    <w:p>
      <w:pPr>
        <w:pStyle w:val="ListBullet"/>
      </w:pPr>
      <w:r>
        <w:t>Company data is not copied to USB drives or personal devices without approval.</w:t>
      </w:r>
    </w:p>
    <w:p>
      <w:r>
        <w:br w:type="page"/>
      </w:r>
    </w:p>
    <w:p>
      <w:pPr>
        <w:pStyle w:val="Heading1"/>
      </w:pPr>
      <w:r>
        <w:t>7. Incident response policy</w:t>
      </w:r>
    </w:p>
    <w:tbl>
      <w:tblPr>
        <w:tblStyle w:val="TableGrid"/>
        <w:tblW w:type="auto" w:w="0"/>
        <w:tblLook w:firstColumn="1" w:firstRow="1" w:lastColumn="0" w:lastRow="0" w:noHBand="0" w:noVBand="1" w:val="04A0"/>
      </w:tblPr>
      <w:tblGrid>
        <w:gridCol w:w="4320"/>
        <w:gridCol w:w="4320"/>
      </w:tblGrid>
      <w:tr>
        <w:tc>
          <w:tcPr>
            <w:tcW w:type="dxa" w:w="4320"/>
          </w:tcPr>
          <w:p>
            <w:r>
              <w:t>Policy owner</w:t>
            </w:r>
          </w:p>
        </w:tc>
        <w:tc>
          <w:tcPr>
            <w:tcW w:type="dxa" w:w="4320"/>
          </w:tcPr>
          <w:p>
            <w:r/>
          </w:p>
        </w:tc>
      </w:tr>
      <w:tr>
        <w:tc>
          <w:tcPr>
            <w:tcW w:type="dxa" w:w="4320"/>
          </w:tcPr>
          <w:p>
            <w:r>
              <w:t>Effective date</w:t>
            </w:r>
          </w:p>
        </w:tc>
        <w:tc>
          <w:tcPr>
            <w:tcW w:type="dxa" w:w="4320"/>
          </w:tcPr>
          <w:p>
            <w:r/>
          </w:p>
        </w:tc>
      </w:tr>
      <w:tr>
        <w:tc>
          <w:tcPr>
            <w:tcW w:type="dxa" w:w="4320"/>
          </w:tcPr>
          <w:p>
            <w:r>
              <w:t>Next review date</w:t>
            </w:r>
          </w:p>
        </w:tc>
        <w:tc>
          <w:tcPr>
            <w:tcW w:type="dxa" w:w="4320"/>
          </w:tcPr>
          <w:p>
            <w:r/>
          </w:p>
        </w:tc>
      </w:tr>
    </w:tbl>
    <w:p>
      <w:r>
        <w:rPr>
          <w:i/>
        </w:rPr>
        <w:t>Why you need it: the Safeguards Rule requires a written incident response plan (16 CFR 314.4(h)), and the FTC's small business guidance says plainly: have an incident response plan.</w:t>
      </w:r>
    </w:p>
    <w:p>
      <w:pPr>
        <w:pStyle w:val="Heading2"/>
      </w:pPr>
      <w:r>
        <w:t>Policy</w:t>
      </w:r>
    </w:p>
    <w:p>
      <w:pPr>
        <w:pStyle w:val="ListBullet"/>
      </w:pPr>
      <w:r>
        <w:t>Anyone who suspects a security incident reports it to the Security Lead right away. Nobody is punished for reporting.</w:t>
      </w:r>
    </w:p>
    <w:p>
      <w:pPr>
        <w:pStyle w:val="ListBullet"/>
      </w:pPr>
      <w:r>
        <w:t>The Security Lead confirms the incident, contains it (disconnect affected devices, reset credentials) and keeps a written log of actions and times.</w:t>
      </w:r>
    </w:p>
    <w:p>
      <w:pPr>
        <w:pStyle w:val="ListBullet"/>
      </w:pPr>
      <w:r>
        <w:t>Contacts are listed in advance: IT provider, cyber insurer, legal counsel and bank.</w:t>
      </w:r>
    </w:p>
    <w:p>
      <w:pPr>
        <w:pStyle w:val="ListBullet"/>
      </w:pPr>
      <w:r>
        <w:t>The Security Lead decides with counsel whether customers, regulators or law enforcement must be notified.</w:t>
      </w:r>
    </w:p>
    <w:p>
      <w:pPr>
        <w:pStyle w:val="ListBullet"/>
      </w:pPr>
      <w:r>
        <w:t>After every incident, the team writes down what happened and updates these policies.</w:t>
      </w:r>
    </w:p>
    <w:p>
      <w:r>
        <w:br w:type="page"/>
      </w:r>
    </w:p>
    <w:p>
      <w:pPr>
        <w:pStyle w:val="Heading1"/>
      </w:pPr>
      <w:r>
        <w:t>8. Security awareness training policy</w:t>
      </w:r>
    </w:p>
    <w:tbl>
      <w:tblPr>
        <w:tblStyle w:val="TableGrid"/>
        <w:tblW w:type="auto" w:w="0"/>
        <w:tblLook w:firstColumn="1" w:firstRow="1" w:lastColumn="0" w:lastRow="0" w:noHBand="0" w:noVBand="1" w:val="04A0"/>
      </w:tblPr>
      <w:tblGrid>
        <w:gridCol w:w="4320"/>
        <w:gridCol w:w="4320"/>
      </w:tblGrid>
      <w:tr>
        <w:tc>
          <w:tcPr>
            <w:tcW w:type="dxa" w:w="4320"/>
          </w:tcPr>
          <w:p>
            <w:r>
              <w:t>Policy owner</w:t>
            </w:r>
          </w:p>
        </w:tc>
        <w:tc>
          <w:tcPr>
            <w:tcW w:type="dxa" w:w="4320"/>
          </w:tcPr>
          <w:p>
            <w:r/>
          </w:p>
        </w:tc>
      </w:tr>
      <w:tr>
        <w:tc>
          <w:tcPr>
            <w:tcW w:type="dxa" w:w="4320"/>
          </w:tcPr>
          <w:p>
            <w:r>
              <w:t>Effective date</w:t>
            </w:r>
          </w:p>
        </w:tc>
        <w:tc>
          <w:tcPr>
            <w:tcW w:type="dxa" w:w="4320"/>
          </w:tcPr>
          <w:p>
            <w:r/>
          </w:p>
        </w:tc>
      </w:tr>
      <w:tr>
        <w:tc>
          <w:tcPr>
            <w:tcW w:type="dxa" w:w="4320"/>
          </w:tcPr>
          <w:p>
            <w:r>
              <w:t>Next review date</w:t>
            </w:r>
          </w:p>
        </w:tc>
        <w:tc>
          <w:tcPr>
            <w:tcW w:type="dxa" w:w="4320"/>
          </w:tcPr>
          <w:p>
            <w:r/>
          </w:p>
        </w:tc>
      </w:tr>
    </w:tbl>
    <w:p>
      <w:r>
        <w:rPr>
          <w:i/>
        </w:rPr>
        <w:t>Why you need it: the Safeguards Rule requires security awareness training updated to reflect the risks your assessment finds (16 CFR 314.4(e)), HIPAA requires a training program for the whole workforce, and PCI DSS 12.6.3.1 expects phishing to be covered.</w:t>
      </w:r>
    </w:p>
    <w:p>
      <w:pPr>
        <w:pStyle w:val="Heading2"/>
      </w:pPr>
      <w:r>
        <w:t>Policy</w:t>
      </w:r>
    </w:p>
    <w:p>
      <w:pPr>
        <w:pStyle w:val="ListBullet"/>
      </w:pPr>
      <w:r>
        <w:t>Every employee, including management, completes security awareness training at onboarding and short training throughout the year.</w:t>
      </w:r>
    </w:p>
    <w:p>
      <w:pPr>
        <w:pStyle w:val="ListBullet"/>
      </w:pPr>
      <w:r>
        <w:t>Your Company runs phishing simulations at least monthly so employees practice spotting manipulation in a real inbox.</w:t>
      </w:r>
    </w:p>
    <w:p>
      <w:pPr>
        <w:pStyle w:val="ListBullet"/>
      </w:pPr>
      <w:r>
        <w:t>An employee who clicks a simulation gets immediate, private coaching. Results improve the program and are never used to shame or discipline individuals.</w:t>
      </w:r>
    </w:p>
    <w:p>
      <w:pPr>
        <w:pStyle w:val="ListBullet"/>
      </w:pPr>
      <w:r>
        <w:t>Training content is updated whenever the risk assessment identifies a new threat.</w:t>
      </w:r>
    </w:p>
    <w:p>
      <w:pPr>
        <w:pStyle w:val="ListBullet"/>
      </w:pPr>
      <w:r>
        <w:t>Completion records and simulation reports are kept as evidence for auditors and cyber insurers.</w:t>
      </w:r>
    </w:p>
    <w:p>
      <w:r>
        <w:br w:type="page"/>
      </w:r>
    </w:p>
    <w:p>
      <w:pPr>
        <w:pStyle w:val="Heading1"/>
      </w:pPr>
      <w:r>
        <w:t>Employee acknowledgment</w:t>
      </w:r>
    </w:p>
    <w:p>
      <w:r>
        <w:t>I have read and understand the Your Company security policies and agree to follow them.</w:t>
      </w:r>
    </w:p>
    <w:p>
      <w:r>
        <w:t>Employee name: ______________________________</w:t>
      </w:r>
    </w:p>
    <w:p>
      <w:r>
        <w:t>Signature: ______________________________</w:t>
      </w:r>
    </w:p>
    <w:p>
      <w:r>
        <w:t>Date: ______________________________</w:t>
      </w:r>
    </w:p>
    <w:p/>
    <w:p>
      <w:r>
        <w:t>Policy 8 asks for monthly phishing simulations and private coaching after a click. Hook Security runs that program for you: hooksecurity.co/products/phishing-simulator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