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FB7D73">
              <w:rPr>
                <w:rFonts w:ascii="Book Antiqua" w:hAnsi="Book Antiqua"/>
                <w:b/>
                <w:sz w:val="36"/>
              </w:rPr>
              <w:t>260</w:t>
            </w:r>
            <w:r>
              <w:rPr>
                <w:rFonts w:ascii="Book Antiqua" w:hAnsi="Book Antiqua"/>
                <w:b/>
                <w:sz w:val="36"/>
              </w:rPr>
              <w:t>/</w:t>
            </w:r>
            <w:r w:rsidR="00F267BB">
              <w:rPr>
                <w:rFonts w:ascii="Book Antiqua" w:hAnsi="Book Antiqua"/>
                <w:b/>
                <w:sz w:val="36"/>
              </w:rPr>
              <w:t>1</w:t>
            </w:r>
            <w:r w:rsidR="00174DA3">
              <w:rPr>
                <w:rFonts w:ascii="Book Antiqua" w:hAnsi="Book Antiqua"/>
                <w:b/>
                <w:sz w:val="36"/>
              </w:rPr>
              <w:t>8</w:t>
            </w:r>
            <w:r w:rsidR="006B47A8">
              <w:rPr>
                <w:rFonts w:ascii="Book Antiqua" w:hAnsi="Book Antiqua"/>
                <w:b/>
                <w:sz w:val="36"/>
              </w:rPr>
              <w:t xml:space="preserve"> og 261/18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FB7D73"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Erik A. Grahl-Madsen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FB7D7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Bergens Tidende</w:t>
            </w:r>
            <w:r w:rsidR="006B47A8">
              <w:rPr>
                <w:rFonts w:ascii="Book Antiqua" w:hAnsi="Book Antiqua"/>
                <w:sz w:val="22"/>
              </w:rPr>
              <w:t xml:space="preserve"> og Aftenposten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FB7D73"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02.06.2018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FB7D7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Justis</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FB7D7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Reportasje</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01719F" w:rsidP="00332D19">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FB7D73" w:rsidP="006E27B5">
            <w:pPr>
              <w:widowControl/>
              <w:rPr>
                <w:rFonts w:ascii="Book Antiqua" w:hAnsi="Book Antiqua"/>
                <w:sz w:val="22"/>
              </w:rPr>
            </w:pPr>
            <w:r>
              <w:rPr>
                <w:rFonts w:ascii="Book Antiqua" w:hAnsi="Book Antiqua"/>
                <w:sz w:val="22"/>
              </w:rPr>
              <w:t>06.11.2018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FB7D73"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27.03.2019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FB7D73">
            <w:pPr>
              <w:widowControl/>
              <w:tabs>
                <w:tab w:val="left" w:pos="-1440"/>
                <w:tab w:val="left" w:pos="-720"/>
                <w:tab w:val="left" w:pos="2760"/>
              </w:tabs>
              <w:suppressAutoHyphens/>
              <w:rPr>
                <w:rFonts w:ascii="Book Antiqua" w:hAnsi="Book Antiqua"/>
                <w:sz w:val="22"/>
              </w:rPr>
            </w:pPr>
            <w:r>
              <w:rPr>
                <w:rFonts w:ascii="Book Antiqua" w:hAnsi="Book Antiqua"/>
                <w:sz w:val="22"/>
              </w:rPr>
              <w:t>141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FB7D73">
            <w:pPr>
              <w:widowControl/>
              <w:tabs>
                <w:tab w:val="left" w:pos="-1440"/>
                <w:tab w:val="left" w:pos="-720"/>
                <w:tab w:val="left" w:pos="2760"/>
              </w:tabs>
              <w:suppressAutoHyphens/>
              <w:rPr>
                <w:rFonts w:ascii="Book Antiqua" w:hAnsi="Book Antiqua"/>
                <w:sz w:val="22"/>
              </w:rPr>
            </w:pPr>
            <w:r>
              <w:rPr>
                <w:rFonts w:ascii="Book Antiqua" w:hAnsi="Book Antiqua"/>
                <w:sz w:val="22"/>
              </w:rPr>
              <w:t>Næringsdrivende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6B47A8" w:rsidP="00823ABF">
            <w:pPr>
              <w:widowControl/>
              <w:tabs>
                <w:tab w:val="left" w:pos="-1440"/>
                <w:tab w:val="left" w:pos="-720"/>
                <w:tab w:val="left" w:pos="2760"/>
              </w:tabs>
              <w:suppressAutoHyphens/>
              <w:rPr>
                <w:rFonts w:ascii="Book Antiqua" w:hAnsi="Book Antiqua"/>
                <w:sz w:val="22"/>
              </w:rPr>
            </w:pPr>
            <w:r>
              <w:rPr>
                <w:rFonts w:ascii="Book Antiqua" w:hAnsi="Book Antiqua"/>
                <w:sz w:val="22"/>
              </w:rPr>
              <w:t>Parallellklager, likelydende artikkel, tilsvarsrunde og forslag til uttalelse.</w:t>
            </w:r>
          </w:p>
        </w:tc>
      </w:tr>
    </w:tbl>
    <w:p w:rsidR="0001719F" w:rsidRPr="00660C79" w:rsidRDefault="0001719F">
      <w:pPr>
        <w:widowControl/>
        <w:rPr>
          <w:rFonts w:ascii="Book Antiqua" w:hAnsi="Book Antiqua"/>
          <w:sz w:val="16"/>
          <w:szCs w:val="16"/>
        </w:rPr>
      </w:pPr>
    </w:p>
    <w:p w:rsidR="0001719F" w:rsidRDefault="0001719F">
      <w:pPr>
        <w:widowControl/>
        <w:rPr>
          <w:rFonts w:ascii="Book Antiqua" w:hAnsi="Book Antiqua"/>
          <w:b/>
          <w:sz w:val="22"/>
        </w:rPr>
      </w:pPr>
      <w:r>
        <w:rPr>
          <w:rFonts w:ascii="Book Antiqua" w:hAnsi="Book Antiqua"/>
          <w:b/>
          <w:sz w:val="22"/>
        </w:rPr>
        <w:t xml:space="preserve">SAMMENDRAG: </w:t>
      </w:r>
    </w:p>
    <w:p w:rsidR="00A94CD9" w:rsidRPr="0004614E" w:rsidRDefault="00A94CD9">
      <w:pPr>
        <w:widowControl/>
        <w:rPr>
          <w:rFonts w:ascii="Book Antiqua" w:hAnsi="Book Antiqua"/>
          <w:b/>
          <w:sz w:val="16"/>
          <w:szCs w:val="16"/>
        </w:rPr>
      </w:pPr>
    </w:p>
    <w:p w:rsidR="00A94CD9" w:rsidRDefault="00A94CD9" w:rsidP="00A94CD9">
      <w:pPr>
        <w:outlineLvl w:val="0"/>
        <w:rPr>
          <w:rFonts w:ascii="Book Antiqua" w:hAnsi="Book Antiqua"/>
          <w:sz w:val="22"/>
        </w:rPr>
      </w:pPr>
      <w:r>
        <w:rPr>
          <w:rFonts w:ascii="Book Antiqua" w:hAnsi="Book Antiqua"/>
          <w:b/>
          <w:sz w:val="22"/>
        </w:rPr>
        <w:t xml:space="preserve">Bergens Tidende (BT) </w:t>
      </w:r>
      <w:r>
        <w:rPr>
          <w:rFonts w:ascii="Book Antiqua" w:hAnsi="Book Antiqua"/>
          <w:sz w:val="22"/>
        </w:rPr>
        <w:t xml:space="preserve">publiserte </w:t>
      </w:r>
      <w:r w:rsidRPr="00A94CD9">
        <w:rPr>
          <w:rFonts w:ascii="Book Antiqua" w:hAnsi="Book Antiqua"/>
          <w:b/>
          <w:sz w:val="22"/>
        </w:rPr>
        <w:t>lørdag 2. juni 2018</w:t>
      </w:r>
      <w:r>
        <w:rPr>
          <w:rFonts w:ascii="Book Antiqua" w:hAnsi="Book Antiqua"/>
          <w:sz w:val="22"/>
        </w:rPr>
        <w:t xml:space="preserve"> en reportasje med tittelen:</w:t>
      </w:r>
    </w:p>
    <w:p w:rsidR="00A94CD9" w:rsidRPr="0004614E" w:rsidRDefault="00A94CD9" w:rsidP="00A94CD9">
      <w:pPr>
        <w:outlineLvl w:val="0"/>
        <w:rPr>
          <w:rFonts w:ascii="Book Antiqua" w:hAnsi="Book Antiqua"/>
          <w:sz w:val="16"/>
          <w:szCs w:val="16"/>
        </w:rPr>
      </w:pPr>
    </w:p>
    <w:p w:rsidR="00A94CD9" w:rsidRPr="00CA600D" w:rsidRDefault="00A94CD9" w:rsidP="00A94CD9">
      <w:pPr>
        <w:outlineLvl w:val="0"/>
        <w:rPr>
          <w:b/>
          <w:bCs/>
          <w:kern w:val="36"/>
          <w:sz w:val="48"/>
          <w:szCs w:val="48"/>
        </w:rPr>
      </w:pPr>
      <w:r w:rsidRPr="00A94CD9">
        <w:rPr>
          <w:rFonts w:ascii="Book Antiqua" w:hAnsi="Book Antiqua"/>
          <w:sz w:val="22"/>
          <w:szCs w:val="22"/>
        </w:rPr>
        <w:t>«</w:t>
      </w:r>
      <w:r w:rsidRPr="00A94CD9">
        <w:rPr>
          <w:rFonts w:ascii="Book Antiqua" w:hAnsi="Book Antiqua"/>
          <w:b/>
          <w:bCs/>
          <w:kern w:val="36"/>
          <w:sz w:val="22"/>
          <w:szCs w:val="22"/>
        </w:rPr>
        <w:t>Da foreldrene døde, etterlot de seg en pleietrengende sønn og 14,9 millioner kroner. Kampen om arven endte med en advokats fall.</w:t>
      </w:r>
      <w:r>
        <w:rPr>
          <w:rFonts w:ascii="Book Antiqua" w:hAnsi="Book Antiqua"/>
          <w:b/>
          <w:bCs/>
          <w:kern w:val="36"/>
          <w:sz w:val="22"/>
          <w:szCs w:val="22"/>
        </w:rPr>
        <w:t>»</w:t>
      </w:r>
    </w:p>
    <w:p w:rsidR="00A94CD9" w:rsidRPr="0004614E" w:rsidRDefault="00A94CD9">
      <w:pPr>
        <w:widowControl/>
        <w:rPr>
          <w:rFonts w:ascii="Book Antiqua" w:hAnsi="Book Antiqua"/>
          <w:sz w:val="16"/>
          <w:szCs w:val="16"/>
        </w:rPr>
      </w:pPr>
    </w:p>
    <w:p w:rsidR="00324D0C" w:rsidRPr="00324D0C" w:rsidRDefault="00660C79" w:rsidP="00AE359B">
      <w:pPr>
        <w:widowControl/>
        <w:rPr>
          <w:rFonts w:ascii="Book Antiqua" w:hAnsi="Book Antiqua"/>
          <w:sz w:val="22"/>
          <w:szCs w:val="22"/>
        </w:rPr>
      </w:pPr>
      <w:r w:rsidRPr="00324D0C">
        <w:rPr>
          <w:rFonts w:ascii="Book Antiqua" w:hAnsi="Book Antiqua"/>
          <w:sz w:val="22"/>
          <w:szCs w:val="22"/>
        </w:rPr>
        <w:t>Samme reportasje ble publisert i Aftenposten</w:t>
      </w:r>
      <w:r w:rsidR="00324D0C" w:rsidRPr="00324D0C">
        <w:rPr>
          <w:rFonts w:ascii="Book Antiqua" w:hAnsi="Book Antiqua"/>
          <w:sz w:val="22"/>
          <w:szCs w:val="22"/>
        </w:rPr>
        <w:t xml:space="preserve"> påfølgende dag</w:t>
      </w:r>
      <w:r w:rsidRPr="00324D0C">
        <w:rPr>
          <w:rFonts w:ascii="Book Antiqua" w:hAnsi="Book Antiqua"/>
          <w:sz w:val="22"/>
          <w:szCs w:val="22"/>
        </w:rPr>
        <w:t xml:space="preserve">. </w:t>
      </w:r>
    </w:p>
    <w:p w:rsidR="00324D0C" w:rsidRPr="00324D0C" w:rsidRDefault="00324D0C" w:rsidP="00AE359B">
      <w:pPr>
        <w:widowControl/>
        <w:rPr>
          <w:rFonts w:ascii="Book Antiqua" w:hAnsi="Book Antiqua"/>
          <w:color w:val="FF0000"/>
          <w:sz w:val="16"/>
          <w:szCs w:val="16"/>
        </w:rPr>
      </w:pPr>
    </w:p>
    <w:p w:rsidR="00AE359B" w:rsidRPr="005D40B6" w:rsidRDefault="00A94CD9" w:rsidP="00835C7F">
      <w:pPr>
        <w:widowControl/>
        <w:rPr>
          <w:rFonts w:ascii="Book Antiqua" w:hAnsi="Book Antiqua"/>
          <w:color w:val="FF0000"/>
          <w:sz w:val="22"/>
          <w:szCs w:val="22"/>
        </w:rPr>
      </w:pPr>
      <w:r>
        <w:rPr>
          <w:rFonts w:ascii="Book Antiqua" w:hAnsi="Book Antiqua"/>
          <w:sz w:val="22"/>
          <w:szCs w:val="22"/>
        </w:rPr>
        <w:t>Reportasjen gj</w:t>
      </w:r>
      <w:r w:rsidR="0004614E">
        <w:rPr>
          <w:rFonts w:ascii="Book Antiqua" w:hAnsi="Book Antiqua"/>
          <w:sz w:val="22"/>
          <w:szCs w:val="22"/>
        </w:rPr>
        <w:t>orde</w:t>
      </w:r>
      <w:r>
        <w:rPr>
          <w:rFonts w:ascii="Book Antiqua" w:hAnsi="Book Antiqua"/>
          <w:sz w:val="22"/>
          <w:szCs w:val="22"/>
        </w:rPr>
        <w:t xml:space="preserve"> rede for </w:t>
      </w:r>
      <w:r w:rsidR="0098512A">
        <w:rPr>
          <w:rFonts w:ascii="Book Antiqua" w:hAnsi="Book Antiqua"/>
          <w:sz w:val="22"/>
          <w:szCs w:val="22"/>
        </w:rPr>
        <w:t>konflikten mellom den</w:t>
      </w:r>
      <w:r>
        <w:rPr>
          <w:rFonts w:ascii="Book Antiqua" w:hAnsi="Book Antiqua"/>
          <w:sz w:val="22"/>
          <w:szCs w:val="22"/>
        </w:rPr>
        <w:t xml:space="preserve"> pleie</w:t>
      </w:r>
      <w:r w:rsidR="00A35F88">
        <w:rPr>
          <w:rFonts w:ascii="Book Antiqua" w:hAnsi="Book Antiqua"/>
          <w:sz w:val="22"/>
          <w:szCs w:val="22"/>
        </w:rPr>
        <w:t>trengende sønnens tremennin</w:t>
      </w:r>
      <w:r w:rsidR="00A35F88" w:rsidRPr="00B104FE">
        <w:rPr>
          <w:rFonts w:ascii="Book Antiqua" w:hAnsi="Book Antiqua"/>
          <w:sz w:val="22"/>
          <w:szCs w:val="22"/>
        </w:rPr>
        <w:t>g (</w:t>
      </w:r>
      <w:r w:rsidR="002966DF" w:rsidRPr="00B104FE">
        <w:rPr>
          <w:rFonts w:ascii="Book Antiqua" w:hAnsi="Book Antiqua"/>
          <w:sz w:val="22"/>
          <w:szCs w:val="22"/>
        </w:rPr>
        <w:t>som også var</w:t>
      </w:r>
      <w:r w:rsidR="00A35F88" w:rsidRPr="00B104FE">
        <w:rPr>
          <w:rFonts w:ascii="Book Antiqua" w:hAnsi="Book Antiqua"/>
          <w:sz w:val="22"/>
          <w:szCs w:val="22"/>
        </w:rPr>
        <w:t xml:space="preserve"> </w:t>
      </w:r>
      <w:r w:rsidR="00835C7F" w:rsidRPr="00B104FE">
        <w:rPr>
          <w:rFonts w:ascii="Book Antiqua" w:hAnsi="Book Antiqua"/>
          <w:sz w:val="22"/>
          <w:szCs w:val="22"/>
        </w:rPr>
        <w:t xml:space="preserve">sønnens </w:t>
      </w:r>
      <w:r w:rsidRPr="00B104FE">
        <w:rPr>
          <w:rFonts w:ascii="Book Antiqua" w:hAnsi="Book Antiqua"/>
          <w:sz w:val="22"/>
          <w:szCs w:val="22"/>
        </w:rPr>
        <w:t>hjelpeverge</w:t>
      </w:r>
      <w:r w:rsidR="002966DF" w:rsidRPr="00B104FE">
        <w:rPr>
          <w:rFonts w:ascii="Book Antiqua" w:hAnsi="Book Antiqua"/>
          <w:sz w:val="22"/>
          <w:szCs w:val="22"/>
        </w:rPr>
        <w:t xml:space="preserve"> innledningsvis</w:t>
      </w:r>
      <w:r w:rsidR="00660C79" w:rsidRPr="00B104FE">
        <w:rPr>
          <w:rFonts w:ascii="Book Antiqua" w:hAnsi="Book Antiqua"/>
          <w:sz w:val="22"/>
          <w:szCs w:val="22"/>
        </w:rPr>
        <w:t>)</w:t>
      </w:r>
      <w:r w:rsidR="0098512A">
        <w:rPr>
          <w:rFonts w:ascii="Book Antiqua" w:hAnsi="Book Antiqua"/>
          <w:sz w:val="22"/>
          <w:szCs w:val="22"/>
        </w:rPr>
        <w:t xml:space="preserve"> og </w:t>
      </w:r>
      <w:r>
        <w:rPr>
          <w:rFonts w:ascii="Book Antiqua" w:hAnsi="Book Antiqua"/>
          <w:sz w:val="22"/>
          <w:szCs w:val="22"/>
        </w:rPr>
        <w:t xml:space="preserve">advokaten som var testamentfullbyrder. </w:t>
      </w:r>
      <w:r w:rsidR="0098512A">
        <w:rPr>
          <w:rFonts w:ascii="Book Antiqua" w:hAnsi="Book Antiqua"/>
          <w:sz w:val="22"/>
          <w:szCs w:val="22"/>
        </w:rPr>
        <w:t>Noen punkter i f</w:t>
      </w:r>
      <w:r w:rsidR="00A35F88">
        <w:rPr>
          <w:rFonts w:ascii="Book Antiqua" w:hAnsi="Book Antiqua"/>
          <w:sz w:val="22"/>
          <w:szCs w:val="22"/>
        </w:rPr>
        <w:t>oreldrenes testament</w:t>
      </w:r>
      <w:r w:rsidR="00602672">
        <w:rPr>
          <w:rFonts w:ascii="Book Antiqua" w:hAnsi="Book Antiqua"/>
          <w:sz w:val="22"/>
          <w:szCs w:val="22"/>
        </w:rPr>
        <w:t xml:space="preserve"> berørte opprettelsen av en stiftelse til støtte for funksjonshemmede</w:t>
      </w:r>
      <w:r w:rsidR="005010DD">
        <w:rPr>
          <w:rFonts w:ascii="Book Antiqua" w:hAnsi="Book Antiqua"/>
          <w:sz w:val="22"/>
          <w:szCs w:val="22"/>
        </w:rPr>
        <w:t xml:space="preserve">. </w:t>
      </w:r>
      <w:r w:rsidR="00602672">
        <w:rPr>
          <w:rFonts w:ascii="Book Antiqua" w:hAnsi="Book Antiqua"/>
          <w:sz w:val="22"/>
          <w:szCs w:val="22"/>
        </w:rPr>
        <w:t>Testamentfullbyrderen</w:t>
      </w:r>
      <w:r w:rsidR="00AE359B">
        <w:rPr>
          <w:rFonts w:ascii="Book Antiqua" w:hAnsi="Book Antiqua"/>
          <w:sz w:val="22"/>
          <w:szCs w:val="22"/>
        </w:rPr>
        <w:t>, som selv f</w:t>
      </w:r>
      <w:r w:rsidR="00602672">
        <w:rPr>
          <w:rFonts w:ascii="Book Antiqua" w:hAnsi="Book Antiqua"/>
          <w:sz w:val="22"/>
          <w:szCs w:val="22"/>
        </w:rPr>
        <w:t>ørt</w:t>
      </w:r>
      <w:r w:rsidR="00AE359B">
        <w:rPr>
          <w:rFonts w:ascii="Book Antiqua" w:hAnsi="Book Antiqua"/>
          <w:sz w:val="22"/>
          <w:szCs w:val="22"/>
        </w:rPr>
        <w:t>e</w:t>
      </w:r>
      <w:r w:rsidR="00602672">
        <w:rPr>
          <w:rFonts w:ascii="Book Antiqua" w:hAnsi="Book Antiqua"/>
          <w:sz w:val="22"/>
          <w:szCs w:val="22"/>
        </w:rPr>
        <w:t xml:space="preserve"> testamentet i pennen, </w:t>
      </w:r>
      <w:r w:rsidR="0098512A">
        <w:rPr>
          <w:rFonts w:ascii="Book Antiqua" w:hAnsi="Book Antiqua"/>
          <w:sz w:val="22"/>
          <w:szCs w:val="22"/>
        </w:rPr>
        <w:t>tolker</w:t>
      </w:r>
      <w:r w:rsidR="00FE06CF">
        <w:rPr>
          <w:rFonts w:ascii="Book Antiqua" w:hAnsi="Book Antiqua"/>
          <w:sz w:val="22"/>
          <w:szCs w:val="22"/>
        </w:rPr>
        <w:t xml:space="preserve"> </w:t>
      </w:r>
      <w:r w:rsidR="00AE359B">
        <w:rPr>
          <w:rFonts w:ascii="Book Antiqua" w:hAnsi="Book Antiqua"/>
          <w:sz w:val="22"/>
          <w:szCs w:val="22"/>
        </w:rPr>
        <w:t xml:space="preserve">det </w:t>
      </w:r>
      <w:r w:rsidR="00FE06CF">
        <w:rPr>
          <w:rFonts w:ascii="Book Antiqua" w:hAnsi="Book Antiqua"/>
          <w:sz w:val="22"/>
          <w:szCs w:val="22"/>
        </w:rPr>
        <w:t xml:space="preserve">dit hen at </w:t>
      </w:r>
      <w:r w:rsidR="0098512A">
        <w:rPr>
          <w:rFonts w:ascii="Book Antiqua" w:hAnsi="Book Antiqua"/>
          <w:sz w:val="22"/>
          <w:szCs w:val="22"/>
        </w:rPr>
        <w:t xml:space="preserve">denne </w:t>
      </w:r>
      <w:r w:rsidR="00FE06CF">
        <w:rPr>
          <w:rFonts w:ascii="Book Antiqua" w:hAnsi="Book Antiqua"/>
          <w:sz w:val="22"/>
          <w:szCs w:val="22"/>
        </w:rPr>
        <w:t xml:space="preserve">stiftelsen skulle opprettes da moren døde i 2014. </w:t>
      </w:r>
      <w:r w:rsidR="002966DF">
        <w:rPr>
          <w:rFonts w:ascii="Book Antiqua" w:hAnsi="Book Antiqua"/>
          <w:sz w:val="22"/>
          <w:szCs w:val="22"/>
        </w:rPr>
        <w:t>Tremenningen</w:t>
      </w:r>
      <w:r w:rsidR="00FE06CF">
        <w:rPr>
          <w:rFonts w:ascii="Book Antiqua" w:hAnsi="Book Antiqua"/>
          <w:sz w:val="22"/>
          <w:szCs w:val="22"/>
        </w:rPr>
        <w:t xml:space="preserve"> tolke</w:t>
      </w:r>
      <w:r w:rsidR="0098512A">
        <w:rPr>
          <w:rFonts w:ascii="Book Antiqua" w:hAnsi="Book Antiqua"/>
          <w:sz w:val="22"/>
          <w:szCs w:val="22"/>
        </w:rPr>
        <w:t>r</w:t>
      </w:r>
      <w:r w:rsidR="00FE06CF">
        <w:rPr>
          <w:rFonts w:ascii="Book Antiqua" w:hAnsi="Book Antiqua"/>
          <w:sz w:val="22"/>
          <w:szCs w:val="22"/>
        </w:rPr>
        <w:t xml:space="preserve"> det derimot slik at stiftelsen bare sk</w:t>
      </w:r>
      <w:r w:rsidR="0098512A">
        <w:rPr>
          <w:rFonts w:ascii="Book Antiqua" w:hAnsi="Book Antiqua"/>
          <w:sz w:val="22"/>
          <w:szCs w:val="22"/>
        </w:rPr>
        <w:t>al</w:t>
      </w:r>
      <w:r w:rsidR="00FE06CF">
        <w:rPr>
          <w:rFonts w:ascii="Book Antiqua" w:hAnsi="Book Antiqua"/>
          <w:sz w:val="22"/>
          <w:szCs w:val="22"/>
        </w:rPr>
        <w:t xml:space="preserve"> opprettes dersom det er igjen midler når</w:t>
      </w:r>
      <w:r w:rsidR="00AE359B">
        <w:rPr>
          <w:rFonts w:ascii="Book Antiqua" w:hAnsi="Book Antiqua"/>
          <w:sz w:val="22"/>
          <w:szCs w:val="22"/>
        </w:rPr>
        <w:t xml:space="preserve"> den pleietrengende sønnen</w:t>
      </w:r>
      <w:r w:rsidR="00FE06CF">
        <w:rPr>
          <w:rFonts w:ascii="Book Antiqua" w:hAnsi="Book Antiqua"/>
          <w:sz w:val="22"/>
          <w:szCs w:val="22"/>
        </w:rPr>
        <w:t xml:space="preserve"> går bort. </w:t>
      </w:r>
    </w:p>
    <w:p w:rsidR="00AE359B" w:rsidRPr="0004614E" w:rsidRDefault="00AE359B" w:rsidP="00B471E7">
      <w:pPr>
        <w:widowControl/>
        <w:rPr>
          <w:rFonts w:ascii="Book Antiqua" w:hAnsi="Book Antiqua"/>
          <w:sz w:val="16"/>
          <w:szCs w:val="16"/>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835C7F" w:rsidRDefault="00835C7F" w:rsidP="00BF332E">
      <w:pPr>
        <w:widowControl/>
        <w:rPr>
          <w:rFonts w:ascii="Book Antiqua" w:hAnsi="Book Antiqua"/>
          <w:sz w:val="22"/>
          <w:szCs w:val="22"/>
        </w:rPr>
      </w:pPr>
    </w:p>
    <w:p w:rsidR="0001719F" w:rsidRDefault="0001719F" w:rsidP="00BF332E">
      <w:pPr>
        <w:widowControl/>
        <w:rPr>
          <w:rFonts w:ascii="Book Antiqua" w:hAnsi="Book Antiqua"/>
          <w:b/>
          <w:sz w:val="22"/>
          <w:szCs w:val="22"/>
        </w:rPr>
      </w:pPr>
      <w:r w:rsidRPr="00F643D4">
        <w:rPr>
          <w:rFonts w:ascii="Book Antiqua" w:hAnsi="Book Antiqua"/>
          <w:b/>
          <w:sz w:val="22"/>
          <w:szCs w:val="22"/>
        </w:rPr>
        <w:lastRenderedPageBreak/>
        <w:t xml:space="preserve">KLAGEN: </w:t>
      </w:r>
    </w:p>
    <w:p w:rsidR="00BF332E" w:rsidRPr="00BF332E" w:rsidRDefault="00BF332E" w:rsidP="00BF332E">
      <w:pPr>
        <w:rPr>
          <w:rFonts w:ascii="Book Antiqua" w:hAnsi="Book Antiqua"/>
          <w:sz w:val="16"/>
          <w:szCs w:val="16"/>
        </w:rPr>
      </w:pPr>
    </w:p>
    <w:p w:rsidR="00831766" w:rsidRDefault="0004614E" w:rsidP="00BF332E">
      <w:pPr>
        <w:rPr>
          <w:rFonts w:ascii="Book Antiqua" w:hAnsi="Book Antiqua"/>
          <w:sz w:val="22"/>
          <w:szCs w:val="22"/>
        </w:rPr>
      </w:pPr>
      <w:r w:rsidRPr="0004614E">
        <w:rPr>
          <w:rFonts w:ascii="Book Antiqua" w:hAnsi="Book Antiqua"/>
          <w:sz w:val="22"/>
          <w:szCs w:val="22"/>
        </w:rPr>
        <w:t xml:space="preserve">Klager er </w:t>
      </w:r>
      <w:r>
        <w:rPr>
          <w:rFonts w:ascii="Book Antiqua" w:hAnsi="Book Antiqua"/>
          <w:sz w:val="22"/>
          <w:szCs w:val="22"/>
        </w:rPr>
        <w:t>den omtalte advokaten og testamentfullbyrderen Erik A. Grahl-Madsen.</w:t>
      </w:r>
      <w:r w:rsidR="007976E5">
        <w:rPr>
          <w:rFonts w:ascii="Book Antiqua" w:hAnsi="Book Antiqua"/>
          <w:sz w:val="22"/>
          <w:szCs w:val="22"/>
        </w:rPr>
        <w:t xml:space="preserve"> </w:t>
      </w:r>
      <w:r w:rsidR="00DF6EA5">
        <w:rPr>
          <w:rFonts w:ascii="Book Antiqua" w:hAnsi="Book Antiqua"/>
          <w:sz w:val="22"/>
          <w:szCs w:val="22"/>
        </w:rPr>
        <w:t xml:space="preserve">Han viser til </w:t>
      </w:r>
      <w:proofErr w:type="spellStart"/>
      <w:r w:rsidR="00DF6EA5">
        <w:rPr>
          <w:rFonts w:ascii="Book Antiqua" w:hAnsi="Book Antiqua"/>
          <w:sz w:val="22"/>
          <w:szCs w:val="22"/>
        </w:rPr>
        <w:t>VVPs</w:t>
      </w:r>
      <w:proofErr w:type="spellEnd"/>
      <w:r w:rsidR="00DF6EA5">
        <w:rPr>
          <w:rFonts w:ascii="Book Antiqua" w:hAnsi="Book Antiqua"/>
          <w:sz w:val="22"/>
          <w:szCs w:val="22"/>
        </w:rPr>
        <w:t xml:space="preserve"> punkt 3.2, 4.1, 4.4 og 4.5, og påpeker at faktiske opplysninger kan settes sammen på ulike måter for å skape ulike historier. Klager argumenterer for at den påklag</w:t>
      </w:r>
      <w:r w:rsidR="005D40B6">
        <w:rPr>
          <w:rFonts w:ascii="Book Antiqua" w:hAnsi="Book Antiqua"/>
          <w:sz w:val="22"/>
          <w:szCs w:val="22"/>
        </w:rPr>
        <w:t>ede artikkelen inneholdt</w:t>
      </w:r>
      <w:r w:rsidR="00DF6EA5">
        <w:rPr>
          <w:rFonts w:ascii="Book Antiqua" w:hAnsi="Book Antiqua"/>
          <w:sz w:val="22"/>
          <w:szCs w:val="22"/>
        </w:rPr>
        <w:t xml:space="preserve"> insinuasjoner og uriktigheter.</w:t>
      </w:r>
    </w:p>
    <w:p w:rsidR="00BF332E" w:rsidRPr="006F254E" w:rsidRDefault="00BF332E" w:rsidP="00BF332E">
      <w:pPr>
        <w:rPr>
          <w:rFonts w:ascii="Book Antiqua" w:hAnsi="Book Antiqua"/>
          <w:sz w:val="16"/>
          <w:szCs w:val="16"/>
        </w:rPr>
      </w:pPr>
    </w:p>
    <w:p w:rsidR="00CC10F2" w:rsidRDefault="007976E5" w:rsidP="00831766">
      <w:pPr>
        <w:widowControl/>
        <w:overflowPunct/>
        <w:textAlignment w:val="auto"/>
        <w:rPr>
          <w:rFonts w:ascii="Book Antiqua" w:hAnsi="Book Antiqua"/>
          <w:sz w:val="22"/>
          <w:szCs w:val="22"/>
        </w:rPr>
      </w:pPr>
      <w:r>
        <w:rPr>
          <w:rFonts w:ascii="Book Antiqua" w:hAnsi="Book Antiqua"/>
          <w:sz w:val="22"/>
          <w:szCs w:val="22"/>
        </w:rPr>
        <w:t>Klager anfører</w:t>
      </w:r>
      <w:r w:rsidR="00A35F88">
        <w:rPr>
          <w:rFonts w:ascii="Book Antiqua" w:hAnsi="Book Antiqua"/>
          <w:sz w:val="22"/>
          <w:szCs w:val="22"/>
        </w:rPr>
        <w:t xml:space="preserve"> at han møtte journalisten </w:t>
      </w:r>
      <w:r w:rsidR="000B0217">
        <w:rPr>
          <w:rFonts w:ascii="Book Antiqua" w:hAnsi="Book Antiqua"/>
          <w:sz w:val="22"/>
          <w:szCs w:val="22"/>
        </w:rPr>
        <w:t xml:space="preserve">før publisering </w:t>
      </w:r>
      <w:r w:rsidR="00A35F88">
        <w:rPr>
          <w:rFonts w:ascii="Book Antiqua" w:hAnsi="Book Antiqua"/>
          <w:sz w:val="22"/>
          <w:szCs w:val="22"/>
        </w:rPr>
        <w:t xml:space="preserve">30. mai 2018, og at han </w:t>
      </w:r>
      <w:r w:rsidR="00256049">
        <w:rPr>
          <w:rFonts w:ascii="Book Antiqua" w:hAnsi="Book Antiqua"/>
          <w:sz w:val="22"/>
          <w:szCs w:val="22"/>
        </w:rPr>
        <w:t>da</w:t>
      </w:r>
      <w:r w:rsidR="00A35F88">
        <w:rPr>
          <w:rFonts w:ascii="Book Antiqua" w:hAnsi="Book Antiqua"/>
          <w:sz w:val="22"/>
          <w:szCs w:val="22"/>
        </w:rPr>
        <w:t xml:space="preserve"> imøtegikk og korrigerte påstander og hentydninger som </w:t>
      </w:r>
      <w:r w:rsidR="00A97282">
        <w:rPr>
          <w:rFonts w:ascii="Book Antiqua" w:hAnsi="Book Antiqua"/>
          <w:sz w:val="22"/>
          <w:szCs w:val="22"/>
        </w:rPr>
        <w:t>journalisten</w:t>
      </w:r>
      <w:r>
        <w:rPr>
          <w:rFonts w:ascii="Book Antiqua" w:hAnsi="Book Antiqua"/>
          <w:sz w:val="22"/>
          <w:szCs w:val="22"/>
        </w:rPr>
        <w:t>, ifølge klager,</w:t>
      </w:r>
      <w:r w:rsidR="00A97282">
        <w:rPr>
          <w:rFonts w:ascii="Book Antiqua" w:hAnsi="Book Antiqua"/>
          <w:sz w:val="22"/>
          <w:szCs w:val="22"/>
        </w:rPr>
        <w:t xml:space="preserve"> hadde innhentet fra den</w:t>
      </w:r>
      <w:r>
        <w:rPr>
          <w:rFonts w:ascii="Book Antiqua" w:hAnsi="Book Antiqua"/>
          <w:sz w:val="22"/>
          <w:szCs w:val="22"/>
        </w:rPr>
        <w:t xml:space="preserve"> pleietrengende sønnens tremenning</w:t>
      </w:r>
      <w:r w:rsidR="00A97282">
        <w:rPr>
          <w:rFonts w:ascii="Book Antiqua" w:hAnsi="Book Antiqua"/>
          <w:sz w:val="22"/>
          <w:szCs w:val="22"/>
        </w:rPr>
        <w:t xml:space="preserve">. </w:t>
      </w:r>
      <w:r w:rsidR="00C04AB5">
        <w:rPr>
          <w:rFonts w:ascii="Book Antiqua" w:hAnsi="Book Antiqua"/>
          <w:sz w:val="22"/>
          <w:szCs w:val="22"/>
        </w:rPr>
        <w:t xml:space="preserve">Klager fremholder at han tilbød journalisten dokumentasjon for </w:t>
      </w:r>
      <w:r w:rsidR="00591E2B">
        <w:rPr>
          <w:rFonts w:ascii="Book Antiqua" w:hAnsi="Book Antiqua"/>
          <w:sz w:val="22"/>
          <w:szCs w:val="22"/>
        </w:rPr>
        <w:t>sine</w:t>
      </w:r>
      <w:r w:rsidR="00C04AB5">
        <w:rPr>
          <w:rFonts w:ascii="Book Antiqua" w:hAnsi="Book Antiqua"/>
          <w:sz w:val="22"/>
          <w:szCs w:val="22"/>
        </w:rPr>
        <w:t xml:space="preserve"> anførsle</w:t>
      </w:r>
      <w:r w:rsidR="00591E2B">
        <w:rPr>
          <w:rFonts w:ascii="Book Antiqua" w:hAnsi="Book Antiqua"/>
          <w:sz w:val="22"/>
          <w:szCs w:val="22"/>
        </w:rPr>
        <w:t>r</w:t>
      </w:r>
      <w:r w:rsidR="00C04AB5">
        <w:rPr>
          <w:rFonts w:ascii="Book Antiqua" w:hAnsi="Book Antiqua"/>
          <w:sz w:val="22"/>
          <w:szCs w:val="22"/>
        </w:rPr>
        <w:t xml:space="preserve">, men at journalisten ikke var interessert. </w:t>
      </w:r>
      <w:r w:rsidR="000B0217">
        <w:rPr>
          <w:rFonts w:ascii="Book Antiqua" w:hAnsi="Book Antiqua"/>
          <w:sz w:val="22"/>
          <w:szCs w:val="22"/>
        </w:rPr>
        <w:t>Da klager fikk beskjed om at artikkelen ikke ville bli endret i henhold til klagers ønsker,</w:t>
      </w:r>
      <w:r>
        <w:rPr>
          <w:rFonts w:ascii="Book Antiqua" w:hAnsi="Book Antiqua"/>
          <w:sz w:val="22"/>
          <w:szCs w:val="22"/>
        </w:rPr>
        <w:t xml:space="preserve"> sendte klager en e-post til ansvarlig redaktør for BT</w:t>
      </w:r>
      <w:r w:rsidR="000B0217">
        <w:rPr>
          <w:rFonts w:ascii="Book Antiqua" w:hAnsi="Book Antiqua"/>
          <w:sz w:val="22"/>
          <w:szCs w:val="22"/>
        </w:rPr>
        <w:t xml:space="preserve"> </w:t>
      </w:r>
      <w:r>
        <w:rPr>
          <w:rFonts w:ascii="Book Antiqua" w:hAnsi="Book Antiqua"/>
          <w:sz w:val="22"/>
          <w:szCs w:val="22"/>
        </w:rPr>
        <w:t xml:space="preserve">(Vedlegg 2, sekr. </w:t>
      </w:r>
      <w:proofErr w:type="spellStart"/>
      <w:r>
        <w:rPr>
          <w:rFonts w:ascii="Book Antiqua" w:hAnsi="Book Antiqua"/>
          <w:sz w:val="22"/>
          <w:szCs w:val="22"/>
        </w:rPr>
        <w:t>anm</w:t>
      </w:r>
      <w:proofErr w:type="spellEnd"/>
      <w:r>
        <w:rPr>
          <w:rFonts w:ascii="Book Antiqua" w:hAnsi="Book Antiqua"/>
          <w:sz w:val="22"/>
          <w:szCs w:val="22"/>
        </w:rPr>
        <w:t>.)</w:t>
      </w:r>
      <w:r w:rsidR="000B0217">
        <w:rPr>
          <w:rFonts w:ascii="Book Antiqua" w:hAnsi="Book Antiqua"/>
          <w:sz w:val="22"/>
          <w:szCs w:val="22"/>
        </w:rPr>
        <w:t>,</w:t>
      </w:r>
      <w:r>
        <w:rPr>
          <w:rFonts w:ascii="Book Antiqua" w:hAnsi="Book Antiqua"/>
          <w:sz w:val="22"/>
          <w:szCs w:val="22"/>
        </w:rPr>
        <w:t xml:space="preserve"> der han </w:t>
      </w:r>
      <w:r w:rsidR="000B0217">
        <w:rPr>
          <w:rFonts w:ascii="Book Antiqua" w:hAnsi="Book Antiqua"/>
          <w:sz w:val="22"/>
          <w:szCs w:val="22"/>
        </w:rPr>
        <w:t>«redegjorde […] kort for noen uriktige forhold som ville bli publiserte i artikkelen[.]»</w:t>
      </w:r>
      <w:r w:rsidR="002A7932">
        <w:rPr>
          <w:rFonts w:ascii="Book Antiqua" w:hAnsi="Book Antiqua"/>
          <w:sz w:val="22"/>
          <w:szCs w:val="22"/>
        </w:rPr>
        <w:t>.</w:t>
      </w:r>
      <w:r w:rsidR="00BF332E">
        <w:rPr>
          <w:rFonts w:ascii="Book Antiqua" w:hAnsi="Book Antiqua"/>
          <w:sz w:val="22"/>
          <w:szCs w:val="22"/>
        </w:rPr>
        <w:t xml:space="preserve"> </w:t>
      </w:r>
      <w:r w:rsidR="00831766">
        <w:rPr>
          <w:rFonts w:ascii="Book Antiqua" w:hAnsi="Book Antiqua"/>
          <w:sz w:val="22"/>
          <w:szCs w:val="22"/>
        </w:rPr>
        <w:t xml:space="preserve">Etter publisering kom det i stand et nytt møte mellom klager og redaksjonen. Forut for dette møtet sendte klager en ny e-post med en samlet fremstilling av sine merknader til artikkelen (Vedlegg 6, sekr. </w:t>
      </w:r>
      <w:proofErr w:type="spellStart"/>
      <w:r w:rsidR="00831766">
        <w:rPr>
          <w:rFonts w:ascii="Book Antiqua" w:hAnsi="Book Antiqua"/>
          <w:sz w:val="22"/>
          <w:szCs w:val="22"/>
        </w:rPr>
        <w:t>anm</w:t>
      </w:r>
      <w:proofErr w:type="spellEnd"/>
      <w:r w:rsidR="00831766">
        <w:rPr>
          <w:rFonts w:ascii="Book Antiqua" w:hAnsi="Book Antiqua"/>
          <w:sz w:val="22"/>
          <w:szCs w:val="22"/>
        </w:rPr>
        <w:t>.)</w:t>
      </w:r>
      <w:r w:rsidR="008F6A90">
        <w:rPr>
          <w:rFonts w:ascii="Book Antiqua" w:hAnsi="Book Antiqua"/>
          <w:sz w:val="22"/>
          <w:szCs w:val="22"/>
        </w:rPr>
        <w:t>.</w:t>
      </w:r>
    </w:p>
    <w:p w:rsidR="00EE1F31" w:rsidRPr="00BF332E" w:rsidRDefault="00EE1F31" w:rsidP="00EE1F31">
      <w:pPr>
        <w:widowControl/>
        <w:overflowPunct/>
        <w:textAlignment w:val="auto"/>
        <w:rPr>
          <w:rFonts w:ascii="Book Antiqua" w:hAnsi="Book Antiqua"/>
          <w:sz w:val="22"/>
          <w:szCs w:val="22"/>
        </w:rPr>
      </w:pPr>
    </w:p>
    <w:p w:rsidR="00EE1F31" w:rsidRDefault="00CC10F2" w:rsidP="00EE1F31">
      <w:pPr>
        <w:widowControl/>
        <w:overflowPunct/>
        <w:textAlignment w:val="auto"/>
        <w:rPr>
          <w:rFonts w:ascii="Book Antiqua" w:hAnsi="Book Antiqua"/>
          <w:sz w:val="22"/>
          <w:szCs w:val="22"/>
        </w:rPr>
      </w:pPr>
      <w:r>
        <w:rPr>
          <w:rFonts w:ascii="Book Antiqua" w:hAnsi="Book Antiqua"/>
          <w:sz w:val="22"/>
          <w:szCs w:val="22"/>
        </w:rPr>
        <w:t>1</w:t>
      </w:r>
      <w:r>
        <w:rPr>
          <w:rStyle w:val="Fotnotereferanse"/>
          <w:rFonts w:ascii="Book Antiqua" w:hAnsi="Book Antiqua"/>
          <w:sz w:val="22"/>
          <w:szCs w:val="22"/>
        </w:rPr>
        <w:footnoteReference w:id="1"/>
      </w:r>
      <w:r w:rsidR="00EE1F31">
        <w:rPr>
          <w:rFonts w:ascii="Book Antiqua" w:hAnsi="Book Antiqua"/>
          <w:sz w:val="22"/>
          <w:szCs w:val="22"/>
        </w:rPr>
        <w:t xml:space="preserve">) </w:t>
      </w:r>
      <w:r w:rsidR="00831766" w:rsidRPr="005F0E4E">
        <w:rPr>
          <w:rFonts w:ascii="Book Antiqua" w:hAnsi="Book Antiqua"/>
          <w:sz w:val="22"/>
          <w:szCs w:val="22"/>
        </w:rPr>
        <w:t xml:space="preserve">Klager reagerer på formuleringen «I 2015 begynte han å overføre midler fra klientkontoen til seg selv». Klager </w:t>
      </w:r>
      <w:r w:rsidR="00831766">
        <w:rPr>
          <w:rFonts w:ascii="Book Antiqua" w:hAnsi="Book Antiqua"/>
          <w:sz w:val="22"/>
          <w:szCs w:val="22"/>
        </w:rPr>
        <w:t>mener at BT her insinuerte at han underslo penger fra dødsboet han bestyrte. Ifølge klager ble journalisten, før publisering, gjort kjent med at klager ikke har overført penger som ikke var honorar for utført arbeid. Fakturaene er blitt bokført, revisorgodkjent og sendt til Tilsynsrådet for advokatvirksomhet årlig, skriver klager</w:t>
      </w:r>
      <w:r>
        <w:rPr>
          <w:rFonts w:ascii="Book Antiqua" w:hAnsi="Book Antiqua"/>
          <w:sz w:val="22"/>
          <w:szCs w:val="22"/>
        </w:rPr>
        <w:t>.</w:t>
      </w:r>
    </w:p>
    <w:p w:rsidR="00CC10F2" w:rsidRDefault="00CC10F2" w:rsidP="00EE1F31">
      <w:pPr>
        <w:widowControl/>
        <w:overflowPunct/>
        <w:textAlignment w:val="auto"/>
        <w:rPr>
          <w:rFonts w:ascii="Book Antiqua" w:hAnsi="Book Antiqua"/>
          <w:sz w:val="22"/>
          <w:szCs w:val="22"/>
        </w:rPr>
      </w:pPr>
    </w:p>
    <w:p w:rsidR="00CC10F2" w:rsidRDefault="00CC10F2" w:rsidP="00CC10F2">
      <w:pPr>
        <w:rPr>
          <w:rFonts w:ascii="Book Antiqua" w:hAnsi="Book Antiqua"/>
          <w:sz w:val="22"/>
          <w:szCs w:val="22"/>
        </w:rPr>
      </w:pPr>
      <w:r>
        <w:rPr>
          <w:rFonts w:ascii="Book Antiqua" w:hAnsi="Book Antiqua"/>
          <w:sz w:val="22"/>
          <w:szCs w:val="22"/>
        </w:rPr>
        <w:t xml:space="preserve">2) </w:t>
      </w:r>
      <w:r w:rsidRPr="005F33A4">
        <w:rPr>
          <w:rFonts w:ascii="Book Antiqua" w:hAnsi="Book Antiqua"/>
          <w:sz w:val="22"/>
          <w:szCs w:val="22"/>
        </w:rPr>
        <w:t xml:space="preserve">Klager </w:t>
      </w:r>
      <w:r>
        <w:rPr>
          <w:rFonts w:ascii="Book Antiqua" w:hAnsi="Book Antiqua"/>
          <w:sz w:val="22"/>
          <w:szCs w:val="22"/>
        </w:rPr>
        <w:t>viser til</w:t>
      </w:r>
      <w:r w:rsidRPr="005F33A4">
        <w:rPr>
          <w:rFonts w:ascii="Book Antiqua" w:hAnsi="Book Antiqua"/>
          <w:sz w:val="22"/>
          <w:szCs w:val="22"/>
        </w:rPr>
        <w:t xml:space="preserve"> </w:t>
      </w:r>
      <w:r>
        <w:rPr>
          <w:rFonts w:ascii="Book Antiqua" w:hAnsi="Book Antiqua"/>
          <w:sz w:val="22"/>
          <w:szCs w:val="22"/>
        </w:rPr>
        <w:t>følgende avsnitt i artikkelen:</w:t>
      </w:r>
    </w:p>
    <w:p w:rsidR="00CC10F2" w:rsidRPr="00CC10F2" w:rsidRDefault="00CC10F2" w:rsidP="00CC10F2">
      <w:pPr>
        <w:rPr>
          <w:rFonts w:ascii="Book Antiqua" w:hAnsi="Book Antiqua"/>
          <w:sz w:val="16"/>
          <w:szCs w:val="16"/>
        </w:rPr>
      </w:pPr>
      <w:r w:rsidRPr="005F33A4">
        <w:rPr>
          <w:rFonts w:ascii="Book Antiqua" w:hAnsi="Book Antiqua"/>
          <w:sz w:val="22"/>
          <w:szCs w:val="22"/>
        </w:rPr>
        <w:t xml:space="preserve"> </w:t>
      </w:r>
    </w:p>
    <w:p w:rsidR="00CC10F2" w:rsidRPr="00FA1A43" w:rsidRDefault="00CC10F2" w:rsidP="00CC10F2">
      <w:pPr>
        <w:rPr>
          <w:rFonts w:ascii="Book Antiqua" w:hAnsi="Book Antiqua"/>
          <w:i/>
          <w:sz w:val="22"/>
          <w:szCs w:val="22"/>
        </w:rPr>
      </w:pPr>
      <w:r w:rsidRPr="00FA1A43">
        <w:rPr>
          <w:rFonts w:ascii="Book Antiqua" w:hAnsi="Book Antiqua"/>
          <w:i/>
          <w:sz w:val="22"/>
          <w:szCs w:val="22"/>
        </w:rPr>
        <w:t>«Nemnda mente det var sannsynlig at det var en underdekning på over én million kroner på klientbankkonto ved nyttår 2015. Ifølge vedtaket ble det påpekt avvik av tilsvarende karakter under et bokettersyn hos Erik Grahl-Madsen i 2012. Han fikk da en advarsel.»</w:t>
      </w:r>
    </w:p>
    <w:p w:rsidR="00CC10F2" w:rsidRPr="00CC10F2" w:rsidRDefault="00CC10F2" w:rsidP="00CC10F2">
      <w:pPr>
        <w:rPr>
          <w:sz w:val="16"/>
          <w:szCs w:val="16"/>
        </w:rPr>
      </w:pPr>
    </w:p>
    <w:p w:rsidR="00CC10F2" w:rsidRDefault="00CC10F2" w:rsidP="00CC10F2">
      <w:pPr>
        <w:widowControl/>
        <w:overflowPunct/>
        <w:textAlignment w:val="auto"/>
        <w:rPr>
          <w:rFonts w:ascii="Book Antiqua" w:hAnsi="Book Antiqua"/>
          <w:sz w:val="22"/>
          <w:szCs w:val="22"/>
        </w:rPr>
      </w:pPr>
      <w:r w:rsidRPr="00C2770D">
        <w:rPr>
          <w:rFonts w:ascii="Book Antiqua" w:hAnsi="Book Antiqua"/>
          <w:sz w:val="22"/>
          <w:szCs w:val="22"/>
        </w:rPr>
        <w:t xml:space="preserve">Klager anfører at dette er feil og et feilsitat fra nemndens avgjørelse. Ifølge klager var det regnskapsmessig underdekning på en </w:t>
      </w:r>
      <w:r w:rsidRPr="00CC10F2">
        <w:rPr>
          <w:rFonts w:ascii="Book Antiqua" w:hAnsi="Book Antiqua"/>
          <w:sz w:val="22"/>
          <w:szCs w:val="22"/>
        </w:rPr>
        <w:t xml:space="preserve">klientansvarskonto </w:t>
      </w:r>
      <w:r w:rsidR="00324D0C">
        <w:rPr>
          <w:rFonts w:ascii="Book Antiqua" w:hAnsi="Book Antiqua"/>
          <w:sz w:val="22"/>
          <w:szCs w:val="22"/>
        </w:rPr>
        <w:t>grunnet</w:t>
      </w:r>
      <w:r w:rsidRPr="00C2770D">
        <w:rPr>
          <w:rFonts w:ascii="Book Antiqua" w:hAnsi="Book Antiqua"/>
          <w:sz w:val="22"/>
          <w:szCs w:val="22"/>
        </w:rPr>
        <w:t xml:space="preserve"> en posteringsfeil. Klientbankkontoene har alltid vært i balanse, skriver klager. Klager fremholder at han tilbød journalisten dokumentasjon på dette, men at journalisten ikke var interessert. Klager legger til at det ikke ble avdekket underdekning av klientansvarskontoer eller annet under det omtalte bokettersynet i 2012.</w:t>
      </w:r>
      <w:r>
        <w:rPr>
          <w:rFonts w:ascii="Book Antiqua" w:hAnsi="Book Antiqua"/>
          <w:sz w:val="22"/>
          <w:szCs w:val="22"/>
        </w:rPr>
        <w:t xml:space="preserve"> Videre fremholder klager at den påståtte underdekningen, som var årsaken til at han ble fratatt bevillingen, ikke </w:t>
      </w:r>
      <w:r w:rsidR="00324D0C">
        <w:rPr>
          <w:rFonts w:ascii="Book Antiqua" w:hAnsi="Book Antiqua"/>
          <w:sz w:val="22"/>
          <w:szCs w:val="22"/>
        </w:rPr>
        <w:t>angikk</w:t>
      </w:r>
      <w:r>
        <w:rPr>
          <w:rFonts w:ascii="Book Antiqua" w:hAnsi="Book Antiqua"/>
          <w:sz w:val="22"/>
          <w:szCs w:val="22"/>
        </w:rPr>
        <w:t xml:space="preserve"> dødsboet artikkelen omtaler, og at det å trekke inn denne informasjonen ikke tjente noe annet formål enn å skade klager.</w:t>
      </w:r>
    </w:p>
    <w:p w:rsidR="00CC10F2" w:rsidRPr="00BF332E" w:rsidRDefault="00CC10F2" w:rsidP="00CC10F2">
      <w:pPr>
        <w:widowControl/>
        <w:overflowPunct/>
        <w:textAlignment w:val="auto"/>
        <w:rPr>
          <w:rFonts w:ascii="Book Antiqua" w:hAnsi="Book Antiqua"/>
          <w:sz w:val="22"/>
          <w:szCs w:val="22"/>
        </w:rPr>
      </w:pPr>
    </w:p>
    <w:p w:rsidR="00CC10F2" w:rsidRDefault="00CC10F2" w:rsidP="00CC10F2">
      <w:pPr>
        <w:widowControl/>
        <w:overflowPunct/>
        <w:textAlignment w:val="auto"/>
        <w:rPr>
          <w:rFonts w:ascii="Book Antiqua" w:hAnsi="Book Antiqua"/>
          <w:sz w:val="22"/>
          <w:szCs w:val="22"/>
        </w:rPr>
      </w:pPr>
      <w:r>
        <w:rPr>
          <w:rFonts w:ascii="Book Antiqua" w:hAnsi="Book Antiqua"/>
          <w:sz w:val="22"/>
          <w:szCs w:val="22"/>
        </w:rPr>
        <w:t xml:space="preserve">3) Klager anfører at redaksjonen </w:t>
      </w:r>
      <w:r w:rsidR="00EF3618">
        <w:rPr>
          <w:rFonts w:ascii="Book Antiqua" w:hAnsi="Book Antiqua"/>
          <w:sz w:val="22"/>
          <w:szCs w:val="22"/>
        </w:rPr>
        <w:t xml:space="preserve">før publisering ga uttrykk for at den ikke hadde fått </w:t>
      </w:r>
      <w:r>
        <w:rPr>
          <w:rFonts w:ascii="Book Antiqua" w:hAnsi="Book Antiqua"/>
          <w:sz w:val="22"/>
          <w:szCs w:val="22"/>
        </w:rPr>
        <w:t xml:space="preserve">en formell bekreftelse </w:t>
      </w:r>
      <w:r w:rsidR="00EF3618">
        <w:rPr>
          <w:rFonts w:ascii="Book Antiqua" w:hAnsi="Book Antiqua"/>
          <w:sz w:val="22"/>
          <w:szCs w:val="22"/>
        </w:rPr>
        <w:t xml:space="preserve">fra politiet </w:t>
      </w:r>
      <w:r>
        <w:rPr>
          <w:rFonts w:ascii="Book Antiqua" w:hAnsi="Book Antiqua"/>
          <w:sz w:val="22"/>
          <w:szCs w:val="22"/>
        </w:rPr>
        <w:t>på at k</w:t>
      </w:r>
      <w:r w:rsidR="00EF3618">
        <w:rPr>
          <w:rFonts w:ascii="Book Antiqua" w:hAnsi="Book Antiqua"/>
          <w:sz w:val="22"/>
          <w:szCs w:val="22"/>
        </w:rPr>
        <w:t xml:space="preserve">lager faktisk var </w:t>
      </w:r>
      <w:r>
        <w:rPr>
          <w:rFonts w:ascii="Book Antiqua" w:hAnsi="Book Antiqua"/>
          <w:sz w:val="22"/>
          <w:szCs w:val="22"/>
        </w:rPr>
        <w:t>anmeldt</w:t>
      </w:r>
      <w:r w:rsidR="00EF3618">
        <w:rPr>
          <w:rFonts w:ascii="Book Antiqua" w:hAnsi="Book Antiqua"/>
          <w:sz w:val="22"/>
          <w:szCs w:val="22"/>
        </w:rPr>
        <w:t>.</w:t>
      </w:r>
      <w:r>
        <w:rPr>
          <w:rFonts w:ascii="Book Antiqua" w:hAnsi="Book Antiqua"/>
          <w:sz w:val="22"/>
          <w:szCs w:val="22"/>
        </w:rPr>
        <w:t xml:space="preserve"> </w:t>
      </w:r>
      <w:r w:rsidR="00EF3618">
        <w:rPr>
          <w:rFonts w:ascii="Book Antiqua" w:hAnsi="Book Antiqua"/>
          <w:sz w:val="22"/>
          <w:szCs w:val="22"/>
        </w:rPr>
        <w:t>Klager mener derfor</w:t>
      </w:r>
      <w:r>
        <w:rPr>
          <w:rFonts w:ascii="Book Antiqua" w:hAnsi="Book Antiqua"/>
          <w:sz w:val="22"/>
          <w:szCs w:val="22"/>
        </w:rPr>
        <w:t xml:space="preserve"> at billedtekst og ingre</w:t>
      </w:r>
      <w:r w:rsidR="00B104FE">
        <w:rPr>
          <w:rFonts w:ascii="Book Antiqua" w:hAnsi="Book Antiqua"/>
          <w:sz w:val="22"/>
          <w:szCs w:val="22"/>
        </w:rPr>
        <w:t xml:space="preserve">ss </w:t>
      </w:r>
      <w:r>
        <w:rPr>
          <w:rFonts w:ascii="Book Antiqua" w:hAnsi="Book Antiqua"/>
          <w:sz w:val="22"/>
          <w:szCs w:val="22"/>
        </w:rPr>
        <w:t xml:space="preserve">inneholdt en ubekreftet opplysning om at klager var anmeldt. Klager kan ikke se at det var dekning i artikkelen for dette, jf. </w:t>
      </w:r>
      <w:proofErr w:type="spellStart"/>
      <w:r>
        <w:rPr>
          <w:rFonts w:ascii="Book Antiqua" w:hAnsi="Book Antiqua"/>
          <w:sz w:val="22"/>
          <w:szCs w:val="22"/>
        </w:rPr>
        <w:t>VVPs</w:t>
      </w:r>
      <w:proofErr w:type="spellEnd"/>
      <w:r>
        <w:rPr>
          <w:rFonts w:ascii="Book Antiqua" w:hAnsi="Book Antiqua"/>
          <w:sz w:val="22"/>
          <w:szCs w:val="22"/>
        </w:rPr>
        <w:t xml:space="preserve"> 4.4.</w:t>
      </w:r>
    </w:p>
    <w:p w:rsidR="00CC10F2" w:rsidRPr="00BF332E" w:rsidRDefault="00CC10F2" w:rsidP="00CC10F2">
      <w:pPr>
        <w:widowControl/>
        <w:overflowPunct/>
        <w:textAlignment w:val="auto"/>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FA1A43" w:rsidP="00CC10F2">
      <w:pPr>
        <w:rPr>
          <w:rFonts w:ascii="Book Antiqua" w:hAnsi="Book Antiqua"/>
          <w:sz w:val="22"/>
          <w:szCs w:val="22"/>
        </w:rPr>
      </w:pPr>
    </w:p>
    <w:p w:rsidR="00FA1A43" w:rsidRDefault="00CC10F2" w:rsidP="00CC10F2">
      <w:pPr>
        <w:rPr>
          <w:rFonts w:ascii="Book Antiqua" w:hAnsi="Book Antiqua"/>
          <w:sz w:val="22"/>
          <w:szCs w:val="22"/>
        </w:rPr>
      </w:pPr>
      <w:r>
        <w:rPr>
          <w:rFonts w:ascii="Book Antiqua" w:hAnsi="Book Antiqua"/>
          <w:sz w:val="22"/>
          <w:szCs w:val="22"/>
        </w:rPr>
        <w:lastRenderedPageBreak/>
        <w:t xml:space="preserve">4) </w:t>
      </w:r>
      <w:r w:rsidRPr="00290200">
        <w:rPr>
          <w:rFonts w:ascii="Book Antiqua" w:hAnsi="Book Antiqua"/>
          <w:sz w:val="22"/>
          <w:szCs w:val="22"/>
        </w:rPr>
        <w:t xml:space="preserve">Klager mener også at BT </w:t>
      </w:r>
      <w:r>
        <w:rPr>
          <w:rFonts w:ascii="Book Antiqua" w:hAnsi="Book Antiqua"/>
          <w:sz w:val="22"/>
          <w:szCs w:val="22"/>
        </w:rPr>
        <w:t>mot bedre vitende</w:t>
      </w:r>
      <w:r w:rsidRPr="00290200">
        <w:rPr>
          <w:rFonts w:ascii="Book Antiqua" w:hAnsi="Book Antiqua"/>
          <w:sz w:val="22"/>
          <w:szCs w:val="22"/>
        </w:rPr>
        <w:t xml:space="preserve"> ga inntrykk av at det var en sammenheng mellom anmeldelsen fra tremenningen og bortfallet av klagers bevilling.</w:t>
      </w:r>
      <w:r>
        <w:rPr>
          <w:rFonts w:ascii="Book Antiqua" w:hAnsi="Book Antiqua"/>
          <w:sz w:val="22"/>
          <w:szCs w:val="22"/>
        </w:rPr>
        <w:t xml:space="preserve"> Klager viser til avsnittet der det sto:</w:t>
      </w:r>
      <w:r w:rsidRPr="00290200">
        <w:rPr>
          <w:rFonts w:ascii="Book Antiqua" w:hAnsi="Book Antiqua"/>
          <w:sz w:val="22"/>
          <w:szCs w:val="22"/>
        </w:rPr>
        <w:t xml:space="preserve"> </w:t>
      </w:r>
    </w:p>
    <w:p w:rsidR="00FA1A43" w:rsidRDefault="00FA1A43" w:rsidP="00CC10F2">
      <w:pPr>
        <w:rPr>
          <w:rFonts w:ascii="Book Antiqua" w:hAnsi="Book Antiqua"/>
          <w:sz w:val="22"/>
          <w:szCs w:val="22"/>
        </w:rPr>
      </w:pPr>
    </w:p>
    <w:p w:rsidR="00FA1A43" w:rsidRDefault="00CC10F2" w:rsidP="00CC10F2">
      <w:pPr>
        <w:rPr>
          <w:rFonts w:ascii="Book Antiqua" w:hAnsi="Book Antiqua"/>
          <w:sz w:val="22"/>
          <w:szCs w:val="22"/>
        </w:rPr>
      </w:pPr>
      <w:r w:rsidRPr="00FA1A43">
        <w:rPr>
          <w:rFonts w:ascii="Book Antiqua" w:hAnsi="Book Antiqua"/>
          <w:i/>
          <w:sz w:val="22"/>
          <w:szCs w:val="22"/>
        </w:rPr>
        <w:t>«Seks måneder før Erik Grahl-Madsen mistet bevillingen anmeldte [tremenningen], hans søster og fetter advokaten til politiet for uttak av minst 600.000 kroner fra dødsboets klientkonto.»</w:t>
      </w:r>
      <w:r>
        <w:rPr>
          <w:rFonts w:ascii="Book Antiqua" w:hAnsi="Book Antiqua"/>
          <w:sz w:val="22"/>
          <w:szCs w:val="22"/>
        </w:rPr>
        <w:t xml:space="preserve">. </w:t>
      </w:r>
    </w:p>
    <w:p w:rsidR="00FA1A43" w:rsidRDefault="00FA1A43" w:rsidP="00CC10F2">
      <w:pPr>
        <w:rPr>
          <w:rFonts w:ascii="Book Antiqua" w:hAnsi="Book Antiqua"/>
          <w:sz w:val="22"/>
          <w:szCs w:val="22"/>
        </w:rPr>
      </w:pPr>
    </w:p>
    <w:p w:rsidR="00CC10F2" w:rsidRDefault="00CC10F2" w:rsidP="00CC10F2">
      <w:pPr>
        <w:rPr>
          <w:rFonts w:ascii="Book Antiqua" w:hAnsi="Book Antiqua"/>
          <w:sz w:val="22"/>
          <w:szCs w:val="22"/>
        </w:rPr>
      </w:pPr>
      <w:r>
        <w:rPr>
          <w:rFonts w:ascii="Book Antiqua" w:hAnsi="Book Antiqua"/>
          <w:sz w:val="22"/>
          <w:szCs w:val="22"/>
        </w:rPr>
        <w:t>Klager skriver at det var han selv som leverte inn bevillingen på grunn av en rygglidelse før vedtaket i nemnden. For ordens skyld nevner klager at politisaken er henlagt.</w:t>
      </w:r>
    </w:p>
    <w:p w:rsidR="00BB6EE5" w:rsidRDefault="00BB6EE5" w:rsidP="00DF6EA5">
      <w:pPr>
        <w:rPr>
          <w:rFonts w:ascii="Book Antiqua" w:hAnsi="Book Antiqua"/>
          <w:sz w:val="22"/>
          <w:szCs w:val="22"/>
        </w:rPr>
      </w:pPr>
    </w:p>
    <w:p w:rsidR="00DF6EA5" w:rsidRDefault="00DF6EA5" w:rsidP="00DF6EA5">
      <w:pPr>
        <w:rPr>
          <w:rFonts w:ascii="Book Antiqua" w:hAnsi="Book Antiqua"/>
          <w:sz w:val="22"/>
          <w:szCs w:val="22"/>
        </w:rPr>
      </w:pPr>
      <w:r>
        <w:rPr>
          <w:rFonts w:ascii="Book Antiqua" w:hAnsi="Book Antiqua"/>
          <w:sz w:val="22"/>
          <w:szCs w:val="22"/>
        </w:rPr>
        <w:t>5)</w:t>
      </w:r>
      <w:r w:rsidRPr="003A7724">
        <w:rPr>
          <w:rFonts w:ascii="Book Antiqua" w:hAnsi="Book Antiqua"/>
          <w:sz w:val="22"/>
          <w:szCs w:val="22"/>
        </w:rPr>
        <w:t xml:space="preserve"> Klager er kritisk til følgende </w:t>
      </w:r>
      <w:r>
        <w:rPr>
          <w:rFonts w:ascii="Book Antiqua" w:hAnsi="Book Antiqua"/>
          <w:sz w:val="22"/>
          <w:szCs w:val="22"/>
        </w:rPr>
        <w:t xml:space="preserve">publiserte </w:t>
      </w:r>
      <w:r w:rsidRPr="003A7724">
        <w:rPr>
          <w:rFonts w:ascii="Book Antiqua" w:hAnsi="Book Antiqua"/>
          <w:sz w:val="22"/>
          <w:szCs w:val="22"/>
        </w:rPr>
        <w:t>s</w:t>
      </w:r>
      <w:r>
        <w:rPr>
          <w:rFonts w:ascii="Book Antiqua" w:hAnsi="Book Antiqua"/>
          <w:sz w:val="22"/>
          <w:szCs w:val="22"/>
        </w:rPr>
        <w:t>itat</w:t>
      </w:r>
      <w:r w:rsidRPr="003A7724">
        <w:rPr>
          <w:rFonts w:ascii="Book Antiqua" w:hAnsi="Book Antiqua"/>
          <w:sz w:val="22"/>
          <w:szCs w:val="22"/>
        </w:rPr>
        <w:t xml:space="preserve"> </w:t>
      </w:r>
      <w:r>
        <w:rPr>
          <w:rFonts w:ascii="Book Antiqua" w:hAnsi="Book Antiqua"/>
          <w:sz w:val="22"/>
          <w:szCs w:val="22"/>
        </w:rPr>
        <w:t>fra den pleietrengende sønnens tremenning:</w:t>
      </w:r>
      <w:r w:rsidRPr="003A7724">
        <w:rPr>
          <w:rFonts w:ascii="Book Antiqua" w:hAnsi="Book Antiqua"/>
          <w:sz w:val="22"/>
          <w:szCs w:val="22"/>
        </w:rPr>
        <w:t xml:space="preserve"> </w:t>
      </w:r>
    </w:p>
    <w:p w:rsidR="00DF6EA5" w:rsidRPr="00DF6EA5" w:rsidRDefault="00DF6EA5" w:rsidP="00DF6EA5">
      <w:pPr>
        <w:rPr>
          <w:rFonts w:ascii="Book Antiqua" w:hAnsi="Book Antiqua"/>
          <w:sz w:val="16"/>
          <w:szCs w:val="16"/>
        </w:rPr>
      </w:pPr>
    </w:p>
    <w:p w:rsidR="00DF6EA5" w:rsidRPr="00FA1A43" w:rsidRDefault="00DF6EA5" w:rsidP="00DF6EA5">
      <w:pPr>
        <w:rPr>
          <w:rFonts w:ascii="Book Antiqua" w:hAnsi="Book Antiqua"/>
          <w:i/>
          <w:sz w:val="22"/>
          <w:szCs w:val="22"/>
        </w:rPr>
      </w:pPr>
      <w:r w:rsidRPr="00FA1A43">
        <w:rPr>
          <w:rFonts w:ascii="Book Antiqua" w:hAnsi="Book Antiqua"/>
          <w:i/>
          <w:sz w:val="22"/>
          <w:szCs w:val="22"/>
        </w:rPr>
        <w:t xml:space="preserve">«Teksten i testamentet er selvmotsigende og – i beste fall – et resultat av dårlig håndverk fra </w:t>
      </w:r>
      <w:r w:rsidR="00324D0C" w:rsidRPr="00FA1A43">
        <w:rPr>
          <w:rFonts w:ascii="Book Antiqua" w:hAnsi="Book Antiqua"/>
          <w:i/>
          <w:sz w:val="22"/>
          <w:szCs w:val="22"/>
        </w:rPr>
        <w:t>[Klagers]</w:t>
      </w:r>
      <w:r w:rsidRPr="00FA1A43">
        <w:rPr>
          <w:rFonts w:ascii="Book Antiqua" w:hAnsi="Book Antiqua"/>
          <w:i/>
          <w:sz w:val="22"/>
          <w:szCs w:val="22"/>
        </w:rPr>
        <w:t xml:space="preserve"> side. Det var aldri tvil om at [Foreldre</w:t>
      </w:r>
      <w:r w:rsidR="00324D0C" w:rsidRPr="00FA1A43">
        <w:rPr>
          <w:rFonts w:ascii="Book Antiqua" w:hAnsi="Book Antiqua"/>
          <w:i/>
          <w:sz w:val="22"/>
          <w:szCs w:val="22"/>
        </w:rPr>
        <w:t>ne</w:t>
      </w:r>
      <w:r w:rsidRPr="00FA1A43">
        <w:rPr>
          <w:rFonts w:ascii="Book Antiqua" w:hAnsi="Book Antiqua"/>
          <w:i/>
          <w:sz w:val="22"/>
          <w:szCs w:val="22"/>
        </w:rPr>
        <w:t>] ønsket at arven skulle gå til [Sønnen] – og at en stiftelse bare skulle opprettes dersom det var midler igjen etter ham. Dette fremstår som et ran av en fysisk og psykisk utviklingshemmet mann [.]»</w:t>
      </w:r>
    </w:p>
    <w:p w:rsidR="00DF6EA5" w:rsidRDefault="00DF6EA5" w:rsidP="00DF6EA5">
      <w:pPr>
        <w:rPr>
          <w:rFonts w:ascii="Book Antiqua" w:hAnsi="Book Antiqua"/>
          <w:sz w:val="22"/>
          <w:szCs w:val="22"/>
        </w:rPr>
      </w:pPr>
    </w:p>
    <w:p w:rsidR="00DF6EA5" w:rsidRDefault="00DF6EA5" w:rsidP="00DF6EA5">
      <w:pPr>
        <w:rPr>
          <w:rFonts w:ascii="Book Antiqua" w:hAnsi="Book Antiqua"/>
          <w:sz w:val="22"/>
          <w:szCs w:val="22"/>
        </w:rPr>
      </w:pPr>
      <w:r>
        <w:rPr>
          <w:rFonts w:ascii="Book Antiqua" w:hAnsi="Book Antiqua"/>
          <w:sz w:val="22"/>
          <w:szCs w:val="22"/>
        </w:rPr>
        <w:t>Klager mener at beskyldningen er svært alvorlig og basert på løgn, gitt de hensyn i testamentet som skulle ivaretas. Klager anfører at konflikten startet fordi tremenningen nektet stiftelsen å ta del i avgjørelsene knyttet til testamentet. Ifølge klager deler Stiftelsestilsynet klagers oppfatning om at også stiftelsen er en arving.</w:t>
      </w:r>
    </w:p>
    <w:p w:rsidR="00DF6EA5" w:rsidRDefault="00DF6EA5" w:rsidP="00DF6EA5">
      <w:pPr>
        <w:rPr>
          <w:rFonts w:ascii="Book Antiqua" w:hAnsi="Book Antiqua"/>
          <w:sz w:val="22"/>
          <w:szCs w:val="22"/>
        </w:rPr>
      </w:pPr>
    </w:p>
    <w:p w:rsidR="00DF6EA5" w:rsidRDefault="00DF6EA5" w:rsidP="00DF6EA5">
      <w:pPr>
        <w:widowControl/>
        <w:rPr>
          <w:rFonts w:ascii="Book Antiqua" w:hAnsi="Book Antiqua"/>
          <w:sz w:val="22"/>
          <w:szCs w:val="22"/>
        </w:rPr>
      </w:pPr>
      <w:r>
        <w:rPr>
          <w:rFonts w:ascii="Book Antiqua" w:hAnsi="Book Antiqua"/>
          <w:sz w:val="22"/>
          <w:szCs w:val="22"/>
        </w:rPr>
        <w:t xml:space="preserve">6) </w:t>
      </w:r>
      <w:r w:rsidRPr="00AD4B45">
        <w:rPr>
          <w:rFonts w:ascii="Book Antiqua" w:hAnsi="Book Antiqua"/>
          <w:sz w:val="22"/>
          <w:szCs w:val="22"/>
        </w:rPr>
        <w:t>Klager mener</w:t>
      </w:r>
      <w:r>
        <w:rPr>
          <w:rFonts w:ascii="Book Antiqua" w:hAnsi="Book Antiqua"/>
          <w:sz w:val="22"/>
          <w:szCs w:val="22"/>
        </w:rPr>
        <w:t xml:space="preserve"> at artikkelen feilaktig ga inntrykk av at klager selv hadde laget et «ferdigsnekret» testament. Klager fremholder at testamentet ble til etter en lang diskusjon mellom de involverte partene.</w:t>
      </w:r>
    </w:p>
    <w:p w:rsidR="00DF6EA5" w:rsidRDefault="00DF6EA5" w:rsidP="006F254E">
      <w:pPr>
        <w:widowControl/>
        <w:rPr>
          <w:rFonts w:ascii="Book Antiqua" w:hAnsi="Book Antiqua"/>
          <w:sz w:val="22"/>
          <w:szCs w:val="22"/>
        </w:rPr>
      </w:pPr>
    </w:p>
    <w:p w:rsidR="00831766" w:rsidRDefault="00DF6EA5" w:rsidP="006F254E">
      <w:pPr>
        <w:widowControl/>
        <w:rPr>
          <w:rFonts w:ascii="Book Antiqua" w:hAnsi="Book Antiqua"/>
          <w:sz w:val="22"/>
          <w:szCs w:val="22"/>
        </w:rPr>
      </w:pPr>
      <w:r>
        <w:rPr>
          <w:rFonts w:ascii="Book Antiqua" w:hAnsi="Book Antiqua"/>
          <w:sz w:val="22"/>
          <w:szCs w:val="22"/>
        </w:rPr>
        <w:t>7</w:t>
      </w:r>
      <w:r w:rsidR="00831766">
        <w:rPr>
          <w:rFonts w:ascii="Book Antiqua" w:hAnsi="Book Antiqua"/>
          <w:sz w:val="22"/>
          <w:szCs w:val="22"/>
        </w:rPr>
        <w:t>) Klager mener at artikkelen feilaktig fremstilte den pleietrengende sønnens tremenning som hjelpeverge. Klager påpeker at det ble oppnevnt en setteverge for sønnen da Fylkesmannen anså at tremenningen kunne ha motstridende interesser siden både han og sønnen han skulle være verge for, var arvinger.</w:t>
      </w:r>
    </w:p>
    <w:p w:rsidR="00831766" w:rsidRPr="006F254E" w:rsidRDefault="00831766" w:rsidP="00A35F88">
      <w:pPr>
        <w:widowControl/>
        <w:rPr>
          <w:rFonts w:ascii="Book Antiqua" w:hAnsi="Book Antiqua"/>
          <w:sz w:val="16"/>
          <w:szCs w:val="16"/>
        </w:rPr>
      </w:pPr>
    </w:p>
    <w:p w:rsidR="007C74A4" w:rsidRDefault="00DF6EA5" w:rsidP="00A35F88">
      <w:pPr>
        <w:widowControl/>
        <w:rPr>
          <w:rFonts w:ascii="Book Antiqua" w:hAnsi="Book Antiqua"/>
          <w:sz w:val="22"/>
          <w:szCs w:val="22"/>
        </w:rPr>
      </w:pPr>
      <w:r>
        <w:rPr>
          <w:rFonts w:ascii="Book Antiqua" w:hAnsi="Book Antiqua"/>
          <w:sz w:val="22"/>
          <w:szCs w:val="22"/>
        </w:rPr>
        <w:t>8</w:t>
      </w:r>
      <w:r w:rsidR="007C74A4">
        <w:rPr>
          <w:rFonts w:ascii="Book Antiqua" w:hAnsi="Book Antiqua"/>
          <w:sz w:val="22"/>
          <w:szCs w:val="22"/>
        </w:rPr>
        <w:t xml:space="preserve">) </w:t>
      </w:r>
      <w:r w:rsidR="007C74A4" w:rsidRPr="00450A6A">
        <w:rPr>
          <w:rFonts w:ascii="Book Antiqua" w:hAnsi="Book Antiqua"/>
          <w:sz w:val="22"/>
          <w:szCs w:val="22"/>
        </w:rPr>
        <w:t xml:space="preserve">Klager mener at formuleringen </w:t>
      </w:r>
      <w:r w:rsidR="007C74A4" w:rsidRPr="00FA1A43">
        <w:rPr>
          <w:rFonts w:ascii="Book Antiqua" w:hAnsi="Book Antiqua"/>
          <w:i/>
          <w:sz w:val="22"/>
          <w:szCs w:val="22"/>
        </w:rPr>
        <w:t>«Bergen tingrett fastslo at Grahl-Madsen ikke hadde rett til å disponere over boet»</w:t>
      </w:r>
      <w:r w:rsidR="007C74A4" w:rsidRPr="00450A6A">
        <w:rPr>
          <w:rFonts w:ascii="Book Antiqua" w:hAnsi="Book Antiqua"/>
          <w:sz w:val="22"/>
          <w:szCs w:val="22"/>
        </w:rPr>
        <w:t xml:space="preserve"> gir </w:t>
      </w:r>
      <w:r w:rsidR="007C74A4">
        <w:rPr>
          <w:rFonts w:ascii="Book Antiqua" w:hAnsi="Book Antiqua"/>
          <w:sz w:val="22"/>
          <w:szCs w:val="22"/>
        </w:rPr>
        <w:t xml:space="preserve">et feilaktig </w:t>
      </w:r>
      <w:r w:rsidR="007C74A4" w:rsidRPr="00450A6A">
        <w:rPr>
          <w:rFonts w:ascii="Book Antiqua" w:hAnsi="Book Antiqua"/>
          <w:sz w:val="22"/>
          <w:szCs w:val="22"/>
        </w:rPr>
        <w:t>inntrykk av at det</w:t>
      </w:r>
      <w:r w:rsidR="007C74A4">
        <w:rPr>
          <w:rFonts w:ascii="Book Antiqua" w:hAnsi="Book Antiqua"/>
          <w:sz w:val="22"/>
          <w:szCs w:val="22"/>
        </w:rPr>
        <w:t xml:space="preserve">te var en rettsavgjørelse. Klager viser til at </w:t>
      </w:r>
      <w:r w:rsidR="007C74A4" w:rsidRPr="005F33A4">
        <w:rPr>
          <w:rFonts w:ascii="Book Antiqua" w:hAnsi="Book Antiqua"/>
          <w:sz w:val="22"/>
          <w:szCs w:val="22"/>
        </w:rPr>
        <w:t>formuleringen er basert på innholdet i et brev fra Tingretten til Tilsynsrådet.</w:t>
      </w:r>
    </w:p>
    <w:p w:rsidR="00CC10F2" w:rsidRDefault="00CC10F2" w:rsidP="00A35F88">
      <w:pPr>
        <w:widowControl/>
        <w:rPr>
          <w:rFonts w:ascii="Book Antiqua" w:hAnsi="Book Antiqua"/>
          <w:sz w:val="22"/>
          <w:szCs w:val="22"/>
        </w:rPr>
      </w:pPr>
    </w:p>
    <w:p w:rsidR="00CC10F2" w:rsidRDefault="00DF6EA5" w:rsidP="00CC10F2">
      <w:pPr>
        <w:widowControl/>
        <w:overflowPunct/>
        <w:textAlignment w:val="auto"/>
        <w:rPr>
          <w:rFonts w:ascii="Book Antiqua" w:hAnsi="Book Antiqua"/>
          <w:sz w:val="22"/>
          <w:szCs w:val="22"/>
        </w:rPr>
      </w:pPr>
      <w:r>
        <w:rPr>
          <w:rFonts w:ascii="Book Antiqua" w:hAnsi="Book Antiqua"/>
          <w:sz w:val="22"/>
          <w:szCs w:val="22"/>
        </w:rPr>
        <w:t>9</w:t>
      </w:r>
      <w:r w:rsidR="00CC10F2">
        <w:rPr>
          <w:rFonts w:ascii="Book Antiqua" w:hAnsi="Book Antiqua"/>
          <w:sz w:val="22"/>
          <w:szCs w:val="22"/>
        </w:rPr>
        <w:t>)</w:t>
      </w:r>
      <w:r w:rsidR="00CC10F2" w:rsidRPr="003F07E9">
        <w:rPr>
          <w:rFonts w:ascii="Book Antiqua" w:hAnsi="Book Antiqua"/>
          <w:sz w:val="22"/>
          <w:szCs w:val="22"/>
        </w:rPr>
        <w:t xml:space="preserve"> </w:t>
      </w:r>
      <w:r w:rsidR="00CC10F2">
        <w:rPr>
          <w:rFonts w:ascii="Book Antiqua" w:hAnsi="Book Antiqua"/>
          <w:sz w:val="22"/>
          <w:szCs w:val="22"/>
        </w:rPr>
        <w:t xml:space="preserve">Klager mener at hans imøtegåelse kom for langt ut i artikkelen, slik at inntrykket av ham som kjeltring alt var befestet. </w:t>
      </w:r>
    </w:p>
    <w:p w:rsidR="00CC10F2" w:rsidRDefault="00CC10F2" w:rsidP="00A35F88">
      <w:pPr>
        <w:widowControl/>
        <w:rPr>
          <w:rFonts w:ascii="Book Antiqua" w:hAnsi="Book Antiqua"/>
          <w:sz w:val="22"/>
          <w:szCs w:val="22"/>
        </w:rPr>
      </w:pPr>
    </w:p>
    <w:p w:rsidR="005712DB" w:rsidRDefault="00DF6EA5" w:rsidP="00CC10F2">
      <w:pPr>
        <w:widowControl/>
        <w:overflowPunct/>
        <w:textAlignment w:val="auto"/>
        <w:rPr>
          <w:rFonts w:ascii="Book Antiqua" w:hAnsi="Book Antiqua"/>
          <w:sz w:val="22"/>
          <w:szCs w:val="22"/>
        </w:rPr>
      </w:pPr>
      <w:r>
        <w:rPr>
          <w:rFonts w:ascii="Book Antiqua" w:hAnsi="Book Antiqua"/>
          <w:sz w:val="22"/>
          <w:szCs w:val="22"/>
        </w:rPr>
        <w:t>10</w:t>
      </w:r>
      <w:r w:rsidR="00C2770D" w:rsidRPr="00C2770D">
        <w:rPr>
          <w:rFonts w:ascii="Book Antiqua" w:hAnsi="Book Antiqua"/>
          <w:sz w:val="22"/>
          <w:szCs w:val="22"/>
        </w:rPr>
        <w:t>) Klager er kritisk til at det sto i artikkelen at den pleietrengende sønnens tante angret på at hun hadde signert testamentet. Ifølge klager skulle bare tantens underskrift bekrefte at sønnens foreldre var ved sine fulle fem da de signerte testamentet. Hennes signatur angikk ikke innholdet, anføres det.</w:t>
      </w:r>
    </w:p>
    <w:p w:rsidR="008959D5" w:rsidRDefault="008959D5" w:rsidP="00CC10F2">
      <w:pPr>
        <w:widowControl/>
        <w:overflowPunct/>
        <w:textAlignment w:val="auto"/>
        <w:rPr>
          <w:rFonts w:ascii="Book Antiqua" w:hAnsi="Book Antiqua"/>
          <w:sz w:val="22"/>
          <w:szCs w:val="22"/>
        </w:rPr>
      </w:pPr>
    </w:p>
    <w:p w:rsidR="008959D5" w:rsidRPr="00EC02D9" w:rsidRDefault="008959D5" w:rsidP="00CC10F2">
      <w:pPr>
        <w:widowControl/>
        <w:overflowPunct/>
        <w:textAlignment w:val="auto"/>
        <w:rPr>
          <w:rFonts w:ascii="Book Antiqua" w:hAnsi="Book Antiqua"/>
          <w:sz w:val="22"/>
          <w:szCs w:val="22"/>
        </w:rPr>
      </w:pPr>
      <w:r w:rsidRPr="00EC02D9">
        <w:rPr>
          <w:rFonts w:ascii="Book Antiqua" w:hAnsi="Book Antiqua"/>
          <w:sz w:val="22"/>
          <w:szCs w:val="22"/>
        </w:rPr>
        <w:t xml:space="preserve">11) Klager mener at det hadde vært fullt mulig å omtale forholdet uten å bruke klagers navn. </w:t>
      </w:r>
    </w:p>
    <w:p w:rsidR="007D7729" w:rsidRPr="00EC02D9" w:rsidRDefault="00F267BB" w:rsidP="00DF6EA5">
      <w:pPr>
        <w:spacing w:before="100" w:beforeAutospacing="1" w:after="100" w:afterAutospacing="1"/>
        <w:rPr>
          <w:rFonts w:ascii="Book Antiqua" w:hAnsi="Book Antiqua"/>
          <w:b/>
          <w:sz w:val="22"/>
          <w:szCs w:val="22"/>
        </w:rPr>
      </w:pPr>
      <w:r w:rsidRPr="009A4FEA">
        <w:rPr>
          <w:b/>
        </w:rPr>
        <w:br/>
      </w:r>
      <w:r w:rsidR="007D7729" w:rsidRPr="00EC02D9">
        <w:rPr>
          <w:rFonts w:ascii="Book Antiqua" w:hAnsi="Book Antiqua"/>
          <w:b/>
          <w:sz w:val="22"/>
          <w:szCs w:val="22"/>
        </w:rPr>
        <w:t>FORSØK PÅ MINNELIG LØSNING:</w:t>
      </w:r>
    </w:p>
    <w:p w:rsidR="007D7729" w:rsidRPr="00EC02D9" w:rsidRDefault="007D7729" w:rsidP="007D7729">
      <w:pPr>
        <w:widowControl/>
        <w:rPr>
          <w:rFonts w:ascii="Book Antiqua" w:hAnsi="Book Antiqua"/>
          <w:sz w:val="22"/>
          <w:szCs w:val="22"/>
        </w:rPr>
      </w:pPr>
      <w:r w:rsidRPr="00EC02D9">
        <w:rPr>
          <w:rFonts w:ascii="Book Antiqua" w:hAnsi="Book Antiqua"/>
          <w:sz w:val="22"/>
          <w:szCs w:val="22"/>
        </w:rPr>
        <w:t>Partene har vært i kontakt</w:t>
      </w:r>
      <w:r w:rsidR="00672C29" w:rsidRPr="00EC02D9">
        <w:rPr>
          <w:rFonts w:ascii="Book Antiqua" w:hAnsi="Book Antiqua"/>
          <w:sz w:val="22"/>
          <w:szCs w:val="22"/>
        </w:rPr>
        <w:t xml:space="preserve"> </w:t>
      </w:r>
      <w:r w:rsidRPr="00EC02D9">
        <w:rPr>
          <w:rFonts w:ascii="Book Antiqua" w:hAnsi="Book Antiqua"/>
          <w:sz w:val="22"/>
          <w:szCs w:val="22"/>
        </w:rPr>
        <w:t xml:space="preserve">med sikte på å løse saken i minnelighet, uten at dette har ført fram. </w:t>
      </w:r>
    </w:p>
    <w:p w:rsidR="00541686" w:rsidRDefault="00541686"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lastRenderedPageBreak/>
        <w:t>TILSVARSRUNDEN:</w:t>
      </w:r>
    </w:p>
    <w:p w:rsidR="000448A1" w:rsidRPr="004C53D6" w:rsidRDefault="000448A1" w:rsidP="000448A1">
      <w:pPr>
        <w:widowControl/>
        <w:rPr>
          <w:rFonts w:ascii="Book Antiqua" w:hAnsi="Book Antiqua"/>
          <w:b/>
          <w:sz w:val="16"/>
          <w:szCs w:val="16"/>
        </w:rPr>
      </w:pPr>
    </w:p>
    <w:p w:rsidR="005D40B6" w:rsidRDefault="00796ED8" w:rsidP="00392CB3">
      <w:pPr>
        <w:rPr>
          <w:rFonts w:ascii="Book Antiqua" w:hAnsi="Book Antiqua"/>
          <w:sz w:val="22"/>
          <w:szCs w:val="22"/>
        </w:rPr>
      </w:pPr>
      <w:r>
        <w:rPr>
          <w:rFonts w:ascii="Book Antiqua" w:hAnsi="Book Antiqua"/>
          <w:b/>
          <w:sz w:val="22"/>
          <w:szCs w:val="22"/>
        </w:rPr>
        <w:t xml:space="preserve">Bergens Tidende og Aftenposten </w:t>
      </w:r>
      <w:r w:rsidR="005F272D">
        <w:rPr>
          <w:rFonts w:ascii="Book Antiqua" w:hAnsi="Book Antiqua"/>
          <w:sz w:val="22"/>
          <w:szCs w:val="22"/>
        </w:rPr>
        <w:t>opplyser om</w:t>
      </w:r>
      <w:r w:rsidR="005D40B6" w:rsidRPr="005D40B6">
        <w:rPr>
          <w:rFonts w:ascii="Book Antiqua" w:hAnsi="Book Antiqua"/>
          <w:sz w:val="22"/>
          <w:szCs w:val="22"/>
        </w:rPr>
        <w:t xml:space="preserve"> at </w:t>
      </w:r>
      <w:r w:rsidR="005D40B6">
        <w:rPr>
          <w:rFonts w:ascii="Book Antiqua" w:hAnsi="Book Antiqua"/>
          <w:sz w:val="22"/>
          <w:szCs w:val="22"/>
        </w:rPr>
        <w:t xml:space="preserve">BT svarer på vegne av begge redaksjoner ettersom den påklagede reportasjen ble skrevet av BTs journalist. </w:t>
      </w:r>
    </w:p>
    <w:p w:rsidR="005D40B6" w:rsidRPr="004C53D6" w:rsidRDefault="005D40B6" w:rsidP="00392CB3">
      <w:pPr>
        <w:rPr>
          <w:rFonts w:ascii="Book Antiqua" w:hAnsi="Book Antiqua"/>
          <w:sz w:val="16"/>
          <w:szCs w:val="16"/>
        </w:rPr>
      </w:pPr>
    </w:p>
    <w:p w:rsidR="00516164" w:rsidRPr="00796ED8" w:rsidRDefault="005D40B6" w:rsidP="00392CB3">
      <w:pPr>
        <w:rPr>
          <w:rFonts w:ascii="Book Antiqua" w:hAnsi="Book Antiqua"/>
          <w:sz w:val="22"/>
          <w:szCs w:val="22"/>
        </w:rPr>
      </w:pPr>
      <w:r>
        <w:rPr>
          <w:rFonts w:ascii="Book Antiqua" w:hAnsi="Book Antiqua"/>
          <w:sz w:val="22"/>
          <w:szCs w:val="22"/>
        </w:rPr>
        <w:t xml:space="preserve">BT </w:t>
      </w:r>
      <w:r w:rsidR="00796ED8" w:rsidRPr="005D40B6">
        <w:rPr>
          <w:rFonts w:ascii="Book Antiqua" w:hAnsi="Book Antiqua"/>
          <w:sz w:val="22"/>
          <w:szCs w:val="22"/>
        </w:rPr>
        <w:t xml:space="preserve">avviser innledningsvis klagers påstand om at BT ikke var interessert i å motta dokumentasjon fra klager. </w:t>
      </w:r>
      <w:r w:rsidR="0001562E" w:rsidRPr="005D40B6">
        <w:rPr>
          <w:rFonts w:ascii="Book Antiqua" w:hAnsi="Book Antiqua"/>
          <w:sz w:val="22"/>
          <w:szCs w:val="22"/>
        </w:rPr>
        <w:t>BT anfører tvert imot at redaksjonen aldri har m</w:t>
      </w:r>
      <w:r w:rsidR="00666141">
        <w:rPr>
          <w:rFonts w:ascii="Book Antiqua" w:hAnsi="Book Antiqua"/>
          <w:sz w:val="22"/>
          <w:szCs w:val="22"/>
        </w:rPr>
        <w:t>ottatt dokumentasjon fra klager selv om</w:t>
      </w:r>
      <w:r w:rsidR="0001562E">
        <w:rPr>
          <w:rFonts w:ascii="Book Antiqua" w:hAnsi="Book Antiqua"/>
          <w:sz w:val="22"/>
          <w:szCs w:val="22"/>
        </w:rPr>
        <w:t xml:space="preserve"> den har etterlyst det.</w:t>
      </w:r>
      <w:r w:rsidR="00666141">
        <w:rPr>
          <w:rFonts w:ascii="Book Antiqua" w:hAnsi="Book Antiqua"/>
          <w:sz w:val="22"/>
          <w:szCs w:val="22"/>
        </w:rPr>
        <w:t xml:space="preserve"> Videre fremholder redaksjonen at klagers fremstilling inneholder unøyaktigheter, tendensiøse tolkninger og feil.</w:t>
      </w:r>
    </w:p>
    <w:p w:rsidR="00392CB3" w:rsidRDefault="00392CB3" w:rsidP="00392CB3">
      <w:pPr>
        <w:rPr>
          <w:rFonts w:ascii="Book Antiqua" w:hAnsi="Book Antiqua"/>
          <w:b/>
          <w:sz w:val="22"/>
          <w:szCs w:val="22"/>
        </w:rPr>
      </w:pPr>
    </w:p>
    <w:p w:rsidR="001C2224" w:rsidRDefault="001C2224" w:rsidP="00636EF5">
      <w:pPr>
        <w:widowControl/>
        <w:overflowPunct/>
        <w:textAlignment w:val="auto"/>
        <w:rPr>
          <w:rFonts w:ascii="Book Antiqua" w:hAnsi="Book Antiqua"/>
          <w:sz w:val="22"/>
          <w:szCs w:val="22"/>
        </w:rPr>
      </w:pPr>
      <w:r>
        <w:rPr>
          <w:rFonts w:ascii="Book Antiqua" w:hAnsi="Book Antiqua"/>
          <w:sz w:val="22"/>
          <w:szCs w:val="22"/>
        </w:rPr>
        <w:t>1</w:t>
      </w:r>
      <w:r w:rsidR="00E36190">
        <w:rPr>
          <w:rStyle w:val="Fotnotereferanse"/>
          <w:rFonts w:ascii="Book Antiqua" w:hAnsi="Book Antiqua"/>
          <w:sz w:val="22"/>
          <w:szCs w:val="22"/>
        </w:rPr>
        <w:footnoteReference w:id="2"/>
      </w:r>
      <w:r>
        <w:rPr>
          <w:rFonts w:ascii="Book Antiqua" w:hAnsi="Book Antiqua"/>
          <w:sz w:val="22"/>
          <w:szCs w:val="22"/>
        </w:rPr>
        <w:t>)</w:t>
      </w:r>
      <w:r w:rsidR="005D36AA">
        <w:rPr>
          <w:rFonts w:ascii="Book Antiqua" w:hAnsi="Book Antiqua"/>
          <w:sz w:val="22"/>
          <w:szCs w:val="22"/>
        </w:rPr>
        <w:t xml:space="preserve"> BT </w:t>
      </w:r>
      <w:r w:rsidR="005F272D">
        <w:rPr>
          <w:rFonts w:ascii="Book Antiqua" w:hAnsi="Book Antiqua"/>
          <w:sz w:val="22"/>
          <w:szCs w:val="22"/>
        </w:rPr>
        <w:t xml:space="preserve">nekter for å ha insinuert </w:t>
      </w:r>
      <w:r w:rsidR="005D36AA">
        <w:rPr>
          <w:rFonts w:ascii="Book Antiqua" w:hAnsi="Book Antiqua"/>
          <w:sz w:val="22"/>
          <w:szCs w:val="22"/>
        </w:rPr>
        <w:t xml:space="preserve">at klager underslo penger. BT viser </w:t>
      </w:r>
      <w:r w:rsidR="00E36190">
        <w:rPr>
          <w:rFonts w:ascii="Book Antiqua" w:hAnsi="Book Antiqua"/>
          <w:sz w:val="22"/>
          <w:szCs w:val="22"/>
        </w:rPr>
        <w:t>til</w:t>
      </w:r>
      <w:r w:rsidR="005D36AA">
        <w:rPr>
          <w:rFonts w:ascii="Book Antiqua" w:hAnsi="Book Antiqua"/>
          <w:sz w:val="22"/>
          <w:szCs w:val="22"/>
        </w:rPr>
        <w:t xml:space="preserve"> at det fremgår </w:t>
      </w:r>
      <w:r w:rsidR="002F35C2">
        <w:rPr>
          <w:rFonts w:ascii="Book Antiqua" w:hAnsi="Book Antiqua"/>
          <w:sz w:val="22"/>
          <w:szCs w:val="22"/>
        </w:rPr>
        <w:t>av</w:t>
      </w:r>
      <w:r w:rsidR="005D36AA">
        <w:rPr>
          <w:rFonts w:ascii="Book Antiqua" w:hAnsi="Book Antiqua"/>
          <w:sz w:val="22"/>
          <w:szCs w:val="22"/>
        </w:rPr>
        <w:t xml:space="preserve"> reportasjen at bostyreren ikke hadde avdekket mistanke om underslag. </w:t>
      </w:r>
      <w:r w:rsidR="002F35C2">
        <w:rPr>
          <w:rFonts w:ascii="Book Antiqua" w:hAnsi="Book Antiqua"/>
          <w:sz w:val="22"/>
          <w:szCs w:val="22"/>
        </w:rPr>
        <w:t xml:space="preserve">I tillegg </w:t>
      </w:r>
      <w:r w:rsidR="00E36190">
        <w:rPr>
          <w:rFonts w:ascii="Book Antiqua" w:hAnsi="Book Antiqua"/>
          <w:sz w:val="22"/>
          <w:szCs w:val="22"/>
        </w:rPr>
        <w:t xml:space="preserve">påpeker </w:t>
      </w:r>
      <w:r w:rsidR="002F35C2">
        <w:rPr>
          <w:rFonts w:ascii="Book Antiqua" w:hAnsi="Book Antiqua"/>
          <w:sz w:val="22"/>
          <w:szCs w:val="22"/>
        </w:rPr>
        <w:t>redak</w:t>
      </w:r>
      <w:r w:rsidR="00E36190">
        <w:rPr>
          <w:rFonts w:ascii="Book Antiqua" w:hAnsi="Book Antiqua"/>
          <w:sz w:val="22"/>
          <w:szCs w:val="22"/>
        </w:rPr>
        <w:t xml:space="preserve">sjonen </w:t>
      </w:r>
      <w:r w:rsidR="002F35C2">
        <w:rPr>
          <w:rFonts w:ascii="Book Antiqua" w:hAnsi="Book Antiqua"/>
          <w:sz w:val="22"/>
          <w:szCs w:val="22"/>
        </w:rPr>
        <w:t>at klager fikk kommentere forholdet i reportasjen</w:t>
      </w:r>
      <w:r w:rsidR="00E36190">
        <w:rPr>
          <w:rFonts w:ascii="Book Antiqua" w:hAnsi="Book Antiqua"/>
          <w:sz w:val="22"/>
          <w:szCs w:val="22"/>
        </w:rPr>
        <w:t xml:space="preserve"> slik</w:t>
      </w:r>
      <w:r w:rsidR="002F35C2">
        <w:rPr>
          <w:rFonts w:ascii="Book Antiqua" w:hAnsi="Book Antiqua"/>
          <w:sz w:val="22"/>
          <w:szCs w:val="22"/>
        </w:rPr>
        <w:t>:</w:t>
      </w:r>
    </w:p>
    <w:p w:rsidR="002F35C2" w:rsidRPr="002F35C2" w:rsidRDefault="002F35C2" w:rsidP="00636EF5">
      <w:pPr>
        <w:widowControl/>
        <w:overflowPunct/>
        <w:textAlignment w:val="auto"/>
        <w:rPr>
          <w:rFonts w:ascii="Book Antiqua" w:hAnsi="Book Antiqua"/>
          <w:sz w:val="16"/>
          <w:szCs w:val="16"/>
        </w:rPr>
      </w:pPr>
    </w:p>
    <w:p w:rsidR="002F35C2" w:rsidRPr="00FA1A43" w:rsidRDefault="002F35C2" w:rsidP="00636EF5">
      <w:pPr>
        <w:widowControl/>
        <w:overflowPunct/>
        <w:textAlignment w:val="auto"/>
        <w:rPr>
          <w:rFonts w:ascii="Book Antiqua" w:hAnsi="Book Antiqua"/>
          <w:i/>
          <w:sz w:val="22"/>
          <w:szCs w:val="22"/>
        </w:rPr>
      </w:pPr>
      <w:r w:rsidRPr="002F35C2">
        <w:rPr>
          <w:rFonts w:ascii="Book Antiqua" w:hAnsi="Book Antiqua"/>
          <w:sz w:val="22"/>
          <w:szCs w:val="22"/>
        </w:rPr>
        <w:t>«</w:t>
      </w:r>
      <w:r w:rsidRPr="00FA1A43">
        <w:rPr>
          <w:rFonts w:ascii="Book Antiqua" w:hAnsi="Book Antiqua"/>
          <w:i/>
          <w:sz w:val="22"/>
          <w:szCs w:val="22"/>
        </w:rPr>
        <w:t>Han avviser på det sterkeste at han urettmessig har tappet boet.</w:t>
      </w:r>
    </w:p>
    <w:p w:rsidR="002F35C2" w:rsidRPr="00FA1A43" w:rsidRDefault="002F35C2" w:rsidP="002F35C2">
      <w:pPr>
        <w:widowControl/>
        <w:overflowPunct/>
        <w:ind w:left="705"/>
        <w:textAlignment w:val="auto"/>
        <w:rPr>
          <w:rFonts w:ascii="Book Antiqua" w:hAnsi="Book Antiqua"/>
          <w:i/>
          <w:sz w:val="22"/>
          <w:szCs w:val="22"/>
        </w:rPr>
      </w:pPr>
      <w:r w:rsidRPr="00FA1A43">
        <w:rPr>
          <w:rFonts w:ascii="Book Antiqua" w:hAnsi="Book Antiqua"/>
          <w:i/>
          <w:sz w:val="22"/>
          <w:szCs w:val="22"/>
        </w:rPr>
        <w:t>– Jeg har ikke overført penger fra boet til mitt firma uten at det har vært utført arbeid i henhold til faktura.»</w:t>
      </w:r>
    </w:p>
    <w:p w:rsidR="001C2224" w:rsidRPr="002F35C2" w:rsidRDefault="001C2224" w:rsidP="00636EF5">
      <w:pPr>
        <w:widowControl/>
        <w:overflowPunct/>
        <w:textAlignment w:val="auto"/>
        <w:rPr>
          <w:rFonts w:ascii="Book Antiqua" w:hAnsi="Book Antiqua"/>
          <w:sz w:val="16"/>
          <w:szCs w:val="16"/>
        </w:rPr>
      </w:pPr>
    </w:p>
    <w:p w:rsidR="002F35C2" w:rsidRDefault="00E36190" w:rsidP="00636EF5">
      <w:pPr>
        <w:widowControl/>
        <w:overflowPunct/>
        <w:textAlignment w:val="auto"/>
        <w:rPr>
          <w:rFonts w:ascii="Book Antiqua" w:hAnsi="Book Antiqua"/>
          <w:sz w:val="22"/>
          <w:szCs w:val="22"/>
        </w:rPr>
      </w:pPr>
      <w:r>
        <w:rPr>
          <w:rFonts w:ascii="Book Antiqua" w:hAnsi="Book Antiqua"/>
          <w:sz w:val="22"/>
          <w:szCs w:val="22"/>
        </w:rPr>
        <w:t xml:space="preserve">BT anfører at avisen aldri har antydet at klagers regnskap </w:t>
      </w:r>
      <w:r w:rsidRPr="00E36190">
        <w:rPr>
          <w:rFonts w:ascii="Book Antiqua" w:hAnsi="Book Antiqua"/>
          <w:i/>
          <w:sz w:val="22"/>
          <w:szCs w:val="22"/>
        </w:rPr>
        <w:t>ikke</w:t>
      </w:r>
      <w:r>
        <w:rPr>
          <w:rFonts w:ascii="Book Antiqua" w:hAnsi="Book Antiqua"/>
          <w:sz w:val="22"/>
          <w:szCs w:val="22"/>
        </w:rPr>
        <w:t xml:space="preserve"> ble revisorgodkjent og tilsendt Tilsynsrådet for advokatvirksomhet. </w:t>
      </w:r>
      <w:r w:rsidR="002F35C2">
        <w:rPr>
          <w:rFonts w:ascii="Book Antiqua" w:hAnsi="Book Antiqua"/>
          <w:sz w:val="22"/>
          <w:szCs w:val="22"/>
        </w:rPr>
        <w:t xml:space="preserve">Samtidig påpeker BT at </w:t>
      </w:r>
      <w:r>
        <w:rPr>
          <w:rFonts w:ascii="Book Antiqua" w:hAnsi="Book Antiqua"/>
          <w:sz w:val="22"/>
          <w:szCs w:val="22"/>
        </w:rPr>
        <w:t>Bergen tingrett fastslo i januar 2017 at klager ikke hadde rett til å disponere over boet (Vedlegg 1).</w:t>
      </w:r>
    </w:p>
    <w:p w:rsidR="002F35C2" w:rsidRDefault="002F35C2" w:rsidP="00636EF5">
      <w:pPr>
        <w:widowControl/>
        <w:overflowPunct/>
        <w:textAlignment w:val="auto"/>
        <w:rPr>
          <w:rFonts w:ascii="Book Antiqua" w:hAnsi="Book Antiqua"/>
          <w:sz w:val="22"/>
          <w:szCs w:val="22"/>
        </w:rPr>
      </w:pPr>
    </w:p>
    <w:p w:rsidR="00457B9D" w:rsidRPr="00E36190" w:rsidRDefault="00457B9D" w:rsidP="00636EF5">
      <w:pPr>
        <w:widowControl/>
        <w:overflowPunct/>
        <w:textAlignment w:val="auto"/>
        <w:rPr>
          <w:rFonts w:ascii="ArialMT" w:cs="ArialMT"/>
          <w:sz w:val="22"/>
          <w:szCs w:val="22"/>
        </w:rPr>
      </w:pPr>
      <w:r>
        <w:rPr>
          <w:rFonts w:ascii="Book Antiqua" w:hAnsi="Book Antiqua"/>
          <w:sz w:val="22"/>
          <w:szCs w:val="22"/>
        </w:rPr>
        <w:t xml:space="preserve">2) </w:t>
      </w:r>
      <w:r w:rsidR="00636EF5">
        <w:rPr>
          <w:rFonts w:ascii="Book Antiqua" w:hAnsi="Book Antiqua"/>
          <w:sz w:val="22"/>
          <w:szCs w:val="22"/>
        </w:rPr>
        <w:t>BT avviser at redaksjonen</w:t>
      </w:r>
      <w:r w:rsidR="008959D5">
        <w:rPr>
          <w:rFonts w:ascii="Book Antiqua" w:hAnsi="Book Antiqua"/>
          <w:sz w:val="22"/>
          <w:szCs w:val="22"/>
        </w:rPr>
        <w:t xml:space="preserve"> </w:t>
      </w:r>
      <w:r w:rsidR="001B2242">
        <w:rPr>
          <w:rFonts w:ascii="Book Antiqua" w:hAnsi="Book Antiqua"/>
          <w:sz w:val="22"/>
          <w:szCs w:val="22"/>
        </w:rPr>
        <w:t>feilsiterte nemden eller blandet</w:t>
      </w:r>
      <w:r w:rsidR="008959D5">
        <w:rPr>
          <w:rFonts w:ascii="Book Antiqua" w:hAnsi="Book Antiqua"/>
          <w:sz w:val="22"/>
          <w:szCs w:val="22"/>
        </w:rPr>
        <w:t xml:space="preserve"> sammen klientbankk</w:t>
      </w:r>
      <w:r w:rsidR="001B2242">
        <w:rPr>
          <w:rFonts w:ascii="Book Antiqua" w:hAnsi="Book Antiqua"/>
          <w:sz w:val="22"/>
          <w:szCs w:val="22"/>
        </w:rPr>
        <w:t>onto og klientansvarskonto</w:t>
      </w:r>
      <w:r w:rsidR="008959D5">
        <w:rPr>
          <w:rFonts w:ascii="Book Antiqua" w:hAnsi="Book Antiqua"/>
          <w:sz w:val="22"/>
          <w:szCs w:val="22"/>
        </w:rPr>
        <w:t>. BT</w:t>
      </w:r>
      <w:r w:rsidR="00636EF5">
        <w:rPr>
          <w:rFonts w:ascii="Book Antiqua" w:hAnsi="Book Antiqua"/>
          <w:sz w:val="22"/>
          <w:szCs w:val="22"/>
        </w:rPr>
        <w:t xml:space="preserve"> viser til adv</w:t>
      </w:r>
      <w:r w:rsidR="00E36190">
        <w:rPr>
          <w:rFonts w:ascii="Book Antiqua" w:hAnsi="Book Antiqua"/>
          <w:sz w:val="22"/>
          <w:szCs w:val="22"/>
        </w:rPr>
        <w:t>okatbevillingsnemndens vedtak (V</w:t>
      </w:r>
      <w:r w:rsidR="00636EF5">
        <w:rPr>
          <w:rFonts w:ascii="Book Antiqua" w:hAnsi="Book Antiqua"/>
          <w:sz w:val="22"/>
          <w:szCs w:val="22"/>
        </w:rPr>
        <w:t xml:space="preserve">edlegg 3) der </w:t>
      </w:r>
      <w:r w:rsidR="008959D5">
        <w:rPr>
          <w:rFonts w:ascii="Book Antiqua" w:hAnsi="Book Antiqua"/>
          <w:sz w:val="22"/>
          <w:szCs w:val="22"/>
        </w:rPr>
        <w:t xml:space="preserve">nemnden selv </w:t>
      </w:r>
      <w:r w:rsidR="001B2242">
        <w:rPr>
          <w:rFonts w:ascii="Book Antiqua" w:hAnsi="Book Antiqua"/>
          <w:sz w:val="22"/>
          <w:szCs w:val="22"/>
        </w:rPr>
        <w:t>omtalte</w:t>
      </w:r>
      <w:r w:rsidR="005F272D">
        <w:rPr>
          <w:rFonts w:ascii="Book Antiqua" w:hAnsi="Book Antiqua"/>
          <w:sz w:val="22"/>
          <w:szCs w:val="22"/>
        </w:rPr>
        <w:t xml:space="preserve"> en</w:t>
      </w:r>
      <w:r w:rsidR="008959D5">
        <w:rPr>
          <w:rFonts w:ascii="Book Antiqua" w:hAnsi="Book Antiqua"/>
          <w:sz w:val="22"/>
          <w:szCs w:val="22"/>
        </w:rPr>
        <w:t xml:space="preserve"> sannsynlig underdekning på «klientbankkonto».</w:t>
      </w:r>
      <w:r w:rsidR="00E36190">
        <w:rPr>
          <w:rFonts w:ascii="ArialMT" w:cs="ArialMT"/>
          <w:sz w:val="22"/>
          <w:szCs w:val="22"/>
        </w:rPr>
        <w:t xml:space="preserve"> </w:t>
      </w:r>
      <w:r w:rsidR="000A548B">
        <w:rPr>
          <w:rFonts w:ascii="Book Antiqua" w:hAnsi="Book Antiqua"/>
          <w:sz w:val="22"/>
          <w:szCs w:val="22"/>
        </w:rPr>
        <w:t xml:space="preserve">BT </w:t>
      </w:r>
      <w:r w:rsidR="001B2242">
        <w:rPr>
          <w:rFonts w:ascii="Book Antiqua" w:hAnsi="Book Antiqua"/>
          <w:sz w:val="22"/>
          <w:szCs w:val="22"/>
        </w:rPr>
        <w:t xml:space="preserve">kan heller ikke se at det </w:t>
      </w:r>
      <w:r w:rsidR="000A548B">
        <w:rPr>
          <w:rFonts w:ascii="Book Antiqua" w:hAnsi="Book Antiqua"/>
          <w:sz w:val="22"/>
          <w:szCs w:val="22"/>
        </w:rPr>
        <w:t xml:space="preserve">var </w:t>
      </w:r>
      <w:r w:rsidR="005F272D">
        <w:rPr>
          <w:rFonts w:ascii="Book Antiqua" w:hAnsi="Book Antiqua"/>
          <w:sz w:val="22"/>
          <w:szCs w:val="22"/>
        </w:rPr>
        <w:t>usaklig</w:t>
      </w:r>
      <w:r w:rsidR="000A548B">
        <w:rPr>
          <w:rFonts w:ascii="Book Antiqua" w:hAnsi="Book Antiqua"/>
          <w:sz w:val="22"/>
          <w:szCs w:val="22"/>
        </w:rPr>
        <w:t xml:space="preserve"> </w:t>
      </w:r>
      <w:r w:rsidR="00E36190">
        <w:rPr>
          <w:rFonts w:ascii="Book Antiqua" w:hAnsi="Book Antiqua"/>
          <w:sz w:val="22"/>
          <w:szCs w:val="22"/>
        </w:rPr>
        <w:t>å omtale</w:t>
      </w:r>
      <w:r w:rsidR="000A548B">
        <w:rPr>
          <w:rFonts w:ascii="Book Antiqua" w:hAnsi="Book Antiqua"/>
          <w:sz w:val="22"/>
          <w:szCs w:val="22"/>
        </w:rPr>
        <w:t xml:space="preserve"> at klager ble fratatt bevillingen. BT anfører at det var den pleietrengende sønnens tremenning som varslet Tilsynsrådet for advokatvirksomhet, og at det var i forlengelsen av dette at det ble gjennomført et bokettersyn som igjen ledet til tapt bevilling for klager.</w:t>
      </w:r>
      <w:r w:rsidR="00636EF5">
        <w:rPr>
          <w:rFonts w:ascii="Book Antiqua" w:hAnsi="Book Antiqua"/>
          <w:sz w:val="22"/>
          <w:szCs w:val="22"/>
        </w:rPr>
        <w:t xml:space="preserve"> For øvrig viser redaksjonen til at klager, i publiseringen, var sitert slik i tilknytning til det aktuelle avsnittet:</w:t>
      </w:r>
    </w:p>
    <w:p w:rsidR="00636EF5" w:rsidRPr="004C53D6" w:rsidRDefault="00636EF5" w:rsidP="00EF3618">
      <w:pPr>
        <w:widowControl/>
        <w:overflowPunct/>
        <w:textAlignment w:val="auto"/>
        <w:rPr>
          <w:rFonts w:ascii="Book Antiqua" w:hAnsi="Book Antiqua"/>
          <w:sz w:val="16"/>
          <w:szCs w:val="16"/>
        </w:rPr>
      </w:pPr>
    </w:p>
    <w:p w:rsidR="00636EF5" w:rsidRPr="00FA1A43" w:rsidRDefault="00636EF5" w:rsidP="00EF3618">
      <w:pPr>
        <w:widowControl/>
        <w:overflowPunct/>
        <w:textAlignment w:val="auto"/>
        <w:rPr>
          <w:rFonts w:ascii="Book Antiqua" w:hAnsi="Book Antiqua"/>
          <w:i/>
          <w:sz w:val="22"/>
          <w:szCs w:val="22"/>
        </w:rPr>
      </w:pPr>
      <w:r w:rsidRPr="00FA1A43">
        <w:rPr>
          <w:rFonts w:ascii="Book Antiqua" w:hAnsi="Book Antiqua"/>
          <w:i/>
          <w:sz w:val="22"/>
          <w:szCs w:val="22"/>
        </w:rPr>
        <w:t>«Det har aldri vært en reell underdekning. Dette skyldtes en regnskapsmessig feilføring. Det hadde heller ingenting med [Død</w:t>
      </w:r>
      <w:r w:rsidR="005F272D" w:rsidRPr="00FA1A43">
        <w:rPr>
          <w:rFonts w:ascii="Book Antiqua" w:hAnsi="Book Antiqua"/>
          <w:i/>
          <w:sz w:val="22"/>
          <w:szCs w:val="22"/>
        </w:rPr>
        <w:t>s</w:t>
      </w:r>
      <w:r w:rsidRPr="00FA1A43">
        <w:rPr>
          <w:rFonts w:ascii="Book Antiqua" w:hAnsi="Book Antiqua"/>
          <w:i/>
          <w:sz w:val="22"/>
          <w:szCs w:val="22"/>
        </w:rPr>
        <w:t>boet] å gjøre. Regnskapet var godkjent av revisor og sendt til tilsynsrådet. Jeg hørte ikke noe derfra før jeg ble klaget inn [.]»</w:t>
      </w:r>
    </w:p>
    <w:p w:rsidR="005F272D" w:rsidRPr="004C53D6" w:rsidRDefault="005F272D" w:rsidP="00EF3618">
      <w:pPr>
        <w:widowControl/>
        <w:overflowPunct/>
        <w:textAlignment w:val="auto"/>
        <w:rPr>
          <w:rFonts w:ascii="Book Antiqua" w:hAnsi="Book Antiqua"/>
          <w:sz w:val="16"/>
          <w:szCs w:val="16"/>
        </w:rPr>
      </w:pPr>
    </w:p>
    <w:p w:rsidR="005F272D" w:rsidRPr="00D14D34" w:rsidRDefault="005F272D" w:rsidP="00EF3618">
      <w:pPr>
        <w:widowControl/>
        <w:overflowPunct/>
        <w:textAlignment w:val="auto"/>
        <w:rPr>
          <w:rFonts w:ascii="Book Antiqua" w:hAnsi="Book Antiqua"/>
          <w:sz w:val="22"/>
          <w:szCs w:val="22"/>
        </w:rPr>
      </w:pPr>
      <w:r w:rsidRPr="00D14D34">
        <w:rPr>
          <w:rFonts w:ascii="Book Antiqua" w:hAnsi="Book Antiqua"/>
          <w:sz w:val="22"/>
          <w:szCs w:val="22"/>
        </w:rPr>
        <w:t xml:space="preserve">BT </w:t>
      </w:r>
      <w:r w:rsidR="00D14D34" w:rsidRPr="00D14D34">
        <w:rPr>
          <w:rFonts w:ascii="Book Antiqua" w:hAnsi="Book Antiqua"/>
          <w:sz w:val="22"/>
          <w:szCs w:val="22"/>
        </w:rPr>
        <w:t>minner «for ordens skyld» om at tilbakekalling av advokatbevillingen innebærer at vedkommende er «</w:t>
      </w:r>
      <w:r w:rsidR="00D14D34" w:rsidRPr="00D14D34">
        <w:rPr>
          <w:rFonts w:ascii="Book Antiqua" w:hAnsi="Book Antiqua" w:cs="ArialMT"/>
          <w:sz w:val="22"/>
          <w:szCs w:val="22"/>
        </w:rPr>
        <w:t>uskikket eller uverdig til å drive advokatvirksomhet», eller at vedkommende har mistet «den tillit som er nødvendig i yrket.»</w:t>
      </w:r>
    </w:p>
    <w:p w:rsidR="00457B9D" w:rsidRDefault="00457B9D" w:rsidP="00EF3618">
      <w:pPr>
        <w:widowControl/>
        <w:overflowPunct/>
        <w:textAlignment w:val="auto"/>
        <w:rPr>
          <w:rFonts w:ascii="Book Antiqua" w:hAnsi="Book Antiqua"/>
          <w:sz w:val="22"/>
          <w:szCs w:val="22"/>
        </w:rPr>
      </w:pPr>
    </w:p>
    <w:p w:rsidR="00392CB3" w:rsidRDefault="00EF3618" w:rsidP="00EF3618">
      <w:pPr>
        <w:widowControl/>
        <w:overflowPunct/>
        <w:textAlignment w:val="auto"/>
        <w:rPr>
          <w:rFonts w:ascii="Book Antiqua" w:hAnsi="Book Antiqua" w:cs="ArialMT"/>
          <w:sz w:val="22"/>
          <w:szCs w:val="22"/>
        </w:rPr>
      </w:pPr>
      <w:r w:rsidRPr="00EF3618">
        <w:rPr>
          <w:rFonts w:ascii="Book Antiqua" w:hAnsi="Book Antiqua"/>
          <w:sz w:val="22"/>
          <w:szCs w:val="22"/>
        </w:rPr>
        <w:t xml:space="preserve">3) </w:t>
      </w:r>
      <w:r w:rsidRPr="00EF3618">
        <w:rPr>
          <w:rFonts w:ascii="Book Antiqua" w:hAnsi="Book Antiqua" w:cs="ArialMT"/>
          <w:sz w:val="22"/>
          <w:szCs w:val="22"/>
        </w:rPr>
        <w:t>BT visste at det forelå en anmeldelse på det aktuelle tidspunkt, ifølge redaksjonen.</w:t>
      </w:r>
      <w:r>
        <w:rPr>
          <w:rFonts w:ascii="Book Antiqua" w:hAnsi="Book Antiqua" w:cs="ArialMT"/>
          <w:sz w:val="22"/>
          <w:szCs w:val="22"/>
        </w:rPr>
        <w:t xml:space="preserve"> At BTs journalist ikke gikk inn på hvordan </w:t>
      </w:r>
      <w:r w:rsidR="002C1D33">
        <w:rPr>
          <w:rFonts w:ascii="Book Antiqua" w:hAnsi="Book Antiqua" w:cs="ArialMT"/>
          <w:sz w:val="22"/>
          <w:szCs w:val="22"/>
        </w:rPr>
        <w:t xml:space="preserve">han visste dette overfor klager, har med alminnelige kildehensyn å gjøre, </w:t>
      </w:r>
      <w:r w:rsidR="00123871">
        <w:rPr>
          <w:rFonts w:ascii="Book Antiqua" w:hAnsi="Book Antiqua" w:cs="ArialMT"/>
          <w:sz w:val="22"/>
          <w:szCs w:val="22"/>
        </w:rPr>
        <w:t>anføres det</w:t>
      </w:r>
      <w:r w:rsidR="002C1D33">
        <w:rPr>
          <w:rFonts w:ascii="Book Antiqua" w:hAnsi="Book Antiqua" w:cs="ArialMT"/>
          <w:sz w:val="22"/>
          <w:szCs w:val="22"/>
        </w:rPr>
        <w:t>.</w:t>
      </w:r>
      <w:r w:rsidR="00457B9D">
        <w:rPr>
          <w:rFonts w:ascii="Book Antiqua" w:hAnsi="Book Antiqua" w:cs="ArialMT"/>
          <w:sz w:val="22"/>
          <w:szCs w:val="22"/>
        </w:rPr>
        <w:t xml:space="preserve"> </w:t>
      </w:r>
      <w:r w:rsidR="005F7FEE">
        <w:rPr>
          <w:rFonts w:ascii="Book Antiqua" w:hAnsi="Book Antiqua" w:cs="ArialMT"/>
          <w:sz w:val="22"/>
          <w:szCs w:val="22"/>
        </w:rPr>
        <w:t>For øvrig understreker redaksjonen at den vil omtale utfallet av anmeldelsen når det foreligger en påtalemessig avgjørelse.</w:t>
      </w:r>
    </w:p>
    <w:p w:rsidR="001C2224" w:rsidRDefault="001C2224" w:rsidP="00EF3618">
      <w:pPr>
        <w:widowControl/>
        <w:overflowPunct/>
        <w:textAlignment w:val="auto"/>
        <w:rPr>
          <w:rFonts w:ascii="Book Antiqua" w:hAnsi="Book Antiqua" w:cs="ArialMT"/>
          <w:sz w:val="22"/>
          <w:szCs w:val="22"/>
        </w:rPr>
      </w:pPr>
    </w:p>
    <w:p w:rsidR="001C2224" w:rsidRDefault="001C2224" w:rsidP="00EF3618">
      <w:pPr>
        <w:widowControl/>
        <w:overflowPunct/>
        <w:textAlignment w:val="auto"/>
        <w:rPr>
          <w:rFonts w:ascii="Book Antiqua" w:hAnsi="Book Antiqua" w:cs="ArialMT"/>
          <w:sz w:val="22"/>
          <w:szCs w:val="22"/>
        </w:rPr>
      </w:pPr>
      <w:r>
        <w:rPr>
          <w:rFonts w:ascii="Book Antiqua" w:hAnsi="Book Antiqua" w:cs="ArialMT"/>
          <w:sz w:val="22"/>
          <w:szCs w:val="22"/>
        </w:rPr>
        <w:t>4)</w:t>
      </w:r>
      <w:r w:rsidR="00996120">
        <w:rPr>
          <w:rFonts w:ascii="Book Antiqua" w:hAnsi="Book Antiqua" w:cs="ArialMT"/>
          <w:sz w:val="22"/>
          <w:szCs w:val="22"/>
        </w:rPr>
        <w:t xml:space="preserve"> BT </w:t>
      </w:r>
      <w:r w:rsidR="001B2242">
        <w:rPr>
          <w:rFonts w:ascii="Book Antiqua" w:hAnsi="Book Antiqua" w:cs="ArialMT"/>
          <w:sz w:val="22"/>
          <w:szCs w:val="22"/>
        </w:rPr>
        <w:t xml:space="preserve">avviser at det fremstilles i reportasjen som om det var en sammenheng mellom anmeldelsen og bortfallet av bevillingen for klager. BT </w:t>
      </w:r>
      <w:r w:rsidR="00996120">
        <w:rPr>
          <w:rFonts w:ascii="Book Antiqua" w:hAnsi="Book Antiqua" w:cs="ArialMT"/>
          <w:sz w:val="22"/>
          <w:szCs w:val="22"/>
        </w:rPr>
        <w:t xml:space="preserve">anfører at det er et ubestridelig faktum at klager, seks måneder før han mistet bevillingen, ble anmeldt av den pleietrengende sønnens tremenning </w:t>
      </w:r>
      <w:proofErr w:type="spellStart"/>
      <w:proofErr w:type="gramStart"/>
      <w:r w:rsidR="00996120">
        <w:rPr>
          <w:rFonts w:ascii="Book Antiqua" w:hAnsi="Book Antiqua" w:cs="ArialMT"/>
          <w:sz w:val="22"/>
          <w:szCs w:val="22"/>
        </w:rPr>
        <w:t>m.fl</w:t>
      </w:r>
      <w:proofErr w:type="spellEnd"/>
      <w:proofErr w:type="gramEnd"/>
      <w:r w:rsidR="00996120">
        <w:rPr>
          <w:rFonts w:ascii="Book Antiqua" w:hAnsi="Book Antiqua" w:cs="ArialMT"/>
          <w:sz w:val="22"/>
          <w:szCs w:val="22"/>
        </w:rPr>
        <w:t xml:space="preserve"> for å ha tatt ut 600 000 kr fra dødsboets klientkonto. BT viser til Vedlegg 4 og 5 for å dokumentere anmeldelsen.</w:t>
      </w:r>
    </w:p>
    <w:p w:rsidR="00683B67" w:rsidRDefault="00683B67" w:rsidP="00EF3618">
      <w:pPr>
        <w:widowControl/>
        <w:overflowPunct/>
        <w:textAlignment w:val="auto"/>
        <w:rPr>
          <w:rFonts w:ascii="Book Antiqua" w:hAnsi="Book Antiqua" w:cs="ArialMT"/>
          <w:sz w:val="22"/>
          <w:szCs w:val="22"/>
        </w:rPr>
      </w:pPr>
    </w:p>
    <w:p w:rsidR="006B47A8" w:rsidRDefault="006B47A8" w:rsidP="00EF3618">
      <w:pPr>
        <w:widowControl/>
        <w:overflowPunct/>
        <w:textAlignment w:val="auto"/>
        <w:rPr>
          <w:rFonts w:ascii="Book Antiqua" w:hAnsi="Book Antiqua" w:cs="ArialMT"/>
          <w:sz w:val="22"/>
          <w:szCs w:val="22"/>
        </w:rPr>
      </w:pPr>
    </w:p>
    <w:p w:rsidR="006B47A8" w:rsidRDefault="001C2224" w:rsidP="00EF3618">
      <w:pPr>
        <w:widowControl/>
        <w:overflowPunct/>
        <w:textAlignment w:val="auto"/>
        <w:rPr>
          <w:rFonts w:ascii="Book Antiqua" w:hAnsi="Book Antiqua" w:cs="ArialMT"/>
          <w:sz w:val="22"/>
          <w:szCs w:val="22"/>
        </w:rPr>
      </w:pPr>
      <w:r>
        <w:rPr>
          <w:rFonts w:ascii="Book Antiqua" w:hAnsi="Book Antiqua" w:cs="ArialMT"/>
          <w:sz w:val="22"/>
          <w:szCs w:val="22"/>
        </w:rPr>
        <w:lastRenderedPageBreak/>
        <w:t>5)</w:t>
      </w:r>
      <w:r w:rsidR="00683B67">
        <w:rPr>
          <w:rFonts w:ascii="Book Antiqua" w:hAnsi="Book Antiqua" w:cs="ArialMT"/>
          <w:sz w:val="22"/>
          <w:szCs w:val="22"/>
        </w:rPr>
        <w:t xml:space="preserve"> </w:t>
      </w:r>
      <w:r w:rsidR="007820ED">
        <w:rPr>
          <w:rFonts w:ascii="Book Antiqua" w:hAnsi="Book Antiqua" w:cs="ArialMT"/>
          <w:sz w:val="22"/>
          <w:szCs w:val="22"/>
        </w:rPr>
        <w:t xml:space="preserve">Redaksjonen anfører at klager fikk frem sitt syn flere steder i reportasjen. </w:t>
      </w:r>
    </w:p>
    <w:p w:rsidR="006B47A8" w:rsidRPr="006B47A8" w:rsidRDefault="006B47A8" w:rsidP="00EF3618">
      <w:pPr>
        <w:widowControl/>
        <w:overflowPunct/>
        <w:textAlignment w:val="auto"/>
        <w:rPr>
          <w:rFonts w:ascii="Book Antiqua" w:hAnsi="Book Antiqua" w:cs="ArialMT"/>
          <w:sz w:val="16"/>
          <w:szCs w:val="16"/>
        </w:rPr>
      </w:pPr>
    </w:p>
    <w:p w:rsidR="00683B67" w:rsidRPr="006B47A8" w:rsidRDefault="006B47A8" w:rsidP="00EF3618">
      <w:pPr>
        <w:widowControl/>
        <w:overflowPunct/>
        <w:textAlignment w:val="auto"/>
        <w:rPr>
          <w:rFonts w:ascii="Book Antiqua" w:hAnsi="Book Antiqua"/>
          <w:sz w:val="22"/>
          <w:szCs w:val="22"/>
        </w:rPr>
      </w:pPr>
      <w:r>
        <w:rPr>
          <w:rFonts w:ascii="Book Antiqua" w:hAnsi="Book Antiqua" w:cs="ArialMT"/>
          <w:sz w:val="22"/>
          <w:szCs w:val="22"/>
        </w:rPr>
        <w:t xml:space="preserve">I tilknytning til det aktuelle avsnittet ble klager gjengitt </w:t>
      </w:r>
      <w:r w:rsidRPr="006B47A8">
        <w:rPr>
          <w:rFonts w:ascii="Book Antiqua" w:hAnsi="Book Antiqua"/>
          <w:sz w:val="22"/>
          <w:szCs w:val="22"/>
        </w:rPr>
        <w:t>slik</w:t>
      </w:r>
      <w:r>
        <w:rPr>
          <w:rFonts w:ascii="Book Antiqua" w:hAnsi="Book Antiqua"/>
          <w:sz w:val="22"/>
          <w:szCs w:val="22"/>
        </w:rPr>
        <w:t xml:space="preserve">, (sekr. </w:t>
      </w:r>
      <w:proofErr w:type="spellStart"/>
      <w:r>
        <w:rPr>
          <w:rFonts w:ascii="Book Antiqua" w:hAnsi="Book Antiqua"/>
          <w:sz w:val="22"/>
          <w:szCs w:val="22"/>
        </w:rPr>
        <w:t>anm</w:t>
      </w:r>
      <w:proofErr w:type="spellEnd"/>
      <w:r>
        <w:rPr>
          <w:rFonts w:ascii="Book Antiqua" w:hAnsi="Book Antiqua"/>
          <w:sz w:val="22"/>
          <w:szCs w:val="22"/>
        </w:rPr>
        <w:t>):</w:t>
      </w:r>
    </w:p>
    <w:p w:rsidR="007820ED" w:rsidRPr="006B47A8" w:rsidRDefault="007820ED" w:rsidP="00EF3618">
      <w:pPr>
        <w:widowControl/>
        <w:overflowPunct/>
        <w:textAlignment w:val="auto"/>
        <w:rPr>
          <w:rFonts w:ascii="Book Antiqua" w:hAnsi="Book Antiqua"/>
          <w:sz w:val="16"/>
          <w:szCs w:val="16"/>
        </w:rPr>
      </w:pPr>
    </w:p>
    <w:p w:rsidR="007820ED" w:rsidRPr="006B47A8" w:rsidRDefault="007820ED" w:rsidP="00EF3618">
      <w:pPr>
        <w:widowControl/>
        <w:overflowPunct/>
        <w:textAlignment w:val="auto"/>
        <w:rPr>
          <w:rFonts w:ascii="Book Antiqua" w:hAnsi="Book Antiqua" w:cs="ArialMT"/>
          <w:i/>
          <w:sz w:val="22"/>
          <w:szCs w:val="22"/>
        </w:rPr>
      </w:pPr>
      <w:r w:rsidRPr="006B47A8">
        <w:rPr>
          <w:rFonts w:ascii="Book Antiqua" w:hAnsi="Book Antiqua"/>
          <w:i/>
          <w:sz w:val="22"/>
          <w:szCs w:val="22"/>
        </w:rPr>
        <w:t xml:space="preserve">«Jeg ble bedt om å sette opp testamentet slik det er gjort. Jeg har fulgt testamentet til punkt og prikke […] Det faller på sin egen urimelighet og får stå for hans regning. Jeg synes </w:t>
      </w:r>
      <w:r w:rsidR="00123871" w:rsidRPr="006B47A8">
        <w:rPr>
          <w:rFonts w:ascii="Book Antiqua" w:hAnsi="Book Antiqua"/>
          <w:i/>
          <w:sz w:val="22"/>
          <w:szCs w:val="22"/>
        </w:rPr>
        <w:t>[tremenningen]</w:t>
      </w:r>
      <w:r w:rsidRPr="006B47A8">
        <w:rPr>
          <w:rFonts w:ascii="Book Antiqua" w:hAnsi="Book Antiqua"/>
          <w:i/>
          <w:sz w:val="22"/>
          <w:szCs w:val="22"/>
        </w:rPr>
        <w:t>, med alle sine protester, må ta en stor del av ansvaret for at saken har tatt så lang tid.»</w:t>
      </w:r>
    </w:p>
    <w:p w:rsidR="001B2242" w:rsidRPr="005A4AB2" w:rsidRDefault="001B2242" w:rsidP="00EF3618">
      <w:pPr>
        <w:widowControl/>
        <w:overflowPunct/>
        <w:textAlignment w:val="auto"/>
        <w:rPr>
          <w:rFonts w:ascii="Book Antiqua" w:hAnsi="Book Antiqua" w:cs="ArialMT"/>
          <w:sz w:val="16"/>
          <w:szCs w:val="16"/>
        </w:rPr>
      </w:pPr>
    </w:p>
    <w:p w:rsidR="001B2242" w:rsidRDefault="001C2224" w:rsidP="001B2242">
      <w:pPr>
        <w:widowControl/>
        <w:overflowPunct/>
        <w:textAlignment w:val="auto"/>
        <w:rPr>
          <w:rFonts w:ascii="Book Antiqua" w:hAnsi="Book Antiqua" w:cs="ArialMT"/>
          <w:sz w:val="22"/>
          <w:szCs w:val="22"/>
        </w:rPr>
      </w:pPr>
      <w:r>
        <w:rPr>
          <w:rFonts w:ascii="Book Antiqua" w:hAnsi="Book Antiqua" w:cs="ArialMT"/>
          <w:sz w:val="22"/>
          <w:szCs w:val="22"/>
        </w:rPr>
        <w:t>6)</w:t>
      </w:r>
      <w:r w:rsidR="00FA1A43">
        <w:rPr>
          <w:rFonts w:ascii="Book Antiqua" w:hAnsi="Book Antiqua" w:cs="ArialMT"/>
          <w:sz w:val="22"/>
          <w:szCs w:val="22"/>
        </w:rPr>
        <w:t xml:space="preserve"> Innledningsvis i tilsvaret viser BT til klagens Vedlegg 7, der redaksjonen svar</w:t>
      </w:r>
      <w:r w:rsidR="001B2242">
        <w:rPr>
          <w:rFonts w:ascii="Book Antiqua" w:hAnsi="Book Antiqua" w:cs="ArialMT"/>
          <w:sz w:val="22"/>
          <w:szCs w:val="22"/>
        </w:rPr>
        <w:t>te</w:t>
      </w:r>
      <w:r w:rsidR="00FA1A43">
        <w:rPr>
          <w:rFonts w:ascii="Book Antiqua" w:hAnsi="Book Antiqua" w:cs="ArialMT"/>
          <w:sz w:val="22"/>
          <w:szCs w:val="22"/>
        </w:rPr>
        <w:t xml:space="preserve"> på klagers merknader til reportasjen.</w:t>
      </w:r>
      <w:r w:rsidR="001B2242">
        <w:rPr>
          <w:rFonts w:ascii="Book Antiqua" w:hAnsi="Book Antiqua" w:cs="ArialMT"/>
          <w:sz w:val="22"/>
          <w:szCs w:val="22"/>
        </w:rPr>
        <w:t xml:space="preserve"> </w:t>
      </w:r>
      <w:r w:rsidR="006E37D3">
        <w:rPr>
          <w:rFonts w:ascii="Book Antiqua" w:hAnsi="Book Antiqua" w:cs="ArialMT"/>
          <w:sz w:val="22"/>
          <w:szCs w:val="22"/>
        </w:rPr>
        <w:t>Re</w:t>
      </w:r>
      <w:r w:rsidR="001B2242">
        <w:rPr>
          <w:rFonts w:ascii="Book Antiqua" w:hAnsi="Book Antiqua" w:cs="ArialMT"/>
          <w:sz w:val="22"/>
          <w:szCs w:val="22"/>
        </w:rPr>
        <w:t xml:space="preserve">daksjonen </w:t>
      </w:r>
      <w:r w:rsidR="006E37D3">
        <w:rPr>
          <w:rFonts w:ascii="Book Antiqua" w:hAnsi="Book Antiqua" w:cs="ArialMT"/>
          <w:sz w:val="22"/>
          <w:szCs w:val="22"/>
        </w:rPr>
        <w:t xml:space="preserve">avviser </w:t>
      </w:r>
      <w:r w:rsidR="001B2242">
        <w:rPr>
          <w:rFonts w:ascii="Book Antiqua" w:hAnsi="Book Antiqua" w:cs="ArialMT"/>
          <w:sz w:val="22"/>
          <w:szCs w:val="22"/>
        </w:rPr>
        <w:t>at klager, i reportasjen, ble beskyldt for å ha utformet et «ferdigsnekret testament». I reportasjen het det at testamentet var ført i pennen av klager, og det er korrekt, fremholder redaksjonen.</w:t>
      </w:r>
    </w:p>
    <w:p w:rsidR="001C2224" w:rsidRDefault="001C2224" w:rsidP="00EF3618">
      <w:pPr>
        <w:widowControl/>
        <w:overflowPunct/>
        <w:textAlignment w:val="auto"/>
        <w:rPr>
          <w:rFonts w:ascii="Book Antiqua" w:hAnsi="Book Antiqua" w:cs="ArialMT"/>
          <w:sz w:val="22"/>
          <w:szCs w:val="22"/>
        </w:rPr>
      </w:pPr>
    </w:p>
    <w:p w:rsidR="00FC7588" w:rsidRDefault="00FC7588" w:rsidP="00EF3618">
      <w:pPr>
        <w:widowControl/>
        <w:overflowPunct/>
        <w:textAlignment w:val="auto"/>
        <w:rPr>
          <w:rFonts w:ascii="Book Antiqua" w:hAnsi="Book Antiqua" w:cs="ArialMT"/>
          <w:sz w:val="22"/>
          <w:szCs w:val="22"/>
        </w:rPr>
      </w:pPr>
      <w:r>
        <w:rPr>
          <w:rFonts w:ascii="Book Antiqua" w:hAnsi="Book Antiqua" w:cs="ArialMT"/>
          <w:sz w:val="22"/>
          <w:szCs w:val="22"/>
        </w:rPr>
        <w:t xml:space="preserve">7) </w:t>
      </w:r>
      <w:r w:rsidR="00BA6F59">
        <w:rPr>
          <w:rFonts w:ascii="Book Antiqua" w:hAnsi="Book Antiqua" w:cs="ArialMT"/>
          <w:sz w:val="22"/>
          <w:szCs w:val="22"/>
        </w:rPr>
        <w:t>K</w:t>
      </w:r>
      <w:r>
        <w:rPr>
          <w:rFonts w:ascii="Book Antiqua" w:hAnsi="Book Antiqua" w:cs="ArialMT"/>
          <w:sz w:val="22"/>
          <w:szCs w:val="22"/>
        </w:rPr>
        <w:t xml:space="preserve">lagers påstand om at </w:t>
      </w:r>
      <w:r w:rsidR="00F35088">
        <w:rPr>
          <w:rFonts w:ascii="Book Antiqua" w:hAnsi="Book Antiqua" w:cs="ArialMT"/>
          <w:sz w:val="22"/>
          <w:szCs w:val="22"/>
        </w:rPr>
        <w:t>tremenningen feilaktig fremstilles som hjelpeverge i reportasjen, er ulogisk</w:t>
      </w:r>
      <w:r w:rsidR="00BA6F59">
        <w:rPr>
          <w:rFonts w:ascii="Book Antiqua" w:hAnsi="Book Antiqua" w:cs="ArialMT"/>
          <w:sz w:val="22"/>
          <w:szCs w:val="22"/>
        </w:rPr>
        <w:t>, mener BT</w:t>
      </w:r>
      <w:r w:rsidR="00F35088">
        <w:rPr>
          <w:rFonts w:ascii="Book Antiqua" w:hAnsi="Book Antiqua" w:cs="ArialMT"/>
          <w:sz w:val="22"/>
          <w:szCs w:val="22"/>
        </w:rPr>
        <w:t>. Redaksjonen anfører at den på ingen måte forsøkte å tilsløre de faktiske forhold, og viser i den sammenheng til følgende avsnitt i reportasjen:</w:t>
      </w:r>
    </w:p>
    <w:p w:rsidR="00F35088" w:rsidRPr="005A4AB2" w:rsidRDefault="00F35088" w:rsidP="00EF3618">
      <w:pPr>
        <w:widowControl/>
        <w:overflowPunct/>
        <w:textAlignment w:val="auto"/>
        <w:rPr>
          <w:rFonts w:ascii="Book Antiqua" w:hAnsi="Book Antiqua" w:cs="ArialMT"/>
          <w:sz w:val="16"/>
          <w:szCs w:val="16"/>
        </w:rPr>
      </w:pPr>
    </w:p>
    <w:p w:rsidR="00F35088" w:rsidRPr="00FA1A43" w:rsidRDefault="00F35088"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“[Klager] kontaktet Fylkesmannen og mente at [Tremenningen] var inhabil fordi han</w:t>
      </w:r>
    </w:p>
    <w:p w:rsidR="00F35088" w:rsidRPr="00FA1A43" w:rsidRDefault="00F35088"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var verge for [Sønnen] og samtidig nevnt i testamentet. Fylkesmannen oppnevnte en ny</w:t>
      </w:r>
    </w:p>
    <w:p w:rsidR="00F35088" w:rsidRPr="00FA1A43" w:rsidRDefault="00F35088"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advokat som setteverge, mot [Tremenningens] ønske. I 2015 oppnevnte stiftelsestilsynet</w:t>
      </w:r>
    </w:p>
    <w:p w:rsidR="00F35088" w:rsidRPr="00FA1A43" w:rsidRDefault="001C2224"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[En annen advokat]</w:t>
      </w:r>
      <w:r w:rsidR="00F35088" w:rsidRPr="00FA1A43">
        <w:rPr>
          <w:rFonts w:ascii="Book Antiqua" w:hAnsi="Book Antiqua" w:cs="Arial-ItalicMT"/>
          <w:i/>
          <w:iCs/>
          <w:sz w:val="22"/>
          <w:szCs w:val="22"/>
          <w:lang w:bidi="he-IL"/>
        </w:rPr>
        <w:t xml:space="preserve"> som leder for stiftelsen fordi også de mente [Tremenningen] var</w:t>
      </w:r>
    </w:p>
    <w:p w:rsidR="00F35088" w:rsidRPr="00FA1A43" w:rsidRDefault="00F35088"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inhabil. [Tremenningen] protesterte og viste til at han ikke hadde økonomiske interesser</w:t>
      </w:r>
    </w:p>
    <w:p w:rsidR="00F35088" w:rsidRPr="00FA1A43" w:rsidRDefault="00F35088" w:rsidP="00F35088">
      <w:pPr>
        <w:widowControl/>
        <w:overflowPunct/>
        <w:textAlignment w:val="auto"/>
        <w:rPr>
          <w:rFonts w:ascii="Book Antiqua" w:hAnsi="Book Antiqua" w:cs="Arial-ItalicMT"/>
          <w:i/>
          <w:iCs/>
          <w:sz w:val="22"/>
          <w:szCs w:val="22"/>
          <w:lang w:bidi="he-IL"/>
        </w:rPr>
      </w:pPr>
      <w:r w:rsidRPr="00FA1A43">
        <w:rPr>
          <w:rFonts w:ascii="Book Antiqua" w:hAnsi="Book Antiqua" w:cs="Arial-ItalicMT"/>
          <w:i/>
          <w:iCs/>
          <w:sz w:val="22"/>
          <w:szCs w:val="22"/>
          <w:lang w:bidi="he-IL"/>
        </w:rPr>
        <w:t>utover å sikre [Sønnen].»</w:t>
      </w:r>
    </w:p>
    <w:p w:rsidR="001C2224" w:rsidRPr="005A4AB2" w:rsidRDefault="001C2224" w:rsidP="00F35088">
      <w:pPr>
        <w:widowControl/>
        <w:overflowPunct/>
        <w:textAlignment w:val="auto"/>
        <w:rPr>
          <w:rFonts w:ascii="Book Antiqua" w:hAnsi="Book Antiqua" w:cs="Arial-ItalicMT"/>
          <w:iCs/>
          <w:sz w:val="16"/>
          <w:szCs w:val="16"/>
          <w:lang w:bidi="he-IL"/>
        </w:rPr>
      </w:pPr>
    </w:p>
    <w:p w:rsidR="001C2224" w:rsidRPr="00F35088" w:rsidRDefault="001C2224" w:rsidP="00F35088">
      <w:pPr>
        <w:widowControl/>
        <w:overflowPunct/>
        <w:textAlignment w:val="auto"/>
        <w:rPr>
          <w:rFonts w:ascii="Book Antiqua" w:hAnsi="Book Antiqua" w:cs="ArialMT"/>
          <w:sz w:val="22"/>
          <w:szCs w:val="22"/>
        </w:rPr>
      </w:pPr>
      <w:r>
        <w:rPr>
          <w:rFonts w:ascii="Book Antiqua" w:hAnsi="Book Antiqua" w:cs="Arial-ItalicMT"/>
          <w:iCs/>
          <w:sz w:val="22"/>
          <w:szCs w:val="22"/>
          <w:lang w:bidi="he-IL"/>
        </w:rPr>
        <w:t>8)</w:t>
      </w:r>
      <w:r w:rsidR="00BA6F59">
        <w:rPr>
          <w:rFonts w:ascii="Book Antiqua" w:hAnsi="Book Antiqua" w:cs="Arial-ItalicMT"/>
          <w:iCs/>
          <w:sz w:val="22"/>
          <w:szCs w:val="22"/>
          <w:lang w:bidi="he-IL"/>
        </w:rPr>
        <w:t xml:space="preserve"> Redaksjonen avviser å ha fremstilt tingrettens brev som en rettsavgjørelse. I reportasjen het det at «Bergen tingrett fastslo» at klager «ikke hadde rett til å disponere over boet». Dette er et faktum, anfører BT </w:t>
      </w:r>
      <w:r w:rsidR="001A50C3">
        <w:rPr>
          <w:rFonts w:ascii="Book Antiqua" w:hAnsi="Book Antiqua" w:cs="ArialMT"/>
          <w:sz w:val="22"/>
          <w:szCs w:val="22"/>
        </w:rPr>
        <w:t>(se vedlegg 1</w:t>
      </w:r>
      <w:r w:rsidR="00BA6F59">
        <w:rPr>
          <w:rFonts w:ascii="Book Antiqua" w:hAnsi="Book Antiqua" w:cs="ArialMT"/>
          <w:sz w:val="22"/>
          <w:szCs w:val="22"/>
        </w:rPr>
        <w:t xml:space="preserve"> til </w:t>
      </w:r>
      <w:r w:rsidR="001A50C3">
        <w:rPr>
          <w:rFonts w:ascii="Book Antiqua" w:hAnsi="Book Antiqua" w:cs="ArialMT"/>
          <w:sz w:val="22"/>
          <w:szCs w:val="22"/>
        </w:rPr>
        <w:t>tilsvaret</w:t>
      </w:r>
      <w:r w:rsidR="00BA6F59">
        <w:rPr>
          <w:rFonts w:ascii="Book Antiqua" w:hAnsi="Book Antiqua" w:cs="ArialMT"/>
          <w:sz w:val="22"/>
          <w:szCs w:val="22"/>
        </w:rPr>
        <w:t xml:space="preserve">, sekr. </w:t>
      </w:r>
      <w:proofErr w:type="spellStart"/>
      <w:r w:rsidR="00BA6F59">
        <w:rPr>
          <w:rFonts w:ascii="Book Antiqua" w:hAnsi="Book Antiqua" w:cs="ArialMT"/>
          <w:sz w:val="22"/>
          <w:szCs w:val="22"/>
        </w:rPr>
        <w:t>anm</w:t>
      </w:r>
      <w:proofErr w:type="spellEnd"/>
      <w:r w:rsidR="00BA6F59">
        <w:rPr>
          <w:rFonts w:ascii="Book Antiqua" w:hAnsi="Book Antiqua" w:cs="ArialMT"/>
          <w:sz w:val="22"/>
          <w:szCs w:val="22"/>
        </w:rPr>
        <w:t>.).</w:t>
      </w:r>
    </w:p>
    <w:p w:rsidR="00FC7588" w:rsidRDefault="00FC7588" w:rsidP="00EF3618">
      <w:pPr>
        <w:widowControl/>
        <w:overflowPunct/>
        <w:textAlignment w:val="auto"/>
        <w:rPr>
          <w:rFonts w:ascii="Book Antiqua" w:hAnsi="Book Antiqua" w:cs="ArialMT"/>
          <w:sz w:val="22"/>
          <w:szCs w:val="22"/>
        </w:rPr>
      </w:pPr>
    </w:p>
    <w:p w:rsidR="00FC7588" w:rsidRDefault="00FC7588" w:rsidP="00EF3618">
      <w:pPr>
        <w:widowControl/>
        <w:overflowPunct/>
        <w:textAlignment w:val="auto"/>
        <w:rPr>
          <w:rFonts w:ascii="Book Antiqua" w:hAnsi="Book Antiqua" w:cs="ArialMT"/>
          <w:sz w:val="22"/>
          <w:szCs w:val="22"/>
        </w:rPr>
      </w:pPr>
      <w:r>
        <w:rPr>
          <w:rFonts w:ascii="Book Antiqua" w:hAnsi="Book Antiqua" w:cs="ArialMT"/>
          <w:sz w:val="22"/>
          <w:szCs w:val="22"/>
        </w:rPr>
        <w:t>9) BT avviser at klagers imøtegåelse kom for langt ut i reportasjen. BT mener at klager slipper tidlig til og får anledning til å få frem sitt syn flere steder.</w:t>
      </w:r>
    </w:p>
    <w:p w:rsidR="001C2224" w:rsidRDefault="001C2224" w:rsidP="00EF3618">
      <w:pPr>
        <w:widowControl/>
        <w:overflowPunct/>
        <w:textAlignment w:val="auto"/>
        <w:rPr>
          <w:rFonts w:ascii="Book Antiqua" w:hAnsi="Book Antiqua" w:cs="ArialMT"/>
          <w:sz w:val="22"/>
          <w:szCs w:val="22"/>
        </w:rPr>
      </w:pPr>
    </w:p>
    <w:p w:rsidR="001C2224" w:rsidRDefault="001C2224" w:rsidP="00EF3618">
      <w:pPr>
        <w:widowControl/>
        <w:overflowPunct/>
        <w:textAlignment w:val="auto"/>
        <w:rPr>
          <w:rFonts w:ascii="Book Antiqua" w:hAnsi="Book Antiqua" w:cs="ArialMT"/>
          <w:sz w:val="22"/>
          <w:szCs w:val="22"/>
        </w:rPr>
      </w:pPr>
      <w:r>
        <w:rPr>
          <w:rFonts w:ascii="Book Antiqua" w:hAnsi="Book Antiqua" w:cs="ArialMT"/>
          <w:sz w:val="22"/>
          <w:szCs w:val="22"/>
        </w:rPr>
        <w:t>10)</w:t>
      </w:r>
      <w:r w:rsidR="006E37D3">
        <w:rPr>
          <w:rFonts w:ascii="Book Antiqua" w:hAnsi="Book Antiqua" w:cs="ArialMT"/>
          <w:sz w:val="22"/>
          <w:szCs w:val="22"/>
        </w:rPr>
        <w:t xml:space="preserve"> Det er korrekt at tanten angrer</w:t>
      </w:r>
      <w:r w:rsidR="00BA6F59">
        <w:rPr>
          <w:rFonts w:ascii="Book Antiqua" w:hAnsi="Book Antiqua" w:cs="ArialMT"/>
          <w:sz w:val="22"/>
          <w:szCs w:val="22"/>
        </w:rPr>
        <w:t xml:space="preserve">, anfører redaksjonen (se </w:t>
      </w:r>
      <w:r w:rsidR="006E37D3">
        <w:rPr>
          <w:rFonts w:ascii="Book Antiqua" w:hAnsi="Book Antiqua" w:cs="ArialMT"/>
          <w:sz w:val="22"/>
          <w:szCs w:val="22"/>
        </w:rPr>
        <w:t>vedlegg 7 til klagen</w:t>
      </w:r>
      <w:r w:rsidR="00BA6F59">
        <w:rPr>
          <w:rFonts w:ascii="Book Antiqua" w:hAnsi="Book Antiqua" w:cs="ArialMT"/>
          <w:sz w:val="22"/>
          <w:szCs w:val="22"/>
        </w:rPr>
        <w:t xml:space="preserve">, sekr. </w:t>
      </w:r>
      <w:proofErr w:type="spellStart"/>
      <w:r w:rsidR="00BA6F59">
        <w:rPr>
          <w:rFonts w:ascii="Book Antiqua" w:hAnsi="Book Antiqua" w:cs="ArialMT"/>
          <w:sz w:val="22"/>
          <w:szCs w:val="22"/>
        </w:rPr>
        <w:t>anm</w:t>
      </w:r>
      <w:proofErr w:type="spellEnd"/>
      <w:r w:rsidR="00BA6F59">
        <w:rPr>
          <w:rFonts w:ascii="Book Antiqua" w:hAnsi="Book Antiqua" w:cs="ArialMT"/>
          <w:sz w:val="22"/>
          <w:szCs w:val="22"/>
        </w:rPr>
        <w:t>.)</w:t>
      </w:r>
      <w:r w:rsidR="006E37D3">
        <w:rPr>
          <w:rFonts w:ascii="Book Antiqua" w:hAnsi="Book Antiqua" w:cs="ArialMT"/>
          <w:sz w:val="22"/>
          <w:szCs w:val="22"/>
        </w:rPr>
        <w:t>.</w:t>
      </w:r>
    </w:p>
    <w:p w:rsidR="008959D5" w:rsidRPr="005A4AB2" w:rsidRDefault="008959D5" w:rsidP="00EF3618">
      <w:pPr>
        <w:widowControl/>
        <w:overflowPunct/>
        <w:textAlignment w:val="auto"/>
        <w:rPr>
          <w:rFonts w:ascii="Book Antiqua" w:hAnsi="Book Antiqua" w:cs="ArialMT"/>
          <w:sz w:val="16"/>
          <w:szCs w:val="16"/>
        </w:rPr>
      </w:pPr>
    </w:p>
    <w:p w:rsidR="008959D5" w:rsidRPr="00EC02D9" w:rsidRDefault="008959D5" w:rsidP="008959D5">
      <w:pPr>
        <w:widowControl/>
        <w:overflowPunct/>
        <w:textAlignment w:val="auto"/>
        <w:rPr>
          <w:rFonts w:ascii="Book Antiqua" w:hAnsi="Book Antiqua" w:cs="ArialMT"/>
          <w:sz w:val="22"/>
          <w:szCs w:val="22"/>
        </w:rPr>
      </w:pPr>
      <w:r w:rsidRPr="00EC02D9">
        <w:rPr>
          <w:rFonts w:ascii="Book Antiqua" w:hAnsi="Book Antiqua" w:cs="ArialMT"/>
          <w:sz w:val="22"/>
          <w:szCs w:val="22"/>
        </w:rPr>
        <w:t xml:space="preserve">11) </w:t>
      </w:r>
      <w:r w:rsidR="00D217FC">
        <w:rPr>
          <w:rFonts w:ascii="Book Antiqua" w:hAnsi="Book Antiqua" w:cs="ArialMT"/>
          <w:sz w:val="22"/>
          <w:szCs w:val="22"/>
        </w:rPr>
        <w:t xml:space="preserve">BT </w:t>
      </w:r>
      <w:r w:rsidRPr="00EC02D9">
        <w:rPr>
          <w:rFonts w:ascii="Book Antiqua" w:hAnsi="Book Antiqua" w:cs="ArialMT"/>
          <w:sz w:val="22"/>
          <w:szCs w:val="22"/>
        </w:rPr>
        <w:t>forstår at det oppleves som krevende å få utøvelsen av sin profesjon belyst i offentlighet. En advokat og testamentfullbyrder satt til å forvalte betydelige summer må likevel tåle offentlig søkelys, mener redaksjonen.</w:t>
      </w:r>
    </w:p>
    <w:p w:rsidR="00457B9D" w:rsidRPr="005A4AB2" w:rsidRDefault="00457B9D" w:rsidP="00EF3618">
      <w:pPr>
        <w:widowControl/>
        <w:overflowPunct/>
        <w:textAlignment w:val="auto"/>
        <w:rPr>
          <w:rFonts w:ascii="Book Antiqua" w:hAnsi="Book Antiqua" w:cs="ArialMT"/>
          <w:sz w:val="22"/>
          <w:szCs w:val="22"/>
        </w:rPr>
      </w:pPr>
    </w:p>
    <w:p w:rsidR="00392CB3" w:rsidRPr="00EF3618" w:rsidRDefault="008C3A9D" w:rsidP="00392CB3">
      <w:pPr>
        <w:rPr>
          <w:rFonts w:ascii="Book Antiqua" w:hAnsi="Book Antiqua"/>
          <w:sz w:val="22"/>
          <w:szCs w:val="22"/>
        </w:rPr>
      </w:pPr>
      <w:r>
        <w:rPr>
          <w:rFonts w:ascii="Book Antiqua" w:hAnsi="Book Antiqua"/>
          <w:sz w:val="22"/>
          <w:szCs w:val="22"/>
        </w:rPr>
        <w:t xml:space="preserve">Avslutningsvis argumenterer BT for at </w:t>
      </w:r>
      <w:r w:rsidR="005A4AB2">
        <w:rPr>
          <w:rFonts w:ascii="Book Antiqua" w:hAnsi="Book Antiqua"/>
          <w:sz w:val="22"/>
          <w:szCs w:val="22"/>
        </w:rPr>
        <w:t>avis</w:t>
      </w:r>
      <w:r>
        <w:rPr>
          <w:rFonts w:ascii="Book Antiqua" w:hAnsi="Book Antiqua"/>
          <w:sz w:val="22"/>
          <w:szCs w:val="22"/>
        </w:rPr>
        <w:t xml:space="preserve">en ikke har </w:t>
      </w:r>
      <w:r w:rsidR="005A4AB2">
        <w:rPr>
          <w:rFonts w:ascii="Book Antiqua" w:hAnsi="Book Antiqua"/>
          <w:sz w:val="22"/>
          <w:szCs w:val="22"/>
        </w:rPr>
        <w:t>brutt</w:t>
      </w:r>
      <w:r>
        <w:rPr>
          <w:rFonts w:ascii="Book Antiqua" w:hAnsi="Book Antiqua"/>
          <w:sz w:val="22"/>
          <w:szCs w:val="22"/>
        </w:rPr>
        <w:t xml:space="preserve"> </w:t>
      </w:r>
      <w:r w:rsidR="005A4AB2">
        <w:rPr>
          <w:rFonts w:ascii="Book Antiqua" w:hAnsi="Book Antiqua"/>
          <w:sz w:val="22"/>
          <w:szCs w:val="22"/>
        </w:rPr>
        <w:t xml:space="preserve">VVP-punktene </w:t>
      </w:r>
      <w:r w:rsidR="00B54067">
        <w:rPr>
          <w:rFonts w:ascii="Book Antiqua" w:hAnsi="Book Antiqua"/>
          <w:sz w:val="22"/>
          <w:szCs w:val="22"/>
        </w:rPr>
        <w:t>klager viser til:</w:t>
      </w:r>
    </w:p>
    <w:p w:rsidR="00392CB3" w:rsidRPr="005A4AB2" w:rsidRDefault="00392CB3" w:rsidP="00392CB3">
      <w:pPr>
        <w:rPr>
          <w:rFonts w:ascii="Book Antiqua" w:hAnsi="Book Antiqua"/>
          <w:b/>
          <w:sz w:val="16"/>
          <w:szCs w:val="16"/>
        </w:rPr>
      </w:pPr>
    </w:p>
    <w:p w:rsidR="00EC02D9" w:rsidRDefault="00B54067" w:rsidP="00B54067">
      <w:pPr>
        <w:widowControl/>
        <w:overflowPunct/>
        <w:textAlignment w:val="auto"/>
        <w:rPr>
          <w:rFonts w:ascii="Book Antiqua" w:hAnsi="Book Antiqua" w:cs="ArialMT"/>
          <w:sz w:val="22"/>
          <w:szCs w:val="22"/>
        </w:rPr>
      </w:pPr>
      <w:r w:rsidRPr="005A4AB2">
        <w:rPr>
          <w:rFonts w:ascii="Book Antiqua" w:hAnsi="Book Antiqua"/>
          <w:sz w:val="22"/>
          <w:szCs w:val="22"/>
        </w:rPr>
        <w:t>3.2)</w:t>
      </w:r>
      <w:r w:rsidRPr="00B54067">
        <w:rPr>
          <w:rFonts w:ascii="Book Antiqua" w:hAnsi="Book Antiqua"/>
          <w:b/>
          <w:sz w:val="22"/>
          <w:szCs w:val="22"/>
        </w:rPr>
        <w:t xml:space="preserve"> «</w:t>
      </w:r>
      <w:r w:rsidRPr="00B54067">
        <w:rPr>
          <w:rFonts w:ascii="Book Antiqua" w:hAnsi="Book Antiqua" w:cs="ArialMT"/>
          <w:sz w:val="22"/>
          <w:szCs w:val="22"/>
        </w:rPr>
        <w:t xml:space="preserve">Saken er bredt belyst gjennom en rekke kilder, og baserer seg på ingen som helst måte </w:t>
      </w:r>
      <w:r w:rsidR="00D217FC">
        <w:rPr>
          <w:rFonts w:ascii="Book Antiqua" w:hAnsi="Book Antiqua" w:cs="ArialMT"/>
          <w:sz w:val="22"/>
          <w:szCs w:val="22"/>
        </w:rPr>
        <w:t xml:space="preserve">[på] </w:t>
      </w:r>
      <w:r w:rsidRPr="00B54067">
        <w:rPr>
          <w:rFonts w:ascii="Book Antiqua" w:hAnsi="Book Antiqua" w:cs="ArialMT"/>
          <w:sz w:val="22"/>
          <w:szCs w:val="22"/>
        </w:rPr>
        <w:t>ukritisk formidling av på</w:t>
      </w:r>
      <w:r w:rsidR="005A4AB2">
        <w:rPr>
          <w:rFonts w:ascii="Book Antiqua" w:hAnsi="Book Antiqua" w:cs="ArialMT"/>
          <w:sz w:val="22"/>
          <w:szCs w:val="22"/>
        </w:rPr>
        <w:t>stander […]</w:t>
      </w:r>
      <w:r w:rsidRPr="00B54067">
        <w:rPr>
          <w:rFonts w:ascii="Book Antiqua" w:hAnsi="Book Antiqua" w:cs="ArialMT"/>
          <w:sz w:val="22"/>
          <w:szCs w:val="22"/>
        </w:rPr>
        <w:t>. Kildene er navngitte, hvilket også styrker saken.»</w:t>
      </w:r>
    </w:p>
    <w:p w:rsidR="00B54067" w:rsidRPr="005A4AB2" w:rsidRDefault="00B54067" w:rsidP="00B54067">
      <w:pPr>
        <w:widowControl/>
        <w:overflowPunct/>
        <w:textAlignment w:val="auto"/>
        <w:rPr>
          <w:rFonts w:ascii="Book Antiqua" w:hAnsi="Book Antiqua" w:cs="ArialMT"/>
          <w:sz w:val="16"/>
          <w:szCs w:val="16"/>
        </w:rPr>
      </w:pPr>
    </w:p>
    <w:p w:rsidR="00B54067" w:rsidRDefault="00B54067" w:rsidP="00B54067">
      <w:pPr>
        <w:widowControl/>
        <w:overflowPunct/>
        <w:textAlignment w:val="auto"/>
        <w:rPr>
          <w:rFonts w:ascii="Book Antiqua" w:hAnsi="Book Antiqua" w:cs="ArialMT"/>
          <w:sz w:val="22"/>
          <w:szCs w:val="22"/>
        </w:rPr>
      </w:pPr>
      <w:r w:rsidRPr="00B54067">
        <w:rPr>
          <w:rFonts w:ascii="Book Antiqua" w:hAnsi="Book Antiqua" w:cs="ArialMT"/>
          <w:sz w:val="22"/>
          <w:szCs w:val="22"/>
        </w:rPr>
        <w:t>4.1) «Saken er nøktern presentert. Virkemiddelbruken er dempet. Det brukes ikke bilder av klager. Han får god anledning og plass til å tilkjennegi sitt syn. Vi har bevisst ikke vinklet på de sterkeste anklagene mot advokaten.»</w:t>
      </w:r>
    </w:p>
    <w:p w:rsidR="00B54067" w:rsidRPr="005A4AB2" w:rsidRDefault="00B54067" w:rsidP="00B54067">
      <w:pPr>
        <w:widowControl/>
        <w:overflowPunct/>
        <w:textAlignment w:val="auto"/>
        <w:rPr>
          <w:rFonts w:ascii="Book Antiqua" w:hAnsi="Book Antiqua" w:cs="ArialMT"/>
          <w:sz w:val="16"/>
          <w:szCs w:val="16"/>
        </w:rPr>
      </w:pPr>
    </w:p>
    <w:p w:rsidR="00B54067" w:rsidRDefault="00B54067" w:rsidP="00B54067">
      <w:pPr>
        <w:widowControl/>
        <w:overflowPunct/>
        <w:textAlignment w:val="auto"/>
        <w:rPr>
          <w:rFonts w:ascii="Book Antiqua" w:hAnsi="Book Antiqua" w:cs="ArialMT"/>
          <w:sz w:val="22"/>
          <w:szCs w:val="22"/>
        </w:rPr>
      </w:pPr>
      <w:r w:rsidRPr="00B54067">
        <w:rPr>
          <w:rFonts w:ascii="Book Antiqua" w:hAnsi="Book Antiqua" w:cs="ArialMT"/>
          <w:sz w:val="22"/>
          <w:szCs w:val="22"/>
        </w:rPr>
        <w:t xml:space="preserve">4.4) </w:t>
      </w:r>
      <w:r w:rsidR="005A4AB2">
        <w:rPr>
          <w:rFonts w:ascii="Book Antiqua" w:hAnsi="Book Antiqua" w:cs="ArialMT"/>
          <w:sz w:val="22"/>
          <w:szCs w:val="22"/>
        </w:rPr>
        <w:t>«</w:t>
      </w:r>
      <w:r w:rsidRPr="00B54067">
        <w:rPr>
          <w:rFonts w:ascii="Book Antiqua" w:hAnsi="Book Antiqua" w:cs="ArialMT"/>
          <w:sz w:val="22"/>
          <w:szCs w:val="22"/>
        </w:rPr>
        <w:t xml:space="preserve">Forsiden </w:t>
      </w:r>
      <w:r w:rsidR="005A4AB2">
        <w:rPr>
          <w:rFonts w:ascii="Book Antiqua" w:hAnsi="Book Antiqua" w:cs="ArialMT"/>
          <w:sz w:val="22"/>
          <w:szCs w:val="22"/>
        </w:rPr>
        <w:t>[…]</w:t>
      </w:r>
      <w:r w:rsidRPr="00B54067">
        <w:rPr>
          <w:rFonts w:ascii="Book Antiqua" w:hAnsi="Book Antiqua" w:cs="ArialMT"/>
          <w:sz w:val="22"/>
          <w:szCs w:val="22"/>
        </w:rPr>
        <w:t xml:space="preserve"> har den i våre øyne svært nøkterne tittelen “Kampen om millionarven”. I ingressen opplyses det at advokaten, altså klager, er avskiltet og politianmeldt. Begge deler er uomtvistelige fakta og sentralt for saken [.]»</w:t>
      </w:r>
    </w:p>
    <w:p w:rsidR="005A4AB2" w:rsidRPr="005A4AB2" w:rsidRDefault="005A4AB2" w:rsidP="00B54067">
      <w:pPr>
        <w:widowControl/>
        <w:overflowPunct/>
        <w:textAlignment w:val="auto"/>
        <w:rPr>
          <w:rFonts w:ascii="Book Antiqua" w:hAnsi="Book Antiqua" w:cs="ArialMT"/>
          <w:sz w:val="16"/>
          <w:szCs w:val="16"/>
        </w:rPr>
      </w:pPr>
    </w:p>
    <w:p w:rsidR="005A4AB2" w:rsidRPr="005A4AB2" w:rsidRDefault="005A4AB2" w:rsidP="005A4AB2">
      <w:pPr>
        <w:widowControl/>
        <w:overflowPunct/>
        <w:textAlignment w:val="auto"/>
        <w:rPr>
          <w:rFonts w:ascii="Book Antiqua" w:hAnsi="Book Antiqua"/>
          <w:b/>
          <w:sz w:val="22"/>
          <w:szCs w:val="22"/>
        </w:rPr>
      </w:pPr>
      <w:r w:rsidRPr="005A4AB2">
        <w:rPr>
          <w:rFonts w:ascii="Book Antiqua" w:hAnsi="Book Antiqua" w:cs="ArialMT"/>
          <w:sz w:val="22"/>
          <w:szCs w:val="22"/>
        </w:rPr>
        <w:t xml:space="preserve">4.5) </w:t>
      </w:r>
      <w:r>
        <w:rPr>
          <w:rFonts w:ascii="Book Antiqua" w:hAnsi="Book Antiqua" w:cs="ArialMT"/>
          <w:sz w:val="22"/>
          <w:szCs w:val="22"/>
        </w:rPr>
        <w:t>«</w:t>
      </w:r>
      <w:r w:rsidRPr="005A4AB2">
        <w:rPr>
          <w:rFonts w:ascii="Book Antiqua" w:hAnsi="Book Antiqua" w:cs="ArialMT"/>
          <w:sz w:val="22"/>
          <w:szCs w:val="22"/>
        </w:rPr>
        <w:t>Grahl-Madsen utsettes for kritikk av sin yrkesutøvelse. Det må en advokat tåle og dette kan ikke sammenstilles med forhåndsdømming. Det kommer klart frem av artikkelen at klager på det tidspunktet var anmeldt, og ikke noe</w:t>
      </w:r>
      <w:r>
        <w:rPr>
          <w:rFonts w:ascii="Book Antiqua" w:hAnsi="Book Antiqua" w:cs="ArialMT"/>
          <w:sz w:val="22"/>
          <w:szCs w:val="22"/>
        </w:rPr>
        <w:t xml:space="preserve"> annet.»</w:t>
      </w:r>
    </w:p>
    <w:p w:rsidR="006D7E25" w:rsidRDefault="006D7E25" w:rsidP="00392CB3">
      <w:pPr>
        <w:rPr>
          <w:rFonts w:ascii="Book Antiqua" w:hAnsi="Book Antiqua"/>
          <w:b/>
          <w:sz w:val="22"/>
          <w:szCs w:val="22"/>
        </w:rPr>
      </w:pPr>
    </w:p>
    <w:p w:rsidR="00392CB3" w:rsidRPr="00392CB3" w:rsidRDefault="00392CB3" w:rsidP="00392CB3">
      <w:pPr>
        <w:rPr>
          <w:rFonts w:ascii="Book Antiqua" w:hAnsi="Book Antiqua"/>
          <w:b/>
          <w:sz w:val="22"/>
        </w:rPr>
      </w:pPr>
      <w:r w:rsidRPr="00392CB3">
        <w:rPr>
          <w:rFonts w:ascii="Book Antiqua" w:hAnsi="Book Antiqua"/>
          <w:b/>
          <w:sz w:val="22"/>
          <w:szCs w:val="22"/>
        </w:rPr>
        <w:lastRenderedPageBreak/>
        <w:t>Klager</w:t>
      </w:r>
      <w:r>
        <w:rPr>
          <w:rFonts w:ascii="Book Antiqua" w:hAnsi="Book Antiqua"/>
          <w:b/>
          <w:sz w:val="22"/>
          <w:szCs w:val="22"/>
        </w:rPr>
        <w:t xml:space="preserve"> </w:t>
      </w:r>
      <w:r w:rsidR="004C53D6">
        <w:rPr>
          <w:rFonts w:ascii="Book Antiqua" w:hAnsi="Book Antiqua"/>
          <w:sz w:val="22"/>
          <w:szCs w:val="22"/>
        </w:rPr>
        <w:t>ønsket å knytte kommentarer til BTs tilsvar.</w:t>
      </w:r>
      <w:r w:rsidR="00BB6EE5">
        <w:rPr>
          <w:rFonts w:ascii="Book Antiqua" w:hAnsi="Book Antiqua"/>
          <w:sz w:val="22"/>
          <w:szCs w:val="22"/>
        </w:rPr>
        <w:t xml:space="preserve"> Han avviser at BTs journalist har etterspurt dokumentasjon. Klager anfører at han tilbød dokumentasjon for at hans fremstilling var riktig, men at journalisten viste liten interesse for dette og ikke engang svarte på tilbudet. Ifølge klager var klagers ektefelle til stede under dette møtet og kan følgelig bekrefte klagers versjon.</w:t>
      </w:r>
    </w:p>
    <w:p w:rsidR="00516164" w:rsidRDefault="00516164" w:rsidP="00117E1A">
      <w:pPr>
        <w:widowControl/>
        <w:rPr>
          <w:rFonts w:ascii="Book Antiqua" w:hAnsi="Book Antiqua"/>
          <w:b/>
          <w:sz w:val="22"/>
        </w:rPr>
      </w:pPr>
    </w:p>
    <w:p w:rsidR="000C3924" w:rsidRPr="009B317C" w:rsidRDefault="000C3924" w:rsidP="00117E1A">
      <w:pPr>
        <w:widowControl/>
        <w:rPr>
          <w:rFonts w:ascii="Book Antiqua" w:hAnsi="Book Antiqua"/>
          <w:sz w:val="22"/>
          <w:szCs w:val="22"/>
        </w:rPr>
      </w:pPr>
      <w:r w:rsidRPr="009B317C">
        <w:rPr>
          <w:rFonts w:ascii="Book Antiqua" w:hAnsi="Book Antiqua"/>
          <w:sz w:val="22"/>
          <w:szCs w:val="22"/>
        </w:rPr>
        <w:t xml:space="preserve">1) Klager fastholder at BT presenterte et ufullstendig faktum da avisen skrev at klager hadde overført penger fra klientkontoen til seg selv. </w:t>
      </w:r>
      <w:r w:rsidR="00D711C0" w:rsidRPr="009B317C">
        <w:rPr>
          <w:rFonts w:ascii="Book Antiqua" w:hAnsi="Book Antiqua"/>
          <w:sz w:val="22"/>
          <w:szCs w:val="22"/>
        </w:rPr>
        <w:t xml:space="preserve">Da </w:t>
      </w:r>
      <w:r w:rsidRPr="009B317C">
        <w:rPr>
          <w:rFonts w:ascii="Book Antiqua" w:hAnsi="Book Antiqua"/>
          <w:sz w:val="22"/>
          <w:szCs w:val="22"/>
        </w:rPr>
        <w:t xml:space="preserve">klager fikk komme med sin kommentar etter ovennevnte påstand, var mistanken alt sådd. Klager mener at hans benektelse og utdypning ble stående som et forsvar mot en beskyldning. I klagers øyne hadde det vært </w:t>
      </w:r>
      <w:r w:rsidR="00D711C0" w:rsidRPr="009B317C">
        <w:rPr>
          <w:rFonts w:ascii="Book Antiqua" w:hAnsi="Book Antiqua"/>
          <w:sz w:val="22"/>
          <w:szCs w:val="22"/>
        </w:rPr>
        <w:t>enkelt</w:t>
      </w:r>
      <w:r w:rsidRPr="009B317C">
        <w:rPr>
          <w:rFonts w:ascii="Book Antiqua" w:hAnsi="Book Antiqua"/>
          <w:sz w:val="22"/>
          <w:szCs w:val="22"/>
        </w:rPr>
        <w:t xml:space="preserve"> for BT å ta med det hele faktum.</w:t>
      </w:r>
      <w:r w:rsidR="00AA0744" w:rsidRPr="009B317C">
        <w:rPr>
          <w:rFonts w:ascii="Book Antiqua" w:hAnsi="Book Antiqua"/>
          <w:sz w:val="22"/>
          <w:szCs w:val="22"/>
        </w:rPr>
        <w:t xml:space="preserve"> Videre påpeker klager at brevet fra tingretten til Tilsynsrådet var datert 4. januar 2017, og at dette var etter at klager hadde levert fra seg boets dokumenter og aktiva til den nye bobestyreren. </w:t>
      </w:r>
      <w:r w:rsidR="00D711C0" w:rsidRPr="009B317C">
        <w:rPr>
          <w:rFonts w:ascii="Book Antiqua" w:hAnsi="Book Antiqua"/>
          <w:sz w:val="22"/>
          <w:szCs w:val="22"/>
        </w:rPr>
        <w:t>Klager fremholder at det brevet omhandler, bare har gyldighet i en begrenset tidsperiode, på slutten av klagers bobehandling.</w:t>
      </w:r>
    </w:p>
    <w:p w:rsidR="000C3924" w:rsidRDefault="000C3924" w:rsidP="00117E1A">
      <w:pPr>
        <w:widowControl/>
        <w:rPr>
          <w:rFonts w:ascii="Book Antiqua" w:hAnsi="Book Antiqua"/>
          <w:sz w:val="22"/>
          <w:szCs w:val="22"/>
        </w:rPr>
      </w:pPr>
    </w:p>
    <w:p w:rsidR="00516164" w:rsidRPr="009B317C" w:rsidRDefault="00BB6EE5" w:rsidP="00117E1A">
      <w:pPr>
        <w:widowControl/>
        <w:rPr>
          <w:rFonts w:ascii="Book Antiqua" w:hAnsi="Book Antiqua"/>
          <w:sz w:val="22"/>
          <w:szCs w:val="22"/>
        </w:rPr>
      </w:pPr>
      <w:r w:rsidRPr="009B317C">
        <w:rPr>
          <w:rFonts w:ascii="Book Antiqua" w:hAnsi="Book Antiqua"/>
          <w:sz w:val="22"/>
          <w:szCs w:val="22"/>
        </w:rPr>
        <w:t xml:space="preserve">2) </w:t>
      </w:r>
      <w:r w:rsidR="00636410" w:rsidRPr="009B317C">
        <w:rPr>
          <w:rFonts w:ascii="Book Antiqua" w:hAnsi="Book Antiqua"/>
          <w:sz w:val="22"/>
          <w:szCs w:val="22"/>
        </w:rPr>
        <w:t xml:space="preserve">Klager anfører at Tilsynsrådets bruk av betegnelsen «Klientkonto», er unøyaktig, og at han flere ganger har presisert dette overfor Tilsynsrådet og senere BT. </w:t>
      </w:r>
      <w:r w:rsidRPr="009B317C">
        <w:rPr>
          <w:rFonts w:ascii="Book Antiqua" w:hAnsi="Book Antiqua"/>
          <w:sz w:val="22"/>
          <w:szCs w:val="22"/>
        </w:rPr>
        <w:t xml:space="preserve">Klager gir BT rett i at </w:t>
      </w:r>
      <w:r w:rsidR="00636410" w:rsidRPr="009B317C">
        <w:rPr>
          <w:rFonts w:ascii="Book Antiqua" w:hAnsi="Book Antiqua"/>
          <w:sz w:val="22"/>
          <w:szCs w:val="22"/>
        </w:rPr>
        <w:t xml:space="preserve">det var den pleietrengende sønnens tremenning </w:t>
      </w:r>
      <w:r w:rsidR="00447B3F" w:rsidRPr="009B317C">
        <w:rPr>
          <w:rFonts w:ascii="Book Antiqua" w:hAnsi="Book Antiqua"/>
          <w:sz w:val="22"/>
          <w:szCs w:val="22"/>
        </w:rPr>
        <w:t xml:space="preserve">som </w:t>
      </w:r>
      <w:r w:rsidRPr="009B317C">
        <w:rPr>
          <w:rFonts w:ascii="Book Antiqua" w:hAnsi="Book Antiqua"/>
          <w:sz w:val="22"/>
          <w:szCs w:val="22"/>
        </w:rPr>
        <w:t xml:space="preserve">klaget </w:t>
      </w:r>
      <w:r w:rsidR="00447B3F" w:rsidRPr="009B317C">
        <w:rPr>
          <w:rFonts w:ascii="Book Antiqua" w:hAnsi="Book Antiqua"/>
          <w:sz w:val="22"/>
          <w:szCs w:val="22"/>
        </w:rPr>
        <w:t xml:space="preserve">ham </w:t>
      </w:r>
      <w:r w:rsidRPr="009B317C">
        <w:rPr>
          <w:rFonts w:ascii="Book Antiqua" w:hAnsi="Book Antiqua"/>
          <w:sz w:val="22"/>
          <w:szCs w:val="22"/>
        </w:rPr>
        <w:t xml:space="preserve">inn til </w:t>
      </w:r>
      <w:r w:rsidR="00447B3F" w:rsidRPr="009B317C">
        <w:rPr>
          <w:rFonts w:ascii="Book Antiqua" w:hAnsi="Book Antiqua"/>
          <w:sz w:val="22"/>
          <w:szCs w:val="22"/>
        </w:rPr>
        <w:t>Tilsynsrådet, m</w:t>
      </w:r>
      <w:r w:rsidRPr="009B317C">
        <w:rPr>
          <w:rFonts w:ascii="Book Antiqua" w:hAnsi="Book Antiqua"/>
          <w:sz w:val="22"/>
          <w:szCs w:val="22"/>
        </w:rPr>
        <w:t xml:space="preserve">en han presiserer at behandlingen av dødsboet ikke hadde noe å gjøre med at han mistet bevillingen. Det går også frem av </w:t>
      </w:r>
      <w:r w:rsidR="00636410" w:rsidRPr="009B317C">
        <w:rPr>
          <w:rFonts w:ascii="Book Antiqua" w:hAnsi="Book Antiqua"/>
          <w:sz w:val="22"/>
          <w:szCs w:val="22"/>
        </w:rPr>
        <w:t xml:space="preserve">innstillingen til </w:t>
      </w:r>
      <w:r w:rsidRPr="009B317C">
        <w:rPr>
          <w:rFonts w:ascii="Book Antiqua" w:hAnsi="Book Antiqua"/>
          <w:sz w:val="22"/>
          <w:szCs w:val="22"/>
        </w:rPr>
        <w:t xml:space="preserve">advokatbevillingsnemndens og </w:t>
      </w:r>
      <w:r w:rsidR="00636410" w:rsidRPr="009B317C">
        <w:rPr>
          <w:rFonts w:ascii="Book Antiqua" w:hAnsi="Book Antiqua"/>
          <w:sz w:val="22"/>
          <w:szCs w:val="22"/>
        </w:rPr>
        <w:t xml:space="preserve">nemndens eget </w:t>
      </w:r>
      <w:r w:rsidRPr="009B317C">
        <w:rPr>
          <w:rFonts w:ascii="Book Antiqua" w:hAnsi="Book Antiqua"/>
          <w:sz w:val="22"/>
          <w:szCs w:val="22"/>
        </w:rPr>
        <w:t>vedtak som BT la ved sitt tilsvar. I disse dokumentene nevnes ikke dødsboet med et ord, anfører klager.</w:t>
      </w:r>
      <w:r w:rsidR="00447B3F" w:rsidRPr="009B317C">
        <w:rPr>
          <w:rFonts w:ascii="Book Antiqua" w:hAnsi="Book Antiqua"/>
          <w:sz w:val="22"/>
          <w:szCs w:val="22"/>
        </w:rPr>
        <w:t xml:space="preserve"> Klager skriver:</w:t>
      </w:r>
    </w:p>
    <w:p w:rsidR="00447B3F" w:rsidRDefault="00447B3F" w:rsidP="00117E1A">
      <w:pPr>
        <w:widowControl/>
        <w:rPr>
          <w:rFonts w:ascii="Book Antiqua" w:hAnsi="Book Antiqua"/>
          <w:sz w:val="22"/>
          <w:szCs w:val="22"/>
        </w:rPr>
      </w:pPr>
    </w:p>
    <w:p w:rsidR="00447B3F" w:rsidRPr="002305B4" w:rsidRDefault="00447B3F" w:rsidP="002305B4">
      <w:pPr>
        <w:rPr>
          <w:rFonts w:ascii="Book Antiqua" w:hAnsi="Book Antiqua"/>
          <w:sz w:val="22"/>
          <w:szCs w:val="22"/>
        </w:rPr>
      </w:pPr>
      <w:r w:rsidRPr="002305B4">
        <w:rPr>
          <w:rFonts w:ascii="Book Antiqua" w:hAnsi="Book Antiqua"/>
          <w:sz w:val="22"/>
          <w:szCs w:val="22"/>
        </w:rPr>
        <w:t xml:space="preserve">«Når Bergens Tidende tar disse forhold med i artikkelen er det en </w:t>
      </w:r>
      <w:r w:rsidRPr="002305B4">
        <w:rPr>
          <w:rFonts w:ascii="Book Antiqua" w:hAnsi="Book Antiqua"/>
          <w:sz w:val="22"/>
          <w:szCs w:val="22"/>
          <w:u w:val="single"/>
        </w:rPr>
        <w:t xml:space="preserve">åpenbar </w:t>
      </w:r>
      <w:r w:rsidRPr="002305B4">
        <w:rPr>
          <w:rFonts w:ascii="Book Antiqua" w:hAnsi="Book Antiqua"/>
          <w:sz w:val="22"/>
          <w:szCs w:val="22"/>
        </w:rPr>
        <w:t xml:space="preserve">insinuasjon av at dette gjelder det aktuelle dødsboet. </w:t>
      </w:r>
      <w:r w:rsidR="002305B4" w:rsidRPr="002305B4">
        <w:rPr>
          <w:rFonts w:ascii="Book Antiqua" w:hAnsi="Book Antiqua"/>
          <w:sz w:val="22"/>
          <w:szCs w:val="22"/>
        </w:rPr>
        <w:t>[…] Det er da innlysende at den utstrakte behandlingen av [klagers advokatvirksomhet] i artikkelen, vil etablere en mistanke om misligheter i min behandling av dødsboet. Bergens Tidendes henvisning til at jeg får kommentere disse påstander, vil ikke avhjelpe denne virkningen av artikkelen. Som anført ovenfor så vil mine korrigeringer av de ufullstendige- og feilplasserte fakta, få virkning som en forsvarstale. Og hvem vil leseren tro på? Bergens Tidende eller advokaten som prøver å forsvare seg? Det burde vært nevnt i artikkelen, at det var gjennom mitt standhaftige arbeid, at alle arvinger, les Stiftelsen, kom på banen og kunne delta i bobehandlingen.</w:t>
      </w:r>
      <w:r w:rsidRPr="002305B4">
        <w:rPr>
          <w:rFonts w:ascii="Book Antiqua" w:hAnsi="Book Antiqua"/>
          <w:sz w:val="22"/>
          <w:szCs w:val="22"/>
        </w:rPr>
        <w:t>»</w:t>
      </w:r>
    </w:p>
    <w:p w:rsidR="00447B3F" w:rsidRPr="00BB6EE5" w:rsidRDefault="00447B3F" w:rsidP="00117E1A">
      <w:pPr>
        <w:widowControl/>
        <w:rPr>
          <w:rFonts w:ascii="Book Antiqua" w:hAnsi="Book Antiqua"/>
          <w:sz w:val="22"/>
          <w:szCs w:val="22"/>
        </w:rPr>
      </w:pPr>
    </w:p>
    <w:p w:rsidR="004C53D6" w:rsidRDefault="00B65B94" w:rsidP="00117E1A">
      <w:pPr>
        <w:widowControl/>
        <w:rPr>
          <w:rFonts w:ascii="Book Antiqua" w:hAnsi="Book Antiqua"/>
          <w:sz w:val="22"/>
        </w:rPr>
      </w:pPr>
      <w:r w:rsidRPr="00B65B94">
        <w:rPr>
          <w:rFonts w:ascii="Book Antiqua" w:hAnsi="Book Antiqua"/>
          <w:sz w:val="22"/>
        </w:rPr>
        <w:t>Klager tviler ikke</w:t>
      </w:r>
      <w:r>
        <w:rPr>
          <w:rFonts w:ascii="Book Antiqua" w:hAnsi="Book Antiqua"/>
          <w:sz w:val="22"/>
        </w:rPr>
        <w:t xml:space="preserve"> på at BT har kontaktet flere kilder, men det sentrale spørsmålet i klagers øyne er hva disse kildene er blitt spurt om og hvilke fakta de har fått presentert.</w:t>
      </w:r>
      <w:r w:rsidR="008B0CC4">
        <w:rPr>
          <w:rFonts w:ascii="Book Antiqua" w:hAnsi="Book Antiqua"/>
          <w:sz w:val="22"/>
        </w:rPr>
        <w:t xml:space="preserve"> Til slutt skriver klager:</w:t>
      </w:r>
    </w:p>
    <w:p w:rsidR="008B0CC4" w:rsidRDefault="008B0CC4" w:rsidP="00117E1A">
      <w:pPr>
        <w:widowControl/>
        <w:rPr>
          <w:rFonts w:ascii="Book Antiqua" w:hAnsi="Book Antiqua"/>
          <w:sz w:val="22"/>
        </w:rPr>
      </w:pPr>
    </w:p>
    <w:p w:rsidR="008B0CC4" w:rsidRPr="008B0CC4" w:rsidRDefault="008B0CC4" w:rsidP="008B0CC4">
      <w:pPr>
        <w:pStyle w:val="Listeavsnitt"/>
        <w:ind w:left="0"/>
        <w:rPr>
          <w:rFonts w:ascii="Book Antiqua" w:hAnsi="Book Antiqua"/>
          <w:sz w:val="22"/>
          <w:szCs w:val="22"/>
        </w:rPr>
      </w:pPr>
      <w:r w:rsidRPr="008B0CC4">
        <w:rPr>
          <w:rFonts w:ascii="Book Antiqua" w:hAnsi="Book Antiqua"/>
          <w:sz w:val="22"/>
          <w:szCs w:val="22"/>
        </w:rPr>
        <w:t xml:space="preserve">«Uansett, mitt ankepunkt overfor Bergens Tidende er deres bruk av ufullstendige- og utenforliggende fakta. Bergens Tidende har på den måten skapt en historie som avviker </w:t>
      </w:r>
      <w:proofErr w:type="gramStart"/>
      <w:r w:rsidRPr="008B0CC4">
        <w:rPr>
          <w:rFonts w:ascii="Book Antiqua" w:hAnsi="Book Antiqua"/>
          <w:sz w:val="22"/>
          <w:szCs w:val="22"/>
          <w:u w:val="single"/>
        </w:rPr>
        <w:t>vesentlig</w:t>
      </w:r>
      <w:r w:rsidRPr="008B0CC4">
        <w:rPr>
          <w:rFonts w:ascii="Book Antiqua" w:hAnsi="Book Antiqua"/>
          <w:sz w:val="22"/>
          <w:szCs w:val="22"/>
        </w:rPr>
        <w:t xml:space="preserve">  fra</w:t>
      </w:r>
      <w:proofErr w:type="gramEnd"/>
      <w:r w:rsidRPr="008B0CC4">
        <w:rPr>
          <w:rFonts w:ascii="Book Antiqua" w:hAnsi="Book Antiqua"/>
          <w:sz w:val="22"/>
          <w:szCs w:val="22"/>
        </w:rPr>
        <w:t xml:space="preserve"> de faktiske forhold. Dette har igjen ført til at jeg i offentligheten er blitt mistenkeliggjort, med stor risiko for å kunne miste offentlig anseelse.</w:t>
      </w:r>
    </w:p>
    <w:p w:rsidR="008B0CC4" w:rsidRPr="008B0CC4" w:rsidRDefault="008B0CC4" w:rsidP="008B0CC4">
      <w:pPr>
        <w:pStyle w:val="Listeavsnitt"/>
        <w:ind w:left="0"/>
        <w:rPr>
          <w:rFonts w:ascii="Book Antiqua" w:hAnsi="Book Antiqua"/>
          <w:sz w:val="22"/>
          <w:szCs w:val="22"/>
        </w:rPr>
      </w:pPr>
      <w:r w:rsidRPr="008B0CC4">
        <w:rPr>
          <w:rFonts w:ascii="Book Antiqua" w:hAnsi="Book Antiqua"/>
          <w:sz w:val="22"/>
          <w:szCs w:val="22"/>
        </w:rPr>
        <w:t>Spesielt siden Bergens Tidende har brukt mitt navn i artikkelen.»</w:t>
      </w:r>
    </w:p>
    <w:p w:rsidR="004C53D6" w:rsidRDefault="004C53D6" w:rsidP="00117E1A">
      <w:pPr>
        <w:widowControl/>
        <w:rPr>
          <w:rFonts w:ascii="Book Antiqua" w:hAnsi="Book Antiqua"/>
          <w:b/>
          <w:sz w:val="22"/>
        </w:rPr>
      </w:pPr>
    </w:p>
    <w:p w:rsidR="004C53D6" w:rsidRPr="008B0CC4" w:rsidRDefault="008B0CC4" w:rsidP="00117E1A">
      <w:pPr>
        <w:widowControl/>
        <w:rPr>
          <w:rFonts w:ascii="Book Antiqua" w:hAnsi="Book Antiqua"/>
          <w:sz w:val="22"/>
        </w:rPr>
      </w:pPr>
      <w:r w:rsidRPr="008B0CC4">
        <w:rPr>
          <w:rFonts w:ascii="Book Antiqua" w:hAnsi="Book Antiqua"/>
          <w:sz w:val="22"/>
        </w:rPr>
        <w:t>Klager fastholder påstandene om fellelse slik de er fremlagt i klagen.</w:t>
      </w:r>
    </w:p>
    <w:p w:rsidR="008B0CC4" w:rsidRDefault="008B0CC4" w:rsidP="00117E1A">
      <w:pPr>
        <w:widowControl/>
        <w:rPr>
          <w:rFonts w:ascii="Book Antiqua" w:hAnsi="Book Antiqua"/>
          <w:b/>
          <w:sz w:val="22"/>
        </w:rPr>
      </w:pPr>
    </w:p>
    <w:p w:rsidR="008B0CC4" w:rsidRDefault="008B0CC4" w:rsidP="00117E1A">
      <w:pPr>
        <w:widowControl/>
        <w:rPr>
          <w:rFonts w:ascii="Book Antiqua" w:hAnsi="Book Antiqua"/>
          <w:b/>
          <w:sz w:val="22"/>
        </w:rPr>
      </w:pPr>
    </w:p>
    <w:p w:rsidR="009B317C" w:rsidRDefault="009B317C" w:rsidP="00117E1A">
      <w:pPr>
        <w:widowControl/>
        <w:rPr>
          <w:rFonts w:ascii="Book Antiqua" w:hAnsi="Book Antiqua"/>
          <w:b/>
          <w:sz w:val="22"/>
        </w:rPr>
      </w:pPr>
    </w:p>
    <w:p w:rsidR="006D696E" w:rsidRDefault="004C53D6" w:rsidP="00117E1A">
      <w:pPr>
        <w:widowControl/>
        <w:rPr>
          <w:rFonts w:ascii="Book Antiqua" w:hAnsi="Book Antiqua"/>
          <w:b/>
          <w:sz w:val="22"/>
        </w:rPr>
      </w:pPr>
      <w:r>
        <w:rPr>
          <w:rFonts w:ascii="Book Antiqua" w:hAnsi="Book Antiqua"/>
          <w:b/>
          <w:sz w:val="22"/>
        </w:rPr>
        <w:t xml:space="preserve">Bergens Tidende og Aftenposten </w:t>
      </w:r>
      <w:r>
        <w:rPr>
          <w:rFonts w:ascii="Book Antiqua" w:hAnsi="Book Antiqua"/>
          <w:sz w:val="22"/>
        </w:rPr>
        <w:t>hadde ikke ytterlige kommenta</w:t>
      </w:r>
      <w:r w:rsidRPr="004C53D6">
        <w:rPr>
          <w:rFonts w:ascii="Book Antiqua" w:hAnsi="Book Antiqua"/>
          <w:sz w:val="22"/>
        </w:rPr>
        <w:t>rer.</w:t>
      </w:r>
      <w:bookmarkStart w:id="0" w:name="_GoBack"/>
      <w:bookmarkEnd w:id="0"/>
    </w:p>
    <w:p w:rsidR="00520FB1" w:rsidRDefault="00520FB1" w:rsidP="00117E1A">
      <w:pPr>
        <w:widowControl/>
        <w:rPr>
          <w:rFonts w:ascii="Book Antiqua" w:hAnsi="Book Antiqua"/>
          <w:b/>
          <w:sz w:val="22"/>
        </w:rPr>
      </w:pPr>
    </w:p>
    <w:p w:rsidR="00520FB1" w:rsidRDefault="00520FB1" w:rsidP="00117E1A">
      <w:pPr>
        <w:widowControl/>
        <w:rPr>
          <w:rFonts w:ascii="Book Antiqua" w:hAnsi="Book Antiqua"/>
          <w:b/>
          <w:sz w:val="22"/>
        </w:rPr>
      </w:pPr>
    </w:p>
    <w:p w:rsidR="000C18A8" w:rsidRDefault="000C18A8">
      <w:pPr>
        <w:widowControl/>
        <w:rPr>
          <w:rFonts w:ascii="Book Antiqua" w:hAnsi="Book Antiqua"/>
          <w:b/>
          <w:sz w:val="22"/>
        </w:rPr>
      </w:pPr>
    </w:p>
    <w:sectPr w:rsidR="000C18A8"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4F3" w:rsidRDefault="000004F3">
      <w:r>
        <w:separator/>
      </w:r>
    </w:p>
  </w:endnote>
  <w:endnote w:type="continuationSeparator" w:id="0">
    <w:p w:rsidR="000004F3" w:rsidRDefault="0000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3AF" w:rsidRDefault="00FC2B2F" w:rsidP="0091110A">
    <w:pPr>
      <w:pStyle w:val="Bunntekst"/>
      <w:rPr>
        <w:b/>
      </w:rPr>
    </w:pPr>
    <w:r>
      <w:rPr>
        <w:b/>
      </w:rPr>
      <w:pict>
        <v:rect id="_x0000_i1025" style="width:0;height:1.5pt" o:hralign="center" o:hrstd="t" o:hr="t" fillcolor="#a0a0a0" stroked="f"/>
      </w:pict>
    </w:r>
  </w:p>
  <w:p w:rsidR="00FF73AF" w:rsidRPr="00D70F6F" w:rsidRDefault="00FF73AF"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FF73AF" w:rsidRDefault="00FF73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4F3" w:rsidRDefault="000004F3">
      <w:r>
        <w:separator/>
      </w:r>
    </w:p>
  </w:footnote>
  <w:footnote w:type="continuationSeparator" w:id="0">
    <w:p w:rsidR="000004F3" w:rsidRDefault="000004F3">
      <w:r>
        <w:continuationSeparator/>
      </w:r>
    </w:p>
  </w:footnote>
  <w:footnote w:id="1">
    <w:p w:rsidR="00FF73AF" w:rsidRDefault="00FF73AF" w:rsidP="00CC10F2">
      <w:pPr>
        <w:pStyle w:val="Fotnotetekst"/>
      </w:pPr>
      <w:r>
        <w:rPr>
          <w:rStyle w:val="Fotnotereferanse"/>
        </w:rPr>
        <w:footnoteRef/>
      </w:r>
      <w:r>
        <w:t xml:space="preserve"> Sekretariatets nummerering.</w:t>
      </w:r>
    </w:p>
  </w:footnote>
  <w:footnote w:id="2">
    <w:p w:rsidR="00FF73AF" w:rsidRDefault="00FF73AF">
      <w:pPr>
        <w:pStyle w:val="Fotnotetekst"/>
      </w:pPr>
      <w:r>
        <w:rPr>
          <w:rStyle w:val="Fotnotereferanse"/>
        </w:rPr>
        <w:footnoteRef/>
      </w:r>
      <w:r>
        <w:t xml:space="preserve"> Sekretariatets nummerering.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3AF" w:rsidRDefault="00FF73A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FF73AF" w:rsidRDefault="00FF73A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3AF" w:rsidRPr="00497516" w:rsidRDefault="00FF73AF">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6D46FD">
      <w:rPr>
        <w:rStyle w:val="Sidetall"/>
        <w:rFonts w:ascii="Book Antiqua" w:hAnsi="Book Antiqua"/>
        <w:noProof/>
        <w:sz w:val="22"/>
        <w:szCs w:val="22"/>
      </w:rPr>
      <w:t>7</w:t>
    </w:r>
    <w:r w:rsidRPr="00497516">
      <w:rPr>
        <w:rStyle w:val="Sidetall"/>
        <w:rFonts w:ascii="Book Antiqua" w:hAnsi="Book Antiqua"/>
        <w:sz w:val="22"/>
        <w:szCs w:val="22"/>
      </w:rPr>
      <w:fldChar w:fldCharType="end"/>
    </w:r>
  </w:p>
  <w:p w:rsidR="00FF73AF" w:rsidRDefault="00FF73AF">
    <w:pPr>
      <w:pStyle w:val="Topptekst"/>
    </w:pPr>
  </w:p>
  <w:p w:rsidR="00FF73AF" w:rsidRDefault="006B47A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260-261/18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3AF" w:rsidRDefault="00FF73AF">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4F3"/>
    <w:rsid w:val="00005068"/>
    <w:rsid w:val="00013A16"/>
    <w:rsid w:val="0001562E"/>
    <w:rsid w:val="0001719F"/>
    <w:rsid w:val="00031105"/>
    <w:rsid w:val="00031340"/>
    <w:rsid w:val="00043F67"/>
    <w:rsid w:val="000448A1"/>
    <w:rsid w:val="0004614E"/>
    <w:rsid w:val="0005203E"/>
    <w:rsid w:val="00064733"/>
    <w:rsid w:val="00064E02"/>
    <w:rsid w:val="00076AAC"/>
    <w:rsid w:val="00080388"/>
    <w:rsid w:val="00082736"/>
    <w:rsid w:val="00091EA9"/>
    <w:rsid w:val="00092F34"/>
    <w:rsid w:val="000932FD"/>
    <w:rsid w:val="000A548B"/>
    <w:rsid w:val="000B0217"/>
    <w:rsid w:val="000B5071"/>
    <w:rsid w:val="000B7D2F"/>
    <w:rsid w:val="000C18A8"/>
    <w:rsid w:val="000C29A1"/>
    <w:rsid w:val="000C3924"/>
    <w:rsid w:val="000C3949"/>
    <w:rsid w:val="000C71EF"/>
    <w:rsid w:val="000C7B90"/>
    <w:rsid w:val="000C7DF7"/>
    <w:rsid w:val="000E1326"/>
    <w:rsid w:val="000E6AAF"/>
    <w:rsid w:val="000F7D5B"/>
    <w:rsid w:val="00103F9B"/>
    <w:rsid w:val="00105644"/>
    <w:rsid w:val="001114B1"/>
    <w:rsid w:val="0011521A"/>
    <w:rsid w:val="00115706"/>
    <w:rsid w:val="00117E1A"/>
    <w:rsid w:val="001211E4"/>
    <w:rsid w:val="00121BB5"/>
    <w:rsid w:val="00123871"/>
    <w:rsid w:val="0014605C"/>
    <w:rsid w:val="001517E1"/>
    <w:rsid w:val="0015367E"/>
    <w:rsid w:val="00167454"/>
    <w:rsid w:val="0017463B"/>
    <w:rsid w:val="00174DA3"/>
    <w:rsid w:val="00177926"/>
    <w:rsid w:val="00196DB0"/>
    <w:rsid w:val="001A3911"/>
    <w:rsid w:val="001A50C3"/>
    <w:rsid w:val="001A7400"/>
    <w:rsid w:val="001B2242"/>
    <w:rsid w:val="001C2224"/>
    <w:rsid w:val="001D04C3"/>
    <w:rsid w:val="001E12A9"/>
    <w:rsid w:val="001E5114"/>
    <w:rsid w:val="001F01E2"/>
    <w:rsid w:val="001F1B21"/>
    <w:rsid w:val="0020147F"/>
    <w:rsid w:val="00202E2D"/>
    <w:rsid w:val="0021259B"/>
    <w:rsid w:val="00216032"/>
    <w:rsid w:val="00221C07"/>
    <w:rsid w:val="002305B4"/>
    <w:rsid w:val="00232CE1"/>
    <w:rsid w:val="00233BB3"/>
    <w:rsid w:val="00233FF8"/>
    <w:rsid w:val="00251F79"/>
    <w:rsid w:val="00256049"/>
    <w:rsid w:val="00274F1D"/>
    <w:rsid w:val="00275C4A"/>
    <w:rsid w:val="00290200"/>
    <w:rsid w:val="00292461"/>
    <w:rsid w:val="00294356"/>
    <w:rsid w:val="002949E0"/>
    <w:rsid w:val="002966DF"/>
    <w:rsid w:val="002A6224"/>
    <w:rsid w:val="002A7932"/>
    <w:rsid w:val="002C1D33"/>
    <w:rsid w:val="002D6059"/>
    <w:rsid w:val="002D7F71"/>
    <w:rsid w:val="002F05D0"/>
    <w:rsid w:val="002F35C2"/>
    <w:rsid w:val="002F35FA"/>
    <w:rsid w:val="002F45F4"/>
    <w:rsid w:val="002F6859"/>
    <w:rsid w:val="002F6B7B"/>
    <w:rsid w:val="00300484"/>
    <w:rsid w:val="00313A7C"/>
    <w:rsid w:val="0032242A"/>
    <w:rsid w:val="00324D0C"/>
    <w:rsid w:val="00332D19"/>
    <w:rsid w:val="00341274"/>
    <w:rsid w:val="00344631"/>
    <w:rsid w:val="003458C0"/>
    <w:rsid w:val="003607FC"/>
    <w:rsid w:val="00360D9A"/>
    <w:rsid w:val="00371663"/>
    <w:rsid w:val="00372855"/>
    <w:rsid w:val="0037717E"/>
    <w:rsid w:val="003777DE"/>
    <w:rsid w:val="00386E66"/>
    <w:rsid w:val="00392398"/>
    <w:rsid w:val="00392CB3"/>
    <w:rsid w:val="00393979"/>
    <w:rsid w:val="00395620"/>
    <w:rsid w:val="003A0FE5"/>
    <w:rsid w:val="003A2F4D"/>
    <w:rsid w:val="003A7724"/>
    <w:rsid w:val="003B428D"/>
    <w:rsid w:val="003B789A"/>
    <w:rsid w:val="003C45A1"/>
    <w:rsid w:val="003C4740"/>
    <w:rsid w:val="003C7E55"/>
    <w:rsid w:val="003D06C2"/>
    <w:rsid w:val="003D2E0F"/>
    <w:rsid w:val="003E089C"/>
    <w:rsid w:val="003E125B"/>
    <w:rsid w:val="003F07E9"/>
    <w:rsid w:val="00400F32"/>
    <w:rsid w:val="00401481"/>
    <w:rsid w:val="00404E73"/>
    <w:rsid w:val="00423C9E"/>
    <w:rsid w:val="0043620E"/>
    <w:rsid w:val="00441BCE"/>
    <w:rsid w:val="00443657"/>
    <w:rsid w:val="004459B4"/>
    <w:rsid w:val="00445A6B"/>
    <w:rsid w:val="00447B3F"/>
    <w:rsid w:val="00450A6A"/>
    <w:rsid w:val="00454FEE"/>
    <w:rsid w:val="00457B9D"/>
    <w:rsid w:val="00470B47"/>
    <w:rsid w:val="00480AC7"/>
    <w:rsid w:val="0048617F"/>
    <w:rsid w:val="00497516"/>
    <w:rsid w:val="004A3548"/>
    <w:rsid w:val="004A53B6"/>
    <w:rsid w:val="004A7EAD"/>
    <w:rsid w:val="004B128C"/>
    <w:rsid w:val="004C53D6"/>
    <w:rsid w:val="004D14DA"/>
    <w:rsid w:val="004D4724"/>
    <w:rsid w:val="004F4A7F"/>
    <w:rsid w:val="005010DD"/>
    <w:rsid w:val="005015C3"/>
    <w:rsid w:val="00507BDD"/>
    <w:rsid w:val="00512A27"/>
    <w:rsid w:val="00516164"/>
    <w:rsid w:val="0052065A"/>
    <w:rsid w:val="00520FB1"/>
    <w:rsid w:val="00523885"/>
    <w:rsid w:val="0052425F"/>
    <w:rsid w:val="00531C5A"/>
    <w:rsid w:val="00531DDF"/>
    <w:rsid w:val="005347AA"/>
    <w:rsid w:val="005356FC"/>
    <w:rsid w:val="00541686"/>
    <w:rsid w:val="005428A0"/>
    <w:rsid w:val="00550CFB"/>
    <w:rsid w:val="00553197"/>
    <w:rsid w:val="005658B2"/>
    <w:rsid w:val="005712DB"/>
    <w:rsid w:val="005832CA"/>
    <w:rsid w:val="005836EC"/>
    <w:rsid w:val="0059063C"/>
    <w:rsid w:val="00591B87"/>
    <w:rsid w:val="00591E2B"/>
    <w:rsid w:val="005A12F5"/>
    <w:rsid w:val="005A4AB2"/>
    <w:rsid w:val="005A516D"/>
    <w:rsid w:val="005C370C"/>
    <w:rsid w:val="005C6EFE"/>
    <w:rsid w:val="005D36AA"/>
    <w:rsid w:val="005D40B6"/>
    <w:rsid w:val="005D713D"/>
    <w:rsid w:val="005F0E4E"/>
    <w:rsid w:val="005F0EC6"/>
    <w:rsid w:val="005F272D"/>
    <w:rsid w:val="005F33A4"/>
    <w:rsid w:val="005F7FEE"/>
    <w:rsid w:val="00602672"/>
    <w:rsid w:val="006055CF"/>
    <w:rsid w:val="00612486"/>
    <w:rsid w:val="00613824"/>
    <w:rsid w:val="00616F26"/>
    <w:rsid w:val="00617109"/>
    <w:rsid w:val="006245EC"/>
    <w:rsid w:val="00631CF1"/>
    <w:rsid w:val="006321FA"/>
    <w:rsid w:val="00633A38"/>
    <w:rsid w:val="00635DAC"/>
    <w:rsid w:val="00636410"/>
    <w:rsid w:val="00636EF5"/>
    <w:rsid w:val="006376F8"/>
    <w:rsid w:val="006423EC"/>
    <w:rsid w:val="006473E4"/>
    <w:rsid w:val="00653E93"/>
    <w:rsid w:val="00660C79"/>
    <w:rsid w:val="00666141"/>
    <w:rsid w:val="0067142D"/>
    <w:rsid w:val="00672C29"/>
    <w:rsid w:val="00675E30"/>
    <w:rsid w:val="0068084C"/>
    <w:rsid w:val="00683B67"/>
    <w:rsid w:val="006850F9"/>
    <w:rsid w:val="00692112"/>
    <w:rsid w:val="00694178"/>
    <w:rsid w:val="00694530"/>
    <w:rsid w:val="00694B81"/>
    <w:rsid w:val="006A1CE9"/>
    <w:rsid w:val="006A4B28"/>
    <w:rsid w:val="006A56A0"/>
    <w:rsid w:val="006B21A2"/>
    <w:rsid w:val="006B47A8"/>
    <w:rsid w:val="006C50F0"/>
    <w:rsid w:val="006C54F2"/>
    <w:rsid w:val="006C61FD"/>
    <w:rsid w:val="006C687F"/>
    <w:rsid w:val="006D46FD"/>
    <w:rsid w:val="006D5A43"/>
    <w:rsid w:val="006D696E"/>
    <w:rsid w:val="006D7E25"/>
    <w:rsid w:val="006E27B5"/>
    <w:rsid w:val="006E37D3"/>
    <w:rsid w:val="006E39B0"/>
    <w:rsid w:val="006E5428"/>
    <w:rsid w:val="006E6D64"/>
    <w:rsid w:val="006F11BA"/>
    <w:rsid w:val="006F254E"/>
    <w:rsid w:val="006F49F5"/>
    <w:rsid w:val="006F5312"/>
    <w:rsid w:val="00700779"/>
    <w:rsid w:val="00700C61"/>
    <w:rsid w:val="00701379"/>
    <w:rsid w:val="0070266A"/>
    <w:rsid w:val="00707B27"/>
    <w:rsid w:val="00707F27"/>
    <w:rsid w:val="00720847"/>
    <w:rsid w:val="00727459"/>
    <w:rsid w:val="0073087E"/>
    <w:rsid w:val="00730F46"/>
    <w:rsid w:val="00734AFF"/>
    <w:rsid w:val="0073553A"/>
    <w:rsid w:val="0074097E"/>
    <w:rsid w:val="00770204"/>
    <w:rsid w:val="00771B8D"/>
    <w:rsid w:val="00781281"/>
    <w:rsid w:val="007820ED"/>
    <w:rsid w:val="00786FC4"/>
    <w:rsid w:val="007903EB"/>
    <w:rsid w:val="00791615"/>
    <w:rsid w:val="00791A7F"/>
    <w:rsid w:val="00796ED8"/>
    <w:rsid w:val="007976E5"/>
    <w:rsid w:val="007A3796"/>
    <w:rsid w:val="007C3644"/>
    <w:rsid w:val="007C3933"/>
    <w:rsid w:val="007C4493"/>
    <w:rsid w:val="007C74A4"/>
    <w:rsid w:val="007D0A58"/>
    <w:rsid w:val="007D545C"/>
    <w:rsid w:val="007D5D60"/>
    <w:rsid w:val="007D7729"/>
    <w:rsid w:val="007E4EA8"/>
    <w:rsid w:val="007E6926"/>
    <w:rsid w:val="007F131B"/>
    <w:rsid w:val="00800B87"/>
    <w:rsid w:val="008034B5"/>
    <w:rsid w:val="00815CCD"/>
    <w:rsid w:val="00816E71"/>
    <w:rsid w:val="0082145B"/>
    <w:rsid w:val="00821918"/>
    <w:rsid w:val="00823ABF"/>
    <w:rsid w:val="00824809"/>
    <w:rsid w:val="00830F6E"/>
    <w:rsid w:val="00831766"/>
    <w:rsid w:val="0083456B"/>
    <w:rsid w:val="00835C7F"/>
    <w:rsid w:val="00841B81"/>
    <w:rsid w:val="00857C10"/>
    <w:rsid w:val="008776D7"/>
    <w:rsid w:val="008826D9"/>
    <w:rsid w:val="00894C72"/>
    <w:rsid w:val="008959D5"/>
    <w:rsid w:val="00897BF0"/>
    <w:rsid w:val="008A58A4"/>
    <w:rsid w:val="008B0CC4"/>
    <w:rsid w:val="008B2577"/>
    <w:rsid w:val="008B2F22"/>
    <w:rsid w:val="008C3A9D"/>
    <w:rsid w:val="008E13C2"/>
    <w:rsid w:val="008F6A90"/>
    <w:rsid w:val="008F78FE"/>
    <w:rsid w:val="00901A23"/>
    <w:rsid w:val="0091110A"/>
    <w:rsid w:val="00924D95"/>
    <w:rsid w:val="00936BB9"/>
    <w:rsid w:val="00941EDB"/>
    <w:rsid w:val="00942029"/>
    <w:rsid w:val="009459E4"/>
    <w:rsid w:val="009522B6"/>
    <w:rsid w:val="00955E7F"/>
    <w:rsid w:val="009632A8"/>
    <w:rsid w:val="00972866"/>
    <w:rsid w:val="0098512A"/>
    <w:rsid w:val="009959D1"/>
    <w:rsid w:val="00996120"/>
    <w:rsid w:val="009A4FEA"/>
    <w:rsid w:val="009A6C88"/>
    <w:rsid w:val="009B317C"/>
    <w:rsid w:val="00A00431"/>
    <w:rsid w:val="00A01BEC"/>
    <w:rsid w:val="00A06EC3"/>
    <w:rsid w:val="00A11F7A"/>
    <w:rsid w:val="00A12693"/>
    <w:rsid w:val="00A20C5B"/>
    <w:rsid w:val="00A26278"/>
    <w:rsid w:val="00A3175E"/>
    <w:rsid w:val="00A35F88"/>
    <w:rsid w:val="00A407D2"/>
    <w:rsid w:val="00A42EA3"/>
    <w:rsid w:val="00A4337B"/>
    <w:rsid w:val="00A508B7"/>
    <w:rsid w:val="00A55192"/>
    <w:rsid w:val="00A61718"/>
    <w:rsid w:val="00A91292"/>
    <w:rsid w:val="00A913D0"/>
    <w:rsid w:val="00A94CD9"/>
    <w:rsid w:val="00A97282"/>
    <w:rsid w:val="00AA0744"/>
    <w:rsid w:val="00AB0EC4"/>
    <w:rsid w:val="00AB1136"/>
    <w:rsid w:val="00AB1B38"/>
    <w:rsid w:val="00AB72EB"/>
    <w:rsid w:val="00AB7A0F"/>
    <w:rsid w:val="00AC1F05"/>
    <w:rsid w:val="00AC226F"/>
    <w:rsid w:val="00AD08F1"/>
    <w:rsid w:val="00AD4B45"/>
    <w:rsid w:val="00AD4B70"/>
    <w:rsid w:val="00AE359B"/>
    <w:rsid w:val="00AE3765"/>
    <w:rsid w:val="00AF0DC4"/>
    <w:rsid w:val="00AF623E"/>
    <w:rsid w:val="00B039D9"/>
    <w:rsid w:val="00B0578C"/>
    <w:rsid w:val="00B104FE"/>
    <w:rsid w:val="00B165F2"/>
    <w:rsid w:val="00B17891"/>
    <w:rsid w:val="00B21A97"/>
    <w:rsid w:val="00B41676"/>
    <w:rsid w:val="00B471E7"/>
    <w:rsid w:val="00B50B43"/>
    <w:rsid w:val="00B50D9E"/>
    <w:rsid w:val="00B53B4A"/>
    <w:rsid w:val="00B54067"/>
    <w:rsid w:val="00B60324"/>
    <w:rsid w:val="00B65B94"/>
    <w:rsid w:val="00B66F61"/>
    <w:rsid w:val="00B676AE"/>
    <w:rsid w:val="00B83FEB"/>
    <w:rsid w:val="00BA42D7"/>
    <w:rsid w:val="00BA6F59"/>
    <w:rsid w:val="00BB6EE5"/>
    <w:rsid w:val="00BC0922"/>
    <w:rsid w:val="00BC7692"/>
    <w:rsid w:val="00BD7369"/>
    <w:rsid w:val="00BE1BAE"/>
    <w:rsid w:val="00BF332E"/>
    <w:rsid w:val="00C003A6"/>
    <w:rsid w:val="00C023DC"/>
    <w:rsid w:val="00C04AB5"/>
    <w:rsid w:val="00C10671"/>
    <w:rsid w:val="00C11DAE"/>
    <w:rsid w:val="00C11DE3"/>
    <w:rsid w:val="00C2770D"/>
    <w:rsid w:val="00C31056"/>
    <w:rsid w:val="00C41BFE"/>
    <w:rsid w:val="00C53E05"/>
    <w:rsid w:val="00C62266"/>
    <w:rsid w:val="00C62AA7"/>
    <w:rsid w:val="00C6364F"/>
    <w:rsid w:val="00C724A6"/>
    <w:rsid w:val="00C74E89"/>
    <w:rsid w:val="00C821F0"/>
    <w:rsid w:val="00C82942"/>
    <w:rsid w:val="00C84653"/>
    <w:rsid w:val="00C86B54"/>
    <w:rsid w:val="00CA0397"/>
    <w:rsid w:val="00CA08A1"/>
    <w:rsid w:val="00CA7CC8"/>
    <w:rsid w:val="00CB0A8C"/>
    <w:rsid w:val="00CB0F0B"/>
    <w:rsid w:val="00CB3A60"/>
    <w:rsid w:val="00CB7D24"/>
    <w:rsid w:val="00CC10F2"/>
    <w:rsid w:val="00CC4E86"/>
    <w:rsid w:val="00CD24EA"/>
    <w:rsid w:val="00CD39B5"/>
    <w:rsid w:val="00CD50FC"/>
    <w:rsid w:val="00CE2C03"/>
    <w:rsid w:val="00CE4F1F"/>
    <w:rsid w:val="00CE7B9E"/>
    <w:rsid w:val="00CF2209"/>
    <w:rsid w:val="00CF46F0"/>
    <w:rsid w:val="00D02C0A"/>
    <w:rsid w:val="00D040C5"/>
    <w:rsid w:val="00D04712"/>
    <w:rsid w:val="00D14D34"/>
    <w:rsid w:val="00D217FC"/>
    <w:rsid w:val="00D34F1A"/>
    <w:rsid w:val="00D44668"/>
    <w:rsid w:val="00D44F7B"/>
    <w:rsid w:val="00D4522F"/>
    <w:rsid w:val="00D457EC"/>
    <w:rsid w:val="00D45BF3"/>
    <w:rsid w:val="00D51023"/>
    <w:rsid w:val="00D5181C"/>
    <w:rsid w:val="00D57640"/>
    <w:rsid w:val="00D704C0"/>
    <w:rsid w:val="00D711C0"/>
    <w:rsid w:val="00D71537"/>
    <w:rsid w:val="00D71C3F"/>
    <w:rsid w:val="00D72EB2"/>
    <w:rsid w:val="00D73072"/>
    <w:rsid w:val="00D75673"/>
    <w:rsid w:val="00D9103C"/>
    <w:rsid w:val="00D93E6B"/>
    <w:rsid w:val="00D95C0C"/>
    <w:rsid w:val="00DB71BF"/>
    <w:rsid w:val="00DC65AC"/>
    <w:rsid w:val="00DF411B"/>
    <w:rsid w:val="00DF6EA5"/>
    <w:rsid w:val="00E01EB5"/>
    <w:rsid w:val="00E07CCA"/>
    <w:rsid w:val="00E16A12"/>
    <w:rsid w:val="00E200B9"/>
    <w:rsid w:val="00E21F03"/>
    <w:rsid w:val="00E313A3"/>
    <w:rsid w:val="00E36190"/>
    <w:rsid w:val="00E4182E"/>
    <w:rsid w:val="00E4402A"/>
    <w:rsid w:val="00E44944"/>
    <w:rsid w:val="00E54B81"/>
    <w:rsid w:val="00E5600A"/>
    <w:rsid w:val="00E56B03"/>
    <w:rsid w:val="00E615EB"/>
    <w:rsid w:val="00E62B0B"/>
    <w:rsid w:val="00E633DC"/>
    <w:rsid w:val="00E63D90"/>
    <w:rsid w:val="00E6570F"/>
    <w:rsid w:val="00E77F93"/>
    <w:rsid w:val="00E9066F"/>
    <w:rsid w:val="00EA264D"/>
    <w:rsid w:val="00EC02D9"/>
    <w:rsid w:val="00EC1BDD"/>
    <w:rsid w:val="00EC4145"/>
    <w:rsid w:val="00ED720E"/>
    <w:rsid w:val="00ED7BB5"/>
    <w:rsid w:val="00EE1F31"/>
    <w:rsid w:val="00EF0B86"/>
    <w:rsid w:val="00EF3618"/>
    <w:rsid w:val="00F0296B"/>
    <w:rsid w:val="00F05EFC"/>
    <w:rsid w:val="00F06A7D"/>
    <w:rsid w:val="00F22F8B"/>
    <w:rsid w:val="00F23369"/>
    <w:rsid w:val="00F255C5"/>
    <w:rsid w:val="00F267BB"/>
    <w:rsid w:val="00F35088"/>
    <w:rsid w:val="00F470D5"/>
    <w:rsid w:val="00F5677C"/>
    <w:rsid w:val="00F643D4"/>
    <w:rsid w:val="00F67908"/>
    <w:rsid w:val="00F70820"/>
    <w:rsid w:val="00F74A9D"/>
    <w:rsid w:val="00F94914"/>
    <w:rsid w:val="00FA1A43"/>
    <w:rsid w:val="00FA3F88"/>
    <w:rsid w:val="00FA58D2"/>
    <w:rsid w:val="00FB417D"/>
    <w:rsid w:val="00FB4977"/>
    <w:rsid w:val="00FB7D73"/>
    <w:rsid w:val="00FC0C86"/>
    <w:rsid w:val="00FC2B2F"/>
    <w:rsid w:val="00FC7588"/>
    <w:rsid w:val="00FD190E"/>
    <w:rsid w:val="00FD24B1"/>
    <w:rsid w:val="00FD5A7A"/>
    <w:rsid w:val="00FD5B97"/>
    <w:rsid w:val="00FE06CF"/>
    <w:rsid w:val="00FE794A"/>
    <w:rsid w:val="00FF11DF"/>
    <w:rsid w:val="00FF3AA8"/>
    <w:rsid w:val="00FF73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99"/>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styleId="Fotnotetekst">
    <w:name w:val="footnote text"/>
    <w:basedOn w:val="Normal"/>
    <w:link w:val="FotnotetekstTegn"/>
    <w:uiPriority w:val="99"/>
    <w:semiHidden/>
    <w:unhideWhenUsed/>
    <w:rsid w:val="003F07E9"/>
    <w:rPr>
      <w:sz w:val="20"/>
    </w:rPr>
  </w:style>
  <w:style w:type="character" w:customStyle="1" w:styleId="FotnotetekstTegn">
    <w:name w:val="Fotnotetekst Tegn"/>
    <w:basedOn w:val="Standardskriftforavsnitt"/>
    <w:link w:val="Fotnotetekst"/>
    <w:uiPriority w:val="99"/>
    <w:semiHidden/>
    <w:rsid w:val="003F07E9"/>
  </w:style>
  <w:style w:type="character" w:styleId="Fotnotereferanse">
    <w:name w:val="footnote reference"/>
    <w:basedOn w:val="Standardskriftforavsnitt"/>
    <w:uiPriority w:val="99"/>
    <w:semiHidden/>
    <w:unhideWhenUsed/>
    <w:rsid w:val="003F0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6BA9-3E21-4312-A60B-BD486DC3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2538</Words>
  <Characters>14129</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Nortveit</cp:lastModifiedBy>
  <cp:revision>3</cp:revision>
  <cp:lastPrinted>2012-11-13T10:58:00Z</cp:lastPrinted>
  <dcterms:created xsi:type="dcterms:W3CDTF">2019-03-13T08:53:00Z</dcterms:created>
  <dcterms:modified xsi:type="dcterms:W3CDTF">2019-03-13T14:02:00Z</dcterms:modified>
</cp:coreProperties>
</file>