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1.9999999999999996" w:firstLine="0"/>
        <w:jc w:val="center"/>
        <w:rPr>
          <w:rFonts w:ascii="Barlow Semi Condensed Black" w:cs="Barlow Semi Condensed Black" w:eastAsia="Barlow Semi Condensed Black" w:hAnsi="Barlow Semi Condensed Black"/>
          <w:color w:val="00615f"/>
          <w:sz w:val="60"/>
          <w:szCs w:val="60"/>
        </w:rPr>
      </w:pPr>
      <w:r w:rsidDel="00000000" w:rsidR="00000000" w:rsidRPr="00000000">
        <w:rPr>
          <w:rFonts w:ascii="Barlow Semi Condensed Black" w:cs="Barlow Semi Condensed Black" w:eastAsia="Barlow Semi Condensed Black" w:hAnsi="Barlow Semi Condensed Black"/>
          <w:color w:val="00615f"/>
          <w:sz w:val="60"/>
          <w:szCs w:val="60"/>
          <w:rtl w:val="0"/>
        </w:rPr>
        <w:t xml:space="preserve">Campagne Back To School : </w:t>
      </w:r>
    </w:p>
    <w:p w:rsidR="00000000" w:rsidDel="00000000" w:rsidP="00000000" w:rsidRDefault="00000000" w:rsidRPr="00000000" w14:paraId="00000002">
      <w:pPr>
        <w:spacing w:after="0" w:line="276" w:lineRule="auto"/>
        <w:ind w:left="-1.9999999999999996" w:firstLine="0"/>
        <w:jc w:val="center"/>
        <w:rPr>
          <w:rFonts w:ascii="Barlow Semi Condensed Black" w:cs="Barlow Semi Condensed Black" w:eastAsia="Barlow Semi Condensed Black" w:hAnsi="Barlow Semi Condensed Black"/>
          <w:color w:val="00615f"/>
          <w:sz w:val="60"/>
          <w:szCs w:val="60"/>
        </w:rPr>
      </w:pPr>
      <w:r w:rsidDel="00000000" w:rsidR="00000000" w:rsidRPr="00000000">
        <w:rPr>
          <w:rFonts w:ascii="Barlow Semi Condensed Black" w:cs="Barlow Semi Condensed Black" w:eastAsia="Barlow Semi Condensed Black" w:hAnsi="Barlow Semi Condensed Black"/>
          <w:color w:val="00615f"/>
          <w:sz w:val="60"/>
          <w:szCs w:val="60"/>
          <w:rtl w:val="0"/>
        </w:rPr>
        <w:t xml:space="preserve">Chasse aux Bons de 5€</w:t>
      </w:r>
      <w:r w:rsidDel="00000000" w:rsidR="00000000" w:rsidRPr="00000000">
        <w:rPr>
          <w:rFonts w:ascii="Barlow Semi Condensed Black" w:cs="Barlow Semi Condensed Black" w:eastAsia="Barlow Semi Condensed Black" w:hAnsi="Barlow Semi Condensed Black"/>
          <w:color w:val="00615f"/>
          <w:sz w:val="60"/>
          <w:szCs w:val="60"/>
          <w:highlight w:val="white"/>
          <w:rtl w:val="0"/>
        </w:rPr>
        <w:t xml:space="preserve">- </w:t>
      </w:r>
      <w:r w:rsidDel="00000000" w:rsidR="00000000" w:rsidRPr="00000000">
        <w:rPr>
          <w:rFonts w:ascii="Barlow Semi Condensed Black" w:cs="Barlow Semi Condensed Black" w:eastAsia="Barlow Semi Condensed Black" w:hAnsi="Barlow Semi Condensed Black"/>
          <w:color w:val="00615f"/>
          <w:sz w:val="60"/>
          <w:szCs w:val="60"/>
          <w:rtl w:val="0"/>
        </w:rPr>
        <w:t xml:space="preserve">Règlement </w:t>
      </w:r>
    </w:p>
    <w:p w:rsidR="00000000" w:rsidDel="00000000" w:rsidP="00000000" w:rsidRDefault="00000000" w:rsidRPr="00000000" w14:paraId="00000003">
      <w:pPr>
        <w:spacing w:after="0" w:line="276" w:lineRule="auto"/>
        <w:ind w:left="-1.9999999999999996" w:firstLine="0"/>
        <w:jc w:val="center"/>
        <w:rPr>
          <w:rFonts w:ascii="Barlow Semi Condensed Black" w:cs="Barlow Semi Condensed Black" w:eastAsia="Barlow Semi Condensed Black" w:hAnsi="Barlow Semi Condensed Black"/>
          <w:color w:val="00615f"/>
          <w:sz w:val="60"/>
          <w:szCs w:val="60"/>
        </w:rPr>
      </w:pPr>
      <w:r w:rsidDel="00000000" w:rsidR="00000000" w:rsidRPr="00000000">
        <w:rPr>
          <w:rtl w:val="0"/>
        </w:rPr>
      </w:r>
    </w:p>
    <w:tbl>
      <w:tblPr>
        <w:tblStyle w:val="Table1"/>
        <w:tblW w:w="10680.0" w:type="dxa"/>
        <w:jc w:val="left"/>
        <w:tblInd w:w="-3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75"/>
        <w:gridCol w:w="7905"/>
        <w:tblGridChange w:id="0">
          <w:tblGrid>
            <w:gridCol w:w="2775"/>
            <w:gridCol w:w="7905"/>
          </w:tblGrid>
        </w:tblGridChange>
      </w:tblGrid>
      <w:tr>
        <w:trPr>
          <w:cantSplit w:val="0"/>
          <w:trHeight w:val="510" w:hRule="atLeast"/>
          <w:tblHeader w:val="0"/>
        </w:trPr>
        <w:tc>
          <w:tcPr>
            <w:vAlign w:val="center"/>
          </w:tcPr>
          <w:p w:rsidR="00000000" w:rsidDel="00000000" w:rsidP="00000000" w:rsidRDefault="00000000" w:rsidRPr="00000000" w14:paraId="00000004">
            <w:pPr>
              <w:ind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Titre de la campagne</w:t>
            </w:r>
          </w:p>
        </w:tc>
        <w:tc>
          <w:tcPr>
            <w:vAlign w:val="center"/>
          </w:tcPr>
          <w:p w:rsidR="00000000" w:rsidDel="00000000" w:rsidP="00000000" w:rsidRDefault="00000000" w:rsidRPr="00000000" w14:paraId="00000005">
            <w:pPr>
              <w:spacing w:after="0" w:line="276" w:lineRule="auto"/>
              <w:ind w:left="0" w:hanging="2"/>
              <w:jc w:val="both"/>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Campagne Back to School : des bons de 5 € à gagner !</w:t>
            </w:r>
          </w:p>
        </w:tc>
      </w:tr>
      <w:tr>
        <w:trPr>
          <w:cantSplit w:val="0"/>
          <w:trHeight w:val="510" w:hRule="atLeast"/>
          <w:tblHeader w:val="0"/>
        </w:trPr>
        <w:tc>
          <w:tcPr>
            <w:vAlign w:val="center"/>
          </w:tcPr>
          <w:p w:rsidR="00000000" w:rsidDel="00000000" w:rsidP="00000000" w:rsidRDefault="00000000" w:rsidRPr="00000000" w14:paraId="00000006">
            <w:pPr>
              <w:ind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Date/heure de début</w:t>
            </w:r>
          </w:p>
        </w:tc>
        <w:tc>
          <w:tcPr>
            <w:vAlign w:val="center"/>
          </w:tcPr>
          <w:p w:rsidR="00000000" w:rsidDel="00000000" w:rsidP="00000000" w:rsidRDefault="00000000" w:rsidRPr="00000000" w14:paraId="00000007">
            <w:pPr>
              <w:spacing w:line="276" w:lineRule="auto"/>
              <w:ind w:firstLine="0"/>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27/08/2026 14h00</w:t>
            </w:r>
          </w:p>
        </w:tc>
      </w:tr>
      <w:tr>
        <w:trPr>
          <w:cantSplit w:val="0"/>
          <w:trHeight w:val="510" w:hRule="atLeast"/>
          <w:tblHeader w:val="0"/>
        </w:trPr>
        <w:tc>
          <w:tcPr>
            <w:vAlign w:val="center"/>
          </w:tcPr>
          <w:p w:rsidR="00000000" w:rsidDel="00000000" w:rsidP="00000000" w:rsidRDefault="00000000" w:rsidRPr="00000000" w14:paraId="00000008">
            <w:pPr>
              <w:ind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Date/heure de fin</w:t>
            </w:r>
          </w:p>
        </w:tc>
        <w:tc>
          <w:tcPr>
            <w:vAlign w:val="center"/>
          </w:tcPr>
          <w:p w:rsidR="00000000" w:rsidDel="00000000" w:rsidP="00000000" w:rsidRDefault="00000000" w:rsidRPr="00000000" w14:paraId="00000009">
            <w:pPr>
              <w:spacing w:line="276" w:lineRule="auto"/>
              <w:ind w:firstLine="0"/>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13/09/2026 23h55</w:t>
            </w:r>
          </w:p>
        </w:tc>
      </w:tr>
      <w:tr>
        <w:trPr>
          <w:cantSplit w:val="0"/>
          <w:trHeight w:val="510" w:hRule="atLeast"/>
          <w:tblHeader w:val="0"/>
        </w:trPr>
        <w:tc>
          <w:tcPr>
            <w:vAlign w:val="center"/>
          </w:tcPr>
          <w:p w:rsidR="00000000" w:rsidDel="00000000" w:rsidP="00000000" w:rsidRDefault="00000000" w:rsidRPr="00000000" w14:paraId="0000000A">
            <w:pPr>
              <w:ind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Email du SoMe Manager de TGTG</w:t>
            </w:r>
          </w:p>
        </w:tc>
        <w:tc>
          <w:tcPr>
            <w:vAlign w:val="center"/>
          </w:tcPr>
          <w:p w:rsidR="00000000" w:rsidDel="00000000" w:rsidP="00000000" w:rsidRDefault="00000000" w:rsidRPr="00000000" w14:paraId="0000000B">
            <w:pPr>
              <w:ind w:firstLine="0"/>
              <w:jc w:val="both"/>
              <w:rPr>
                <w:rFonts w:ascii="Open Sans" w:cs="Open Sans" w:eastAsia="Open Sans" w:hAnsi="Open Sans"/>
              </w:rPr>
            </w:pPr>
            <w:r w:rsidDel="00000000" w:rsidR="00000000" w:rsidRPr="00000000">
              <w:rPr>
                <w:rFonts w:ascii="Open Sans" w:cs="Open Sans" w:eastAsia="Open Sans" w:hAnsi="Open Sans"/>
                <w:rtl w:val="0"/>
              </w:rPr>
              <w:t xml:space="preserve">social.fr@toogoodtogo.fr</w:t>
            </w:r>
          </w:p>
        </w:tc>
      </w:tr>
      <w:tr>
        <w:trPr>
          <w:cantSplit w:val="0"/>
          <w:trHeight w:val="510" w:hRule="atLeast"/>
          <w:tblHeader w:val="0"/>
        </w:trPr>
        <w:tc>
          <w:tcPr>
            <w:vAlign w:val="center"/>
          </w:tcPr>
          <w:p w:rsidR="00000000" w:rsidDel="00000000" w:rsidP="00000000" w:rsidRDefault="00000000" w:rsidRPr="00000000" w14:paraId="0000000C">
            <w:pPr>
              <w:ind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Conditions pour participer </w:t>
            </w:r>
          </w:p>
        </w:tc>
        <w:tc>
          <w:tcPr>
            <w:vAlign w:val="center"/>
          </w:tcPr>
          <w:p w:rsidR="00000000" w:rsidDel="00000000" w:rsidP="00000000" w:rsidRDefault="00000000" w:rsidRPr="00000000" w14:paraId="0000000D">
            <w:pPr>
              <w:numPr>
                <w:ilvl w:val="0"/>
                <w:numId w:val="7"/>
              </w:numPr>
              <w:ind w:left="720" w:hanging="360"/>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Posséder un compte actif sur l'application </w:t>
            </w:r>
            <w:r w:rsidDel="00000000" w:rsidR="00000000" w:rsidRPr="00000000">
              <w:rPr>
                <w:rFonts w:ascii="Open Sans" w:cs="Open Sans" w:eastAsia="Open Sans" w:hAnsi="Open Sans"/>
                <w:b w:val="1"/>
                <w:bCs w:val="1"/>
                <w:sz w:val="20"/>
                <w:szCs w:val="20"/>
                <w:rtl w:val="0"/>
              </w:rPr>
              <w:t xml:space="preserve">Too Good To Go France</w:t>
            </w:r>
            <w:r w:rsidDel="00000000" w:rsidR="00000000" w:rsidRPr="00000000">
              <w:rPr>
                <w:rFonts w:ascii="Open Sans" w:cs="Open Sans" w:eastAsia="Open Sans" w:hAnsi="Open Sans"/>
                <w:sz w:val="20"/>
                <w:szCs w:val="20"/>
                <w:rtl w:val="0"/>
              </w:rPr>
              <w:t xml:space="preserve">.</w:t>
            </w:r>
          </w:p>
          <w:p w:rsidR="00000000" w:rsidDel="00000000" w:rsidP="00000000" w:rsidRDefault="00000000" w:rsidRPr="00000000" w14:paraId="0000000E">
            <w:pPr>
              <w:numPr>
                <w:ilvl w:val="0"/>
                <w:numId w:val="7"/>
              </w:numPr>
              <w:ind w:left="720" w:hanging="360"/>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Être une personne physique majeure (</w:t>
            </w:r>
            <w:r w:rsidDel="00000000" w:rsidR="00000000" w:rsidRPr="00000000">
              <w:rPr>
                <w:rFonts w:ascii="Open Sans" w:cs="Open Sans" w:eastAsia="Open Sans" w:hAnsi="Open Sans"/>
                <w:b w:val="1"/>
                <w:bCs w:val="1"/>
                <w:sz w:val="20"/>
                <w:szCs w:val="20"/>
                <w:rtl w:val="0"/>
              </w:rPr>
              <w:t xml:space="preserve">18 ans minimum</w:t>
            </w:r>
            <w:r w:rsidDel="00000000" w:rsidR="00000000" w:rsidRPr="00000000">
              <w:rPr>
                <w:rFonts w:ascii="Open Sans" w:cs="Open Sans" w:eastAsia="Open Sans" w:hAnsi="Open Sans"/>
                <w:sz w:val="20"/>
                <w:szCs w:val="20"/>
                <w:rtl w:val="0"/>
              </w:rPr>
              <w:t xml:space="preserve">).</w:t>
            </w:r>
          </w:p>
          <w:p w:rsidR="00000000" w:rsidDel="00000000" w:rsidP="00000000" w:rsidRDefault="00000000" w:rsidRPr="00000000" w14:paraId="0000000F">
            <w:pPr>
              <w:ind w:left="0" w:firstLine="0"/>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ind w:left="720" w:firstLine="0"/>
              <w:jc w:val="both"/>
              <w:rPr>
                <w:rFonts w:ascii="Open Sans" w:cs="Open Sans" w:eastAsia="Open Sans" w:hAnsi="Open Sans"/>
                <w:sz w:val="20"/>
                <w:szCs w:val="20"/>
              </w:rPr>
            </w:pPr>
            <w:r w:rsidDel="00000000" w:rsidR="00000000" w:rsidRPr="00000000">
              <w:rPr>
                <w:rtl w:val="0"/>
              </w:rPr>
            </w:r>
          </w:p>
        </w:tc>
      </w:tr>
      <w:tr>
        <w:trPr>
          <w:cantSplit w:val="0"/>
          <w:trHeight w:val="510" w:hRule="atLeast"/>
          <w:tblHeader w:val="0"/>
        </w:trPr>
        <w:tc>
          <w:tcPr>
            <w:vAlign w:val="center"/>
          </w:tcPr>
          <w:p w:rsidR="00000000" w:rsidDel="00000000" w:rsidP="00000000" w:rsidRDefault="00000000" w:rsidRPr="00000000" w14:paraId="00000011">
            <w:pPr>
              <w:ind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Mécanique de l’</w:t>
            </w:r>
            <w:r w:rsidDel="00000000" w:rsidR="00000000" w:rsidRPr="00000000">
              <w:rPr>
                <w:rFonts w:ascii="Open Sans" w:cs="Open Sans" w:eastAsia="Open Sans" w:hAnsi="Open Sans"/>
                <w:b w:val="1"/>
                <w:bCs w:val="1"/>
                <w:rtl w:val="0"/>
              </w:rPr>
              <w:t xml:space="preserve">offre promotionnelle</w:t>
            </w:r>
            <w:r w:rsidDel="00000000" w:rsidR="00000000" w:rsidRPr="00000000">
              <w:rPr>
                <w:rtl w:val="0"/>
              </w:rPr>
            </w:r>
          </w:p>
        </w:tc>
        <w:tc>
          <w:tcPr>
            <w:vAlign w:val="center"/>
          </w:tcPr>
          <w:p w:rsidR="00000000" w:rsidDel="00000000" w:rsidP="00000000" w:rsidRDefault="00000000" w:rsidRPr="00000000" w14:paraId="00000012">
            <w:pPr>
              <w:numPr>
                <w:ilvl w:val="0"/>
                <w:numId w:val="2"/>
              </w:numPr>
              <w:spacing w:after="0" w:afterAutospacing="0" w:before="240" w:lineRule="auto"/>
              <w:ind w:left="720" w:hanging="360"/>
              <w:rPr>
                <w:rFonts w:ascii="Arial" w:cs="Arial" w:eastAsia="Arial" w:hAnsi="Arial"/>
              </w:rPr>
            </w:pPr>
            <w:r w:rsidDel="00000000" w:rsidR="00000000" w:rsidRPr="00000000">
              <w:rPr>
                <w:rFonts w:ascii="Open Sans" w:cs="Open Sans" w:eastAsia="Open Sans" w:hAnsi="Open Sans"/>
                <w:sz w:val="20"/>
                <w:szCs w:val="20"/>
                <w:rtl w:val="0"/>
              </w:rPr>
              <w:t xml:space="preserve">La distribution s'effectue en une mise à disposition unique selon le principe du « premier arrivé, premier servi » le </w:t>
            </w:r>
            <w:r w:rsidDel="00000000" w:rsidR="00000000" w:rsidRPr="00000000">
              <w:rPr>
                <w:rFonts w:ascii="Open Sans" w:cs="Open Sans" w:eastAsia="Open Sans" w:hAnsi="Open Sans"/>
                <w:b w:val="1"/>
                <w:bCs w:val="1"/>
                <w:sz w:val="20"/>
                <w:szCs w:val="20"/>
                <w:rtl w:val="0"/>
              </w:rPr>
              <w:t xml:space="preserve">Jeudi 27 août 2026 à 14h00</w:t>
            </w:r>
            <w:r w:rsidDel="00000000" w:rsidR="00000000" w:rsidRPr="00000000">
              <w:rPr>
                <w:rFonts w:ascii="Open Sans" w:cs="Open Sans" w:eastAsia="Open Sans" w:hAnsi="Open Sans"/>
                <w:sz w:val="20"/>
                <w:szCs w:val="20"/>
                <w:rtl w:val="0"/>
              </w:rPr>
              <w:t xml:space="preserve">.</w:t>
              <w:br w:type="textWrapping"/>
            </w:r>
            <w:r w:rsidDel="00000000" w:rsidR="00000000" w:rsidRPr="00000000">
              <w:rPr>
                <w:rFonts w:ascii="Open Sans" w:cs="Open Sans" w:eastAsia="Open Sans" w:hAnsi="Open Sans"/>
                <w:b w:val="1"/>
                <w:bCs w:val="1"/>
                <w:sz w:val="20"/>
                <w:szCs w:val="20"/>
                <w:rtl w:val="0"/>
              </w:rPr>
              <w:t xml:space="preserve">Quota :</w:t>
            </w:r>
            <w:r w:rsidDel="00000000" w:rsidR="00000000" w:rsidRPr="00000000">
              <w:rPr>
                <w:rFonts w:ascii="Open Sans" w:cs="Open Sans" w:eastAsia="Open Sans" w:hAnsi="Open Sans"/>
                <w:sz w:val="20"/>
                <w:szCs w:val="20"/>
                <w:rtl w:val="0"/>
              </w:rPr>
              <w:t xml:space="preserve"> 200 coupons de 5 € mis en ligne simultanément à 14h00.</w:t>
            </w:r>
          </w:p>
          <w:p w:rsidR="00000000" w:rsidDel="00000000" w:rsidP="00000000" w:rsidRDefault="00000000" w:rsidRPr="00000000" w14:paraId="00000013">
            <w:pPr>
              <w:numPr>
                <w:ilvl w:val="0"/>
                <w:numId w:val="2"/>
              </w:numPr>
              <w:spacing w:after="240" w:before="0" w:beforeAutospacing="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La promotion s'adresse exclusivement à une sélection d'utilisateurs Too Good To Go ayant reçu une communication les invitant à participer à la campagne.</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ind w:left="0" w:firstLine="0"/>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5">
            <w:pPr>
              <w:pStyle w:val="Heading4"/>
              <w:keepNext w:val="0"/>
              <w:keepLines w:val="0"/>
              <w:ind w:left="720" w:hanging="360"/>
              <w:rPr>
                <w:rFonts w:ascii="Open Sans" w:cs="Open Sans" w:eastAsia="Open Sans" w:hAnsi="Open Sans"/>
                <w:sz w:val="20"/>
                <w:szCs w:val="20"/>
              </w:rPr>
            </w:pPr>
            <w:bookmarkStart w:colFirst="0" w:colLast="0" w:name="_heading=h.4f4hszoz4u6t" w:id="0"/>
            <w:bookmarkEnd w:id="0"/>
            <w:r w:rsidDel="00000000" w:rsidR="00000000" w:rsidRPr="00000000">
              <w:rPr>
                <w:rFonts w:ascii="Open Sans" w:cs="Open Sans" w:eastAsia="Open Sans" w:hAnsi="Open Sans"/>
                <w:sz w:val="22"/>
                <w:szCs w:val="22"/>
                <w:rtl w:val="0"/>
              </w:rPr>
              <w:t xml:space="preserve">Modalités d'attribution :</w:t>
            </w:r>
            <w:r w:rsidDel="00000000" w:rsidR="00000000" w:rsidRPr="00000000">
              <w:rPr>
                <w:rtl w:val="0"/>
              </w:rPr>
            </w:r>
          </w:p>
          <w:p w:rsidR="00000000" w:rsidDel="00000000" w:rsidP="00000000" w:rsidRDefault="00000000" w:rsidRPr="00000000" w14:paraId="00000016">
            <w:pPr>
              <w:numPr>
                <w:ilvl w:val="0"/>
                <w:numId w:val="6"/>
              </w:numPr>
              <w:spacing w:after="0" w:before="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 lien vers le coupon sera accessible directement via un message in-app (dans l'application). </w:t>
            </w:r>
            <w:r w:rsidDel="00000000" w:rsidR="00000000" w:rsidRPr="00000000">
              <w:rPr>
                <w:rFonts w:ascii="Open Sans" w:cs="Open Sans" w:eastAsia="Open Sans" w:hAnsi="Open Sans"/>
                <w:b w:val="1"/>
                <w:bCs w:val="1"/>
                <w:sz w:val="20"/>
                <w:szCs w:val="20"/>
                <w:rtl w:val="0"/>
              </w:rPr>
              <w:t xml:space="preserve">Pour activer son bon d'achat, l'utilisateur gagnant doit obligatoirement cliquer sur ce message in-app.</w:t>
            </w:r>
          </w:p>
          <w:p w:rsidR="00000000" w:rsidDel="00000000" w:rsidP="00000000" w:rsidRDefault="00000000" w:rsidRPr="00000000" w14:paraId="00000017">
            <w:pPr>
              <w:numPr>
                <w:ilvl w:val="0"/>
                <w:numId w:val="6"/>
              </w:numPr>
              <w:spacing w:after="0" w:before="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L'éligibilité</w:t>
            </w:r>
            <w:r w:rsidDel="00000000" w:rsidR="00000000" w:rsidRPr="00000000">
              <w:rPr>
                <w:rFonts w:ascii="Open Sans" w:cs="Open Sans" w:eastAsia="Open Sans" w:hAnsi="Open Sans"/>
                <w:sz w:val="20"/>
                <w:szCs w:val="20"/>
                <w:rtl w:val="0"/>
              </w:rPr>
              <w:t xml:space="preserve"> est déterminée par la validation de l'action de réclamation. L'offre est limitée aux 200 premiers utilisateurs qui appuient avec succès sur le bouton "Réclamer" dans le message in-app. Le simple fait de lancer ou d'ouvrir l'application ne constitue pas une participation valide.</w:t>
            </w:r>
          </w:p>
          <w:p w:rsidR="00000000" w:rsidDel="00000000" w:rsidP="00000000" w:rsidRDefault="00000000" w:rsidRPr="00000000" w14:paraId="00000018">
            <w:pPr>
              <w:numPr>
                <w:ilvl w:val="0"/>
                <w:numId w:val="6"/>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 bon d'achat sera ajouté automatiquement au compte de l'utilisateur gagnant.</w:t>
            </w:r>
          </w:p>
          <w:p w:rsidR="00000000" w:rsidDel="00000000" w:rsidP="00000000" w:rsidRDefault="00000000" w:rsidRPr="00000000" w14:paraId="00000019">
            <w:pPr>
              <w:numPr>
                <w:ilvl w:val="0"/>
                <w:numId w:val="6"/>
              </w:numPr>
              <w:spacing w:after="0" w:before="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Limitation :</w:t>
            </w:r>
            <w:r w:rsidDel="00000000" w:rsidR="00000000" w:rsidRPr="00000000">
              <w:rPr>
                <w:rFonts w:ascii="Open Sans" w:cs="Open Sans" w:eastAsia="Open Sans" w:hAnsi="Open Sans"/>
                <w:sz w:val="20"/>
                <w:szCs w:val="20"/>
                <w:rtl w:val="0"/>
              </w:rPr>
              <w:t xml:space="preserve"> Chaque utilisateur ne peut recevoir qu'un seul coupon au maximum sur toute la durée de la campagne.</w:t>
            </w:r>
          </w:p>
          <w:p w:rsidR="00000000" w:rsidDel="00000000" w:rsidP="00000000" w:rsidRDefault="00000000" w:rsidRPr="00000000" w14:paraId="0000001A">
            <w:pPr>
              <w:numPr>
                <w:ilvl w:val="0"/>
                <w:numId w:val="6"/>
              </w:numPr>
              <w:spacing w:after="0" w:before="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Gratuité :</w:t>
            </w:r>
            <w:r w:rsidDel="00000000" w:rsidR="00000000" w:rsidRPr="00000000">
              <w:rPr>
                <w:rFonts w:ascii="Open Sans" w:cs="Open Sans" w:eastAsia="Open Sans" w:hAnsi="Open Sans"/>
                <w:sz w:val="20"/>
                <w:szCs w:val="20"/>
                <w:rtl w:val="0"/>
              </w:rPr>
              <w:t xml:space="preserve"> La participation à la campagne est entièrement gratuite, sans obligation d'achat ni de paiement sur l'application. Aucune action ou condition supplémentaire n'est requise.</w:t>
            </w:r>
          </w:p>
          <w:p w:rsidR="00000000" w:rsidDel="00000000" w:rsidP="00000000" w:rsidRDefault="00000000" w:rsidRPr="00000000" w14:paraId="0000001B">
            <w:pPr>
              <w:numPr>
                <w:ilvl w:val="0"/>
                <w:numId w:val="6"/>
              </w:numPr>
              <w:spacing w:after="240" w:before="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La réception d'un coupon n'est pas garantie. Le nombre de coupons est limité à 200 unités et leur distribution s'arrête dès que le quota est atteint.</w:t>
            </w:r>
          </w:p>
          <w:p w:rsidR="00000000" w:rsidDel="00000000" w:rsidP="00000000" w:rsidRDefault="00000000" w:rsidRPr="00000000" w14:paraId="0000001C">
            <w:pPr>
              <w:spacing w:after="240" w:before="240" w:lineRule="auto"/>
              <w:ind w:left="600" w:right="600" w:firstLine="0"/>
              <w:jc w:val="both"/>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Dotation totale :</w:t>
            </w:r>
            <w:r w:rsidDel="00000000" w:rsidR="00000000" w:rsidRPr="00000000">
              <w:rPr>
                <w:rFonts w:ascii="Open Sans" w:cs="Open Sans" w:eastAsia="Open Sans" w:hAnsi="Open Sans"/>
                <w:sz w:val="20"/>
                <w:szCs w:val="20"/>
                <w:rtl w:val="0"/>
              </w:rPr>
              <w:t xml:space="preserve"> 200 coupons de 5 € (valeur totale : 1 000 €).</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ind w:left="0" w:firstLine="0"/>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ind w:left="0" w:firstLine="0"/>
              <w:jc w:val="both"/>
              <w:rPr>
                <w:rFonts w:ascii="Open Sans" w:cs="Open Sans" w:eastAsia="Open Sans" w:hAnsi="Open Sans"/>
                <w:sz w:val="20"/>
                <w:szCs w:val="20"/>
              </w:rPr>
            </w:pPr>
            <w:r w:rsidDel="00000000" w:rsidR="00000000" w:rsidRPr="00000000">
              <w:rPr>
                <w:rtl w:val="0"/>
              </w:rPr>
            </w:r>
          </w:p>
        </w:tc>
      </w:tr>
      <w:tr>
        <w:trPr>
          <w:cantSplit w:val="0"/>
          <w:trHeight w:val="510" w:hRule="atLeast"/>
          <w:tblHeader w:val="0"/>
        </w:trPr>
        <w:tc>
          <w:tcPr>
            <w:vAlign w:val="center"/>
          </w:tcPr>
          <w:p w:rsidR="00000000" w:rsidDel="00000000" w:rsidP="00000000" w:rsidRDefault="00000000" w:rsidRPr="00000000" w14:paraId="0000001F">
            <w:pPr>
              <w:spacing w:after="0" w:line="240" w:lineRule="auto"/>
              <w:ind w:left="0" w:hanging="2"/>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Liste des prix</w:t>
            </w:r>
          </w:p>
        </w:tc>
        <w:tc>
          <w:tcPr>
            <w:vAlign w:val="center"/>
          </w:tcPr>
          <w:p w:rsidR="00000000" w:rsidDel="00000000" w:rsidP="00000000" w:rsidRDefault="00000000" w:rsidRPr="00000000" w14:paraId="00000020">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240" w:before="0" w:line="266" w:lineRule="auto"/>
              <w:ind w:left="720" w:hanging="360"/>
              <w:rPr>
                <w:rFonts w:ascii="Open Sans" w:cs="Open Sans" w:eastAsia="Open Sans" w:hAnsi="Open Sans"/>
                <w:b w:val="1"/>
                <w:bCs w:val="1"/>
                <w:sz w:val="20"/>
                <w:szCs w:val="20"/>
                <w:u w:val="none"/>
              </w:rPr>
            </w:pPr>
            <w:r w:rsidDel="00000000" w:rsidR="00000000" w:rsidRPr="00000000">
              <w:rPr>
                <w:rFonts w:ascii="Open Sans" w:cs="Open Sans" w:eastAsia="Open Sans" w:hAnsi="Open Sans"/>
                <w:b w:val="1"/>
                <w:bCs w:val="1"/>
                <w:sz w:val="20"/>
                <w:szCs w:val="20"/>
                <w:rtl w:val="0"/>
              </w:rPr>
              <w:t xml:space="preserve">200 bons d'achat d'une valeur unitaire de 5 €,</w:t>
            </w:r>
            <w:r w:rsidDel="00000000" w:rsidR="00000000" w:rsidRPr="00000000">
              <w:rPr>
                <w:rFonts w:ascii="Open Sans" w:cs="Open Sans" w:eastAsia="Open Sans" w:hAnsi="Open Sans"/>
                <w:sz w:val="20"/>
                <w:szCs w:val="20"/>
                <w:rtl w:val="0"/>
              </w:rPr>
              <w:t xml:space="preserve"> valables sur l'application Too Good To Go, distribués le Jeudi 27 août 2026 à partir de 14h00. </w:t>
              <w:br w:type="textWrapping"/>
              <w:br w:type="textWrapping"/>
              <w:t xml:space="preserve">Utilisation : Les bons d'achat sont utilisables exclusivement sur l'application Too Good To Go auprès des commerces partenaires situés en France pour l'achat de paniers. Validité des coupons : Jusqu'au 13/09/2026 inclus.</w:t>
            </w:r>
          </w:p>
        </w:tc>
      </w:tr>
    </w:tbl>
    <w:p w:rsidR="00000000" w:rsidDel="00000000" w:rsidP="00000000" w:rsidRDefault="00000000" w:rsidRPr="00000000" w14:paraId="00000021">
      <w:pPr>
        <w:ind w:left="-1.9999999999999996" w:firstLine="0"/>
        <w:jc w:val="left"/>
        <w:rPr>
          <w:rFonts w:ascii="Barlow Semi Condensed Black" w:cs="Barlow Semi Condensed Black" w:eastAsia="Barlow Semi Condensed Black" w:hAnsi="Barlow Semi Condensed Black"/>
          <w:color w:val="00615f"/>
          <w:sz w:val="60"/>
          <w:szCs w:val="60"/>
        </w:rPr>
      </w:pPr>
      <w:bookmarkStart w:colFirst="0" w:colLast="0" w:name="_heading=h.23h6bvcxlwkx" w:id="1"/>
      <w:bookmarkEnd w:id="1"/>
      <w:r w:rsidDel="00000000" w:rsidR="00000000" w:rsidRPr="00000000">
        <w:rPr>
          <w:rtl w:val="0"/>
        </w:rPr>
      </w:r>
    </w:p>
    <w:p w:rsidR="00000000" w:rsidDel="00000000" w:rsidP="00000000" w:rsidRDefault="00000000" w:rsidRPr="00000000" w14:paraId="00000022">
      <w:pPr>
        <w:spacing w:line="276" w:lineRule="auto"/>
        <w:ind w:firstLine="0"/>
        <w:jc w:val="center"/>
        <w:rPr>
          <w:rFonts w:ascii="Open Sans" w:cs="Open Sans" w:eastAsia="Open Sans" w:hAnsi="Open Sans"/>
          <w:b w:val="1"/>
          <w:bCs w:val="1"/>
          <w:sz w:val="20"/>
          <w:szCs w:val="20"/>
          <w:highlight w:val="white"/>
        </w:rPr>
      </w:pPr>
      <w:r w:rsidDel="00000000" w:rsidR="00000000" w:rsidRPr="00000000">
        <w:rPr>
          <w:rFonts w:ascii="Barlow Semi Condensed Black" w:cs="Barlow Semi Condensed Black" w:eastAsia="Barlow Semi Condensed Black" w:hAnsi="Barlow Semi Condensed Black"/>
          <w:color w:val="00615f"/>
          <w:sz w:val="60"/>
          <w:szCs w:val="60"/>
          <w:highlight w:val="white"/>
          <w:rtl w:val="0"/>
        </w:rPr>
        <w:t xml:space="preserve">RÈGLEMENT DU CONCOURS</w:t>
      </w:r>
      <w:r w:rsidDel="00000000" w:rsidR="00000000" w:rsidRPr="00000000">
        <w:rPr>
          <w:rtl w:val="0"/>
        </w:rPr>
      </w:r>
    </w:p>
    <w:p w:rsidR="00000000" w:rsidDel="00000000" w:rsidP="00000000" w:rsidRDefault="00000000" w:rsidRPr="00000000" w14:paraId="00000023">
      <w:pPr>
        <w:numPr>
          <w:ilvl w:val="0"/>
          <w:numId w:val="8"/>
        </w:numPr>
        <w:ind w:left="1440" w:hanging="360"/>
        <w:jc w:val="both"/>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Organisation de la campagne</w:t>
      </w:r>
    </w:p>
    <w:p w:rsidR="00000000" w:rsidDel="00000000" w:rsidP="00000000" w:rsidRDefault="00000000" w:rsidRPr="00000000" w14:paraId="00000024">
      <w:pPr>
        <w:ind w:left="426" w:firstLine="0"/>
        <w:jc w:val="both"/>
        <w:rPr>
          <w:rFonts w:ascii="Open Sans" w:cs="Open Sans" w:eastAsia="Open Sans" w:hAnsi="Open Sans"/>
          <w:highlight w:val="white"/>
        </w:rPr>
      </w:pPr>
      <w:bookmarkStart w:colFirst="0" w:colLast="0" w:name="_heading=h.1fob9te" w:id="2"/>
      <w:bookmarkEnd w:id="2"/>
      <w:r w:rsidDel="00000000" w:rsidR="00000000" w:rsidRPr="00000000">
        <w:rPr>
          <w:rFonts w:ascii="Open Sans" w:cs="Open Sans" w:eastAsia="Open Sans" w:hAnsi="Open Sans"/>
          <w:highlight w:val="white"/>
          <w:rtl w:val="0"/>
        </w:rPr>
        <w:t xml:space="preserve">La société Too Good To Go France (ci-après "</w:t>
      </w:r>
      <w:r w:rsidDel="00000000" w:rsidR="00000000" w:rsidRPr="00000000">
        <w:rPr>
          <w:rFonts w:ascii="Open Sans" w:cs="Open Sans" w:eastAsia="Open Sans" w:hAnsi="Open Sans"/>
          <w:b w:val="1"/>
          <w:bCs w:val="1"/>
          <w:highlight w:val="white"/>
          <w:rtl w:val="0"/>
        </w:rPr>
        <w:t xml:space="preserve">TGTG</w:t>
      </w:r>
      <w:r w:rsidDel="00000000" w:rsidR="00000000" w:rsidRPr="00000000">
        <w:rPr>
          <w:rFonts w:ascii="Open Sans" w:cs="Open Sans" w:eastAsia="Open Sans" w:hAnsi="Open Sans"/>
          <w:highlight w:val="white"/>
          <w:rtl w:val="0"/>
        </w:rPr>
        <w:t xml:space="preserve">") dont le siège social est situé au 12 Rue Duhesme, 75018 Paris, France, organise une campagne intitulée sur la page de détails de la campagne. </w:t>
      </w:r>
    </w:p>
    <w:p w:rsidR="00000000" w:rsidDel="00000000" w:rsidP="00000000" w:rsidRDefault="00000000" w:rsidRPr="00000000" w14:paraId="00000025">
      <w:pPr>
        <w:ind w:left="426" w:firstLine="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Cette campagne est (ci-après la "</w:t>
      </w:r>
      <w:r w:rsidDel="00000000" w:rsidR="00000000" w:rsidRPr="00000000">
        <w:rPr>
          <w:rFonts w:ascii="Open Sans" w:cs="Open Sans" w:eastAsia="Open Sans" w:hAnsi="Open Sans"/>
          <w:b w:val="1"/>
          <w:bCs w:val="1"/>
          <w:highlight w:val="white"/>
          <w:rtl w:val="0"/>
        </w:rPr>
        <w:t xml:space="preserve">Campagne</w:t>
      </w:r>
      <w:r w:rsidDel="00000000" w:rsidR="00000000" w:rsidRPr="00000000">
        <w:rPr>
          <w:rFonts w:ascii="Open Sans" w:cs="Open Sans" w:eastAsia="Open Sans" w:hAnsi="Open Sans"/>
          <w:highlight w:val="white"/>
          <w:rtl w:val="0"/>
        </w:rPr>
        <w:t xml:space="preserve">"), aux dates précisées dans la page de détails de la campagne. Les participations reçues en dehors de ces dates ne seront pas prises en compte pour la campagne.</w:t>
      </w:r>
    </w:p>
    <w:p w:rsidR="00000000" w:rsidDel="00000000" w:rsidP="00000000" w:rsidRDefault="00000000" w:rsidRPr="00000000" w14:paraId="00000026">
      <w:pPr>
        <w:ind w:left="426" w:firstLine="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L'inscription à la campagne implique l'acceptation sans réserve et le respect des dispositions du présent règlement, qui peut être consulté à tout moment pendant la campagne grâce au lien spécifié sur la page de détails de la campagne.</w:t>
      </w:r>
    </w:p>
    <w:p w:rsidR="00000000" w:rsidDel="00000000" w:rsidP="00000000" w:rsidRDefault="00000000" w:rsidRPr="00000000" w14:paraId="00000027">
      <w:pPr>
        <w:ind w:left="426" w:firstLine="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TGTG se réserve le droit de prolonger, retirer, modifier ou suspendre la campagne ou le présent règlement à tout moment si des circonstances indépendantes de sa volonté le rendent inévitable. </w:t>
      </w:r>
    </w:p>
    <w:p w:rsidR="00000000" w:rsidDel="00000000" w:rsidP="00000000" w:rsidRDefault="00000000" w:rsidRPr="00000000" w14:paraId="00000028">
      <w:pPr>
        <w:ind w:left="426" w:firstLine="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Cette campagne n'est pas organisée ou parrainée par Facebook, Instagram, Google, Apple ou Microsoft, qui ne pourront en aucun cas être tenus responsables de tout litige lié à la campagne. </w:t>
      </w:r>
    </w:p>
    <w:p w:rsidR="00000000" w:rsidDel="00000000" w:rsidP="00000000" w:rsidRDefault="00000000" w:rsidRPr="00000000" w14:paraId="00000029">
      <w:pPr>
        <w:ind w:left="426" w:firstLine="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Pour toute question, information ou plainte, le participant doit contacter TGTG à l'adresse électronique indiquée sur la page de détails de la campagne.</w:t>
      </w:r>
    </w:p>
    <w:p w:rsidR="00000000" w:rsidDel="00000000" w:rsidP="00000000" w:rsidRDefault="00000000" w:rsidRPr="00000000" w14:paraId="0000002A">
      <w:pPr>
        <w:ind w:left="426" w:firstLine="0"/>
        <w:jc w:val="both"/>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2B">
      <w:pPr>
        <w:numPr>
          <w:ilvl w:val="0"/>
          <w:numId w:val="8"/>
        </w:numPr>
        <w:ind w:left="1440" w:hanging="360"/>
        <w:jc w:val="both"/>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Conditions de participation</w:t>
      </w:r>
    </w:p>
    <w:p w:rsidR="00000000" w:rsidDel="00000000" w:rsidP="00000000" w:rsidRDefault="00000000" w:rsidRPr="00000000" w14:paraId="0000002C">
      <w:pPr>
        <w:ind w:left="426" w:firstLine="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Cette campagne est ouverte à toute personne physique âgée de plus de 18 ans, disposant d'un accès internet et résidant en France y compris les employés de TGTG, dès lors que chaque participant reçoit un prix sans distinction. Il est strictement interdit à un participant de participer à partir d'un compte ouvert au profit d'une autre personne. Un seul compte peut être utilisé par participant individuel.</w:t>
      </w:r>
    </w:p>
    <w:p w:rsidR="00000000" w:rsidDel="00000000" w:rsidP="00000000" w:rsidRDefault="00000000" w:rsidRPr="00000000" w14:paraId="0000002D">
      <w:pPr>
        <w:ind w:left="426" w:firstLine="0"/>
        <w:jc w:val="both"/>
        <w:rPr>
          <w:rFonts w:ascii="Open Sans" w:cs="Open Sans" w:eastAsia="Open Sans" w:hAnsi="Open Sans"/>
          <w:highlight w:val="white"/>
        </w:rPr>
      </w:pPr>
      <w:bookmarkStart w:colFirst="0" w:colLast="0" w:name="_heading=h.3znysh7" w:id="3"/>
      <w:bookmarkEnd w:id="3"/>
      <w:r w:rsidDel="00000000" w:rsidR="00000000" w:rsidRPr="00000000">
        <w:rPr>
          <w:rFonts w:ascii="Open Sans" w:cs="Open Sans" w:eastAsia="Open Sans" w:hAnsi="Open Sans"/>
          <w:highlight w:val="white"/>
          <w:rtl w:val="0"/>
        </w:rPr>
        <w:t xml:space="preserve">Toute personne remplissant les conditions de participation ci-dessous et souhaitant participer à la campagnedoit suivre le processus défini dans la page détaillée du règlement de la campagne. Seuls les participants ayant respecté l'ensemble du processus défini dans la page détaillée du règlement de la campagne seront considérés comme des participants. </w:t>
      </w:r>
    </w:p>
    <w:p w:rsidR="00000000" w:rsidDel="00000000" w:rsidP="00000000" w:rsidRDefault="00000000" w:rsidRPr="00000000" w14:paraId="0000002E">
      <w:pPr>
        <w:ind w:hanging="2"/>
        <w:jc w:val="both"/>
        <w:rPr>
          <w:rFonts w:ascii="Open Sans" w:cs="Open Sans" w:eastAsia="Open Sans" w:hAnsi="Open Sans"/>
          <w:sz w:val="20"/>
          <w:szCs w:val="20"/>
        </w:rPr>
      </w:pPr>
      <w:bookmarkStart w:colFirst="0" w:colLast="0" w:name="_heading=h.tyjcwt" w:id="4"/>
      <w:bookmarkEnd w:id="4"/>
      <w:r w:rsidDel="00000000" w:rsidR="00000000" w:rsidRPr="00000000">
        <w:rPr>
          <w:rtl w:val="0"/>
        </w:rPr>
      </w:r>
    </w:p>
    <w:p w:rsidR="00000000" w:rsidDel="00000000" w:rsidP="00000000" w:rsidRDefault="00000000" w:rsidRPr="00000000" w14:paraId="0000002F">
      <w:pPr>
        <w:numPr>
          <w:ilvl w:val="0"/>
          <w:numId w:val="8"/>
        </w:numPr>
        <w:ind w:left="1440" w:hanging="360"/>
        <w:jc w:val="both"/>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Prix</w:t>
      </w:r>
    </w:p>
    <w:p w:rsidR="00000000" w:rsidDel="00000000" w:rsidP="00000000" w:rsidRDefault="00000000" w:rsidRPr="00000000" w14:paraId="00000030">
      <w:pPr>
        <w:spacing w:after="240" w:before="240" w:line="259.2000000000001" w:lineRule="auto"/>
        <w:ind w:firstLine="0"/>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Les lots sont attribués dans le cadre de l’offre et sont précisés dans le présent </w:t>
      </w:r>
      <w:r w:rsidDel="00000000" w:rsidR="00000000" w:rsidRPr="00000000">
        <w:rPr>
          <w:rFonts w:ascii="Open Sans" w:cs="Open Sans" w:eastAsia="Open Sans" w:hAnsi="Open Sans"/>
          <w:b w:val="1"/>
          <w:bCs w:val="1"/>
          <w:sz w:val="20"/>
          <w:szCs w:val="20"/>
          <w:rtl w:val="0"/>
        </w:rPr>
        <w:t xml:space="preserve">Règlement de l’offre promotionnelle</w:t>
      </w:r>
      <w:r w:rsidDel="00000000" w:rsidR="00000000" w:rsidRPr="00000000">
        <w:rPr>
          <w:rFonts w:ascii="Open Sans" w:cs="Open Sans" w:eastAsia="Open Sans" w:hAnsi="Open Sans"/>
          <w:sz w:val="20"/>
          <w:szCs w:val="20"/>
          <w:rtl w:val="0"/>
        </w:rPr>
        <w:t xml:space="preserve">.</w:t>
      </w:r>
    </w:p>
    <w:p w:rsidR="00000000" w:rsidDel="00000000" w:rsidP="00000000" w:rsidRDefault="00000000" w:rsidRPr="00000000" w14:paraId="00000031">
      <w:pPr>
        <w:pStyle w:val="Heading4"/>
        <w:keepNext w:val="0"/>
        <w:keepLines w:val="0"/>
        <w:spacing w:line="259.2000000000001" w:lineRule="auto"/>
        <w:ind w:hanging="2"/>
        <w:jc w:val="both"/>
        <w:rPr>
          <w:rFonts w:ascii="Open Sans" w:cs="Open Sans" w:eastAsia="Open Sans" w:hAnsi="Open Sans"/>
          <w:sz w:val="22"/>
          <w:szCs w:val="22"/>
        </w:rPr>
      </w:pPr>
      <w:bookmarkStart w:colFirst="0" w:colLast="0" w:name="_heading=h.rmernhl166u5" w:id="5"/>
      <w:bookmarkEnd w:id="5"/>
      <w:r w:rsidDel="00000000" w:rsidR="00000000" w:rsidRPr="00000000">
        <w:rPr>
          <w:rFonts w:ascii="Open Sans" w:cs="Open Sans" w:eastAsia="Open Sans" w:hAnsi="Open Sans"/>
          <w:sz w:val="22"/>
          <w:szCs w:val="22"/>
          <w:rtl w:val="0"/>
        </w:rPr>
        <w:t xml:space="preserve">Informations relatives aux bons d'achat Too Good To Go :</w:t>
      </w:r>
    </w:p>
    <w:p w:rsidR="00000000" w:rsidDel="00000000" w:rsidP="00000000" w:rsidRDefault="00000000" w:rsidRPr="00000000" w14:paraId="00000032">
      <w:pPr>
        <w:numPr>
          <w:ilvl w:val="0"/>
          <w:numId w:val="5"/>
        </w:numPr>
        <w:spacing w:after="0" w:before="240" w:line="259.2000000000001"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b w:val="1"/>
          <w:bCs w:val="1"/>
          <w:rtl w:val="0"/>
        </w:rPr>
        <w:t xml:space="preserve">Valeur :</w:t>
      </w:r>
      <w:r w:rsidDel="00000000" w:rsidR="00000000" w:rsidRPr="00000000">
        <w:rPr>
          <w:rFonts w:ascii="Open Sans" w:cs="Open Sans" w:eastAsia="Open Sans" w:hAnsi="Open Sans"/>
          <w:sz w:val="20"/>
          <w:szCs w:val="20"/>
          <w:rtl w:val="0"/>
        </w:rPr>
        <w:t xml:space="preserve"> Chaque bon d'achat a une valeur de </w:t>
      </w:r>
      <w:r w:rsidDel="00000000" w:rsidR="00000000" w:rsidRPr="00000000">
        <w:rPr>
          <w:rFonts w:ascii="Open Sans" w:cs="Open Sans" w:eastAsia="Open Sans" w:hAnsi="Open Sans"/>
          <w:b w:val="1"/>
          <w:bCs w:val="1"/>
          <w:sz w:val="20"/>
          <w:szCs w:val="20"/>
          <w:rtl w:val="0"/>
        </w:rPr>
        <w:t xml:space="preserve">5 €</w:t>
      </w:r>
      <w:r w:rsidDel="00000000" w:rsidR="00000000" w:rsidRPr="00000000">
        <w:rPr>
          <w:rFonts w:ascii="Open Sans" w:cs="Open Sans" w:eastAsia="Open Sans" w:hAnsi="Open Sans"/>
          <w:sz w:val="20"/>
          <w:szCs w:val="20"/>
          <w:rtl w:val="0"/>
        </w:rPr>
        <w:t xml:space="preserve">.</w:t>
      </w:r>
    </w:p>
    <w:p w:rsidR="00000000" w:rsidDel="00000000" w:rsidP="00000000" w:rsidRDefault="00000000" w:rsidRPr="00000000" w14:paraId="00000033">
      <w:pPr>
        <w:numPr>
          <w:ilvl w:val="0"/>
          <w:numId w:val="5"/>
        </w:numPr>
        <w:spacing w:after="0" w:line="259.2000000000001"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Utilisation :</w:t>
      </w:r>
      <w:r w:rsidDel="00000000" w:rsidR="00000000" w:rsidRPr="00000000">
        <w:rPr>
          <w:rFonts w:ascii="Open Sans" w:cs="Open Sans" w:eastAsia="Open Sans" w:hAnsi="Open Sans"/>
          <w:sz w:val="20"/>
          <w:szCs w:val="20"/>
          <w:rtl w:val="0"/>
        </w:rPr>
        <w:t xml:space="preserve"> Les bons sont utilisables </w:t>
      </w:r>
      <w:r w:rsidDel="00000000" w:rsidR="00000000" w:rsidRPr="00000000">
        <w:rPr>
          <w:rFonts w:ascii="Open Sans" w:cs="Open Sans" w:eastAsia="Open Sans" w:hAnsi="Open Sans"/>
          <w:b w:val="1"/>
          <w:bCs w:val="1"/>
          <w:sz w:val="20"/>
          <w:szCs w:val="20"/>
          <w:rtl w:val="0"/>
        </w:rPr>
        <w:t xml:space="preserve">exclusivement en France</w:t>
      </w:r>
      <w:r w:rsidDel="00000000" w:rsidR="00000000" w:rsidRPr="00000000">
        <w:rPr>
          <w:rFonts w:ascii="Open Sans" w:cs="Open Sans" w:eastAsia="Open Sans" w:hAnsi="Open Sans"/>
          <w:sz w:val="20"/>
          <w:szCs w:val="20"/>
          <w:rtl w:val="0"/>
        </w:rPr>
        <w:t xml:space="preserve"> sur l'application Too Good To Go, auprès des commerces partenaires disponibles sur la plateforme.</w:t>
      </w:r>
    </w:p>
    <w:p w:rsidR="00000000" w:rsidDel="00000000" w:rsidP="00000000" w:rsidRDefault="00000000" w:rsidRPr="00000000" w14:paraId="00000034">
      <w:pPr>
        <w:numPr>
          <w:ilvl w:val="0"/>
          <w:numId w:val="5"/>
        </w:numPr>
        <w:spacing w:after="0" w:line="259.2000000000001"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Modalités :</w:t>
      </w:r>
      <w:r w:rsidDel="00000000" w:rsidR="00000000" w:rsidRPr="00000000">
        <w:rPr>
          <w:rFonts w:ascii="Open Sans" w:cs="Open Sans" w:eastAsia="Open Sans" w:hAnsi="Open Sans"/>
          <w:sz w:val="20"/>
          <w:szCs w:val="20"/>
          <w:rtl w:val="0"/>
        </w:rPr>
        <w:t xml:space="preserve"> Chaque bon est à </w:t>
      </w:r>
      <w:r w:rsidDel="00000000" w:rsidR="00000000" w:rsidRPr="00000000">
        <w:rPr>
          <w:rFonts w:ascii="Open Sans" w:cs="Open Sans" w:eastAsia="Open Sans" w:hAnsi="Open Sans"/>
          <w:b w:val="1"/>
          <w:bCs w:val="1"/>
          <w:sz w:val="20"/>
          <w:szCs w:val="20"/>
          <w:rtl w:val="0"/>
        </w:rPr>
        <w:t xml:space="preserve">usage unique</w:t>
      </w:r>
      <w:r w:rsidDel="00000000" w:rsidR="00000000" w:rsidRPr="00000000">
        <w:rPr>
          <w:rFonts w:ascii="Open Sans" w:cs="Open Sans" w:eastAsia="Open Sans" w:hAnsi="Open Sans"/>
          <w:sz w:val="20"/>
          <w:szCs w:val="20"/>
          <w:rtl w:val="0"/>
        </w:rPr>
        <w:t xml:space="preserve"> et ne peut être utilisé que par une seule personne.</w:t>
      </w:r>
    </w:p>
    <w:p w:rsidR="00000000" w:rsidDel="00000000" w:rsidP="00000000" w:rsidRDefault="00000000" w:rsidRPr="00000000" w14:paraId="00000035">
      <w:pPr>
        <w:numPr>
          <w:ilvl w:val="0"/>
          <w:numId w:val="5"/>
        </w:numPr>
        <w:spacing w:after="0" w:line="259.2000000000001"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Conditions de valeur :</w:t>
      </w:r>
      <w:r w:rsidDel="00000000" w:rsidR="00000000" w:rsidRPr="00000000">
        <w:rPr>
          <w:rtl w:val="0"/>
        </w:rPr>
      </w:r>
    </w:p>
    <w:p w:rsidR="00000000" w:rsidDel="00000000" w:rsidP="00000000" w:rsidRDefault="00000000" w:rsidRPr="00000000" w14:paraId="00000036">
      <w:pPr>
        <w:numPr>
          <w:ilvl w:val="1"/>
          <w:numId w:val="5"/>
        </w:numPr>
        <w:spacing w:after="0" w:line="259.2000000000001"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Les bons d'achat ne peuvent être échangés contre leur valeur en espèces, ni donner lieu à un remboursement.</w:t>
      </w:r>
    </w:p>
    <w:p w:rsidR="00000000" w:rsidDel="00000000" w:rsidP="00000000" w:rsidRDefault="00000000" w:rsidRPr="00000000" w14:paraId="00000037">
      <w:pPr>
        <w:numPr>
          <w:ilvl w:val="1"/>
          <w:numId w:val="5"/>
        </w:numPr>
        <w:spacing w:after="0" w:line="259.2000000000001"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 solde d'un bon ne peut pas être cumulé avec un nouveau bon ni être prolongé après sa date d'expiration.</w:t>
      </w:r>
    </w:p>
    <w:p w:rsidR="00000000" w:rsidDel="00000000" w:rsidP="00000000" w:rsidRDefault="00000000" w:rsidRPr="00000000" w14:paraId="00000038">
      <w:pPr>
        <w:numPr>
          <w:ilvl w:val="1"/>
          <w:numId w:val="5"/>
        </w:numPr>
        <w:spacing w:after="240" w:line="259.2000000000001"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Tout montant non utilisé avant la date d'expiration sera définitivement perdu et ne pourra être crédité sur une autre transaction.</w:t>
      </w:r>
    </w:p>
    <w:p w:rsidR="00000000" w:rsidDel="00000000" w:rsidP="00000000" w:rsidRDefault="00000000" w:rsidRPr="00000000" w14:paraId="00000039">
      <w:pPr>
        <w:spacing w:after="240" w:before="240" w:line="259.2000000000001" w:lineRule="auto"/>
        <w:ind w:firstLine="0"/>
        <w:jc w:val="both"/>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Besoin d'aide ?</w:t>
      </w:r>
    </w:p>
    <w:p w:rsidR="00000000" w:rsidDel="00000000" w:rsidP="00000000" w:rsidRDefault="00000000" w:rsidRPr="00000000" w14:paraId="0000003A">
      <w:pPr>
        <w:spacing w:after="240" w:before="240" w:line="259.2000000000001" w:lineRule="auto"/>
        <w:ind w:firstLine="0"/>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Pour toute question, vous pouvez contacter le service client à l'adresse </w:t>
      </w:r>
      <w:r w:rsidDel="00000000" w:rsidR="00000000" w:rsidRPr="00000000">
        <w:rPr>
          <w:rFonts w:ascii="Open Sans" w:cs="Open Sans" w:eastAsia="Open Sans" w:hAnsi="Open Sans"/>
          <w:b w:val="1"/>
          <w:bCs w:val="1"/>
          <w:sz w:val="20"/>
          <w:szCs w:val="20"/>
          <w:rtl w:val="0"/>
        </w:rPr>
        <w:t xml:space="preserve">social.fr@toogoodtogo.fr</w:t>
      </w:r>
      <w:r w:rsidDel="00000000" w:rsidR="00000000" w:rsidRPr="00000000">
        <w:rPr>
          <w:rFonts w:ascii="Open Sans" w:cs="Open Sans" w:eastAsia="Open Sans" w:hAnsi="Open Sans"/>
          <w:sz w:val="20"/>
          <w:szCs w:val="20"/>
          <w:rtl w:val="0"/>
        </w:rPr>
        <w:t xml:space="preserve"> </w:t>
      </w:r>
      <w:r w:rsidDel="00000000" w:rsidR="00000000" w:rsidRPr="00000000">
        <w:rPr>
          <w:rFonts w:ascii="Open Sans" w:cs="Open Sans" w:eastAsia="Open Sans" w:hAnsi="Open Sans"/>
          <w:i w:val="1"/>
          <w:iCs w:val="1"/>
          <w:sz w:val="20"/>
          <w:szCs w:val="20"/>
          <w:rtl w:val="0"/>
        </w:rPr>
        <w:t xml:space="preserve">(ou help@toogoodtogo.fr)</w:t>
      </w:r>
      <w:r w:rsidDel="00000000" w:rsidR="00000000" w:rsidRPr="00000000">
        <w:rPr>
          <w:rFonts w:ascii="Open Sans" w:cs="Open Sans" w:eastAsia="Open Sans" w:hAnsi="Open Sans"/>
          <w:sz w:val="20"/>
          <w:szCs w:val="20"/>
          <w:rtl w:val="0"/>
        </w:rPr>
        <w:t xml:space="preserve">, ou directement dans l'application via le </w:t>
      </w:r>
      <w:r w:rsidDel="00000000" w:rsidR="00000000" w:rsidRPr="00000000">
        <w:rPr>
          <w:rFonts w:ascii="Open Sans" w:cs="Open Sans" w:eastAsia="Open Sans" w:hAnsi="Open Sans"/>
          <w:b w:val="1"/>
          <w:bCs w:val="1"/>
          <w:sz w:val="20"/>
          <w:szCs w:val="20"/>
          <w:rtl w:val="0"/>
        </w:rPr>
        <w:t xml:space="preserve">Centre d'aide</w:t>
      </w:r>
      <w:r w:rsidDel="00000000" w:rsidR="00000000" w:rsidRPr="00000000">
        <w:rPr>
          <w:rFonts w:ascii="Open Sans" w:cs="Open Sans" w:eastAsia="Open Sans" w:hAnsi="Open Sans"/>
          <w:sz w:val="20"/>
          <w:szCs w:val="20"/>
          <w:rtl w:val="0"/>
        </w:rPr>
        <w:t xml:space="preserve">.</w:t>
      </w:r>
    </w:p>
    <w:p w:rsidR="00000000" w:rsidDel="00000000" w:rsidP="00000000" w:rsidRDefault="00000000" w:rsidRPr="00000000" w14:paraId="0000003B">
      <w:pPr>
        <w:ind w:left="720" w:firstLine="0"/>
        <w:jc w:val="both"/>
        <w:rPr>
          <w:rFonts w:ascii="Open Sans" w:cs="Open Sans" w:eastAsia="Open Sans" w:hAnsi="Open Sans"/>
          <w:b w:val="1"/>
          <w:bCs w:val="1"/>
          <w:highlight w:val="white"/>
        </w:rPr>
      </w:pPr>
      <w:bookmarkStart w:colFirst="0" w:colLast="0" w:name="_heading=h.1t3h5sf" w:id="6"/>
      <w:bookmarkEnd w:id="6"/>
      <w:r w:rsidDel="00000000" w:rsidR="00000000" w:rsidRPr="00000000">
        <w:rPr>
          <w:rFonts w:ascii="Open Sans" w:cs="Open Sans" w:eastAsia="Open Sans" w:hAnsi="Open Sans"/>
          <w:b w:val="1"/>
          <w:bCs w:val="1"/>
          <w:highlight w:val="white"/>
          <w:rtl w:val="0"/>
        </w:rPr>
        <w:t xml:space="preserve">Droits de propriété intellectuelle</w:t>
      </w:r>
    </w:p>
    <w:p w:rsidR="00000000" w:rsidDel="00000000" w:rsidP="00000000" w:rsidRDefault="00000000" w:rsidRPr="00000000" w14:paraId="0000003C">
      <w:pPr>
        <w:ind w:left="426" w:firstLine="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Le participant reconnaît que TGTG est le(s) propriétaire(s) unique(s) et exclusif(s) de tous les droits, y compris les droits de propriété intellectuelle, concernant cette campagne, son contenu et les marques de TGTG. Aucune disposition de la présente campagne n'accorde à un participant un quelconque droit, titre ou intérêt sur le contenu et les marques de TGTG.</w:t>
      </w:r>
    </w:p>
    <w:p w:rsidR="00000000" w:rsidDel="00000000" w:rsidP="00000000" w:rsidRDefault="00000000" w:rsidRPr="00000000" w14:paraId="0000003D">
      <w:pPr>
        <w:numPr>
          <w:ilvl w:val="0"/>
          <w:numId w:val="8"/>
        </w:numPr>
        <w:ind w:left="1440" w:hanging="360"/>
        <w:jc w:val="both"/>
        <w:rPr>
          <w:rFonts w:ascii="Open Sans" w:cs="Open Sans" w:eastAsia="Open Sans" w:hAnsi="Open Sans"/>
          <w:b w:val="1"/>
          <w:bCs w:val="1"/>
          <w:highlight w:val="white"/>
        </w:rPr>
      </w:pPr>
      <w:bookmarkStart w:colFirst="0" w:colLast="0" w:name="_heading=h.43a85sjt8y7m" w:id="7"/>
      <w:bookmarkEnd w:id="7"/>
      <w:r w:rsidDel="00000000" w:rsidR="00000000" w:rsidRPr="00000000">
        <w:rPr>
          <w:rFonts w:ascii="Open Sans" w:cs="Open Sans" w:eastAsia="Open Sans" w:hAnsi="Open Sans"/>
          <w:b w:val="1"/>
          <w:bCs w:val="1"/>
          <w:highlight w:val="white"/>
          <w:rtl w:val="0"/>
        </w:rPr>
        <w:t xml:space="preserve">Responsabilité civile</w:t>
      </w:r>
    </w:p>
    <w:p w:rsidR="00000000" w:rsidDel="00000000" w:rsidP="00000000" w:rsidRDefault="00000000" w:rsidRPr="00000000" w14:paraId="0000003E">
      <w:pPr>
        <w:ind w:left="426" w:firstLine="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Aucune disposition des présentes règles ne saurait limiter ou exclure la responsabilité de TGTG en cas de : (i) de décès ou de dommages corporels causés par la négligence de TGTG ; (ii) de fraude ou de déclaration frauduleuse ; et (iii) de toute question à l'égard de laquelle il serait illégal pour TGTG o d'exclure ou de restreindre sa responsabilité.</w:t>
      </w:r>
    </w:p>
    <w:p w:rsidR="00000000" w:rsidDel="00000000" w:rsidP="00000000" w:rsidRDefault="00000000" w:rsidRPr="00000000" w14:paraId="0000003F">
      <w:pPr>
        <w:ind w:left="426" w:firstLine="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La responsabilité de TGTG est strictement limitée à la livraison des prix effectivement et valablement gagnés. La responsabilité de TGTG ne saurait être engagée :</w:t>
      </w:r>
    </w:p>
    <w:p w:rsidR="00000000" w:rsidDel="00000000" w:rsidP="00000000" w:rsidRDefault="00000000" w:rsidRPr="00000000" w14:paraId="00000040">
      <w:pPr>
        <w:numPr>
          <w:ilvl w:val="0"/>
          <w:numId w:val="3"/>
        </w:numPr>
        <w:spacing w:after="0" w:lineRule="auto"/>
        <w:ind w:left="720" w:hanging="36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pour tout incident ou accident pouvant survenir lors de la jouissance du prix attribué et/ou du fait de sa mauvaise utilisation par chaque gagnant.</w:t>
      </w:r>
    </w:p>
    <w:p w:rsidR="00000000" w:rsidDel="00000000" w:rsidP="00000000" w:rsidRDefault="00000000" w:rsidRPr="00000000" w14:paraId="00000041">
      <w:pPr>
        <w:numPr>
          <w:ilvl w:val="0"/>
          <w:numId w:val="3"/>
        </w:numPr>
        <w:spacing w:after="0" w:lineRule="auto"/>
        <w:ind w:left="720" w:hanging="36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pour tout problème de livraison ou de perte de courrier postal ou électronique (notamment en ce qui concerne la livraison des prix). Tout prix envoyé par TGTG à un gagnant et non réclamé ou retourné pour toute autre raison par les services postaux sera perdu pour le gagnant et restera la propriété de TGTG.</w:t>
      </w:r>
    </w:p>
    <w:p w:rsidR="00000000" w:rsidDel="00000000" w:rsidP="00000000" w:rsidRDefault="00000000" w:rsidRPr="00000000" w14:paraId="00000042">
      <w:pPr>
        <w:numPr>
          <w:ilvl w:val="0"/>
          <w:numId w:val="3"/>
        </w:numPr>
        <w:spacing w:after="0" w:lineRule="auto"/>
        <w:ind w:left="720" w:hanging="36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pour tout dommage direct ou indirect, matériel ou moral, quel qu'il soit, si la campagne est annulée, temporairement ou définitivement indisponible, ne se déroule pas selon les règles annoncées ou, en général, si la participation à la campagne s'avère temporairement ou définitivement impossible.</w:t>
      </w:r>
    </w:p>
    <w:p w:rsidR="00000000" w:rsidDel="00000000" w:rsidP="00000000" w:rsidRDefault="00000000" w:rsidRPr="00000000" w14:paraId="00000043">
      <w:pPr>
        <w:numPr>
          <w:ilvl w:val="0"/>
          <w:numId w:val="3"/>
        </w:numPr>
        <w:spacing w:after="0" w:lineRule="auto"/>
        <w:ind w:left="720" w:hanging="36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pour tout dommage causé à un participant, à son équipement informatique et/ou aux données qui y sont stockées, ainsi que pour toutes les conséquences directes ou indirectes pouvant en découler sur son activité personnelle ou professionnelle. Ainsi, chaque participant est responsable des systèmes de sécurité qu'il met en place sur son équipement informatique, et TGTG ne saurait(ent) être tenue(s) pour responsable(s) de la contamination par d'éventuels virus ou de l'intrusion d'un tiers dans le système informatique de tout participant au Concours.</w:t>
      </w:r>
    </w:p>
    <w:p w:rsidR="00000000" w:rsidDel="00000000" w:rsidP="00000000" w:rsidRDefault="00000000" w:rsidRPr="00000000" w14:paraId="00000044">
      <w:pPr>
        <w:numPr>
          <w:ilvl w:val="0"/>
          <w:numId w:val="3"/>
        </w:numPr>
        <w:ind w:left="720" w:hanging="36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en cas de défaillance du réseau de communication, de dysfonctionnement du matériel de réception ou d'encombrement du réseau empêchant le bon déroulement de la campagneou entraînant, directement ou indirectement, une perte de chance de participer à la campagne.</w:t>
      </w:r>
    </w:p>
    <w:p w:rsidR="00000000" w:rsidDel="00000000" w:rsidP="00000000" w:rsidRDefault="00000000" w:rsidRPr="00000000" w14:paraId="00000045">
      <w:pPr>
        <w:ind w:left="360" w:firstLine="66.00000000000001"/>
        <w:jc w:val="both"/>
        <w:rPr>
          <w:rFonts w:ascii="Open Sans" w:cs="Open Sans" w:eastAsia="Open Sans" w:hAnsi="Open Sans"/>
          <w:highlight w:val="white"/>
        </w:rPr>
      </w:pPr>
      <w:bookmarkStart w:colFirst="0" w:colLast="0" w:name="_heading=h.4d34og8" w:id="8"/>
      <w:bookmarkEnd w:id="8"/>
      <w:r w:rsidDel="00000000" w:rsidR="00000000" w:rsidRPr="00000000">
        <w:rPr>
          <w:rFonts w:ascii="Open Sans" w:cs="Open Sans" w:eastAsia="Open Sans" w:hAnsi="Open Sans"/>
          <w:highlight w:val="white"/>
          <w:rtl w:val="0"/>
        </w:rPr>
        <w:t xml:space="preserve">Les limitations de responsabilité ci-dessus s'appliquent dans la mesure maximale autorisée par la loi applicable.</w:t>
      </w:r>
    </w:p>
    <w:p w:rsidR="00000000" w:rsidDel="00000000" w:rsidP="00000000" w:rsidRDefault="00000000" w:rsidRPr="00000000" w14:paraId="00000046">
      <w:pPr>
        <w:ind w:left="426" w:firstLine="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TGTG pourront annuler tout ou partie de la campagnes'il apparaît que des fraudes ont été organisées, sous quelque forme que ce soit et notamment de manière informatique, et sont intervenues pendant le déroulement de la campagne ou dans le cadre de la détermination des gagnants. Dans cette hypothèse, TGTG se réservent le droit de ne pas attribuer les lots aux fraudeurs et/ou de les poursuivre devant les juridictions compétentes.</w:t>
      </w:r>
    </w:p>
    <w:p w:rsidR="00000000" w:rsidDel="00000000" w:rsidP="00000000" w:rsidRDefault="00000000" w:rsidRPr="00000000" w14:paraId="00000047">
      <w:pPr>
        <w:ind w:left="426" w:firstLine="0"/>
        <w:jc w:val="both"/>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48">
      <w:pPr>
        <w:numPr>
          <w:ilvl w:val="0"/>
          <w:numId w:val="8"/>
        </w:numPr>
        <w:ind w:left="1440" w:hanging="360"/>
        <w:jc w:val="both"/>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Remboursement des frais de participation</w:t>
      </w:r>
    </w:p>
    <w:p w:rsidR="00000000" w:rsidDel="00000000" w:rsidP="00000000" w:rsidRDefault="00000000" w:rsidRPr="00000000" w14:paraId="00000049">
      <w:pPr>
        <w:ind w:left="426" w:firstLine="0"/>
        <w:jc w:val="both"/>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Le remboursement des frais d'affranchissement liés à la demande de règlement (timbre au tarif en vigueur), peut être obtenu par une demande écrite conjointe à l'adresse de TGTG en joignant un RIB. Le remboursement des frais de connexion à Internet pour participer à la campagne, dans la limite maximale de 3 minutes et hors participation mobile, peut être obtenu par une demande écrite à l'adresse de TGTG en précisant clairement les informations suivantes : nom, prénom, adresse postale complète, date et heure de participation. La demande de remboursement doit être accompagnée d'un RIB et d'une copie de la facture du fournisseur d'accès à Internet du participant faisant apparaître : d'une part, la nature exacte du service du fournisseur d'accès à Internet et son mode de facturation (illimité, forfait...) et, d'autre part, la date et l'heure de connexion correspondant à la participation à la campagneclairement soulignées ou surlignées par le participant. En l'état actuel des services et des technologies, certains fournisseurs d'accès à Internet proposent une connexion gratuite ou forfaitaire aux internautes, il est expressément convenu que tout accès au site à titre gratuit ou forfaitaire (tel que connexion par câble, ADSL ou connexion spécialisée) ne donnera lieu à aucun remboursement, dans la mesure où l'abonnement aux services du fournisseur d'accès est dans ce cas contracté par l'internaute pour son utilisation d'Internet en général et que le fait pour le participant de se connecter au site et de participer à la campagnene lui fait supporter aucun coût ou dépense supplémentaire. Les frais de photocopie des éventuelles pièces justificatives à fournir seront remboursés sur la base de 0,15 euros TTC par feuille.</w:t>
      </w:r>
    </w:p>
    <w:p w:rsidR="00000000" w:rsidDel="00000000" w:rsidP="00000000" w:rsidRDefault="00000000" w:rsidRPr="00000000" w14:paraId="0000004A">
      <w:pPr>
        <w:numPr>
          <w:ilvl w:val="0"/>
          <w:numId w:val="4"/>
        </w:numPr>
        <w:ind w:left="426" w:hanging="709.4645669291339"/>
        <w:jc w:val="both"/>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Protection des données</w:t>
      </w:r>
    </w:p>
    <w:p w:rsidR="00000000" w:rsidDel="00000000" w:rsidP="00000000" w:rsidRDefault="00000000" w:rsidRPr="00000000" w14:paraId="0000004B">
      <w:pPr>
        <w:ind w:left="426" w:firstLine="0"/>
        <w:jc w:val="both"/>
        <w:rPr>
          <w:rFonts w:ascii="Open Sans" w:cs="Open Sans" w:eastAsia="Open Sans" w:hAnsi="Open Sans"/>
          <w:highlight w:val="white"/>
        </w:rPr>
      </w:pPr>
      <w:bookmarkStart w:colFirst="0" w:colLast="0" w:name="_heading=h.2s8eyo1" w:id="9"/>
      <w:bookmarkEnd w:id="9"/>
      <w:r w:rsidDel="00000000" w:rsidR="00000000" w:rsidRPr="00000000">
        <w:rPr>
          <w:rFonts w:ascii="Open Sans" w:cs="Open Sans" w:eastAsia="Open Sans" w:hAnsi="Open Sans"/>
          <w:highlight w:val="white"/>
          <w:rtl w:val="0"/>
        </w:rPr>
        <w:t xml:space="preserve">Les données à caractère personnel collectées par TGTG dans le cadre de cette la campagne concernant directement les Participants sont nécessaires pour permettre la prise en compte de leur participation, la détermination et l'annonce des gagnants, et l'attribution des prix, faute de quoi la participation du participant ne sera pas prise en compte.   TGTG agissent chacun en tant que responsables indépendants du traitement des données personnelles collectées. Cés informations pourront être transmises par TGTG respectivement l’un à l’autre pour l’acheminement des prix. Conformément aux dispositions du Règlement 2016/679/UE du 27 avril 2016 relatif à la protection des données, les participants à la la campagne disposent d'un droit d'accès, de rectification et d'opposition sur les données personnelles les concernant. Enfin, et à toutes fins utiles, les détails complets de la politique de collecte et de traitement des données de TGTG régissant cette campagne sont disponibles à l'adresse suivante</w:t>
      </w:r>
      <w:hyperlink r:id="rId7">
        <w:r w:rsidDel="00000000" w:rsidR="00000000" w:rsidRPr="00000000">
          <w:rPr>
            <w:rFonts w:ascii="Open Sans" w:cs="Open Sans" w:eastAsia="Open Sans" w:hAnsi="Open Sans"/>
            <w:color w:val="0563c1"/>
            <w:highlight w:val="white"/>
            <w:u w:val="single"/>
            <w:rtl w:val="0"/>
          </w:rPr>
          <w:t xml:space="preserve">: </w:t>
        </w:r>
      </w:hyperlink>
      <w:hyperlink r:id="rId8">
        <w:r w:rsidDel="00000000" w:rsidR="00000000" w:rsidRPr="00000000">
          <w:rPr>
            <w:rFonts w:ascii="Open Sans" w:cs="Open Sans" w:eastAsia="Open Sans" w:hAnsi="Open Sans"/>
            <w:color w:val="1155cc"/>
            <w:highlight w:val="white"/>
            <w:u w:val="single"/>
            <w:rtl w:val="0"/>
          </w:rPr>
          <w:t xml:space="preserve">https://toogoodtogo.fr/fr/privacy-policy</w:t>
        </w:r>
      </w:hyperlink>
      <w:r w:rsidDel="00000000" w:rsidR="00000000" w:rsidRPr="00000000">
        <w:rPr>
          <w:rFonts w:ascii="Open Sans" w:cs="Open Sans" w:eastAsia="Open Sans" w:hAnsi="Open Sans"/>
          <w:highlight w:val="white"/>
          <w:rtl w:val="0"/>
        </w:rPr>
        <w:t xml:space="preserve"> </w:t>
      </w:r>
    </w:p>
    <w:p w:rsidR="00000000" w:rsidDel="00000000" w:rsidP="00000000" w:rsidRDefault="00000000" w:rsidRPr="00000000" w14:paraId="0000004C">
      <w:pPr>
        <w:numPr>
          <w:ilvl w:val="0"/>
          <w:numId w:val="4"/>
        </w:numPr>
        <w:ind w:left="426" w:hanging="709.4645669291339"/>
        <w:jc w:val="both"/>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Droit et lieu</w:t>
      </w:r>
    </w:p>
    <w:p w:rsidR="00000000" w:rsidDel="00000000" w:rsidP="00000000" w:rsidRDefault="00000000" w:rsidRPr="00000000" w14:paraId="0000004D">
      <w:pPr>
        <w:ind w:left="426" w:firstLine="0"/>
        <w:jc w:val="both"/>
        <w:rPr>
          <w:rFonts w:ascii="Open Sans" w:cs="Open Sans" w:eastAsia="Open Sans" w:hAnsi="Open Sans"/>
          <w:highlight w:val="white"/>
        </w:rPr>
      </w:pPr>
      <w:bookmarkStart w:colFirst="0" w:colLast="0" w:name="_heading=h.17dp8vu" w:id="10"/>
      <w:bookmarkEnd w:id="10"/>
      <w:r w:rsidDel="00000000" w:rsidR="00000000" w:rsidRPr="00000000">
        <w:rPr>
          <w:rFonts w:ascii="Open Sans" w:cs="Open Sans" w:eastAsia="Open Sans" w:hAnsi="Open Sans"/>
          <w:highlight w:val="white"/>
          <w:rtl w:val="0"/>
        </w:rPr>
        <w:t xml:space="preserve">Tout litige éventuel sur l'interprétation du règlement sera tranché par TGTG et sera régi par le droit français. Les actions en justice relatives aux présentes conditions générales seront portées devant les tribunaux français compétents. </w:t>
      </w:r>
    </w:p>
    <w:p w:rsidR="00000000" w:rsidDel="00000000" w:rsidP="00000000" w:rsidRDefault="00000000" w:rsidRPr="00000000" w14:paraId="0000004E">
      <w:pPr>
        <w:spacing w:after="0" w:line="276" w:lineRule="auto"/>
        <w:ind w:firstLine="0"/>
        <w:rPr>
          <w:rFonts w:ascii="Arial" w:cs="Arial" w:eastAsia="Arial" w:hAnsi="Arial"/>
        </w:rPr>
      </w:pPr>
      <w:r w:rsidDel="00000000" w:rsidR="00000000" w:rsidRPr="00000000">
        <w:rPr>
          <w:rtl w:val="0"/>
        </w:rPr>
      </w:r>
    </w:p>
    <w:p w:rsidR="00000000" w:rsidDel="00000000" w:rsidP="00000000" w:rsidRDefault="00000000" w:rsidRPr="00000000" w14:paraId="0000004F">
      <w:pPr>
        <w:spacing w:after="0" w:line="276" w:lineRule="auto"/>
        <w:ind w:firstLine="0"/>
        <w:rPr>
          <w:rFonts w:ascii="Open Sans" w:cs="Open Sans" w:eastAsia="Open Sans" w:hAnsi="Open Sans"/>
          <w:b w:val="1"/>
          <w:bCs w:val="1"/>
          <w:highlight w:val="white"/>
        </w:rPr>
      </w:pPr>
      <w:r w:rsidDel="00000000" w:rsidR="00000000" w:rsidRPr="00000000">
        <w:rPr>
          <w:rtl w:val="0"/>
        </w:rPr>
      </w:r>
    </w:p>
    <w:p w:rsidR="00000000" w:rsidDel="00000000" w:rsidP="00000000" w:rsidRDefault="00000000" w:rsidRPr="00000000" w14:paraId="00000050">
      <w:pPr>
        <w:ind w:left="0" w:hanging="2"/>
        <w:jc w:val="both"/>
        <w:rPr>
          <w:rFonts w:ascii="Open Sans" w:cs="Open Sans" w:eastAsia="Open Sans" w:hAnsi="Open Sans"/>
          <w:b w:val="1"/>
          <w:bCs w:val="1"/>
          <w:sz w:val="20"/>
          <w:szCs w:val="20"/>
        </w:rPr>
      </w:pPr>
      <w:r w:rsidDel="00000000" w:rsidR="00000000" w:rsidRPr="00000000">
        <w:rPr>
          <w:rtl w:val="0"/>
        </w:rPr>
      </w:r>
    </w:p>
    <w:sectPr>
      <w:headerReference r:id="rId9" w:type="default"/>
      <w:footerReference r:id="rId10" w:type="default"/>
      <w:pgSz w:h="16838" w:w="11906" w:orient="portrait"/>
      <w:pgMar w:bottom="720" w:top="1560" w:left="85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Barlow Semi Condensed Black">
    <w:embedBold w:fontKey="{00000000-0000-0000-0000-000000000000}" r:id="rId1" w:subsetted="0"/>
    <w:embedBoldItalic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0" w:hanging="2"/>
      <w:jc w:val="right"/>
      <w:rPr>
        <w:color w:val="000000"/>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t xml:space="preserve"> de </w:t>
    </w:r>
    <w:r w:rsidDel="00000000" w:rsidR="00000000" w:rsidRPr="00000000">
      <w:rPr>
        <w:color w:val="00000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0" w:hanging="2"/>
      <w:rPr>
        <w:rFonts w:ascii="Open Sans" w:cs="Open Sans" w:eastAsia="Open Sans" w:hAnsi="Open Sans"/>
        <w:color w:val="000000"/>
        <w:sz w:val="20"/>
        <w:szCs w:val="20"/>
      </w:rPr>
    </w:pPr>
    <w:bookmarkStart w:colFirst="0" w:colLast="0" w:name="_heading=h.3rdcrjn" w:id="11"/>
    <w:bookmarkEnd w:id="11"/>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2879725</wp:posOffset>
          </wp:positionH>
          <wp:positionV relativeFrom="paragraph">
            <wp:posOffset>-49519</wp:posOffset>
          </wp:positionV>
          <wp:extent cx="889635" cy="586105"/>
          <wp:effectExtent b="0" l="0" r="0" t="0"/>
          <wp:wrapNone/>
          <wp:docPr id="2" name="image1.png"/>
          <a:graphic>
            <a:graphicData uri="http://schemas.openxmlformats.org/drawingml/2006/picture">
              <pic:pic>
                <pic:nvPicPr>
                  <pic:cNvPr id="0" name="image1.png"/>
                  <pic:cNvPicPr preferRelativeResize="0"/>
                </pic:nvPicPr>
                <pic:blipFill>
                  <a:blip r:embed="rId1"/>
                  <a:srcRect b="13565" l="2470" r="2470" t="13565"/>
                  <a:stretch>
                    <a:fillRect/>
                  </a:stretch>
                </pic:blipFill>
                <pic:spPr>
                  <a:xfrm>
                    <a:off x="0" y="0"/>
                    <a:ext cx="889635" cy="586105"/>
                  </a:xfrm>
                  <a:prstGeom prst="rect"/>
                  <a:ln/>
                </pic:spPr>
              </pic:pic>
            </a:graphicData>
          </a:graphic>
        </wp:anchor>
      </w:drawing>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left="0" w:hanging="2"/>
      <w:rPr>
        <w:rFonts w:ascii="Open Sans" w:cs="Open Sans" w:eastAsia="Open Sans" w:hAnsi="Open Sans"/>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1003.464566929133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hanging="1"/>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pPr>
      <w:spacing w:after="0" w:line="240" w:lineRule="auto"/>
    </w:pPr>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toogoodtogo.fr/fr/privacy-policy" TargetMode="External"/><Relationship Id="rId8" Type="http://schemas.openxmlformats.org/officeDocument/2006/relationships/hyperlink" Target="https://toogoodtogo.fr/fr/privacy-poli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arlowSemiCondensedBlack-bold.ttf"/><Relationship Id="rId2" Type="http://schemas.openxmlformats.org/officeDocument/2006/relationships/font" Target="fonts/BarlowSemiCondensedBlack-boldItalic.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inUYpT1feghHutJ60J0MtxKDlA==">CgMxLjAyDmguNGY0aHN6b3o0dTZ0Mg5oLjIzaDZidmN4bHdreDIJaC4xZm9iOXRlMgloLjN6bnlzaDcyCGgudHlqY3d0Mg5oLnJtZXJuaGwxNjZ1NTIJaC4xdDNoNXNmMg5oLjQzYTg1c2p0OHk3bTIJaC40ZDM0b2c4MgloLjJzOGV5bzEyCWguMTdkcDh2dTIJaC4zcmRjcmpuOAByITFZbURkVkR4MmNqTG5XZ1JBSkgzVldBdXNKZHJwakJxLQ==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BBDocRef">
    <vt:lpwstr>Admin\48423967.1</vt:lpwstr>
  </property>
</Properties>
</file>