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b/>
          <w:sz w:val="32"/>
        </w:rPr>
        <w:t>[Organisation Name] - Support at Home: Monthly Statement Review Checklist</w:t>
      </w:r>
    </w:p>
    <w:tbl>
      <w:tblPr>
        <w:tblStyle w:val="TableGrid"/>
        <w:tblW w:type="auto" w:w="0"/>
        <w:jc w:val="left"/>
        <w:tblLook w:firstColumn="1" w:firstRow="1" w:lastColumn="0" w:lastRow="0" w:noHBand="0" w:noVBand="1" w:val="04A0"/>
      </w:tblPr>
      <w:tblGrid>
        <w:gridCol w:w="2412"/>
        <w:gridCol w:w="2412"/>
        <w:gridCol w:w="2412"/>
        <w:gridCol w:w="2412"/>
      </w:tblGrid>
      <w:tr>
        <w:tc>
          <w:tcPr>
            <w:tcW w:type="dxa" w:w="1872"/>
          </w:tcPr>
          <w:p>
            <w:pPr>
              <w:spacing w:after="40" w:before="40"/>
            </w:pPr>
            <w:r/>
            <w:r>
              <w:rPr>
                <w:b w:val="0"/>
                <w:sz w:val="19"/>
              </w:rPr>
              <w:t>Policy Number</w:t>
            </w:r>
          </w:p>
        </w:tc>
        <w:tc>
          <w:tcPr>
            <w:tcW w:type="dxa" w:w="3456"/>
          </w:tcPr>
          <w:p>
            <w:pPr>
              <w:spacing w:after="40" w:before="40"/>
            </w:pPr>
            <w:r/>
            <w:r>
              <w:rPr>
                <w:b w:val="0"/>
                <w:sz w:val="19"/>
              </w:rPr>
              <w:t>[e.g. SAH-008]</w:t>
            </w:r>
          </w:p>
        </w:tc>
        <w:tc>
          <w:tcPr>
            <w:tcW w:type="dxa" w:w="1584"/>
          </w:tcPr>
          <w:p>
            <w:pPr>
              <w:spacing w:after="40" w:before="40"/>
            </w:pPr>
            <w:r/>
            <w:r>
              <w:rPr>
                <w:b w:val="0"/>
                <w:sz w:val="19"/>
              </w:rPr>
              <w:t>Version</w:t>
            </w:r>
          </w:p>
        </w:tc>
        <w:tc>
          <w:tcPr>
            <w:tcW w:type="dxa" w:w="2952"/>
          </w:tcPr>
          <w:p>
            <w:pPr>
              <w:spacing w:after="40" w:before="40"/>
            </w:pPr>
            <w:r/>
            <w:r>
              <w:rPr>
                <w:b w:val="0"/>
                <w:sz w:val="19"/>
              </w:rPr>
              <w:t>1.0</w:t>
            </w:r>
          </w:p>
        </w:tc>
      </w:tr>
      <w:tr>
        <w:tc>
          <w:tcPr>
            <w:tcW w:type="dxa" w:w="1872"/>
          </w:tcPr>
          <w:p>
            <w:pPr>
              <w:spacing w:after="40" w:before="40"/>
            </w:pPr>
            <w:r/>
            <w:r>
              <w:rPr>
                <w:b w:val="0"/>
                <w:sz w:val="19"/>
              </w:rPr>
              <w:t>Effective Date</w:t>
            </w:r>
          </w:p>
        </w:tc>
        <w:tc>
          <w:tcPr>
            <w:tcW w:type="dxa" w:w="3456"/>
          </w:tcPr>
          <w:p>
            <w:pPr>
              <w:spacing w:after="40" w:before="40"/>
            </w:pPr>
            <w:r/>
            <w:r>
              <w:rPr>
                <w:b w:val="0"/>
                <w:sz w:val="19"/>
              </w:rPr>
              <w:t>[DD/MM/YYYY]</w:t>
            </w:r>
          </w:p>
        </w:tc>
        <w:tc>
          <w:tcPr>
            <w:tcW w:type="dxa" w:w="1584"/>
          </w:tcPr>
          <w:p>
            <w:pPr>
              <w:spacing w:after="40" w:before="40"/>
            </w:pPr>
            <w:r/>
            <w:r>
              <w:rPr>
                <w:b w:val="0"/>
                <w:sz w:val="19"/>
              </w:rPr>
              <w:t>Review Date</w:t>
            </w:r>
          </w:p>
        </w:tc>
        <w:tc>
          <w:tcPr>
            <w:tcW w:type="dxa" w:w="2952"/>
          </w:tcPr>
          <w:p>
            <w:pPr>
              <w:spacing w:after="40" w:before="40"/>
            </w:pPr>
            <w:r/>
            <w:r>
              <w:rPr>
                <w:b w:val="0"/>
                <w:sz w:val="19"/>
              </w:rPr>
              <w:t>[DD/MM/YYYY]</w:t>
            </w:r>
          </w:p>
        </w:tc>
      </w:tr>
      <w:tr>
        <w:tc>
          <w:tcPr>
            <w:tcW w:type="dxa" w:w="1872"/>
          </w:tcPr>
          <w:p>
            <w:pPr>
              <w:spacing w:after="40" w:before="40"/>
            </w:pPr>
            <w:r/>
            <w:r>
              <w:rPr>
                <w:b w:val="0"/>
                <w:sz w:val="19"/>
              </w:rPr>
              <w:t>Policy Owner</w:t>
            </w:r>
          </w:p>
        </w:tc>
        <w:tc>
          <w:tcPr>
            <w:tcW w:type="dxa" w:w="3456"/>
          </w:tcPr>
          <w:p>
            <w:pPr>
              <w:spacing w:after="40" w:before="40"/>
            </w:pPr>
            <w:r/>
            <w:r>
              <w:rPr>
                <w:b w:val="0"/>
                <w:sz w:val="19"/>
              </w:rPr>
              <w:t>[Finance Manager]</w:t>
            </w:r>
          </w:p>
        </w:tc>
        <w:tc>
          <w:tcPr>
            <w:tcW w:type="dxa" w:w="1584"/>
          </w:tcPr>
          <w:p>
            <w:pPr>
              <w:spacing w:after="40" w:before="40"/>
            </w:pPr>
            <w:r/>
            <w:r>
              <w:rPr>
                <w:b w:val="0"/>
                <w:sz w:val="19"/>
              </w:rPr>
              <w:t>Approved By</w:t>
            </w:r>
          </w:p>
        </w:tc>
        <w:tc>
          <w:tcPr>
            <w:tcW w:type="dxa" w:w="2952"/>
          </w:tcPr>
          <w:p>
            <w:pPr>
              <w:spacing w:after="40" w:before="40"/>
            </w:pPr>
            <w:r/>
            <w:r>
              <w:rPr>
                <w:b w:val="0"/>
                <w:sz w:val="19"/>
              </w:rPr>
              <w:t>[Board]</w:t>
            </w:r>
          </w:p>
        </w:tc>
      </w:tr>
    </w:tbl>
    <w:p>
      <w:pPr>
        <w:spacing w:before="240" w:after="100"/>
      </w:pPr>
      <w:r>
        <w:rPr>
          <w:b/>
          <w:sz w:val="26"/>
        </w:rPr>
        <w:t>1. Purpose</w:t>
      </w:r>
    </w:p>
    <w:p>
      <w:r>
        <w:rPr>
          <w:b w:val="0"/>
        </w:rPr>
        <w:t>This checklist gives finance and care staff at [Organisation Name] one repeatable review step to complete before a Support at Home monthly statement is issued. The statement is how a participant sees where their government funding and their own contributions went. A wrong statement damages trust and usually points to a claiming error sitting underneath it. Reviewing before issue catches those errors while they are still cheap to fix.</w:t>
      </w:r>
    </w:p>
    <w:p>
      <w:pPr>
        <w:spacing w:before="240" w:after="100"/>
      </w:pPr>
      <w:r>
        <w:rPr>
          <w:b/>
          <w:sz w:val="26"/>
        </w:rPr>
        <w:t>2. Scope</w:t>
      </w:r>
    </w:p>
    <w:p>
      <w:r>
        <w:rPr>
          <w:b w:val="0"/>
        </w:rPr>
        <w:t>This checklist applies to every monthly statement prepared by [Organisation Name] for a Support at Home participant, including months in which no services were delivered. It also applies to final statements issued at the end of a Restorative Care Pathway or End-of-Life Pathway episode, when a participant ends ongoing services, and when a participant exits the program. Staff covered: finance and billing officers, care partners, service delivery branch managers, and the [Finance Manager] who releases each statement batch.</w:t>
      </w:r>
    </w:p>
    <w:p>
      <w:pPr>
        <w:spacing w:before="240" w:after="100"/>
      </w:pPr>
      <w:r>
        <w:rPr>
          <w:b/>
          <w:sz w:val="26"/>
        </w:rPr>
        <w:t>3. How to Use This Checklist</w:t>
      </w:r>
    </w:p>
    <w:p>
      <w:pPr>
        <w:pStyle w:val="ListBullet"/>
        <w:spacing w:after="60"/>
      </w:pPr>
      <w:r>
        <w:t>Complete one checklist per participant statement, per month. Record Y or N in the Complete column against every line.</w:t>
      </w:r>
    </w:p>
    <w:p>
      <w:pPr>
        <w:pStyle w:val="ListBullet"/>
        <w:spacing w:after="60"/>
      </w:pPr>
      <w:r>
        <w:t>Any N holds the statement. Route it to the owner named in section 6, correct the underlying record, then re-check that part before release.</w:t>
      </w:r>
    </w:p>
    <w:p>
      <w:pPr>
        <w:pStyle w:val="ListBullet"/>
        <w:spacing w:after="60"/>
      </w:pPr>
      <w:r>
        <w:t>File the completed checklist with the issued statement in the participant record, in line with the Record Keeping Policy.</w:t>
      </w:r>
    </w:p>
    <w:p>
      <w:pPr>
        <w:pStyle w:val="ListBullet"/>
        <w:spacing w:after="60"/>
      </w:pPr>
      <w:r>
        <w:t>Statements must reach the participant, their registered supporter, or both by the last day of the following month. Finish the review by [day 20] so corrections still fit inside that deadline.</w:t>
      </w:r>
    </w:p>
    <w:p>
      <w:pPr>
        <w:pStyle w:val="ListBullet"/>
        <w:spacing w:after="60"/>
      </w:pPr>
      <w:r>
        <w:t>The person who prepared the billing run must not be the person who signs it off.</w:t>
      </w:r>
    </w:p>
    <w:p>
      <w:pPr>
        <w:spacing w:before="240" w:after="100"/>
      </w:pPr>
      <w:r>
        <w:rPr>
          <w:b/>
          <w:sz w:val="26"/>
        </w:rPr>
        <w:t>4. Definitions</w:t>
      </w:r>
    </w:p>
    <w:p>
      <w:pPr>
        <w:spacing w:after="80"/>
      </w:pPr>
      <w:r>
        <w:rPr>
          <w:b/>
        </w:rPr>
        <w:t xml:space="preserve">Monthly statement: </w:t>
      </w:r>
      <w:r>
        <w:t>A document showing, for the previous calendar month, the funding available, participant contributions, each service provided and its price, unused funding, and the closing budget balance.</w:t>
      </w:r>
    </w:p>
    <w:p>
      <w:pPr>
        <w:spacing w:after="80"/>
      </w:pPr>
      <w:r>
        <w:rPr>
          <w:b/>
        </w:rPr>
        <w:t xml:space="preserve">Quarterly budget: </w:t>
      </w:r>
      <w:r>
        <w:t>A participant's funding classification amount divided into four budgets, each covering three months.</w:t>
      </w:r>
    </w:p>
    <w:p>
      <w:pPr>
        <w:spacing w:after="80"/>
      </w:pPr>
      <w:r>
        <w:rPr>
          <w:b/>
        </w:rPr>
        <w:t xml:space="preserve">Carryover: </w:t>
      </w:r>
      <w:r>
        <w:t>Unspent funds a participant may carry between quarters, up to $1,000 or 10 per cent of the quarterly budget, whichever is higher.</w:t>
      </w:r>
    </w:p>
    <w:p>
      <w:pPr>
        <w:spacing w:after="80"/>
      </w:pPr>
      <w:r>
        <w:rPr>
          <w:b/>
        </w:rPr>
        <w:t xml:space="preserve">Pooled care management account: </w:t>
      </w:r>
      <w:r>
        <w:t>Ten per cent of each participant's ongoing quarterly budget, pooled across a service delivery branch and held by Services Australia. Providers claim care management from that pooled account.</w:t>
      </w:r>
    </w:p>
    <w:p>
      <w:pPr>
        <w:spacing w:after="80"/>
      </w:pPr>
      <w:r>
        <w:rPr>
          <w:b/>
        </w:rPr>
        <w:t xml:space="preserve">All-inclusive price: </w:t>
      </w:r>
      <w:r>
        <w:t>The published price for a service, which already covers travel, administration and other delivery costs.</w:t>
      </w:r>
    </w:p>
    <w:p>
      <w:pPr>
        <w:spacing w:after="80"/>
      </w:pPr>
      <w:r>
        <w:rPr>
          <w:b/>
        </w:rPr>
        <w:t xml:space="preserve">Retained unspent Home Care Package funds: </w:t>
      </w:r>
      <w:r>
        <w:t>Funds a transitioned participant held under the Home Care Packages Program and keeps for use under Support at Home.</w:t>
      </w:r>
    </w:p>
    <w:p>
      <w:pPr>
        <w:spacing w:before="240" w:after="100"/>
      </w:pPr>
      <w:r>
        <w:rPr>
          <w:b/>
          <w:sz w:val="26"/>
        </w:rPr>
        <w:t>5. Monthly Statement Review Checklist</w:t>
      </w:r>
    </w:p>
    <w:p>
      <w:r>
        <w:rPr>
          <w:b w:val="0"/>
        </w:rPr>
        <w:t>Work the parts in order. Mark N and stop on that line when the supporting evidence is not in front of you.</w:t>
      </w:r>
    </w:p>
    <w:p>
      <w:pPr>
        <w:spacing w:before="180" w:after="80"/>
      </w:pPr>
      <w:r>
        <w:rPr>
          <w:b/>
          <w:sz w:val="22"/>
        </w:rPr>
        <w:t>5.1 Part A - Coverage, period and delivery</w:t>
      </w:r>
    </w:p>
    <w:tbl>
      <w:tblPr>
        <w:tblStyle w:val="TableGrid"/>
        <w:tblW w:type="auto" w:w="0"/>
        <w:jc w:val="left"/>
        <w:tblLook w:firstColumn="1" w:firstRow="1" w:lastColumn="0" w:lastRow="0" w:noHBand="0" w:noVBand="1" w:val="04A0"/>
      </w:tblPr>
      <w:tblGrid>
        <w:gridCol w:w="3216"/>
        <w:gridCol w:w="3216"/>
        <w:gridCol w:w="3216"/>
      </w:tblGrid>
      <w:tr>
        <w:tc>
          <w:tcPr>
            <w:tcW w:type="dxa" w:w="2736"/>
            <w:shd w:val="clear" w:color="auto" w:fill="D9E2F3"/>
          </w:tcPr>
          <w:p>
            <w:pPr>
              <w:spacing w:after="40" w:before="40"/>
            </w:pPr>
            <w:r/>
            <w:r>
              <w:rPr>
                <w:b/>
                <w:sz w:val="19"/>
              </w:rPr>
              <w:t>Check</w:t>
            </w:r>
          </w:p>
        </w:tc>
        <w:tc>
          <w:tcPr>
            <w:tcW w:type="dxa" w:w="5760"/>
            <w:shd w:val="clear" w:color="auto" w:fill="D9E2F3"/>
          </w:tcPr>
          <w:p>
            <w:pPr>
              <w:spacing w:after="40" w:before="40"/>
            </w:pPr>
            <w:r/>
            <w:r>
              <w:rPr>
                <w:b/>
                <w:sz w:val="19"/>
              </w:rPr>
              <w:t>What good looks like</w:t>
            </w:r>
          </w:p>
        </w:tc>
        <w:tc>
          <w:tcPr>
            <w:tcW w:type="dxa" w:w="1368"/>
            <w:shd w:val="clear" w:color="auto" w:fill="D9E2F3"/>
          </w:tcPr>
          <w:p>
            <w:pPr>
              <w:spacing w:after="40" w:before="40"/>
            </w:pPr>
            <w:r/>
            <w:r>
              <w:rPr>
                <w:b/>
                <w:sz w:val="19"/>
              </w:rPr>
              <w:t>Complete (Y/N)</w:t>
            </w:r>
          </w:p>
        </w:tc>
      </w:tr>
      <w:tr>
        <w:tc>
          <w:tcPr>
            <w:tcW w:type="dxa" w:w="2736"/>
          </w:tcPr>
          <w:p>
            <w:pPr>
              <w:spacing w:after="40" w:before="40"/>
            </w:pPr>
            <w:r/>
            <w:r>
              <w:rPr>
                <w:b w:val="0"/>
                <w:sz w:val="19"/>
              </w:rPr>
              <w:t>A statement exists for every participant</w:t>
            </w:r>
          </w:p>
        </w:tc>
        <w:tc>
          <w:tcPr>
            <w:tcW w:type="dxa" w:w="5760"/>
          </w:tcPr>
          <w:p>
            <w:pPr>
              <w:spacing w:after="40" w:before="40"/>
            </w:pPr>
            <w:r/>
            <w:r>
              <w:rPr>
                <w:b w:val="0"/>
                <w:sz w:val="19"/>
              </w:rPr>
              <w:t>Every participant linked to [Organisation Name] has a statement, including those who received no services.</w:t>
            </w:r>
          </w:p>
        </w:tc>
        <w:tc>
          <w:tcPr>
            <w:tcW w:type="dxa" w:w="1368"/>
          </w:tcPr>
          <w:p>
            <w:pPr>
              <w:spacing w:after="40" w:before="40"/>
            </w:pPr>
            <w:r/>
            <w:r>
              <w:rPr>
                <w:b w:val="0"/>
                <w:sz w:val="19"/>
              </w:rPr>
            </w:r>
          </w:p>
        </w:tc>
      </w:tr>
      <w:tr>
        <w:tc>
          <w:tcPr>
            <w:tcW w:type="dxa" w:w="2736"/>
          </w:tcPr>
          <w:p>
            <w:pPr>
              <w:spacing w:after="40" w:before="40"/>
            </w:pPr>
            <w:r/>
            <w:r>
              <w:rPr>
                <w:b w:val="0"/>
                <w:sz w:val="19"/>
              </w:rPr>
              <w:t>Correct reporting period</w:t>
            </w:r>
          </w:p>
        </w:tc>
        <w:tc>
          <w:tcPr>
            <w:tcW w:type="dxa" w:w="5760"/>
          </w:tcPr>
          <w:p>
            <w:pPr>
              <w:spacing w:after="40" w:before="40"/>
            </w:pPr>
            <w:r/>
            <w:r>
              <w:rPr>
                <w:b w:val="0"/>
                <w:sz w:val="19"/>
              </w:rPr>
              <w:t>The statement covers one calendar month, and the header dates match the earliest and latest transactions listed.</w:t>
            </w:r>
          </w:p>
        </w:tc>
        <w:tc>
          <w:tcPr>
            <w:tcW w:type="dxa" w:w="1368"/>
          </w:tcPr>
          <w:p>
            <w:pPr>
              <w:spacing w:after="40" w:before="40"/>
            </w:pPr>
            <w:r/>
            <w:r>
              <w:rPr>
                <w:b w:val="0"/>
                <w:sz w:val="19"/>
              </w:rPr>
            </w:r>
          </w:p>
        </w:tc>
      </w:tr>
      <w:tr>
        <w:tc>
          <w:tcPr>
            <w:tcW w:type="dxa" w:w="2736"/>
          </w:tcPr>
          <w:p>
            <w:pPr>
              <w:spacing w:after="40" w:before="40"/>
            </w:pPr>
            <w:r/>
            <w:r>
              <w:rPr>
                <w:b w:val="0"/>
                <w:sz w:val="19"/>
              </w:rPr>
              <w:t>Issue deadline is achievable</w:t>
            </w:r>
          </w:p>
        </w:tc>
        <w:tc>
          <w:tcPr>
            <w:tcW w:type="dxa" w:w="5760"/>
          </w:tcPr>
          <w:p>
            <w:pPr>
              <w:spacing w:after="40" w:before="40"/>
            </w:pPr>
            <w:r/>
            <w:r>
              <w:rPr>
                <w:b w:val="0"/>
                <w:sz w:val="19"/>
              </w:rPr>
              <w:t>The statement is ready before the last day of the following month, with room for a correction cycle.</w:t>
            </w:r>
          </w:p>
        </w:tc>
        <w:tc>
          <w:tcPr>
            <w:tcW w:type="dxa" w:w="1368"/>
          </w:tcPr>
          <w:p>
            <w:pPr>
              <w:spacing w:after="40" w:before="40"/>
            </w:pPr>
            <w:r/>
            <w:r>
              <w:rPr>
                <w:b w:val="0"/>
                <w:sz w:val="19"/>
              </w:rPr>
            </w:r>
          </w:p>
        </w:tc>
      </w:tr>
      <w:tr>
        <w:tc>
          <w:tcPr>
            <w:tcW w:type="dxa" w:w="2736"/>
          </w:tcPr>
          <w:p>
            <w:pPr>
              <w:spacing w:after="40" w:before="40"/>
            </w:pPr>
            <w:r/>
            <w:r>
              <w:rPr>
                <w:b w:val="0"/>
                <w:sz w:val="19"/>
              </w:rPr>
              <w:t>Delivery method matches preference</w:t>
            </w:r>
          </w:p>
        </w:tc>
        <w:tc>
          <w:tcPr>
            <w:tcW w:type="dxa" w:w="5760"/>
          </w:tcPr>
          <w:p>
            <w:pPr>
              <w:spacing w:after="40" w:before="40"/>
            </w:pPr>
            <w:r/>
            <w:r>
              <w:rPr>
                <w:b w:val="0"/>
                <w:sz w:val="19"/>
              </w:rPr>
              <w:t>Hard copy or electronic copy matches the recorded preference, and the registered supporter is included where consent is on file.</w:t>
            </w:r>
          </w:p>
        </w:tc>
        <w:tc>
          <w:tcPr>
            <w:tcW w:type="dxa" w:w="1368"/>
          </w:tcPr>
          <w:p>
            <w:pPr>
              <w:spacing w:after="40" w:before="40"/>
            </w:pPr>
            <w:r/>
            <w:r>
              <w:rPr>
                <w:b w:val="0"/>
                <w:sz w:val="19"/>
              </w:rPr>
            </w:r>
          </w:p>
        </w:tc>
      </w:tr>
      <w:tr>
        <w:tc>
          <w:tcPr>
            <w:tcW w:type="dxa" w:w="2736"/>
          </w:tcPr>
          <w:p>
            <w:pPr>
              <w:spacing w:after="40" w:before="40"/>
            </w:pPr>
            <w:r/>
            <w:r>
              <w:rPr>
                <w:b w:val="0"/>
                <w:sz w:val="19"/>
              </w:rPr>
              <w:t>Final statement triggered where needed</w:t>
            </w:r>
          </w:p>
        </w:tc>
        <w:tc>
          <w:tcPr>
            <w:tcW w:type="dxa" w:w="5760"/>
          </w:tcPr>
          <w:p>
            <w:pPr>
              <w:spacing w:after="40" w:before="40"/>
            </w:pPr>
            <w:r/>
            <w:r>
              <w:rPr>
                <w:b w:val="0"/>
                <w:sz w:val="19"/>
              </w:rPr>
              <w:t>A final statement is produced when a pathway episode ends, ongoing services end, or the participant exits Support at Home.</w:t>
            </w:r>
          </w:p>
        </w:tc>
        <w:tc>
          <w:tcPr>
            <w:tcW w:type="dxa" w:w="1368"/>
          </w:tcPr>
          <w:p>
            <w:pPr>
              <w:spacing w:after="40" w:before="40"/>
            </w:pPr>
            <w:r/>
            <w:r>
              <w:rPr>
                <w:b w:val="0"/>
                <w:sz w:val="19"/>
              </w:rPr>
            </w:r>
          </w:p>
        </w:tc>
      </w:tr>
    </w:tbl>
    <w:p>
      <w:pPr>
        <w:spacing w:before="180" w:after="80"/>
      </w:pPr>
      <w:r>
        <w:rPr>
          <w:b/>
          <w:sz w:val="22"/>
        </w:rPr>
        <w:t>5.2 Part B - Services delivered versus services claimed</w:t>
      </w:r>
    </w:p>
    <w:tbl>
      <w:tblPr>
        <w:tblStyle w:val="TableGrid"/>
        <w:tblW w:type="auto" w:w="0"/>
        <w:jc w:val="left"/>
        <w:tblLook w:firstColumn="1" w:firstRow="1" w:lastColumn="0" w:lastRow="0" w:noHBand="0" w:noVBand="1" w:val="04A0"/>
      </w:tblPr>
      <w:tblGrid>
        <w:gridCol w:w="3216"/>
        <w:gridCol w:w="3216"/>
        <w:gridCol w:w="3216"/>
      </w:tblGrid>
      <w:tr>
        <w:tc>
          <w:tcPr>
            <w:tcW w:type="dxa" w:w="2736"/>
            <w:shd w:val="clear" w:color="auto" w:fill="D9E2F3"/>
          </w:tcPr>
          <w:p>
            <w:pPr>
              <w:spacing w:after="40" w:before="40"/>
            </w:pPr>
            <w:r/>
            <w:r>
              <w:rPr>
                <w:b/>
                <w:sz w:val="19"/>
              </w:rPr>
              <w:t>Check</w:t>
            </w:r>
          </w:p>
        </w:tc>
        <w:tc>
          <w:tcPr>
            <w:tcW w:type="dxa" w:w="5760"/>
            <w:shd w:val="clear" w:color="auto" w:fill="D9E2F3"/>
          </w:tcPr>
          <w:p>
            <w:pPr>
              <w:spacing w:after="40" w:before="40"/>
            </w:pPr>
            <w:r/>
            <w:r>
              <w:rPr>
                <w:b/>
                <w:sz w:val="19"/>
              </w:rPr>
              <w:t>What good looks like</w:t>
            </w:r>
          </w:p>
        </w:tc>
        <w:tc>
          <w:tcPr>
            <w:tcW w:type="dxa" w:w="1368"/>
            <w:shd w:val="clear" w:color="auto" w:fill="D9E2F3"/>
          </w:tcPr>
          <w:p>
            <w:pPr>
              <w:spacing w:after="40" w:before="40"/>
            </w:pPr>
            <w:r/>
            <w:r>
              <w:rPr>
                <w:b/>
                <w:sz w:val="19"/>
              </w:rPr>
              <w:t>Complete (Y/N)</w:t>
            </w:r>
          </w:p>
        </w:tc>
      </w:tr>
      <w:tr>
        <w:tc>
          <w:tcPr>
            <w:tcW w:type="dxa" w:w="2736"/>
          </w:tcPr>
          <w:p>
            <w:pPr>
              <w:spacing w:after="40" w:before="40"/>
            </w:pPr>
            <w:r/>
            <w:r>
              <w:rPr>
                <w:b w:val="0"/>
                <w:sz w:val="19"/>
              </w:rPr>
              <w:t>Every line traces to a delivery record</w:t>
            </w:r>
          </w:p>
        </w:tc>
        <w:tc>
          <w:tcPr>
            <w:tcW w:type="dxa" w:w="5760"/>
          </w:tcPr>
          <w:p>
            <w:pPr>
              <w:spacing w:after="40" w:before="40"/>
            </w:pPr>
            <w:r/>
            <w:r>
              <w:rPr>
                <w:b w:val="0"/>
                <w:sz w:val="19"/>
              </w:rPr>
              <w:t>Each service line matches a visit note, roster entry or supplier invoice of the same date.</w:t>
            </w:r>
          </w:p>
        </w:tc>
        <w:tc>
          <w:tcPr>
            <w:tcW w:type="dxa" w:w="1368"/>
          </w:tcPr>
          <w:p>
            <w:pPr>
              <w:spacing w:after="40" w:before="40"/>
            </w:pPr>
            <w:r/>
            <w:r>
              <w:rPr>
                <w:b w:val="0"/>
                <w:sz w:val="19"/>
              </w:rPr>
            </w:r>
          </w:p>
        </w:tc>
      </w:tr>
      <w:tr>
        <w:tc>
          <w:tcPr>
            <w:tcW w:type="dxa" w:w="2736"/>
          </w:tcPr>
          <w:p>
            <w:pPr>
              <w:spacing w:after="40" w:before="40"/>
            </w:pPr>
            <w:r/>
            <w:r>
              <w:rPr>
                <w:b w:val="0"/>
                <w:sz w:val="19"/>
              </w:rPr>
              <w:t>Nothing undelivered is charged</w:t>
            </w:r>
          </w:p>
        </w:tc>
        <w:tc>
          <w:tcPr>
            <w:tcW w:type="dxa" w:w="5760"/>
          </w:tcPr>
          <w:p>
            <w:pPr>
              <w:spacing w:after="40" w:before="40"/>
            </w:pPr>
            <w:r/>
            <w:r>
              <w:rPr>
                <w:b w:val="0"/>
                <w:sz w:val="19"/>
              </w:rPr>
              <w:t>Rostered visits that did not happen are removed from the charged lines.</w:t>
            </w:r>
          </w:p>
        </w:tc>
        <w:tc>
          <w:tcPr>
            <w:tcW w:type="dxa" w:w="1368"/>
          </w:tcPr>
          <w:p>
            <w:pPr>
              <w:spacing w:after="40" w:before="40"/>
            </w:pPr>
            <w:r/>
            <w:r>
              <w:rPr>
                <w:b w:val="0"/>
                <w:sz w:val="19"/>
              </w:rPr>
            </w:r>
          </w:p>
        </w:tc>
      </w:tr>
      <w:tr>
        <w:tc>
          <w:tcPr>
            <w:tcW w:type="dxa" w:w="2736"/>
          </w:tcPr>
          <w:p>
            <w:pPr>
              <w:spacing w:after="40" w:before="40"/>
            </w:pPr>
            <w:r/>
            <w:r>
              <w:rPr>
                <w:b w:val="0"/>
                <w:sz w:val="19"/>
              </w:rPr>
              <w:t>Cancellations and no-shows appear</w:t>
            </w:r>
          </w:p>
        </w:tc>
        <w:tc>
          <w:tcPr>
            <w:tcW w:type="dxa" w:w="5760"/>
          </w:tcPr>
          <w:p>
            <w:pPr>
              <w:spacing w:after="40" w:before="40"/>
            </w:pPr>
            <w:r/>
            <w:r>
              <w:rPr>
                <w:b w:val="0"/>
                <w:sz w:val="19"/>
              </w:rPr>
              <w:t>They are shown on the statement and charged only as the service agreement allows.</w:t>
            </w:r>
          </w:p>
        </w:tc>
        <w:tc>
          <w:tcPr>
            <w:tcW w:type="dxa" w:w="1368"/>
          </w:tcPr>
          <w:p>
            <w:pPr>
              <w:spacing w:after="40" w:before="40"/>
            </w:pPr>
            <w:r/>
            <w:r>
              <w:rPr>
                <w:b w:val="0"/>
                <w:sz w:val="19"/>
              </w:rPr>
            </w:r>
          </w:p>
        </w:tc>
      </w:tr>
      <w:tr>
        <w:tc>
          <w:tcPr>
            <w:tcW w:type="dxa" w:w="2736"/>
          </w:tcPr>
          <w:p>
            <w:pPr>
              <w:spacing w:after="40" w:before="40"/>
            </w:pPr>
            <w:r/>
            <w:r>
              <w:rPr>
                <w:b w:val="0"/>
                <w:sz w:val="19"/>
              </w:rPr>
              <w:t>Units and hours agree</w:t>
            </w:r>
          </w:p>
        </w:tc>
        <w:tc>
          <w:tcPr>
            <w:tcW w:type="dxa" w:w="5760"/>
          </w:tcPr>
          <w:p>
            <w:pPr>
              <w:spacing w:after="40" w:before="40"/>
            </w:pPr>
            <w:r/>
            <w:r>
              <w:rPr>
                <w:b w:val="0"/>
                <w:sz w:val="19"/>
              </w:rPr>
              <w:t>Hours or units on each line equal what was delivered, not what was rostered.</w:t>
            </w:r>
          </w:p>
        </w:tc>
        <w:tc>
          <w:tcPr>
            <w:tcW w:type="dxa" w:w="1368"/>
          </w:tcPr>
          <w:p>
            <w:pPr>
              <w:spacing w:after="40" w:before="40"/>
            </w:pPr>
            <w:r/>
            <w:r>
              <w:rPr>
                <w:b w:val="0"/>
                <w:sz w:val="19"/>
              </w:rPr>
            </w:r>
          </w:p>
        </w:tc>
      </w:tr>
      <w:tr>
        <w:tc>
          <w:tcPr>
            <w:tcW w:type="dxa" w:w="2736"/>
          </w:tcPr>
          <w:p>
            <w:pPr>
              <w:spacing w:after="40" w:before="40"/>
            </w:pPr>
            <w:r/>
            <w:r>
              <w:rPr>
                <w:b w:val="0"/>
                <w:sz w:val="19"/>
              </w:rPr>
              <w:t>Third-party delivery is identified</w:t>
            </w:r>
          </w:p>
        </w:tc>
        <w:tc>
          <w:tcPr>
            <w:tcW w:type="dxa" w:w="5760"/>
          </w:tcPr>
          <w:p>
            <w:pPr>
              <w:spacing w:after="40" w:before="40"/>
            </w:pPr>
            <w:r/>
            <w:r>
              <w:rPr>
                <w:b w:val="0"/>
                <w:sz w:val="19"/>
              </w:rPr>
              <w:t>Where a third-party supplier delivered the service, the statement says so and the supplier invoice is on file.</w:t>
            </w:r>
          </w:p>
        </w:tc>
        <w:tc>
          <w:tcPr>
            <w:tcW w:type="dxa" w:w="1368"/>
          </w:tcPr>
          <w:p>
            <w:pPr>
              <w:spacing w:after="40" w:before="40"/>
            </w:pPr>
            <w:r/>
            <w:r>
              <w:rPr>
                <w:b w:val="0"/>
                <w:sz w:val="19"/>
              </w:rPr>
            </w:r>
          </w:p>
        </w:tc>
      </w:tr>
      <w:tr>
        <w:tc>
          <w:tcPr>
            <w:tcW w:type="dxa" w:w="2736"/>
          </w:tcPr>
          <w:p>
            <w:pPr>
              <w:spacing w:after="40" w:before="40"/>
            </w:pPr>
            <w:r/>
            <w:r>
              <w:rPr>
                <w:b w:val="0"/>
                <w:sz w:val="19"/>
              </w:rPr>
              <w:t>Delivery date shown on each line</w:t>
            </w:r>
          </w:p>
        </w:tc>
        <w:tc>
          <w:tcPr>
            <w:tcW w:type="dxa" w:w="5760"/>
          </w:tcPr>
          <w:p>
            <w:pPr>
              <w:spacing w:after="40" w:before="40"/>
            </w:pPr>
            <w:r/>
            <w:r>
              <w:rPr>
                <w:b w:val="0"/>
                <w:sz w:val="19"/>
              </w:rPr>
              <w:t>Every line carries its delivery date so the participant can check it against their diary.</w:t>
            </w:r>
          </w:p>
        </w:tc>
        <w:tc>
          <w:tcPr>
            <w:tcW w:type="dxa" w:w="1368"/>
          </w:tcPr>
          <w:p>
            <w:pPr>
              <w:spacing w:after="40" w:before="40"/>
            </w:pPr>
            <w:r/>
            <w:r>
              <w:rPr>
                <w:b w:val="0"/>
                <w:sz w:val="19"/>
              </w:rPr>
            </w:r>
          </w:p>
        </w:tc>
      </w:tr>
    </w:tbl>
    <w:p>
      <w:pPr>
        <w:spacing w:before="180" w:after="80"/>
      </w:pPr>
      <w:r>
        <w:rPr>
          <w:b/>
          <w:sz w:val="22"/>
        </w:rPr>
        <w:t>5.3 Part C - Pricing accuracy and all-inclusive pricing</w:t>
      </w:r>
    </w:p>
    <w:tbl>
      <w:tblPr>
        <w:tblStyle w:val="TableGrid"/>
        <w:tblW w:type="auto" w:w="0"/>
        <w:jc w:val="left"/>
        <w:tblLook w:firstColumn="1" w:firstRow="1" w:lastColumn="0" w:lastRow="0" w:noHBand="0" w:noVBand="1" w:val="04A0"/>
      </w:tblPr>
      <w:tblGrid>
        <w:gridCol w:w="3216"/>
        <w:gridCol w:w="3216"/>
        <w:gridCol w:w="3216"/>
      </w:tblGrid>
      <w:tr>
        <w:tc>
          <w:tcPr>
            <w:tcW w:type="dxa" w:w="2736"/>
            <w:shd w:val="clear" w:color="auto" w:fill="D9E2F3"/>
          </w:tcPr>
          <w:p>
            <w:pPr>
              <w:spacing w:after="40" w:before="40"/>
            </w:pPr>
            <w:r/>
            <w:r>
              <w:rPr>
                <w:b/>
                <w:sz w:val="19"/>
              </w:rPr>
              <w:t>Check</w:t>
            </w:r>
          </w:p>
        </w:tc>
        <w:tc>
          <w:tcPr>
            <w:tcW w:type="dxa" w:w="5760"/>
            <w:shd w:val="clear" w:color="auto" w:fill="D9E2F3"/>
          </w:tcPr>
          <w:p>
            <w:pPr>
              <w:spacing w:after="40" w:before="40"/>
            </w:pPr>
            <w:r/>
            <w:r>
              <w:rPr>
                <w:b/>
                <w:sz w:val="19"/>
              </w:rPr>
              <w:t>What good looks like</w:t>
            </w:r>
          </w:p>
        </w:tc>
        <w:tc>
          <w:tcPr>
            <w:tcW w:type="dxa" w:w="1368"/>
            <w:shd w:val="clear" w:color="auto" w:fill="D9E2F3"/>
          </w:tcPr>
          <w:p>
            <w:pPr>
              <w:spacing w:after="40" w:before="40"/>
            </w:pPr>
            <w:r/>
            <w:r>
              <w:rPr>
                <w:b/>
                <w:sz w:val="19"/>
              </w:rPr>
              <w:t>Complete (Y/N)</w:t>
            </w:r>
          </w:p>
        </w:tc>
      </w:tr>
      <w:tr>
        <w:tc>
          <w:tcPr>
            <w:tcW w:type="dxa" w:w="2736"/>
          </w:tcPr>
          <w:p>
            <w:pPr>
              <w:spacing w:after="40" w:before="40"/>
            </w:pPr>
            <w:r/>
            <w:r>
              <w:rPr>
                <w:b w:val="0"/>
                <w:sz w:val="19"/>
              </w:rPr>
              <w:t>Price matches the published price</w:t>
            </w:r>
          </w:p>
        </w:tc>
        <w:tc>
          <w:tcPr>
            <w:tcW w:type="dxa" w:w="5760"/>
          </w:tcPr>
          <w:p>
            <w:pPr>
              <w:spacing w:after="40" w:before="40"/>
            </w:pPr>
            <w:r/>
            <w:r>
              <w:rPr>
                <w:b w:val="0"/>
                <w:sz w:val="19"/>
              </w:rPr>
              <w:t>Each line equals the price [Organisation Name] publishes for that service on My Aged Care and its own website.</w:t>
            </w:r>
          </w:p>
        </w:tc>
        <w:tc>
          <w:tcPr>
            <w:tcW w:type="dxa" w:w="1368"/>
          </w:tcPr>
          <w:p>
            <w:pPr>
              <w:spacing w:after="40" w:before="40"/>
            </w:pPr>
            <w:r/>
            <w:r>
              <w:rPr>
                <w:b w:val="0"/>
                <w:sz w:val="19"/>
              </w:rPr>
            </w:r>
          </w:p>
        </w:tc>
      </w:tr>
      <w:tr>
        <w:tc>
          <w:tcPr>
            <w:tcW w:type="dxa" w:w="2736"/>
          </w:tcPr>
          <w:p>
            <w:pPr>
              <w:spacing w:after="40" w:before="40"/>
            </w:pPr>
            <w:r/>
            <w:r>
              <w:rPr>
                <w:b w:val="0"/>
                <w:sz w:val="19"/>
              </w:rPr>
              <w:t>No separate travel or administration charge</w:t>
            </w:r>
          </w:p>
        </w:tc>
        <w:tc>
          <w:tcPr>
            <w:tcW w:type="dxa" w:w="5760"/>
          </w:tcPr>
          <w:p>
            <w:pPr>
              <w:spacing w:after="40" w:before="40"/>
            </w:pPr>
            <w:r/>
            <w:r>
              <w:rPr>
                <w:b w:val="0"/>
                <w:sz w:val="19"/>
              </w:rPr>
              <w:t>No separate line for travel, administration, record keeping or other delivery costs. Those already sit inside the published price.</w:t>
            </w:r>
          </w:p>
        </w:tc>
        <w:tc>
          <w:tcPr>
            <w:tcW w:type="dxa" w:w="1368"/>
          </w:tcPr>
          <w:p>
            <w:pPr>
              <w:spacing w:after="40" w:before="40"/>
            </w:pPr>
            <w:r/>
            <w:r>
              <w:rPr>
                <w:b w:val="0"/>
                <w:sz w:val="19"/>
              </w:rPr>
            </w:r>
          </w:p>
        </w:tc>
      </w:tr>
      <w:tr>
        <w:tc>
          <w:tcPr>
            <w:tcW w:type="dxa" w:w="2736"/>
          </w:tcPr>
          <w:p>
            <w:pPr>
              <w:spacing w:after="40" w:before="40"/>
            </w:pPr>
            <w:r/>
            <w:r>
              <w:rPr>
                <w:b w:val="0"/>
                <w:sz w:val="19"/>
              </w:rPr>
              <w:t>Price changes applied from the right date</w:t>
            </w:r>
          </w:p>
        </w:tc>
        <w:tc>
          <w:tcPr>
            <w:tcW w:type="dxa" w:w="5760"/>
          </w:tcPr>
          <w:p>
            <w:pPr>
              <w:spacing w:after="40" w:before="40"/>
            </w:pPr>
            <w:r/>
            <w:r>
              <w:rPr>
                <w:b w:val="0"/>
                <w:sz w:val="19"/>
              </w:rPr>
              <w:t>A revised published price applies only to services delivered on or after its effective date.</w:t>
            </w:r>
          </w:p>
        </w:tc>
        <w:tc>
          <w:tcPr>
            <w:tcW w:type="dxa" w:w="1368"/>
          </w:tcPr>
          <w:p>
            <w:pPr>
              <w:spacing w:after="40" w:before="40"/>
            </w:pPr>
            <w:r/>
            <w:r>
              <w:rPr>
                <w:b w:val="0"/>
                <w:sz w:val="19"/>
              </w:rPr>
            </w:r>
          </w:p>
        </w:tc>
      </w:tr>
      <w:tr>
        <w:tc>
          <w:tcPr>
            <w:tcW w:type="dxa" w:w="2736"/>
          </w:tcPr>
          <w:p>
            <w:pPr>
              <w:spacing w:after="40" w:before="40"/>
            </w:pPr>
            <w:r/>
            <w:r>
              <w:rPr>
                <w:b w:val="0"/>
                <w:sz w:val="19"/>
              </w:rPr>
              <w:t>Rate category is correct</w:t>
            </w:r>
          </w:p>
        </w:tc>
        <w:tc>
          <w:tcPr>
            <w:tcW w:type="dxa" w:w="5760"/>
          </w:tcPr>
          <w:p>
            <w:pPr>
              <w:spacing w:after="40" w:before="40"/>
            </w:pPr>
            <w:r/>
            <w:r>
              <w:rPr>
                <w:b w:val="0"/>
                <w:sz w:val="19"/>
              </w:rPr>
              <w:t>Weekday, evening, weekend and public holiday rates match the delivery time and the published price list.</w:t>
            </w:r>
          </w:p>
        </w:tc>
        <w:tc>
          <w:tcPr>
            <w:tcW w:type="dxa" w:w="1368"/>
          </w:tcPr>
          <w:p>
            <w:pPr>
              <w:spacing w:after="40" w:before="40"/>
            </w:pPr>
            <w:r/>
            <w:r>
              <w:rPr>
                <w:b w:val="0"/>
                <w:sz w:val="19"/>
              </w:rPr>
            </w:r>
          </w:p>
        </w:tc>
      </w:tr>
      <w:tr>
        <w:tc>
          <w:tcPr>
            <w:tcW w:type="dxa" w:w="2736"/>
          </w:tcPr>
          <w:p>
            <w:pPr>
              <w:spacing w:after="40" w:before="40"/>
            </w:pPr>
            <w:r/>
            <w:r>
              <w:rPr>
                <w:b w:val="0"/>
                <w:sz w:val="19"/>
              </w:rPr>
              <w:t>AT-HM items match quote and invoice</w:t>
            </w:r>
          </w:p>
        </w:tc>
        <w:tc>
          <w:tcPr>
            <w:tcW w:type="dxa" w:w="5760"/>
          </w:tcPr>
          <w:p>
            <w:pPr>
              <w:spacing w:after="40" w:before="40"/>
            </w:pPr>
            <w:r/>
            <w:r>
              <w:rPr>
                <w:b w:val="0"/>
                <w:sz w:val="19"/>
              </w:rPr>
              <w:t>Assistive technology and home modification items match the accepted quote and supplier invoice on file.</w:t>
            </w:r>
          </w:p>
        </w:tc>
        <w:tc>
          <w:tcPr>
            <w:tcW w:type="dxa" w:w="1368"/>
          </w:tcPr>
          <w:p>
            <w:pPr>
              <w:spacing w:after="40" w:before="40"/>
            </w:pPr>
            <w:r/>
            <w:r>
              <w:rPr>
                <w:b w:val="0"/>
                <w:sz w:val="19"/>
              </w:rPr>
            </w:r>
          </w:p>
        </w:tc>
      </w:tr>
      <w:tr>
        <w:tc>
          <w:tcPr>
            <w:tcW w:type="dxa" w:w="2736"/>
          </w:tcPr>
          <w:p>
            <w:pPr>
              <w:spacing w:after="40" w:before="40"/>
            </w:pPr>
            <w:r/>
            <w:r>
              <w:rPr>
                <w:b w:val="0"/>
                <w:sz w:val="19"/>
              </w:rPr>
              <w:t>Pricing is defensible on request</w:t>
            </w:r>
          </w:p>
        </w:tc>
        <w:tc>
          <w:tcPr>
            <w:tcW w:type="dxa" w:w="5760"/>
          </w:tcPr>
          <w:p>
            <w:pPr>
              <w:spacing w:after="40" w:before="40"/>
            </w:pPr>
            <w:r/>
            <w:r>
              <w:rPr>
                <w:b w:val="0"/>
                <w:sz w:val="19"/>
              </w:rPr>
              <w:t>The reviewer can produce the published price list current on the delivery date.</w:t>
            </w:r>
          </w:p>
        </w:tc>
        <w:tc>
          <w:tcPr>
            <w:tcW w:type="dxa" w:w="1368"/>
          </w:tcPr>
          <w:p>
            <w:pPr>
              <w:spacing w:after="40" w:before="40"/>
            </w:pPr>
            <w:r/>
            <w:r>
              <w:rPr>
                <w:b w:val="0"/>
                <w:sz w:val="19"/>
              </w:rPr>
            </w:r>
          </w:p>
        </w:tc>
      </w:tr>
    </w:tbl>
    <w:p>
      <w:pPr>
        <w:spacing w:before="180" w:after="80"/>
      </w:pPr>
      <w:r>
        <w:rPr>
          <w:b/>
          <w:sz w:val="22"/>
        </w:rPr>
        <w:t>5.4 Part D - Participant contributions</w:t>
      </w:r>
    </w:p>
    <w:tbl>
      <w:tblPr>
        <w:tblStyle w:val="TableGrid"/>
        <w:tblW w:type="auto" w:w="0"/>
        <w:jc w:val="left"/>
        <w:tblLook w:firstColumn="1" w:firstRow="1" w:lastColumn="0" w:lastRow="0" w:noHBand="0" w:noVBand="1" w:val="04A0"/>
      </w:tblPr>
      <w:tblGrid>
        <w:gridCol w:w="3216"/>
        <w:gridCol w:w="3216"/>
        <w:gridCol w:w="3216"/>
      </w:tblGrid>
      <w:tr>
        <w:tc>
          <w:tcPr>
            <w:tcW w:type="dxa" w:w="2736"/>
            <w:shd w:val="clear" w:color="auto" w:fill="D9E2F3"/>
          </w:tcPr>
          <w:p>
            <w:pPr>
              <w:spacing w:after="40" w:before="40"/>
            </w:pPr>
            <w:r/>
            <w:r>
              <w:rPr>
                <w:b/>
                <w:sz w:val="19"/>
              </w:rPr>
              <w:t>Check</w:t>
            </w:r>
          </w:p>
        </w:tc>
        <w:tc>
          <w:tcPr>
            <w:tcW w:type="dxa" w:w="5760"/>
            <w:shd w:val="clear" w:color="auto" w:fill="D9E2F3"/>
          </w:tcPr>
          <w:p>
            <w:pPr>
              <w:spacing w:after="40" w:before="40"/>
            </w:pPr>
            <w:r/>
            <w:r>
              <w:rPr>
                <w:b/>
                <w:sz w:val="19"/>
              </w:rPr>
              <w:t>What good looks like</w:t>
            </w:r>
          </w:p>
        </w:tc>
        <w:tc>
          <w:tcPr>
            <w:tcW w:type="dxa" w:w="1368"/>
            <w:shd w:val="clear" w:color="auto" w:fill="D9E2F3"/>
          </w:tcPr>
          <w:p>
            <w:pPr>
              <w:spacing w:after="40" w:before="40"/>
            </w:pPr>
            <w:r/>
            <w:r>
              <w:rPr>
                <w:b/>
                <w:sz w:val="19"/>
              </w:rPr>
              <w:t>Complete (Y/N)</w:t>
            </w:r>
          </w:p>
        </w:tc>
      </w:tr>
      <w:tr>
        <w:tc>
          <w:tcPr>
            <w:tcW w:type="dxa" w:w="2736"/>
          </w:tcPr>
          <w:p>
            <w:pPr>
              <w:spacing w:after="40" w:before="40"/>
            </w:pPr>
            <w:r/>
            <w:r>
              <w:rPr>
                <w:b w:val="0"/>
                <w:sz w:val="19"/>
              </w:rPr>
              <w:t>Clinical Support services show no contribution</w:t>
            </w:r>
          </w:p>
        </w:tc>
        <w:tc>
          <w:tcPr>
            <w:tcW w:type="dxa" w:w="5760"/>
          </w:tcPr>
          <w:p>
            <w:pPr>
              <w:spacing w:after="40" w:before="40"/>
            </w:pPr>
            <w:r/>
            <w:r>
              <w:rPr>
                <w:b w:val="0"/>
                <w:sz w:val="19"/>
              </w:rPr>
              <w:t>The Government fully funds Clinical Support services, so the contribution on those lines is zero.</w:t>
            </w:r>
          </w:p>
        </w:tc>
        <w:tc>
          <w:tcPr>
            <w:tcW w:type="dxa" w:w="1368"/>
          </w:tcPr>
          <w:p>
            <w:pPr>
              <w:spacing w:after="40" w:before="40"/>
            </w:pPr>
            <w:r/>
            <w:r>
              <w:rPr>
                <w:b w:val="0"/>
                <w:sz w:val="19"/>
              </w:rPr>
            </w:r>
          </w:p>
        </w:tc>
      </w:tr>
      <w:tr>
        <w:tc>
          <w:tcPr>
            <w:tcW w:type="dxa" w:w="2736"/>
          </w:tcPr>
          <w:p>
            <w:pPr>
              <w:spacing w:after="40" w:before="40"/>
            </w:pPr>
            <w:r/>
            <w:r>
              <w:rPr>
                <w:b w:val="0"/>
                <w:sz w:val="19"/>
              </w:rPr>
              <w:t>Contribution rate matches the assessment</w:t>
            </w:r>
          </w:p>
        </w:tc>
        <w:tc>
          <w:tcPr>
            <w:tcW w:type="dxa" w:w="5760"/>
          </w:tcPr>
          <w:p>
            <w:pPr>
              <w:spacing w:after="40" w:before="40"/>
            </w:pPr>
            <w:r/>
            <w:r>
              <w:rPr>
                <w:b w:val="0"/>
                <w:sz w:val="19"/>
              </w:rPr>
              <w:t>The rate on Independence and Everyday Living services matches the current Services Australia income and assets assessment on file.</w:t>
            </w:r>
          </w:p>
        </w:tc>
        <w:tc>
          <w:tcPr>
            <w:tcW w:type="dxa" w:w="1368"/>
          </w:tcPr>
          <w:p>
            <w:pPr>
              <w:spacing w:after="40" w:before="40"/>
            </w:pPr>
            <w:r/>
            <w:r>
              <w:rPr>
                <w:b w:val="0"/>
                <w:sz w:val="19"/>
              </w:rPr>
            </w:r>
          </w:p>
        </w:tc>
      </w:tr>
      <w:tr>
        <w:tc>
          <w:tcPr>
            <w:tcW w:type="dxa" w:w="2736"/>
          </w:tcPr>
          <w:p>
            <w:pPr>
              <w:spacing w:after="40" w:before="40"/>
            </w:pPr>
            <w:r/>
            <w:r>
              <w:rPr>
                <w:b w:val="0"/>
                <w:sz w:val="19"/>
              </w:rPr>
              <w:t>No worse off arrangements honoured</w:t>
            </w:r>
          </w:p>
        </w:tc>
        <w:tc>
          <w:tcPr>
            <w:tcW w:type="dxa" w:w="5760"/>
          </w:tcPr>
          <w:p>
            <w:pPr>
              <w:spacing w:after="40" w:before="40"/>
            </w:pPr>
            <w:r/>
            <w:r>
              <w:rPr>
                <w:b w:val="0"/>
                <w:sz w:val="19"/>
              </w:rPr>
              <w:t>A participant receiving or approved for a Home Care Package on or before 12 September 2024, and not liable for an income-tested care fee, pays no contribution for services on the service list.</w:t>
            </w:r>
          </w:p>
        </w:tc>
        <w:tc>
          <w:tcPr>
            <w:tcW w:type="dxa" w:w="1368"/>
          </w:tcPr>
          <w:p>
            <w:pPr>
              <w:spacing w:after="40" w:before="40"/>
            </w:pPr>
            <w:r/>
            <w:r>
              <w:rPr>
                <w:b w:val="0"/>
                <w:sz w:val="19"/>
              </w:rPr>
            </w:r>
          </w:p>
        </w:tc>
      </w:tr>
      <w:tr>
        <w:tc>
          <w:tcPr>
            <w:tcW w:type="dxa" w:w="2736"/>
          </w:tcPr>
          <w:p>
            <w:pPr>
              <w:spacing w:after="40" w:before="40"/>
            </w:pPr>
            <w:r/>
            <w:r>
              <w:rPr>
                <w:b w:val="0"/>
                <w:sz w:val="19"/>
              </w:rPr>
              <w:t>Subsidy and contribution split per line</w:t>
            </w:r>
          </w:p>
        </w:tc>
        <w:tc>
          <w:tcPr>
            <w:tcW w:type="dxa" w:w="5760"/>
          </w:tcPr>
          <w:p>
            <w:pPr>
              <w:spacing w:after="40" w:before="40"/>
            </w:pPr>
            <w:r/>
            <w:r>
              <w:rPr>
                <w:b w:val="0"/>
                <w:sz w:val="19"/>
              </w:rPr>
              <w:t>Each line separately shows the government subsidy and the participant contribution.</w:t>
            </w:r>
          </w:p>
        </w:tc>
        <w:tc>
          <w:tcPr>
            <w:tcW w:type="dxa" w:w="1368"/>
          </w:tcPr>
          <w:p>
            <w:pPr>
              <w:spacing w:after="40" w:before="40"/>
            </w:pPr>
            <w:r/>
            <w:r>
              <w:rPr>
                <w:b w:val="0"/>
                <w:sz w:val="19"/>
              </w:rPr>
            </w:r>
          </w:p>
        </w:tc>
      </w:tr>
      <w:tr>
        <w:tc>
          <w:tcPr>
            <w:tcW w:type="dxa" w:w="2736"/>
          </w:tcPr>
          <w:p>
            <w:pPr>
              <w:spacing w:after="40" w:before="40"/>
            </w:pPr>
            <w:r/>
            <w:r>
              <w:rPr>
                <w:b w:val="0"/>
                <w:sz w:val="19"/>
              </w:rPr>
              <w:t>Total contributions reconcile</w:t>
            </w:r>
          </w:p>
        </w:tc>
        <w:tc>
          <w:tcPr>
            <w:tcW w:type="dxa" w:w="5760"/>
          </w:tcPr>
          <w:p>
            <w:pPr>
              <w:spacing w:after="40" w:before="40"/>
            </w:pPr>
            <w:r/>
            <w:r>
              <w:rPr>
                <w:b w:val="0"/>
                <w:sz w:val="19"/>
              </w:rPr>
              <w:t>Monthly contributions equal the sum of the per-line amounts and the amount invoiced.</w:t>
            </w:r>
          </w:p>
        </w:tc>
        <w:tc>
          <w:tcPr>
            <w:tcW w:type="dxa" w:w="1368"/>
          </w:tcPr>
          <w:p>
            <w:pPr>
              <w:spacing w:after="40" w:before="40"/>
            </w:pPr>
            <w:r/>
            <w:r>
              <w:rPr>
                <w:b w:val="0"/>
                <w:sz w:val="19"/>
              </w:rPr>
            </w:r>
          </w:p>
        </w:tc>
      </w:tr>
    </w:tbl>
    <w:p>
      <w:pPr>
        <w:spacing w:before="180" w:after="80"/>
      </w:pPr>
      <w:r>
        <w:rPr>
          <w:b/>
          <w:sz w:val="22"/>
        </w:rPr>
        <w:t>5.5 Part E - Care management charges</w:t>
      </w:r>
    </w:p>
    <w:tbl>
      <w:tblPr>
        <w:tblStyle w:val="TableGrid"/>
        <w:tblW w:type="auto" w:w="0"/>
        <w:jc w:val="left"/>
        <w:tblLook w:firstColumn="1" w:firstRow="1" w:lastColumn="0" w:lastRow="0" w:noHBand="0" w:noVBand="1" w:val="04A0"/>
      </w:tblPr>
      <w:tblGrid>
        <w:gridCol w:w="3216"/>
        <w:gridCol w:w="3216"/>
        <w:gridCol w:w="3216"/>
      </w:tblGrid>
      <w:tr>
        <w:tc>
          <w:tcPr>
            <w:tcW w:type="dxa" w:w="2736"/>
            <w:shd w:val="clear" w:color="auto" w:fill="D9E2F3"/>
          </w:tcPr>
          <w:p>
            <w:pPr>
              <w:spacing w:after="40" w:before="40"/>
            </w:pPr>
            <w:r/>
            <w:r>
              <w:rPr>
                <w:b/>
                <w:sz w:val="19"/>
              </w:rPr>
              <w:t>Check</w:t>
            </w:r>
          </w:p>
        </w:tc>
        <w:tc>
          <w:tcPr>
            <w:tcW w:type="dxa" w:w="5760"/>
            <w:shd w:val="clear" w:color="auto" w:fill="D9E2F3"/>
          </w:tcPr>
          <w:p>
            <w:pPr>
              <w:spacing w:after="40" w:before="40"/>
            </w:pPr>
            <w:r/>
            <w:r>
              <w:rPr>
                <w:b/>
                <w:sz w:val="19"/>
              </w:rPr>
              <w:t>What good looks like</w:t>
            </w:r>
          </w:p>
        </w:tc>
        <w:tc>
          <w:tcPr>
            <w:tcW w:type="dxa" w:w="1368"/>
            <w:shd w:val="clear" w:color="auto" w:fill="D9E2F3"/>
          </w:tcPr>
          <w:p>
            <w:pPr>
              <w:spacing w:after="40" w:before="40"/>
            </w:pPr>
            <w:r/>
            <w:r>
              <w:rPr>
                <w:b/>
                <w:sz w:val="19"/>
              </w:rPr>
              <w:t>Complete (Y/N)</w:t>
            </w:r>
          </w:p>
        </w:tc>
      </w:tr>
      <w:tr>
        <w:tc>
          <w:tcPr>
            <w:tcW w:type="dxa" w:w="2736"/>
          </w:tcPr>
          <w:p>
            <w:pPr>
              <w:spacing w:after="40" w:before="40"/>
            </w:pPr>
            <w:r/>
            <w:r>
              <w:rPr>
                <w:b w:val="0"/>
                <w:sz w:val="19"/>
              </w:rPr>
              <w:t>Care management volume is shown</w:t>
            </w:r>
          </w:p>
        </w:tc>
        <w:tc>
          <w:tcPr>
            <w:tcW w:type="dxa" w:w="5760"/>
          </w:tcPr>
          <w:p>
            <w:pPr>
              <w:spacing w:after="40" w:before="40"/>
            </w:pPr>
            <w:r/>
            <w:r>
              <w:rPr>
                <w:b w:val="0"/>
                <w:sz w:val="19"/>
              </w:rPr>
              <w:t>For ongoing participants, the statement shows total units or hours of care management delivered.</w:t>
            </w:r>
          </w:p>
        </w:tc>
        <w:tc>
          <w:tcPr>
            <w:tcW w:type="dxa" w:w="1368"/>
          </w:tcPr>
          <w:p>
            <w:pPr>
              <w:spacing w:after="40" w:before="40"/>
            </w:pPr>
            <w:r/>
            <w:r>
              <w:rPr>
                <w:b w:val="0"/>
                <w:sz w:val="19"/>
              </w:rPr>
            </w:r>
          </w:p>
        </w:tc>
      </w:tr>
      <w:tr>
        <w:tc>
          <w:tcPr>
            <w:tcW w:type="dxa" w:w="2736"/>
          </w:tcPr>
          <w:p>
            <w:pPr>
              <w:spacing w:after="40" w:before="40"/>
            </w:pPr>
            <w:r/>
            <w:r>
              <w:rPr>
                <w:b w:val="0"/>
                <w:sz w:val="19"/>
              </w:rPr>
              <w:t>Charged to the pooled account</w:t>
            </w:r>
          </w:p>
        </w:tc>
        <w:tc>
          <w:tcPr>
            <w:tcW w:type="dxa" w:w="5760"/>
          </w:tcPr>
          <w:p>
            <w:pPr>
              <w:spacing w:after="40" w:before="40"/>
            </w:pPr>
            <w:r/>
            <w:r>
              <w:rPr>
                <w:b w:val="0"/>
                <w:sz w:val="19"/>
              </w:rPr>
              <w:t>Care management is claimed from the pooled account held by Services Australia, not from the participant's service budget lines.</w:t>
            </w:r>
          </w:p>
        </w:tc>
        <w:tc>
          <w:tcPr>
            <w:tcW w:type="dxa" w:w="1368"/>
          </w:tcPr>
          <w:p>
            <w:pPr>
              <w:spacing w:after="40" w:before="40"/>
            </w:pPr>
            <w:r/>
            <w:r>
              <w:rPr>
                <w:b w:val="0"/>
                <w:sz w:val="19"/>
              </w:rPr>
            </w:r>
          </w:p>
        </w:tc>
      </w:tr>
      <w:tr>
        <w:tc>
          <w:tcPr>
            <w:tcW w:type="dxa" w:w="2736"/>
          </w:tcPr>
          <w:p>
            <w:pPr>
              <w:spacing w:after="40" w:before="40"/>
            </w:pPr>
            <w:r/>
            <w:r>
              <w:rPr>
                <w:b w:val="0"/>
                <w:sz w:val="19"/>
              </w:rPr>
              <w:t>Pathway care management detailed</w:t>
            </w:r>
          </w:p>
        </w:tc>
        <w:tc>
          <w:tcPr>
            <w:tcW w:type="dxa" w:w="5760"/>
          </w:tcPr>
          <w:p>
            <w:pPr>
              <w:spacing w:after="40" w:before="40"/>
            </w:pPr>
            <w:r/>
            <w:r>
              <w:rPr>
                <w:b w:val="0"/>
                <w:sz w:val="19"/>
              </w:rPr>
              <w:t>For Restorative Care and End-of-Life Pathway participants, it shows care management units or hours, price, and government subsidy.</w:t>
            </w:r>
          </w:p>
        </w:tc>
        <w:tc>
          <w:tcPr>
            <w:tcW w:type="dxa" w:w="1368"/>
          </w:tcPr>
          <w:p>
            <w:pPr>
              <w:spacing w:after="40" w:before="40"/>
            </w:pPr>
            <w:r/>
            <w:r>
              <w:rPr>
                <w:b w:val="0"/>
                <w:sz w:val="19"/>
              </w:rPr>
            </w:r>
          </w:p>
        </w:tc>
      </w:tr>
      <w:tr>
        <w:tc>
          <w:tcPr>
            <w:tcW w:type="dxa" w:w="2736"/>
          </w:tcPr>
          <w:p>
            <w:pPr>
              <w:spacing w:after="40" w:before="40"/>
            </w:pPr>
            <w:r/>
            <w:r>
              <w:rPr>
                <w:b w:val="0"/>
                <w:sz w:val="19"/>
              </w:rPr>
              <w:t>Each unit has a dated record</w:t>
            </w:r>
          </w:p>
        </w:tc>
        <w:tc>
          <w:tcPr>
            <w:tcW w:type="dxa" w:w="5760"/>
          </w:tcPr>
          <w:p>
            <w:pPr>
              <w:spacing w:after="40" w:before="40"/>
            </w:pPr>
            <w:r/>
            <w:r>
              <w:rPr>
                <w:b w:val="0"/>
                <w:sz w:val="19"/>
              </w:rPr>
              <w:t>Every claimed care management unit matches a dated care partner record, such as a care plan review, a coordination call, or a risk follow up.</w:t>
            </w:r>
          </w:p>
        </w:tc>
        <w:tc>
          <w:tcPr>
            <w:tcW w:type="dxa" w:w="1368"/>
          </w:tcPr>
          <w:p>
            <w:pPr>
              <w:spacing w:after="40" w:before="40"/>
            </w:pPr>
            <w:r/>
            <w:r>
              <w:rPr>
                <w:b w:val="0"/>
                <w:sz w:val="19"/>
              </w:rPr>
            </w:r>
          </w:p>
        </w:tc>
      </w:tr>
      <w:tr>
        <w:tc>
          <w:tcPr>
            <w:tcW w:type="dxa" w:w="2736"/>
          </w:tcPr>
          <w:p>
            <w:pPr>
              <w:spacing w:after="40" w:before="40"/>
            </w:pPr>
            <w:r/>
            <w:r>
              <w:rPr>
                <w:b w:val="0"/>
                <w:sz w:val="19"/>
              </w:rPr>
              <w:t>No double counting</w:t>
            </w:r>
          </w:p>
        </w:tc>
        <w:tc>
          <w:tcPr>
            <w:tcW w:type="dxa" w:w="5760"/>
          </w:tcPr>
          <w:p>
            <w:pPr>
              <w:spacing w:after="40" w:before="40"/>
            </w:pPr>
            <w:r/>
            <w:r>
              <w:rPr>
                <w:b w:val="0"/>
                <w:sz w:val="19"/>
              </w:rPr>
              <w:t>Time charged as a direct service does not reappear as care management.</w:t>
            </w:r>
          </w:p>
        </w:tc>
        <w:tc>
          <w:tcPr>
            <w:tcW w:type="dxa" w:w="1368"/>
          </w:tcPr>
          <w:p>
            <w:pPr>
              <w:spacing w:after="40" w:before="40"/>
            </w:pPr>
            <w:r/>
            <w:r>
              <w:rPr>
                <w:b w:val="0"/>
                <w:sz w:val="19"/>
              </w:rPr>
            </w:r>
          </w:p>
        </w:tc>
      </w:tr>
    </w:tbl>
    <w:p>
      <w:pPr>
        <w:spacing w:before="180" w:after="80"/>
      </w:pPr>
      <w:r>
        <w:rPr>
          <w:b/>
          <w:sz w:val="22"/>
        </w:rPr>
        <w:t>5.6 Part F - Balances, carryover and retained Home Care Package funds</w:t>
      </w:r>
    </w:p>
    <w:tbl>
      <w:tblPr>
        <w:tblStyle w:val="TableGrid"/>
        <w:tblW w:type="auto" w:w="0"/>
        <w:jc w:val="left"/>
        <w:tblLook w:firstColumn="1" w:firstRow="1" w:lastColumn="0" w:lastRow="0" w:noHBand="0" w:noVBand="1" w:val="04A0"/>
      </w:tblPr>
      <w:tblGrid>
        <w:gridCol w:w="3216"/>
        <w:gridCol w:w="3216"/>
        <w:gridCol w:w="3216"/>
      </w:tblGrid>
      <w:tr>
        <w:tc>
          <w:tcPr>
            <w:tcW w:type="dxa" w:w="2736"/>
            <w:shd w:val="clear" w:color="auto" w:fill="D9E2F3"/>
          </w:tcPr>
          <w:p>
            <w:pPr>
              <w:spacing w:after="40" w:before="40"/>
            </w:pPr>
            <w:r/>
            <w:r>
              <w:rPr>
                <w:b/>
                <w:sz w:val="19"/>
              </w:rPr>
              <w:t>Check</w:t>
            </w:r>
          </w:p>
        </w:tc>
        <w:tc>
          <w:tcPr>
            <w:tcW w:type="dxa" w:w="5760"/>
            <w:shd w:val="clear" w:color="auto" w:fill="D9E2F3"/>
          </w:tcPr>
          <w:p>
            <w:pPr>
              <w:spacing w:after="40" w:before="40"/>
            </w:pPr>
            <w:r/>
            <w:r>
              <w:rPr>
                <w:b/>
                <w:sz w:val="19"/>
              </w:rPr>
              <w:t>What good looks like</w:t>
            </w:r>
          </w:p>
        </w:tc>
        <w:tc>
          <w:tcPr>
            <w:tcW w:type="dxa" w:w="1368"/>
            <w:shd w:val="clear" w:color="auto" w:fill="D9E2F3"/>
          </w:tcPr>
          <w:p>
            <w:pPr>
              <w:spacing w:after="40" w:before="40"/>
            </w:pPr>
            <w:r/>
            <w:r>
              <w:rPr>
                <w:b/>
                <w:sz w:val="19"/>
              </w:rPr>
              <w:t>Complete (Y/N)</w:t>
            </w:r>
          </w:p>
        </w:tc>
      </w:tr>
      <w:tr>
        <w:tc>
          <w:tcPr>
            <w:tcW w:type="dxa" w:w="2736"/>
          </w:tcPr>
          <w:p>
            <w:pPr>
              <w:spacing w:after="40" w:before="40"/>
            </w:pPr>
            <w:r/>
            <w:r>
              <w:rPr>
                <w:b w:val="0"/>
                <w:sz w:val="19"/>
              </w:rPr>
              <w:t>Opening balance is complete</w:t>
            </w:r>
          </w:p>
        </w:tc>
        <w:tc>
          <w:tcPr>
            <w:tcW w:type="dxa" w:w="5760"/>
          </w:tcPr>
          <w:p>
            <w:pPr>
              <w:spacing w:after="40" w:before="40"/>
            </w:pPr>
            <w:r/>
            <w:r>
              <w:rPr>
                <w:b w:val="0"/>
                <w:sz w:val="19"/>
              </w:rPr>
              <w:t>Opening funds include ongoing funding, pathway funding, AT-HM funding, supplements, retained unspent Home Care Package funds, and unused funds carried from the previous quarter.</w:t>
            </w:r>
          </w:p>
        </w:tc>
        <w:tc>
          <w:tcPr>
            <w:tcW w:type="dxa" w:w="1368"/>
          </w:tcPr>
          <w:p>
            <w:pPr>
              <w:spacing w:after="40" w:before="40"/>
            </w:pPr>
            <w:r/>
            <w:r>
              <w:rPr>
                <w:b w:val="0"/>
                <w:sz w:val="19"/>
              </w:rPr>
            </w:r>
          </w:p>
        </w:tc>
      </w:tr>
      <w:tr>
        <w:tc>
          <w:tcPr>
            <w:tcW w:type="dxa" w:w="2736"/>
          </w:tcPr>
          <w:p>
            <w:pPr>
              <w:spacing w:after="40" w:before="40"/>
            </w:pPr>
            <w:r/>
            <w:r>
              <w:rPr>
                <w:b w:val="0"/>
                <w:sz w:val="19"/>
              </w:rPr>
              <w:t>Carryover is within the allowance</w:t>
            </w:r>
          </w:p>
        </w:tc>
        <w:tc>
          <w:tcPr>
            <w:tcW w:type="dxa" w:w="5760"/>
          </w:tcPr>
          <w:p>
            <w:pPr>
              <w:spacing w:after="40" w:before="40"/>
            </w:pPr>
            <w:r/>
            <w:r>
              <w:rPr>
                <w:b w:val="0"/>
                <w:sz w:val="19"/>
              </w:rPr>
              <w:t>Funds carried between quarters do not exceed $1,000 or 10 per cent of the quarterly budget, whichever is higher, and the higher figure was applied.</w:t>
            </w:r>
          </w:p>
        </w:tc>
        <w:tc>
          <w:tcPr>
            <w:tcW w:type="dxa" w:w="1368"/>
          </w:tcPr>
          <w:p>
            <w:pPr>
              <w:spacing w:after="40" w:before="40"/>
            </w:pPr>
            <w:r/>
            <w:r>
              <w:rPr>
                <w:b w:val="0"/>
                <w:sz w:val="19"/>
              </w:rPr>
            </w:r>
          </w:p>
        </w:tc>
      </w:tr>
      <w:tr>
        <w:tc>
          <w:tcPr>
            <w:tcW w:type="dxa" w:w="2736"/>
          </w:tcPr>
          <w:p>
            <w:pPr>
              <w:spacing w:after="40" w:before="40"/>
            </w:pPr>
            <w:r/>
            <w:r>
              <w:rPr>
                <w:b w:val="0"/>
                <w:sz w:val="19"/>
              </w:rPr>
              <w:t>Closing balance arithmetic holds</w:t>
            </w:r>
          </w:p>
        </w:tc>
        <w:tc>
          <w:tcPr>
            <w:tcW w:type="dxa" w:w="5760"/>
          </w:tcPr>
          <w:p>
            <w:pPr>
              <w:spacing w:after="40" w:before="40"/>
            </w:pPr>
            <w:r/>
            <w:r>
              <w:rPr>
                <w:b w:val="0"/>
                <w:sz w:val="19"/>
              </w:rPr>
              <w:t>Opening balance minus the month's claims equals the printed closing balance.</w:t>
            </w:r>
          </w:p>
        </w:tc>
        <w:tc>
          <w:tcPr>
            <w:tcW w:type="dxa" w:w="1368"/>
          </w:tcPr>
          <w:p>
            <w:pPr>
              <w:spacing w:after="40" w:before="40"/>
            </w:pPr>
            <w:r/>
            <w:r>
              <w:rPr>
                <w:b w:val="0"/>
                <w:sz w:val="19"/>
              </w:rPr>
            </w:r>
          </w:p>
        </w:tc>
      </w:tr>
      <w:tr>
        <w:tc>
          <w:tcPr>
            <w:tcW w:type="dxa" w:w="2736"/>
          </w:tcPr>
          <w:p>
            <w:pPr>
              <w:spacing w:after="40" w:before="40"/>
            </w:pPr>
            <w:r/>
            <w:r>
              <w:rPr>
                <w:b w:val="0"/>
                <w:sz w:val="19"/>
              </w:rPr>
              <w:t>Retained Home Care Package funds kept separate</w:t>
            </w:r>
          </w:p>
        </w:tc>
        <w:tc>
          <w:tcPr>
            <w:tcW w:type="dxa" w:w="5760"/>
          </w:tcPr>
          <w:p>
            <w:pPr>
              <w:spacing w:after="40" w:before="40"/>
            </w:pPr>
            <w:r/>
            <w:r>
              <w:rPr>
                <w:b w:val="0"/>
                <w:sz w:val="19"/>
              </w:rPr>
              <w:t>They are listed as their own pool, not merged into the quarterly budget figure.</w:t>
            </w:r>
          </w:p>
        </w:tc>
        <w:tc>
          <w:tcPr>
            <w:tcW w:type="dxa" w:w="1368"/>
          </w:tcPr>
          <w:p>
            <w:pPr>
              <w:spacing w:after="40" w:before="40"/>
            </w:pPr>
            <w:r/>
            <w:r>
              <w:rPr>
                <w:b w:val="0"/>
                <w:sz w:val="19"/>
              </w:rPr>
            </w:r>
          </w:p>
        </w:tc>
      </w:tr>
      <w:tr>
        <w:tc>
          <w:tcPr>
            <w:tcW w:type="dxa" w:w="2736"/>
          </w:tcPr>
          <w:p>
            <w:pPr>
              <w:spacing w:after="40" w:before="40"/>
            </w:pPr>
            <w:r/>
            <w:r>
              <w:rPr>
                <w:b w:val="0"/>
                <w:sz w:val="19"/>
              </w:rPr>
              <w:t>Committed funds disclosed</w:t>
            </w:r>
          </w:p>
        </w:tc>
        <w:tc>
          <w:tcPr>
            <w:tcW w:type="dxa" w:w="5760"/>
          </w:tcPr>
          <w:p>
            <w:pPr>
              <w:spacing w:after="40" w:before="40"/>
            </w:pPr>
            <w:r/>
            <w:r>
              <w:rPr>
                <w:b w:val="0"/>
                <w:sz w:val="19"/>
              </w:rPr>
              <w:t>AT-HM items ordered but not yet delivered show as committed funds, with the AT-HM funding expiry date.</w:t>
            </w:r>
          </w:p>
        </w:tc>
        <w:tc>
          <w:tcPr>
            <w:tcW w:type="dxa" w:w="1368"/>
          </w:tcPr>
          <w:p>
            <w:pPr>
              <w:spacing w:after="40" w:before="40"/>
            </w:pPr>
            <w:r/>
            <w:r>
              <w:rPr>
                <w:b w:val="0"/>
                <w:sz w:val="19"/>
              </w:rPr>
            </w:r>
          </w:p>
        </w:tc>
      </w:tr>
      <w:tr>
        <w:tc>
          <w:tcPr>
            <w:tcW w:type="dxa" w:w="2736"/>
          </w:tcPr>
          <w:p>
            <w:pPr>
              <w:spacing w:after="40" w:before="40"/>
            </w:pPr>
            <w:r/>
            <w:r>
              <w:rPr>
                <w:b w:val="0"/>
                <w:sz w:val="19"/>
              </w:rPr>
              <w:t>Prior month adjustments visible</w:t>
            </w:r>
          </w:p>
        </w:tc>
        <w:tc>
          <w:tcPr>
            <w:tcW w:type="dxa" w:w="5760"/>
          </w:tcPr>
          <w:p>
            <w:pPr>
              <w:spacing w:after="40" w:before="40"/>
            </w:pPr>
            <w:r/>
            <w:r>
              <w:rPr>
                <w:b w:val="0"/>
                <w:sz w:val="19"/>
              </w:rPr>
              <w:t>Any adjustment or refund from an earlier month appears as its own line with a plain-language reason.</w:t>
            </w:r>
          </w:p>
        </w:tc>
        <w:tc>
          <w:tcPr>
            <w:tcW w:type="dxa" w:w="1368"/>
          </w:tcPr>
          <w:p>
            <w:pPr>
              <w:spacing w:after="40" w:before="40"/>
            </w:pPr>
            <w:r/>
            <w:r>
              <w:rPr>
                <w:b w:val="0"/>
                <w:sz w:val="19"/>
              </w:rPr>
            </w:r>
          </w:p>
        </w:tc>
      </w:tr>
    </w:tbl>
    <w:p>
      <w:pPr>
        <w:spacing w:before="180" w:after="80"/>
      </w:pPr>
      <w:r>
        <w:rPr>
          <w:b/>
          <w:sz w:val="22"/>
        </w:rPr>
        <w:t>5.7 Part G - Plain-language presentation</w:t>
      </w:r>
    </w:p>
    <w:tbl>
      <w:tblPr>
        <w:tblStyle w:val="TableGrid"/>
        <w:tblW w:type="auto" w:w="0"/>
        <w:jc w:val="left"/>
        <w:tblLook w:firstColumn="1" w:firstRow="1" w:lastColumn="0" w:lastRow="0" w:noHBand="0" w:noVBand="1" w:val="04A0"/>
      </w:tblPr>
      <w:tblGrid>
        <w:gridCol w:w="3216"/>
        <w:gridCol w:w="3216"/>
        <w:gridCol w:w="3216"/>
      </w:tblGrid>
      <w:tr>
        <w:tc>
          <w:tcPr>
            <w:tcW w:type="dxa" w:w="2736"/>
            <w:shd w:val="clear" w:color="auto" w:fill="D9E2F3"/>
          </w:tcPr>
          <w:p>
            <w:pPr>
              <w:spacing w:after="40" w:before="40"/>
            </w:pPr>
            <w:r/>
            <w:r>
              <w:rPr>
                <w:b/>
                <w:sz w:val="19"/>
              </w:rPr>
              <w:t>Check</w:t>
            </w:r>
          </w:p>
        </w:tc>
        <w:tc>
          <w:tcPr>
            <w:tcW w:type="dxa" w:w="5760"/>
            <w:shd w:val="clear" w:color="auto" w:fill="D9E2F3"/>
          </w:tcPr>
          <w:p>
            <w:pPr>
              <w:spacing w:after="40" w:before="40"/>
            </w:pPr>
            <w:r/>
            <w:r>
              <w:rPr>
                <w:b/>
                <w:sz w:val="19"/>
              </w:rPr>
              <w:t>What good looks like</w:t>
            </w:r>
          </w:p>
        </w:tc>
        <w:tc>
          <w:tcPr>
            <w:tcW w:type="dxa" w:w="1368"/>
            <w:shd w:val="clear" w:color="auto" w:fill="D9E2F3"/>
          </w:tcPr>
          <w:p>
            <w:pPr>
              <w:spacing w:after="40" w:before="40"/>
            </w:pPr>
            <w:r/>
            <w:r>
              <w:rPr>
                <w:b/>
                <w:sz w:val="19"/>
              </w:rPr>
              <w:t>Complete (Y/N)</w:t>
            </w:r>
          </w:p>
        </w:tc>
      </w:tr>
      <w:tr>
        <w:tc>
          <w:tcPr>
            <w:tcW w:type="dxa" w:w="2736"/>
          </w:tcPr>
          <w:p>
            <w:pPr>
              <w:spacing w:after="40" w:before="40"/>
            </w:pPr>
            <w:r/>
            <w:r>
              <w:rPr>
                <w:b w:val="0"/>
                <w:sz w:val="19"/>
              </w:rPr>
              <w:t>Written in plain language</w:t>
            </w:r>
          </w:p>
        </w:tc>
        <w:tc>
          <w:tcPr>
            <w:tcW w:type="dxa" w:w="5760"/>
          </w:tcPr>
          <w:p>
            <w:pPr>
              <w:spacing w:after="40" w:before="40"/>
            </w:pPr>
            <w:r/>
            <w:r>
              <w:rPr>
                <w:b w:val="0"/>
                <w:sz w:val="19"/>
              </w:rPr>
              <w:t>A reader with no finance background can tell what was delivered, what it cost, who paid, and what is left.</w:t>
            </w:r>
          </w:p>
        </w:tc>
        <w:tc>
          <w:tcPr>
            <w:tcW w:type="dxa" w:w="1368"/>
          </w:tcPr>
          <w:p>
            <w:pPr>
              <w:spacing w:after="40" w:before="40"/>
            </w:pPr>
            <w:r/>
            <w:r>
              <w:rPr>
                <w:b w:val="0"/>
                <w:sz w:val="19"/>
              </w:rPr>
            </w:r>
          </w:p>
        </w:tc>
      </w:tr>
      <w:tr>
        <w:tc>
          <w:tcPr>
            <w:tcW w:type="dxa" w:w="2736"/>
          </w:tcPr>
          <w:p>
            <w:pPr>
              <w:spacing w:after="40" w:before="40"/>
            </w:pPr>
            <w:r/>
            <w:r>
              <w:rPr>
                <w:b w:val="0"/>
                <w:sz w:val="19"/>
              </w:rPr>
              <w:t>No unexplained internal codes</w:t>
            </w:r>
          </w:p>
        </w:tc>
        <w:tc>
          <w:tcPr>
            <w:tcW w:type="dxa" w:w="5760"/>
          </w:tcPr>
          <w:p>
            <w:pPr>
              <w:spacing w:after="40" w:before="40"/>
            </w:pPr>
            <w:r/>
            <w:r>
              <w:rPr>
                <w:b w:val="0"/>
                <w:sz w:val="19"/>
              </w:rPr>
              <w:t>Service names are the ones the participant recognises. Internal cost codes are removed or spelled out.</w:t>
            </w:r>
          </w:p>
        </w:tc>
        <w:tc>
          <w:tcPr>
            <w:tcW w:type="dxa" w:w="1368"/>
          </w:tcPr>
          <w:p>
            <w:pPr>
              <w:spacing w:after="40" w:before="40"/>
            </w:pPr>
            <w:r/>
            <w:r>
              <w:rPr>
                <w:b w:val="0"/>
                <w:sz w:val="19"/>
              </w:rPr>
            </w:r>
          </w:p>
        </w:tc>
      </w:tr>
      <w:tr>
        <w:tc>
          <w:tcPr>
            <w:tcW w:type="dxa" w:w="2736"/>
          </w:tcPr>
          <w:p>
            <w:pPr>
              <w:spacing w:after="40" w:before="40"/>
            </w:pPr>
            <w:r/>
            <w:r>
              <w:rPr>
                <w:b w:val="0"/>
                <w:sz w:val="19"/>
              </w:rPr>
              <w:t>Totals are easy to find</w:t>
            </w:r>
          </w:p>
        </w:tc>
        <w:tc>
          <w:tcPr>
            <w:tcW w:type="dxa" w:w="5760"/>
          </w:tcPr>
          <w:p>
            <w:pPr>
              <w:spacing w:after="40" w:before="40"/>
            </w:pPr>
            <w:r/>
            <w:r>
              <w:rPr>
                <w:b w:val="0"/>
                <w:sz w:val="19"/>
              </w:rPr>
              <w:t>Funding available, total spent, total contributions and closing balance are grouped and labelled.</w:t>
            </w:r>
          </w:p>
        </w:tc>
        <w:tc>
          <w:tcPr>
            <w:tcW w:type="dxa" w:w="1368"/>
          </w:tcPr>
          <w:p>
            <w:pPr>
              <w:spacing w:after="40" w:before="40"/>
            </w:pPr>
            <w:r/>
            <w:r>
              <w:rPr>
                <w:b w:val="0"/>
                <w:sz w:val="19"/>
              </w:rPr>
            </w:r>
          </w:p>
        </w:tc>
      </w:tr>
      <w:tr>
        <w:tc>
          <w:tcPr>
            <w:tcW w:type="dxa" w:w="2736"/>
          </w:tcPr>
          <w:p>
            <w:pPr>
              <w:spacing w:after="40" w:before="40"/>
            </w:pPr>
            <w:r/>
            <w:r>
              <w:rPr>
                <w:b w:val="0"/>
                <w:sz w:val="19"/>
              </w:rPr>
              <w:t>Interpreter and format support offered</w:t>
            </w:r>
          </w:p>
        </w:tc>
        <w:tc>
          <w:tcPr>
            <w:tcW w:type="dxa" w:w="5760"/>
          </w:tcPr>
          <w:p>
            <w:pPr>
              <w:spacing w:after="40" w:before="40"/>
            </w:pPr>
            <w:r/>
            <w:r>
              <w:rPr>
                <w:b w:val="0"/>
                <w:sz w:val="19"/>
              </w:rPr>
              <w:t>It tells the participant how to ask for an interpreter or a different format, and names the Translating and Interpreting Service.</w:t>
            </w:r>
          </w:p>
        </w:tc>
        <w:tc>
          <w:tcPr>
            <w:tcW w:type="dxa" w:w="1368"/>
          </w:tcPr>
          <w:p>
            <w:pPr>
              <w:spacing w:after="40" w:before="40"/>
            </w:pPr>
            <w:r/>
            <w:r>
              <w:rPr>
                <w:b w:val="0"/>
                <w:sz w:val="19"/>
              </w:rPr>
            </w:r>
          </w:p>
        </w:tc>
      </w:tr>
      <w:tr>
        <w:tc>
          <w:tcPr>
            <w:tcW w:type="dxa" w:w="2736"/>
          </w:tcPr>
          <w:p>
            <w:pPr>
              <w:spacing w:after="40" w:before="40"/>
            </w:pPr>
            <w:r/>
            <w:r>
              <w:rPr>
                <w:b w:val="0"/>
                <w:sz w:val="19"/>
              </w:rPr>
              <w:t>A named contact for questions</w:t>
            </w:r>
          </w:p>
        </w:tc>
        <w:tc>
          <w:tcPr>
            <w:tcW w:type="dxa" w:w="5760"/>
          </w:tcPr>
          <w:p>
            <w:pPr>
              <w:spacing w:after="40" w:before="40"/>
            </w:pPr>
            <w:r/>
            <w:r>
              <w:rPr>
                <w:b w:val="0"/>
                <w:sz w:val="19"/>
              </w:rPr>
              <w:t>It names the care partner or finance contact, gives a phone number, and states a response time of [2 business days].</w:t>
            </w:r>
          </w:p>
        </w:tc>
        <w:tc>
          <w:tcPr>
            <w:tcW w:type="dxa" w:w="1368"/>
          </w:tcPr>
          <w:p>
            <w:pPr>
              <w:spacing w:after="40" w:before="40"/>
            </w:pPr>
            <w:r/>
            <w:r>
              <w:rPr>
                <w:b w:val="0"/>
                <w:sz w:val="19"/>
              </w:rPr>
            </w:r>
          </w:p>
        </w:tc>
      </w:tr>
    </w:tbl>
    <w:p>
      <w:pPr>
        <w:spacing w:before="240" w:after="100"/>
      </w:pPr>
      <w:r>
        <w:rPr>
          <w:b/>
          <w:sz w:val="26"/>
        </w:rPr>
        <w:t>6. Review Roles, Worked Example and Correction Process</w:t>
      </w:r>
    </w:p>
    <w:p>
      <w:pPr>
        <w:spacing w:before="180" w:after="80"/>
      </w:pPr>
      <w:r>
        <w:rPr>
          <w:b/>
          <w:sz w:val="22"/>
        </w:rPr>
        <w:t>6.1 Who completes which part</w:t>
      </w:r>
    </w:p>
    <w:tbl>
      <w:tblPr>
        <w:tblStyle w:val="TableGrid"/>
        <w:tblW w:type="auto" w:w="0"/>
        <w:jc w:val="left"/>
        <w:tblLook w:firstColumn="1" w:firstRow="1" w:lastColumn="0" w:lastRow="0" w:noHBand="0" w:noVBand="1" w:val="04A0"/>
      </w:tblPr>
      <w:tblGrid>
        <w:gridCol w:w="4824"/>
        <w:gridCol w:w="4824"/>
      </w:tblGrid>
      <w:tr>
        <w:tc>
          <w:tcPr>
            <w:tcW w:type="dxa" w:w="2736"/>
            <w:shd w:val="clear" w:color="auto" w:fill="D9E2F3"/>
          </w:tcPr>
          <w:p>
            <w:pPr>
              <w:spacing w:after="40" w:before="40"/>
            </w:pPr>
            <w:r/>
            <w:r>
              <w:rPr>
                <w:b/>
                <w:sz w:val="19"/>
              </w:rPr>
              <w:t>Role</w:t>
            </w:r>
          </w:p>
        </w:tc>
        <w:tc>
          <w:tcPr>
            <w:tcW w:type="dxa" w:w="7128"/>
            <w:shd w:val="clear" w:color="auto" w:fill="D9E2F3"/>
          </w:tcPr>
          <w:p>
            <w:pPr>
              <w:spacing w:after="40" w:before="40"/>
            </w:pPr>
            <w:r/>
            <w:r>
              <w:rPr>
                <w:b/>
                <w:sz w:val="19"/>
              </w:rPr>
              <w:t>Responsibility</w:t>
            </w:r>
          </w:p>
        </w:tc>
      </w:tr>
      <w:tr>
        <w:tc>
          <w:tcPr>
            <w:tcW w:type="dxa" w:w="2736"/>
          </w:tcPr>
          <w:p>
            <w:pPr>
              <w:spacing w:after="40" w:before="40"/>
            </w:pPr>
            <w:r/>
            <w:r>
              <w:rPr>
                <w:b w:val="0"/>
                <w:sz w:val="19"/>
              </w:rPr>
              <w:t>Finance / Billing Officer</w:t>
            </w:r>
          </w:p>
        </w:tc>
        <w:tc>
          <w:tcPr>
            <w:tcW w:type="dxa" w:w="7128"/>
          </w:tcPr>
          <w:p>
            <w:pPr>
              <w:spacing w:after="40" w:before="40"/>
            </w:pPr>
            <w:r/>
            <w:r>
              <w:rPr>
                <w:b w:val="0"/>
                <w:sz w:val="19"/>
              </w:rPr>
              <w:t>Prepares the draft statement; completes Parts A to D; attaches supporting invoices and delivery records.</w:t>
            </w:r>
          </w:p>
        </w:tc>
      </w:tr>
      <w:tr>
        <w:tc>
          <w:tcPr>
            <w:tcW w:type="dxa" w:w="2736"/>
          </w:tcPr>
          <w:p>
            <w:pPr>
              <w:spacing w:after="40" w:before="40"/>
            </w:pPr>
            <w:r/>
            <w:r>
              <w:rPr>
                <w:b w:val="0"/>
                <w:sz w:val="19"/>
              </w:rPr>
              <w:t>Care Partner</w:t>
            </w:r>
          </w:p>
        </w:tc>
        <w:tc>
          <w:tcPr>
            <w:tcW w:type="dxa" w:w="7128"/>
          </w:tcPr>
          <w:p>
            <w:pPr>
              <w:spacing w:after="40" w:before="40"/>
            </w:pPr>
            <w:r/>
            <w:r>
              <w:rPr>
                <w:b w:val="0"/>
                <w:sz w:val="19"/>
              </w:rPr>
              <w:t>Confirms Part B delivery and Part E care management entries against care records; flags anything the participant has already queried.</w:t>
            </w:r>
          </w:p>
        </w:tc>
      </w:tr>
      <w:tr>
        <w:tc>
          <w:tcPr>
            <w:tcW w:type="dxa" w:w="2736"/>
          </w:tcPr>
          <w:p>
            <w:pPr>
              <w:spacing w:after="40" w:before="40"/>
            </w:pPr>
            <w:r/>
            <w:r>
              <w:rPr>
                <w:b w:val="0"/>
                <w:sz w:val="19"/>
              </w:rPr>
              <w:t>Service Delivery Branch Manager</w:t>
            </w:r>
          </w:p>
        </w:tc>
        <w:tc>
          <w:tcPr>
            <w:tcW w:type="dxa" w:w="7128"/>
          </w:tcPr>
          <w:p>
            <w:pPr>
              <w:spacing w:after="40" w:before="40"/>
            </w:pPr>
            <w:r/>
            <w:r>
              <w:rPr>
                <w:b w:val="0"/>
                <w:sz w:val="19"/>
              </w:rPr>
              <w:t>Confirms Part E pooled account claims and Part F branch balances before the batch is released.</w:t>
            </w:r>
          </w:p>
        </w:tc>
      </w:tr>
      <w:tr>
        <w:tc>
          <w:tcPr>
            <w:tcW w:type="dxa" w:w="2736"/>
          </w:tcPr>
          <w:p>
            <w:pPr>
              <w:spacing w:after="40" w:before="40"/>
            </w:pPr>
            <w:r/>
            <w:r>
              <w:rPr>
                <w:b w:val="0"/>
                <w:sz w:val="19"/>
              </w:rPr>
              <w:t>[Finance Manager]</w:t>
            </w:r>
          </w:p>
        </w:tc>
        <w:tc>
          <w:tcPr>
            <w:tcW w:type="dxa" w:w="7128"/>
          </w:tcPr>
          <w:p>
            <w:pPr>
              <w:spacing w:after="40" w:before="40"/>
            </w:pPr>
            <w:r/>
            <w:r>
              <w:rPr>
                <w:b w:val="0"/>
                <w:sz w:val="19"/>
              </w:rPr>
              <w:t>Final reviewer; signs the completed checklist; authorises release of the statement batch.</w:t>
            </w:r>
          </w:p>
        </w:tc>
      </w:tr>
      <w:tr>
        <w:tc>
          <w:tcPr>
            <w:tcW w:type="dxa" w:w="2736"/>
          </w:tcPr>
          <w:p>
            <w:pPr>
              <w:spacing w:after="40" w:before="40"/>
            </w:pPr>
            <w:r/>
            <w:r>
              <w:rPr>
                <w:b w:val="0"/>
                <w:sz w:val="19"/>
              </w:rPr>
              <w:t>Quality Manager</w:t>
            </w:r>
          </w:p>
        </w:tc>
        <w:tc>
          <w:tcPr>
            <w:tcW w:type="dxa" w:w="7128"/>
          </w:tcPr>
          <w:p>
            <w:pPr>
              <w:spacing w:after="40" w:before="40"/>
            </w:pPr>
            <w:r/>
            <w:r>
              <w:rPr>
                <w:b w:val="0"/>
                <w:sz w:val="19"/>
              </w:rPr>
              <w:t>Tracks N results, correction volumes and repeat causes; reports themes to the [Board].</w:t>
            </w:r>
          </w:p>
        </w:tc>
      </w:tr>
      <w:tr>
        <w:tc>
          <w:tcPr>
            <w:tcW w:type="dxa" w:w="2736"/>
          </w:tcPr>
          <w:p>
            <w:pPr>
              <w:spacing w:after="40" w:before="40"/>
            </w:pPr>
            <w:r/>
            <w:r>
              <w:rPr>
                <w:b w:val="0"/>
                <w:sz w:val="19"/>
              </w:rPr>
              <w:t>[Board]</w:t>
            </w:r>
          </w:p>
        </w:tc>
        <w:tc>
          <w:tcPr>
            <w:tcW w:type="dxa" w:w="7128"/>
          </w:tcPr>
          <w:p>
            <w:pPr>
              <w:spacing w:after="40" w:before="40"/>
            </w:pPr>
            <w:r/>
            <w:r>
              <w:rPr>
                <w:b w:val="0"/>
                <w:sz w:val="19"/>
              </w:rPr>
              <w:t>Receives statement accuracy reporting and holds management to account for correction timeframes.</w:t>
            </w:r>
          </w:p>
        </w:tc>
      </w:tr>
    </w:tbl>
    <w:p>
      <w:pPr>
        <w:spacing w:before="180" w:after="80"/>
      </w:pPr>
      <w:r>
        <w:rPr>
          <w:b/>
          <w:sz w:val="22"/>
        </w:rPr>
        <w:t>6.2 Worked example: reviewing one statement</w:t>
      </w:r>
    </w:p>
    <w:p>
      <w:r>
        <w:rPr>
          <w:b w:val="0"/>
        </w:rPr>
        <w:t>[Organisation Name] is reviewing the March statement for Mrs K, an ongoing participant. The draft shows 15 personal care visits, 4 social support visits, 2.5 hours of care management, and one domestic assistance line.</w:t>
      </w:r>
    </w:p>
    <w:p>
      <w:r>
        <w:rPr>
          <w:b w:val="0"/>
        </w:rPr>
        <w:t>Part B comes first. There are 15 personal care lines but only 14 completed visit notes. The extra line is a visit cancelled on the morning, with the roster never corrected. The reviewer marks it N, removes the charge, and records the cancellation so it still shows on the statement.</w:t>
      </w:r>
    </w:p>
    <w:p>
      <w:r>
        <w:rPr>
          <w:b w:val="0"/>
        </w:rPr>
        <w:t>Part C turns up a separate travel charge on the domestic assistance line. Travel is already inside the published price, so the charge is removed and the published price is applied instead.</w:t>
      </w:r>
    </w:p>
    <w:p>
      <w:r>
        <w:rPr>
          <w:b w:val="0"/>
        </w:rPr>
        <w:t>Part D flags a nursing line carrying a participant contribution. Nursing sits in Clinical Support services, which the Government fully funds, so the contribution is reset to zero and the subsidy figure corrected.</w:t>
      </w:r>
    </w:p>
    <w:p>
      <w:r>
        <w:rPr>
          <w:b w:val="0"/>
        </w:rPr>
        <w:t>Part E reconciles cleanly. The 2.5 hours of care management match a care plan review and two coordination calls, each with a dated record, and are claimed from the pooled account rather than from Mrs K's service budget.</w:t>
      </w:r>
    </w:p>
    <w:p>
      <w:r>
        <w:rPr>
          <w:b w:val="0"/>
        </w:rPr>
        <w:t>Part F shows unused funds brought forward from the previous quarter. The reviewer confirms the figure sits inside the higher of $1,000 and 10 per cent of Mrs K's quarterly budget, and that her retained unspent Home Care Package funds are listed separately. Part G reads cleanly. The [Finance Manager] signs the checklist and the statement is released with five working days to spare.</w:t>
      </w:r>
    </w:p>
    <w:p>
      <w:pPr>
        <w:spacing w:before="180" w:after="80"/>
      </w:pPr>
      <w:r>
        <w:rPr>
          <w:b/>
          <w:sz w:val="22"/>
        </w:rPr>
        <w:t>6.3 Error correction workflow after a statement has been issued</w:t>
      </w:r>
    </w:p>
    <w:tbl>
      <w:tblPr>
        <w:tblStyle w:val="TableGrid"/>
        <w:tblW w:type="auto" w:w="0"/>
        <w:jc w:val="left"/>
        <w:tblLook w:firstColumn="1" w:firstRow="1" w:lastColumn="0" w:lastRow="0" w:noHBand="0" w:noVBand="1" w:val="04A0"/>
      </w:tblPr>
      <w:tblGrid>
        <w:gridCol w:w="2412"/>
        <w:gridCol w:w="2412"/>
        <w:gridCol w:w="2412"/>
        <w:gridCol w:w="2412"/>
      </w:tblGrid>
      <w:tr>
        <w:tc>
          <w:tcPr>
            <w:tcW w:type="dxa" w:w="648"/>
            <w:shd w:val="clear" w:color="auto" w:fill="D9E2F3"/>
          </w:tcPr>
          <w:p>
            <w:pPr>
              <w:spacing w:after="40" w:before="40"/>
            </w:pPr>
            <w:r/>
            <w:r>
              <w:rPr>
                <w:b/>
                <w:sz w:val="19"/>
              </w:rPr>
              <w:t>Step</w:t>
            </w:r>
          </w:p>
        </w:tc>
        <w:tc>
          <w:tcPr>
            <w:tcW w:type="dxa" w:w="4392"/>
            <w:shd w:val="clear" w:color="auto" w:fill="D9E2F3"/>
          </w:tcPr>
          <w:p>
            <w:pPr>
              <w:spacing w:after="40" w:before="40"/>
            </w:pPr>
            <w:r/>
            <w:r>
              <w:rPr>
                <w:b/>
                <w:sz w:val="19"/>
              </w:rPr>
              <w:t>Action</w:t>
            </w:r>
          </w:p>
        </w:tc>
        <w:tc>
          <w:tcPr>
            <w:tcW w:type="dxa" w:w="2304"/>
            <w:shd w:val="clear" w:color="auto" w:fill="D9E2F3"/>
          </w:tcPr>
          <w:p>
            <w:pPr>
              <w:spacing w:after="40" w:before="40"/>
            </w:pPr>
            <w:r/>
            <w:r>
              <w:rPr>
                <w:b/>
                <w:sz w:val="19"/>
              </w:rPr>
              <w:t>Who</w:t>
            </w:r>
          </w:p>
        </w:tc>
        <w:tc>
          <w:tcPr>
            <w:tcW w:type="dxa" w:w="2520"/>
            <w:shd w:val="clear" w:color="auto" w:fill="D9E2F3"/>
          </w:tcPr>
          <w:p>
            <w:pPr>
              <w:spacing w:after="40" w:before="40"/>
            </w:pPr>
            <w:r/>
            <w:r>
              <w:rPr>
                <w:b/>
                <w:sz w:val="19"/>
              </w:rPr>
              <w:t>Record</w:t>
            </w:r>
          </w:p>
        </w:tc>
      </w:tr>
      <w:tr>
        <w:tc>
          <w:tcPr>
            <w:tcW w:type="dxa" w:w="648"/>
          </w:tcPr>
          <w:p>
            <w:pPr>
              <w:spacing w:after="40" w:before="40"/>
            </w:pPr>
            <w:r/>
            <w:r>
              <w:rPr>
                <w:b w:val="0"/>
                <w:sz w:val="19"/>
              </w:rPr>
              <w:t>1</w:t>
            </w:r>
          </w:p>
        </w:tc>
        <w:tc>
          <w:tcPr>
            <w:tcW w:type="dxa" w:w="4392"/>
          </w:tcPr>
          <w:p>
            <w:pPr>
              <w:spacing w:after="40" w:before="40"/>
            </w:pPr>
            <w:r/>
            <w:r>
              <w:rPr>
                <w:b w:val="0"/>
                <w:sz w:val="19"/>
              </w:rPr>
              <w:t>Log the error on the day it is identified, whether found internally or raised by the participant.</w:t>
            </w:r>
          </w:p>
        </w:tc>
        <w:tc>
          <w:tcPr>
            <w:tcW w:type="dxa" w:w="2304"/>
          </w:tcPr>
          <w:p>
            <w:pPr>
              <w:spacing w:after="40" w:before="40"/>
            </w:pPr>
            <w:r/>
            <w:r>
              <w:rPr>
                <w:b w:val="0"/>
                <w:sz w:val="19"/>
              </w:rPr>
              <w:t>Person who finds it</w:t>
            </w:r>
          </w:p>
        </w:tc>
        <w:tc>
          <w:tcPr>
            <w:tcW w:type="dxa" w:w="2520"/>
          </w:tcPr>
          <w:p>
            <w:pPr>
              <w:spacing w:after="40" w:before="40"/>
            </w:pPr>
            <w:r/>
            <w:r>
              <w:rPr>
                <w:b w:val="0"/>
                <w:sz w:val="19"/>
              </w:rPr>
              <w:t>Statement error register entry</w:t>
            </w:r>
          </w:p>
        </w:tc>
      </w:tr>
      <w:tr>
        <w:tc>
          <w:tcPr>
            <w:tcW w:type="dxa" w:w="648"/>
          </w:tcPr>
          <w:p>
            <w:pPr>
              <w:spacing w:after="40" w:before="40"/>
            </w:pPr>
            <w:r/>
            <w:r>
              <w:rPr>
                <w:b w:val="0"/>
                <w:sz w:val="19"/>
              </w:rPr>
              <w:t>2</w:t>
            </w:r>
          </w:p>
        </w:tc>
        <w:tc>
          <w:tcPr>
            <w:tcW w:type="dxa" w:w="4392"/>
          </w:tcPr>
          <w:p>
            <w:pPr>
              <w:spacing w:after="40" w:before="40"/>
            </w:pPr>
            <w:r/>
            <w:r>
              <w:rPr>
                <w:b w:val="0"/>
                <w:sz w:val="19"/>
              </w:rPr>
              <w:t>Hold further statements for that participant until the cause is understood.</w:t>
            </w:r>
          </w:p>
        </w:tc>
        <w:tc>
          <w:tcPr>
            <w:tcW w:type="dxa" w:w="2304"/>
          </w:tcPr>
          <w:p>
            <w:pPr>
              <w:spacing w:after="40" w:before="40"/>
            </w:pPr>
            <w:r/>
            <w:r>
              <w:rPr>
                <w:b w:val="0"/>
                <w:sz w:val="19"/>
              </w:rPr>
              <w:t>[Finance Manager]</w:t>
            </w:r>
          </w:p>
        </w:tc>
        <w:tc>
          <w:tcPr>
            <w:tcW w:type="dxa" w:w="2520"/>
          </w:tcPr>
          <w:p>
            <w:pPr>
              <w:spacing w:after="40" w:before="40"/>
            </w:pPr>
            <w:r/>
            <w:r>
              <w:rPr>
                <w:b w:val="0"/>
                <w:sz w:val="19"/>
              </w:rPr>
              <w:t>Hold note on the billing run</w:t>
            </w:r>
          </w:p>
        </w:tc>
      </w:tr>
      <w:tr>
        <w:tc>
          <w:tcPr>
            <w:tcW w:type="dxa" w:w="648"/>
          </w:tcPr>
          <w:p>
            <w:pPr>
              <w:spacing w:after="40" w:before="40"/>
            </w:pPr>
            <w:r/>
            <w:r>
              <w:rPr>
                <w:b w:val="0"/>
                <w:sz w:val="19"/>
              </w:rPr>
              <w:t>3</w:t>
            </w:r>
          </w:p>
        </w:tc>
        <w:tc>
          <w:tcPr>
            <w:tcW w:type="dxa" w:w="4392"/>
          </w:tcPr>
          <w:p>
            <w:pPr>
              <w:spacing w:after="40" w:before="40"/>
            </w:pPr>
            <w:r/>
            <w:r>
              <w:rPr>
                <w:b w:val="0"/>
                <w:sz w:val="19"/>
              </w:rPr>
              <w:t>Contact the participant or registered supporter within [2 business days] and say in plain language what went wrong and what happens next.</w:t>
            </w:r>
          </w:p>
        </w:tc>
        <w:tc>
          <w:tcPr>
            <w:tcW w:type="dxa" w:w="2304"/>
          </w:tcPr>
          <w:p>
            <w:pPr>
              <w:spacing w:after="40" w:before="40"/>
            </w:pPr>
            <w:r/>
            <w:r>
              <w:rPr>
                <w:b w:val="0"/>
                <w:sz w:val="19"/>
              </w:rPr>
              <w:t>Care Partner</w:t>
            </w:r>
          </w:p>
        </w:tc>
        <w:tc>
          <w:tcPr>
            <w:tcW w:type="dxa" w:w="2520"/>
          </w:tcPr>
          <w:p>
            <w:pPr>
              <w:spacing w:after="40" w:before="40"/>
            </w:pPr>
            <w:r/>
            <w:r>
              <w:rPr>
                <w:b w:val="0"/>
                <w:sz w:val="19"/>
              </w:rPr>
              <w:t>Communication note in participant record</w:t>
            </w:r>
          </w:p>
        </w:tc>
      </w:tr>
      <w:tr>
        <w:tc>
          <w:tcPr>
            <w:tcW w:type="dxa" w:w="648"/>
          </w:tcPr>
          <w:p>
            <w:pPr>
              <w:spacing w:after="40" w:before="40"/>
            </w:pPr>
            <w:r/>
            <w:r>
              <w:rPr>
                <w:b w:val="0"/>
                <w:sz w:val="19"/>
              </w:rPr>
              <w:t>4</w:t>
            </w:r>
          </w:p>
        </w:tc>
        <w:tc>
          <w:tcPr>
            <w:tcW w:type="dxa" w:w="4392"/>
          </w:tcPr>
          <w:p>
            <w:pPr>
              <w:spacing w:after="40" w:before="40"/>
            </w:pPr>
            <w:r/>
            <w:r>
              <w:rPr>
                <w:b w:val="0"/>
                <w:sz w:val="19"/>
              </w:rPr>
              <w:t>Correct the underlying record, not only the printed statement, so the next claim is right.</w:t>
            </w:r>
          </w:p>
        </w:tc>
        <w:tc>
          <w:tcPr>
            <w:tcW w:type="dxa" w:w="2304"/>
          </w:tcPr>
          <w:p>
            <w:pPr>
              <w:spacing w:after="40" w:before="40"/>
            </w:pPr>
            <w:r/>
            <w:r>
              <w:rPr>
                <w:b w:val="0"/>
                <w:sz w:val="19"/>
              </w:rPr>
              <w:t>Finance / Billing Officer</w:t>
            </w:r>
          </w:p>
        </w:tc>
        <w:tc>
          <w:tcPr>
            <w:tcW w:type="dxa" w:w="2520"/>
          </w:tcPr>
          <w:p>
            <w:pPr>
              <w:spacing w:after="40" w:before="40"/>
            </w:pPr>
            <w:r/>
            <w:r>
              <w:rPr>
                <w:b w:val="0"/>
                <w:sz w:val="19"/>
              </w:rPr>
              <w:t>Corrected delivery record or claim adjustment</w:t>
            </w:r>
          </w:p>
        </w:tc>
      </w:tr>
      <w:tr>
        <w:tc>
          <w:tcPr>
            <w:tcW w:type="dxa" w:w="648"/>
          </w:tcPr>
          <w:p>
            <w:pPr>
              <w:spacing w:after="40" w:before="40"/>
            </w:pPr>
            <w:r/>
            <w:r>
              <w:rPr>
                <w:b w:val="0"/>
                <w:sz w:val="19"/>
              </w:rPr>
              <w:t>5</w:t>
            </w:r>
          </w:p>
        </w:tc>
        <w:tc>
          <w:tcPr>
            <w:tcW w:type="dxa" w:w="4392"/>
          </w:tcPr>
          <w:p>
            <w:pPr>
              <w:spacing w:after="40" w:before="40"/>
            </w:pPr>
            <w:r/>
            <w:r>
              <w:rPr>
                <w:b w:val="0"/>
                <w:sz w:val="19"/>
              </w:rPr>
              <w:t>Reissue a corrected statement showing the adjustment or refund as its own line with a short reason.</w:t>
            </w:r>
          </w:p>
        </w:tc>
        <w:tc>
          <w:tcPr>
            <w:tcW w:type="dxa" w:w="2304"/>
          </w:tcPr>
          <w:p>
            <w:pPr>
              <w:spacing w:after="40" w:before="40"/>
            </w:pPr>
            <w:r/>
            <w:r>
              <w:rPr>
                <w:b w:val="0"/>
                <w:sz w:val="19"/>
              </w:rPr>
              <w:t>Finance / Billing Officer</w:t>
            </w:r>
          </w:p>
        </w:tc>
        <w:tc>
          <w:tcPr>
            <w:tcW w:type="dxa" w:w="2520"/>
          </w:tcPr>
          <w:p>
            <w:pPr>
              <w:spacing w:after="40" w:before="40"/>
            </w:pPr>
            <w:r/>
            <w:r>
              <w:rPr>
                <w:b w:val="0"/>
                <w:sz w:val="19"/>
              </w:rPr>
              <w:t>Reissued statement filed with the original</w:t>
            </w:r>
          </w:p>
        </w:tc>
      </w:tr>
      <w:tr>
        <w:tc>
          <w:tcPr>
            <w:tcW w:type="dxa" w:w="648"/>
          </w:tcPr>
          <w:p>
            <w:pPr>
              <w:spacing w:after="40" w:before="40"/>
            </w:pPr>
            <w:r/>
            <w:r>
              <w:rPr>
                <w:b w:val="0"/>
                <w:sz w:val="19"/>
              </w:rPr>
              <w:t>6</w:t>
            </w:r>
          </w:p>
        </w:tc>
        <w:tc>
          <w:tcPr>
            <w:tcW w:type="dxa" w:w="4392"/>
          </w:tcPr>
          <w:p>
            <w:pPr>
              <w:spacing w:after="40" w:before="40"/>
            </w:pPr>
            <w:r/>
            <w:r>
              <w:rPr>
                <w:b w:val="0"/>
                <w:sz w:val="19"/>
              </w:rPr>
              <w:t>Refund or re-credit any overcharged contribution within [10 business days].</w:t>
            </w:r>
          </w:p>
        </w:tc>
        <w:tc>
          <w:tcPr>
            <w:tcW w:type="dxa" w:w="2304"/>
          </w:tcPr>
          <w:p>
            <w:pPr>
              <w:spacing w:after="40" w:before="40"/>
            </w:pPr>
            <w:r/>
            <w:r>
              <w:rPr>
                <w:b w:val="0"/>
                <w:sz w:val="19"/>
              </w:rPr>
              <w:t>[Finance Manager]</w:t>
            </w:r>
          </w:p>
        </w:tc>
        <w:tc>
          <w:tcPr>
            <w:tcW w:type="dxa" w:w="2520"/>
          </w:tcPr>
          <w:p>
            <w:pPr>
              <w:spacing w:after="40" w:before="40"/>
            </w:pPr>
            <w:r/>
            <w:r>
              <w:rPr>
                <w:b w:val="0"/>
                <w:sz w:val="19"/>
              </w:rPr>
              <w:t>Payment record and participant confirmation</w:t>
            </w:r>
          </w:p>
        </w:tc>
      </w:tr>
      <w:tr>
        <w:tc>
          <w:tcPr>
            <w:tcW w:type="dxa" w:w="648"/>
          </w:tcPr>
          <w:p>
            <w:pPr>
              <w:spacing w:after="40" w:before="40"/>
            </w:pPr>
            <w:r/>
            <w:r>
              <w:rPr>
                <w:b w:val="0"/>
                <w:sz w:val="19"/>
              </w:rPr>
              <w:t>7</w:t>
            </w:r>
          </w:p>
        </w:tc>
        <w:tc>
          <w:tcPr>
            <w:tcW w:type="dxa" w:w="4392"/>
          </w:tcPr>
          <w:p>
            <w:pPr>
              <w:spacing w:after="40" w:before="40"/>
            </w:pPr>
            <w:r/>
            <w:r>
              <w:rPr>
                <w:b w:val="0"/>
                <w:sz w:val="19"/>
              </w:rPr>
              <w:t>Check whether the same cause affected other participants, and review that batch.</w:t>
            </w:r>
          </w:p>
        </w:tc>
        <w:tc>
          <w:tcPr>
            <w:tcW w:type="dxa" w:w="2304"/>
          </w:tcPr>
          <w:p>
            <w:pPr>
              <w:spacing w:after="40" w:before="40"/>
            </w:pPr>
            <w:r/>
            <w:r>
              <w:rPr>
                <w:b w:val="0"/>
                <w:sz w:val="19"/>
              </w:rPr>
              <w:t>Quality Manager</w:t>
            </w:r>
          </w:p>
        </w:tc>
        <w:tc>
          <w:tcPr>
            <w:tcW w:type="dxa" w:w="2520"/>
          </w:tcPr>
          <w:p>
            <w:pPr>
              <w:spacing w:after="40" w:before="40"/>
            </w:pPr>
            <w:r/>
            <w:r>
              <w:rPr>
                <w:b w:val="0"/>
                <w:sz w:val="19"/>
              </w:rPr>
              <w:t>Scope note and batch review outcome</w:t>
            </w:r>
          </w:p>
        </w:tc>
      </w:tr>
      <w:tr>
        <w:tc>
          <w:tcPr>
            <w:tcW w:type="dxa" w:w="648"/>
          </w:tcPr>
          <w:p>
            <w:pPr>
              <w:spacing w:after="40" w:before="40"/>
            </w:pPr>
            <w:r/>
            <w:r>
              <w:rPr>
                <w:b w:val="0"/>
                <w:sz w:val="19"/>
              </w:rPr>
              <w:t>8</w:t>
            </w:r>
          </w:p>
        </w:tc>
        <w:tc>
          <w:tcPr>
            <w:tcW w:type="dxa" w:w="4392"/>
          </w:tcPr>
          <w:p>
            <w:pPr>
              <w:spacing w:after="40" w:before="40"/>
            </w:pPr>
            <w:r/>
            <w:r>
              <w:rPr>
                <w:b w:val="0"/>
                <w:sz w:val="19"/>
              </w:rPr>
              <w:t>Record the cause and the fix, and report repeat themes to the [Board].</w:t>
            </w:r>
          </w:p>
        </w:tc>
        <w:tc>
          <w:tcPr>
            <w:tcW w:type="dxa" w:w="2304"/>
          </w:tcPr>
          <w:p>
            <w:pPr>
              <w:spacing w:after="40" w:before="40"/>
            </w:pPr>
            <w:r/>
            <w:r>
              <w:rPr>
                <w:b w:val="0"/>
                <w:sz w:val="19"/>
              </w:rPr>
              <w:t>Quality Manager</w:t>
            </w:r>
          </w:p>
        </w:tc>
        <w:tc>
          <w:tcPr>
            <w:tcW w:type="dxa" w:w="2520"/>
          </w:tcPr>
          <w:p>
            <w:pPr>
              <w:spacing w:after="40" w:before="40"/>
            </w:pPr>
            <w:r/>
            <w:r>
              <w:rPr>
                <w:b w:val="0"/>
                <w:sz w:val="19"/>
              </w:rPr>
              <w:t>Continuous improvement register</w:t>
            </w:r>
          </w:p>
        </w:tc>
      </w:tr>
    </w:tbl>
    <w:p>
      <w:r>
        <w:rPr>
          <w:b w:val="0"/>
        </w:rPr>
        <w:t>Where the participant remains dissatisfied, handle the matter under the Feedback and Complaints Management Policy. Where an error caused financial harm, apply open disclosure: say what happened, apologise, and set out the fix.</w:t>
      </w:r>
    </w:p>
    <w:p>
      <w:pPr>
        <w:spacing w:before="240" w:after="100"/>
      </w:pPr>
      <w:r>
        <w:rPr>
          <w:b/>
          <w:sz w:val="26"/>
        </w:rPr>
        <w:t>7. Related Policies</w:t>
      </w:r>
    </w:p>
    <w:p>
      <w:pPr>
        <w:pStyle w:val="ListBullet"/>
        <w:spacing w:after="60"/>
      </w:pPr>
      <w:r>
        <w:t>Fee Transparency and Financial Governance Policy</w:t>
      </w:r>
    </w:p>
    <w:p>
      <w:pPr>
        <w:pStyle w:val="ListBullet"/>
        <w:spacing w:after="60"/>
      </w:pPr>
      <w:r>
        <w:t>Record Keeping Policy</w:t>
      </w:r>
    </w:p>
    <w:p>
      <w:pPr>
        <w:pStyle w:val="ListBullet"/>
        <w:spacing w:after="60"/>
      </w:pPr>
      <w:r>
        <w:t>Feedback and Complaints Management Policy</w:t>
      </w:r>
    </w:p>
    <w:p>
      <w:pPr>
        <w:pStyle w:val="ListBullet"/>
        <w:spacing w:after="60"/>
      </w:pPr>
      <w:r>
        <w:t>Open Disclosure Policy</w:t>
      </w:r>
    </w:p>
    <w:p>
      <w:pPr>
        <w:pStyle w:val="ListBullet"/>
        <w:spacing w:after="60"/>
      </w:pPr>
      <w:r>
        <w:t>Consumer Rights, Dignity and Choice Policy</w:t>
      </w:r>
    </w:p>
    <w:p>
      <w:pPr>
        <w:pStyle w:val="ListBullet"/>
        <w:spacing w:after="60"/>
      </w:pPr>
      <w:r>
        <w:t>Privacy and Confidentiality Policy</w:t>
      </w:r>
    </w:p>
    <w:p>
      <w:pPr>
        <w:spacing w:before="240" w:after="100"/>
      </w:pPr>
      <w:r>
        <w:rPr>
          <w:b/>
          <w:sz w:val="26"/>
        </w:rPr>
        <w:t>8. Relevant Legislation and Standards</w:t>
      </w:r>
    </w:p>
    <w:p>
      <w:pPr>
        <w:pStyle w:val="ListBullet"/>
        <w:spacing w:after="60"/>
      </w:pPr>
      <w:r>
        <w:t>Aged Care Act 2024 (Cth)</w:t>
      </w:r>
    </w:p>
    <w:p>
      <w:pPr>
        <w:pStyle w:val="ListBullet"/>
        <w:spacing w:after="60"/>
      </w:pPr>
      <w:r>
        <w:t>Support at Home program manual - A guide for registered providers (version 4.0, December 2025), chapter on participant statements</w:t>
      </w:r>
    </w:p>
    <w:p>
      <w:pPr>
        <w:pStyle w:val="ListBullet"/>
        <w:spacing w:after="60"/>
      </w:pPr>
      <w:r>
        <w:t>Strengthened Aged Care Quality Standards</w:t>
      </w:r>
    </w:p>
    <w:p>
      <w:pPr>
        <w:pStyle w:val="ListBullet"/>
        <w:spacing w:after="60"/>
      </w:pPr>
      <w:r>
        <w:t>Aged Care Quality and Safety Commission registered provider obligations</w:t>
      </w:r>
    </w:p>
    <w:p>
      <w:pPr>
        <w:pStyle w:val="ListBullet"/>
        <w:spacing w:after="60"/>
      </w:pPr>
      <w:r>
        <w:t>My Aged Care service price publication requirements</w:t>
      </w:r>
    </w:p>
    <w:p>
      <w:pPr>
        <w:spacing w:before="240" w:after="100"/>
      </w:pPr>
      <w:r>
        <w:rPr>
          <w:b/>
          <w:sz w:val="26"/>
        </w:rPr>
        <w:t>9. Monitoring and Review</w:t>
      </w:r>
    </w:p>
    <w:p>
      <w:r>
        <w:rPr>
          <w:b w:val="0"/>
        </w:rPr>
        <w:t>[Organisation Name] reports monthly to the [Executive] and quarterly to the [Board] on statements issued, statements issued late, checklists carrying one or more N results, corrected statements reissued, and the value of refunds or re-credits. The [Finance Manager] audits a sample of [10] completed checklists each quarter against the underlying delivery and claiming records, and reports exceptions through the continuous improvement register. This checklist is reviewed annually, and sooner if the Support at Home program manual, the published price list, or contribution settings change.</w:t>
      </w:r>
    </w:p>
    <w:p>
      <w:pPr>
        <w:spacing w:before="280" w:after="100"/>
      </w:pPr>
      <w:r>
        <w:rPr>
          <w:b/>
          <w:sz w:val="24"/>
        </w:rPr>
        <w:t>Document Control</w:t>
      </w:r>
    </w:p>
    <w:tbl>
      <w:tblPr>
        <w:tblStyle w:val="TableGrid"/>
        <w:tblW w:type="auto" w:w="0"/>
        <w:jc w:val="left"/>
        <w:tblLook w:firstColumn="1" w:firstRow="1" w:lastColumn="0" w:lastRow="0" w:noHBand="0" w:noVBand="1" w:val="04A0"/>
      </w:tblPr>
      <w:tblGrid>
        <w:gridCol w:w="2412"/>
        <w:gridCol w:w="2412"/>
        <w:gridCol w:w="2412"/>
        <w:gridCol w:w="2412"/>
      </w:tblGrid>
      <w:tr>
        <w:tc>
          <w:tcPr>
            <w:tcW w:type="dxa" w:w="2736"/>
            <w:shd w:val="clear" w:color="auto" w:fill="D9E2F3"/>
          </w:tcPr>
          <w:p>
            <w:pPr>
              <w:spacing w:after="40" w:before="40"/>
            </w:pPr>
            <w:r/>
            <w:r>
              <w:rPr>
                <w:b/>
                <w:sz w:val="19"/>
              </w:rPr>
              <w:t>Reviewed By</w:t>
            </w:r>
          </w:p>
        </w:tc>
        <w:tc>
          <w:tcPr>
            <w:tcW w:type="dxa" w:w="2736"/>
            <w:shd w:val="clear" w:color="auto" w:fill="D9E2F3"/>
          </w:tcPr>
          <w:p>
            <w:pPr>
              <w:spacing w:after="40" w:before="40"/>
            </w:pPr>
            <w:r/>
            <w:r>
              <w:rPr>
                <w:b/>
                <w:sz w:val="19"/>
              </w:rPr>
              <w:t>Role</w:t>
            </w:r>
          </w:p>
        </w:tc>
        <w:tc>
          <w:tcPr>
            <w:tcW w:type="dxa" w:w="2160"/>
            <w:shd w:val="clear" w:color="auto" w:fill="D9E2F3"/>
          </w:tcPr>
          <w:p>
            <w:pPr>
              <w:spacing w:after="40" w:before="40"/>
            </w:pPr>
            <w:r/>
            <w:r>
              <w:rPr>
                <w:b/>
                <w:sz w:val="19"/>
              </w:rPr>
              <w:t>Date</w:t>
            </w:r>
          </w:p>
        </w:tc>
        <w:tc>
          <w:tcPr>
            <w:tcW w:type="dxa" w:w="2232"/>
            <w:shd w:val="clear" w:color="auto" w:fill="D9E2F3"/>
          </w:tcPr>
          <w:p>
            <w:pPr>
              <w:spacing w:after="40" w:before="40"/>
            </w:pPr>
            <w:r/>
            <w:r>
              <w:rPr>
                <w:b/>
                <w:sz w:val="19"/>
              </w:rPr>
              <w:t>Signature</w:t>
            </w:r>
          </w:p>
        </w:tc>
      </w:tr>
      <w:tr>
        <w:tc>
          <w:tcPr>
            <w:tcW w:type="dxa" w:w="2736"/>
          </w:tcPr>
          <w:p>
            <w:pPr>
              <w:spacing w:after="40" w:before="40"/>
            </w:pPr>
            <w:r/>
            <w:r>
              <w:rPr>
                <w:b w:val="0"/>
                <w:sz w:val="19"/>
              </w:rPr>
            </w:r>
          </w:p>
        </w:tc>
        <w:tc>
          <w:tcPr>
            <w:tcW w:type="dxa" w:w="2736"/>
          </w:tcPr>
          <w:p>
            <w:pPr>
              <w:spacing w:after="40" w:before="40"/>
            </w:pPr>
            <w:r/>
            <w:r>
              <w:rPr>
                <w:b w:val="0"/>
                <w:sz w:val="19"/>
              </w:rPr>
            </w:r>
          </w:p>
        </w:tc>
        <w:tc>
          <w:tcPr>
            <w:tcW w:type="dxa" w:w="2160"/>
          </w:tcPr>
          <w:p>
            <w:pPr>
              <w:spacing w:after="40" w:before="40"/>
            </w:pPr>
            <w:r/>
            <w:r>
              <w:rPr>
                <w:b w:val="0"/>
                <w:sz w:val="19"/>
              </w:rPr>
            </w:r>
          </w:p>
        </w:tc>
        <w:tc>
          <w:tcPr>
            <w:tcW w:type="dxa" w:w="2232"/>
          </w:tcPr>
          <w:p>
            <w:pPr>
              <w:spacing w:after="40" w:before="40"/>
            </w:pPr>
            <w:r/>
            <w:r>
              <w:rPr>
                <w:b w:val="0"/>
                <w:sz w:val="19"/>
              </w:rPr>
            </w:r>
          </w:p>
        </w:tc>
      </w:tr>
      <w:tr>
        <w:tc>
          <w:tcPr>
            <w:tcW w:type="dxa" w:w="2736"/>
          </w:tcPr>
          <w:p>
            <w:pPr>
              <w:spacing w:after="40" w:before="40"/>
            </w:pPr>
            <w:r/>
            <w:r>
              <w:rPr>
                <w:b w:val="0"/>
                <w:sz w:val="19"/>
              </w:rPr>
              <w:t>Approved By</w:t>
            </w:r>
          </w:p>
        </w:tc>
        <w:tc>
          <w:tcPr>
            <w:tcW w:type="dxa" w:w="2736"/>
          </w:tcPr>
          <w:p>
            <w:pPr>
              <w:spacing w:after="40" w:before="40"/>
            </w:pPr>
            <w:r/>
            <w:r>
              <w:rPr>
                <w:b w:val="0"/>
                <w:sz w:val="19"/>
              </w:rPr>
              <w:t>Role</w:t>
            </w:r>
          </w:p>
        </w:tc>
        <w:tc>
          <w:tcPr>
            <w:tcW w:type="dxa" w:w="2160"/>
          </w:tcPr>
          <w:p>
            <w:pPr>
              <w:spacing w:after="40" w:before="40"/>
            </w:pPr>
            <w:r/>
            <w:r>
              <w:rPr>
                <w:b w:val="0"/>
                <w:sz w:val="19"/>
              </w:rPr>
              <w:t>Date</w:t>
            </w:r>
          </w:p>
        </w:tc>
        <w:tc>
          <w:tcPr>
            <w:tcW w:type="dxa" w:w="2232"/>
          </w:tcPr>
          <w:p>
            <w:pPr>
              <w:spacing w:after="40" w:before="40"/>
            </w:pPr>
            <w:r/>
            <w:r>
              <w:rPr>
                <w:b w:val="0"/>
                <w:sz w:val="19"/>
              </w:rPr>
              <w:t>Signature</w:t>
            </w:r>
          </w:p>
        </w:tc>
      </w:tr>
      <w:tr>
        <w:tc>
          <w:tcPr>
            <w:tcW w:type="dxa" w:w="2736"/>
          </w:tcPr>
          <w:p>
            <w:pPr>
              <w:spacing w:after="40" w:before="40"/>
            </w:pPr>
            <w:r/>
            <w:r>
              <w:rPr>
                <w:b w:val="0"/>
                <w:sz w:val="19"/>
              </w:rPr>
            </w:r>
          </w:p>
        </w:tc>
        <w:tc>
          <w:tcPr>
            <w:tcW w:type="dxa" w:w="2736"/>
          </w:tcPr>
          <w:p>
            <w:pPr>
              <w:spacing w:after="40" w:before="40"/>
            </w:pPr>
            <w:r/>
            <w:r>
              <w:rPr>
                <w:b w:val="0"/>
                <w:sz w:val="19"/>
              </w:rPr>
            </w:r>
          </w:p>
        </w:tc>
        <w:tc>
          <w:tcPr>
            <w:tcW w:type="dxa" w:w="2160"/>
          </w:tcPr>
          <w:p>
            <w:pPr>
              <w:spacing w:after="40" w:before="40"/>
            </w:pPr>
            <w:r/>
            <w:r>
              <w:rPr>
                <w:b w:val="0"/>
                <w:sz w:val="19"/>
              </w:rPr>
            </w:r>
          </w:p>
        </w:tc>
        <w:tc>
          <w:tcPr>
            <w:tcW w:type="dxa" w:w="2232"/>
          </w:tcPr>
          <w:p>
            <w:pPr>
              <w:spacing w:after="40" w:before="40"/>
            </w:pPr>
            <w:r/>
            <w:r>
              <w:rPr>
                <w:b w:val="0"/>
                <w:sz w:val="19"/>
              </w:rPr>
            </w:r>
          </w:p>
        </w:tc>
      </w:tr>
    </w:tbl>
    <w:sectPr w:rsidR="00FC693F" w:rsidRPr="0006063C" w:rsidSect="00034616">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