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32"/>
        </w:rPr>
        <w:t>[Organisation Name] - Support at Home Service Agreement Policy</w:t>
      </w:r>
    </w:p>
    <w:tbl>
      <w:tblPr>
        <w:tblStyle w:val="TableGrid"/>
        <w:tblW w:type="auto" w:w="0"/>
        <w:jc w:val="left"/>
        <w:tblLook w:firstColumn="1" w:firstRow="1" w:lastColumn="0" w:lastRow="0" w:noHBand="0" w:noVBand="1" w:val="04A0"/>
      </w:tblPr>
      <w:tblGrid>
        <w:gridCol w:w="2340"/>
        <w:gridCol w:w="2340"/>
        <w:gridCol w:w="2340"/>
        <w:gridCol w:w="2340"/>
      </w:tblGrid>
      <w:tr>
        <w:tc>
          <w:tcPr>
            <w:tcW w:type="dxa" w:w="2016"/>
          </w:tcPr>
          <w:p>
            <w:pPr>
              <w:spacing w:after="40"/>
            </w:pPr>
            <w:r/>
            <w:r>
              <w:rPr>
                <w:b/>
              </w:rPr>
              <w:t>Policy Number</w:t>
            </w:r>
          </w:p>
        </w:tc>
        <w:tc>
          <w:tcPr>
            <w:tcW w:type="dxa" w:w="3312"/>
          </w:tcPr>
          <w:p>
            <w:pPr>
              <w:spacing w:after="40"/>
            </w:pPr>
            <w:r/>
            <w:r>
              <w:t>[e.g. SAH-001]</w:t>
            </w:r>
          </w:p>
        </w:tc>
        <w:tc>
          <w:tcPr>
            <w:tcW w:type="dxa" w:w="1728"/>
          </w:tcPr>
          <w:p>
            <w:pPr>
              <w:spacing w:after="40"/>
            </w:pPr>
            <w:r/>
            <w:r>
              <w:rPr>
                <w:b/>
              </w:rPr>
              <w:t>Version</w:t>
            </w:r>
          </w:p>
        </w:tc>
        <w:tc>
          <w:tcPr>
            <w:tcW w:type="dxa" w:w="2304"/>
          </w:tcPr>
          <w:p>
            <w:pPr>
              <w:spacing w:after="40"/>
            </w:pPr>
            <w:r/>
            <w:r>
              <w:t>1.0</w:t>
            </w:r>
          </w:p>
        </w:tc>
      </w:tr>
      <w:tr>
        <w:tc>
          <w:tcPr>
            <w:tcW w:type="dxa" w:w="2016"/>
          </w:tcPr>
          <w:p>
            <w:pPr>
              <w:spacing w:after="40"/>
            </w:pPr>
            <w:r/>
            <w:r>
              <w:rPr>
                <w:b/>
              </w:rPr>
              <w:t>Effective Date</w:t>
            </w:r>
          </w:p>
        </w:tc>
        <w:tc>
          <w:tcPr>
            <w:tcW w:type="dxa" w:w="3312"/>
          </w:tcPr>
          <w:p>
            <w:pPr>
              <w:spacing w:after="40"/>
            </w:pPr>
            <w:r/>
            <w:r>
              <w:t>[DD/MM/YYYY]</w:t>
            </w:r>
          </w:p>
        </w:tc>
        <w:tc>
          <w:tcPr>
            <w:tcW w:type="dxa" w:w="1728"/>
          </w:tcPr>
          <w:p>
            <w:pPr>
              <w:spacing w:after="40"/>
            </w:pPr>
            <w:r/>
            <w:r>
              <w:rPr>
                <w:b/>
              </w:rPr>
              <w:t>Review Date</w:t>
            </w:r>
          </w:p>
        </w:tc>
        <w:tc>
          <w:tcPr>
            <w:tcW w:type="dxa" w:w="2304"/>
          </w:tcPr>
          <w:p>
            <w:pPr>
              <w:spacing w:after="40"/>
            </w:pPr>
            <w:r/>
            <w:r>
              <w:t>[DD/MM/YYYY]</w:t>
            </w:r>
          </w:p>
        </w:tc>
      </w:tr>
      <w:tr>
        <w:tc>
          <w:tcPr>
            <w:tcW w:type="dxa" w:w="2016"/>
          </w:tcPr>
          <w:p>
            <w:pPr>
              <w:spacing w:after="40"/>
            </w:pPr>
            <w:r/>
            <w:r>
              <w:rPr>
                <w:b/>
              </w:rPr>
              <w:t>Policy Owner</w:t>
            </w:r>
          </w:p>
        </w:tc>
        <w:tc>
          <w:tcPr>
            <w:tcW w:type="dxa" w:w="3312"/>
          </w:tcPr>
          <w:p>
            <w:pPr>
              <w:spacing w:after="40"/>
            </w:pPr>
            <w:r/>
            <w:r>
              <w:t>[Quality and Compliance Manager]</w:t>
            </w:r>
          </w:p>
        </w:tc>
        <w:tc>
          <w:tcPr>
            <w:tcW w:type="dxa" w:w="1728"/>
          </w:tcPr>
          <w:p>
            <w:pPr>
              <w:spacing w:after="40"/>
            </w:pPr>
            <w:r/>
            <w:r>
              <w:rPr>
                <w:b/>
              </w:rPr>
              <w:t>Approved By</w:t>
            </w:r>
          </w:p>
        </w:tc>
        <w:tc>
          <w:tcPr>
            <w:tcW w:type="dxa" w:w="2304"/>
          </w:tcPr>
          <w:p>
            <w:pPr>
              <w:spacing w:after="40"/>
            </w:pPr>
            <w:r/>
            <w:r>
              <w:t>[Board]</w:t>
            </w:r>
          </w:p>
        </w:tc>
      </w:tr>
    </w:tbl>
    <w:p>
      <w:pPr>
        <w:spacing w:after="40"/>
      </w:pPr>
    </w:p>
    <w:p>
      <w:pPr>
        <w:spacing w:before="240" w:after="80"/>
      </w:pPr>
      <w:r>
        <w:rPr>
          <w:b/>
          <w:sz w:val="26"/>
        </w:rPr>
        <w:t>1. Purpose</w:t>
      </w:r>
    </w:p>
    <w:p>
      <w:r>
        <w:t>This policy sets out how [Organisation Name] develops, explains, agrees, varies and retains the written service agreement held with every Support at Home participant. It defines the content each agreement must carry, the steps completed before the first service, and the records that show the agreement matches what is delivered and charged.</w:t>
      </w:r>
    </w:p>
    <w:p>
      <w:r>
        <w:t>Support at Home commenced on 1 November 2025 under the Aged Care Act 2024 (Cth), replacing the Home Care Packages (HCP) Program and the Short-Term Restorative Care Programme.</w:t>
      </w:r>
    </w:p>
    <w:p>
      <w:pPr>
        <w:spacing w:before="240" w:after="80"/>
      </w:pPr>
      <w:r>
        <w:rPr>
          <w:b/>
          <w:sz w:val="26"/>
        </w:rPr>
        <w:t>2. Scope</w:t>
      </w:r>
    </w:p>
    <w:p>
      <w:r>
        <w:t>This policy applies to every Support at Home participant of [Organisation Name] and to every worker, contractor or associated provider who drafts, explains, signs, varies or stores a service agreement. It covers:</w:t>
      </w:r>
    </w:p>
    <w:p>
      <w:pPr>
        <w:pStyle w:val="ListBullet"/>
        <w:spacing w:after="60"/>
      </w:pPr>
      <w:r>
        <w:t>new participants entering Support at Home through a My Aged Care referral;</w:t>
      </w:r>
    </w:p>
    <w:p>
      <w:pPr>
        <w:pStyle w:val="ListBullet"/>
        <w:spacing w:after="60"/>
      </w:pPr>
      <w:r>
        <w:t>participants who transitioned from a Home Care Package and hold an existing Home Care Agreement;</w:t>
      </w:r>
    </w:p>
    <w:p>
      <w:pPr>
        <w:pStyle w:val="ListBullet"/>
        <w:spacing w:after="60"/>
      </w:pPr>
      <w:r>
        <w:t>participants funded through the 8 ongoing classifications or the 4 transitioned HCP classifications;</w:t>
      </w:r>
    </w:p>
    <w:p>
      <w:pPr>
        <w:pStyle w:val="ListBullet"/>
        <w:spacing w:after="60"/>
      </w:pPr>
      <w:r>
        <w:t>participants on a short-term pathway: Assistive Technology and Home Modifications (AT-HM), the Restorative Care Pathway or the End-of-Life Pathway; and</w:t>
      </w:r>
    </w:p>
    <w:p>
      <w:pPr>
        <w:pStyle w:val="ListBullet"/>
        <w:spacing w:after="60"/>
      </w:pPr>
      <w:r>
        <w:t>self-managing participants, because accountability for regulatory obligations stays with [Organisation Name] as the registered provider.</w:t>
      </w:r>
    </w:p>
    <w:p>
      <w:r>
        <w:t>Commonwealth Home Support Programme (CHSP) clients remain covered by [Organisation Name]'s CHSP agreements until that program transitions, no earlier than 1 July 2027.</w:t>
      </w:r>
    </w:p>
    <w:p>
      <w:pPr>
        <w:spacing w:before="240" w:after="80"/>
      </w:pPr>
      <w:r>
        <w:rPr>
          <w:b/>
          <w:sz w:val="26"/>
        </w:rPr>
        <w:t>3. Policy Statement</w:t>
      </w:r>
    </w:p>
    <w:p>
      <w:r>
        <w:t>[Organisation Name] will not commence a Support at Home service until a written agreement has been agreed with the participant. Under the single provider model each participant is linked to one registered provider that holds the agreement and coordinates, delivers and claims for all of their services.</w:t>
      </w:r>
    </w:p>
    <w:p>
      <w:r>
        <w:t>[Organisation Name] commits that:</w:t>
      </w:r>
    </w:p>
    <w:p>
      <w:pPr>
        <w:pStyle w:val="ListBullet"/>
        <w:spacing w:after="60"/>
      </w:pPr>
      <w:r>
        <w:t>every agreement is in writing and is agreed before the first service is delivered;</w:t>
      </w:r>
    </w:p>
    <w:p>
      <w:pPr>
        <w:pStyle w:val="ListBullet"/>
        <w:spacing w:after="60"/>
      </w:pPr>
      <w:r>
        <w:t>every agreement states what services will be provided, who will provide them, the responsibilities of each party, and how much the services cost;</w:t>
      </w:r>
    </w:p>
    <w:p>
      <w:pPr>
        <w:pStyle w:val="ListBullet"/>
        <w:spacing w:after="60"/>
      </w:pPr>
      <w:r>
        <w:t>every agreement is in plain, readily understandable language and is explained with an interpreter, supporter or advocate present whenever the participant wants one;</w:t>
      </w:r>
    </w:p>
    <w:p>
      <w:pPr>
        <w:pStyle w:val="ListBullet"/>
        <w:spacing w:after="60"/>
      </w:pPr>
      <w:r>
        <w:t>nothing is charged on a basis that is not written in the agreement or an agreed variation;</w:t>
      </w:r>
    </w:p>
    <w:p>
      <w:pPr>
        <w:pStyle w:val="ListBullet"/>
        <w:spacing w:after="60"/>
      </w:pPr>
      <w:r>
        <w:t>agreements are varied and re-agreed whenever the services, classification or cost change; and</w:t>
      </w:r>
    </w:p>
    <w:p>
      <w:pPr>
        <w:pStyle w:val="ListBullet"/>
        <w:spacing w:after="60"/>
      </w:pPr>
      <w:r>
        <w:t>signed agreements and every superseded version are retained with a clear version history.</w:t>
      </w:r>
    </w:p>
    <w:p>
      <w:pPr>
        <w:spacing w:before="240" w:after="80"/>
      </w:pPr>
      <w:r>
        <w:rPr>
          <w:b/>
          <w:sz w:val="26"/>
        </w:rPr>
        <w:t>4. Definitions</w:t>
      </w:r>
    </w:p>
    <w:p>
      <w:pPr>
        <w:pStyle w:val="ListBullet"/>
        <w:spacing w:after="60"/>
      </w:pPr>
      <w:r>
        <w:rPr>
          <w:b/>
        </w:rPr>
        <w:t xml:space="preserve">Service agreement: </w:t>
      </w:r>
      <w:r>
        <w:t>The written agreement covering the services to be provided, who provides them, the responsibilities of each party and the cost.</w:t>
      </w:r>
    </w:p>
    <w:p>
      <w:pPr>
        <w:pStyle w:val="ListBullet"/>
        <w:spacing w:after="60"/>
      </w:pPr>
      <w:r>
        <w:rPr>
          <w:b/>
        </w:rPr>
        <w:t xml:space="preserve">Care partner: </w:t>
      </w:r>
      <w:r>
        <w:t>The named worker who develops the care plan with the participant. The role replaces the former title of care manager.</w:t>
      </w:r>
    </w:p>
    <w:p>
      <w:pPr>
        <w:pStyle w:val="ListBullet"/>
        <w:spacing w:after="60"/>
      </w:pPr>
      <w:r>
        <w:rPr>
          <w:b/>
        </w:rPr>
        <w:t xml:space="preserve">Supporter: </w:t>
      </w:r>
      <w:r>
        <w:t>A person the participant chooses, or who is registered, to help them understand decisions and communicate choices, without displacing the participant's own decision making.</w:t>
      </w:r>
    </w:p>
    <w:p>
      <w:pPr>
        <w:pStyle w:val="ListBullet"/>
        <w:spacing w:after="60"/>
      </w:pPr>
      <w:r>
        <w:rPr>
          <w:b/>
        </w:rPr>
        <w:t xml:space="preserve">Classification: </w:t>
      </w:r>
      <w:r>
        <w:t>The funding level assigned following assessment. A classification amount is divided into 4 quarterly budgets, each covering 3 months.</w:t>
      </w:r>
    </w:p>
    <w:p>
      <w:pPr>
        <w:pStyle w:val="ListBullet"/>
        <w:spacing w:after="60"/>
      </w:pPr>
      <w:r>
        <w:rPr>
          <w:b/>
        </w:rPr>
        <w:t xml:space="preserve">Quarterly budget: </w:t>
      </w:r>
      <w:r>
        <w:t>The funds available for a 3 month period. A participant may carry unspent funds between quarters up to $1,000 or 10 per cent of the quarterly budget, whichever is higher.</w:t>
      </w:r>
    </w:p>
    <w:p>
      <w:pPr>
        <w:pStyle w:val="ListBullet"/>
        <w:spacing w:after="60"/>
      </w:pPr>
      <w:r>
        <w:rPr>
          <w:b/>
        </w:rPr>
        <w:t xml:space="preserve">Start notification: </w:t>
      </w:r>
      <w:r>
        <w:t>The notification submitted to Services Australia recording that services have started.</w:t>
      </w:r>
    </w:p>
    <w:p>
      <w:pPr>
        <w:spacing w:before="240" w:after="80"/>
      </w:pPr>
      <w:r>
        <w:rPr>
          <w:b/>
          <w:sz w:val="26"/>
        </w:rPr>
        <w:t>5. Developing, Agreeing and Maintaining the Service Agreement</w:t>
      </w:r>
    </w:p>
    <w:p>
      <w:pPr>
        <w:spacing w:before="160" w:after="60"/>
      </w:pPr>
      <w:r>
        <w:rPr>
          <w:b/>
          <w:sz w:val="23"/>
        </w:rPr>
        <w:t>5.1 Mandatory content of every agreement</w:t>
      </w:r>
    </w:p>
    <w:p>
      <w:r>
        <w:t>Every service agreement issued by [Organisation Name] must set out, as a minimum, the four matters required of a Support at Home service agreement:</w:t>
      </w:r>
    </w:p>
    <w:p>
      <w:pPr>
        <w:pStyle w:val="ListBullet"/>
        <w:spacing w:after="60"/>
      </w:pPr>
      <w:r>
        <w:rPr>
          <w:b/>
        </w:rPr>
        <w:t xml:space="preserve">What services will be provided: </w:t>
      </w:r>
      <w:r>
        <w:t>each service by name, the quantity or frequency, the expected duration and the agreed days or times.</w:t>
      </w:r>
    </w:p>
    <w:p>
      <w:pPr>
        <w:pStyle w:val="ListBullet"/>
        <w:spacing w:after="60"/>
      </w:pPr>
      <w:r>
        <w:rPr>
          <w:b/>
        </w:rPr>
        <w:t xml:space="preserve">Who will provide them: </w:t>
      </w:r>
      <w:r>
        <w:t>[Organisation Name] as the registered provider holding the agreement, plus the named care partner and any contracted or associated provider attending the home.</w:t>
      </w:r>
    </w:p>
    <w:p>
      <w:pPr>
        <w:pStyle w:val="ListBullet"/>
        <w:spacing w:after="60"/>
      </w:pPr>
      <w:r>
        <w:rPr>
          <w:b/>
        </w:rPr>
        <w:t xml:space="preserve">The responsibilities of each party: </w:t>
      </w:r>
      <w:r>
        <w:t>the participant's part, including home access, cancellation notice and telling [Organisation Name] about changed circumstances; and [Organisation Name]'s part, including allocating a care partner, delivering the agreed services, monitoring the budget and handling complaints.</w:t>
      </w:r>
    </w:p>
    <w:p>
      <w:pPr>
        <w:pStyle w:val="ListBullet"/>
        <w:spacing w:after="60"/>
      </w:pPr>
      <w:r>
        <w:rPr>
          <w:b/>
        </w:rPr>
        <w:t xml:space="preserve">How much the services cost: </w:t>
      </w:r>
      <w:r>
        <w:t>the price of each service, any contribution payable, and how and when invoices and monthly statements are issued.</w:t>
      </w:r>
    </w:p>
    <w:p>
      <w:r>
        <w:t>[Organisation Name] also includes the classification and current quarterly budget, care management arrangements, complaints and advocacy contacts, privacy terms, notice periods, and how the agreement is varied or ended. The price schedule and care plan are attached as named schedules, each updated under version control.</w:t>
      </w:r>
    </w:p>
    <w:p>
      <w:pPr>
        <w:spacing w:before="160" w:after="60"/>
      </w:pPr>
      <w:r>
        <w:rPr>
          <w:b/>
          <w:sz w:val="23"/>
        </w:rPr>
        <w:t>5.2 Preparing the agreement before services begin</w:t>
      </w:r>
    </w:p>
    <w:p>
      <w:pPr>
        <w:pStyle w:val="ListBullet"/>
        <w:spacing w:after="60"/>
      </w:pPr>
      <w:r>
        <w:t>On receipt of a referral and support plan, the [Intake Officer] records the participant, classification and pathway in [client management system] within [1 business day].</w:t>
      </w:r>
    </w:p>
    <w:p>
      <w:pPr>
        <w:pStyle w:val="ListBullet"/>
        <w:spacing w:after="60"/>
      </w:pPr>
      <w:r>
        <w:t>The [Service Manager] allocates a named care partner, who contacts the participant within [2 business days] to arrange a home visit.</w:t>
      </w:r>
    </w:p>
    <w:p>
      <w:pPr>
        <w:pStyle w:val="ListBullet"/>
        <w:spacing w:after="60"/>
      </w:pPr>
      <w:r>
        <w:t>The care partner drafts the agreement from the support plan, care plan and current price schedule, and checks the proposed service mix against the quarterly budget first.</w:t>
      </w:r>
    </w:p>
    <w:p>
      <w:pPr>
        <w:pStyle w:val="ListBullet"/>
        <w:spacing w:after="60"/>
      </w:pPr>
      <w:r>
        <w:t>The draft agreement and price schedule are given to the participant at least [2 business days] before signing, so they can consider them and speak with family, a supporter or an advocate.</w:t>
      </w:r>
    </w:p>
    <w:p>
      <w:pPr>
        <w:spacing w:before="160" w:after="60"/>
      </w:pPr>
      <w:r>
        <w:rPr>
          <w:b/>
          <w:sz w:val="23"/>
        </w:rPr>
        <w:t>5.3 Plain language and explanation</w:t>
      </w:r>
    </w:p>
    <w:p>
      <w:r>
        <w:t>Agreements use short sentences and everyday Australian English, with every program term defined at first use. The care partner explains the agreement in person and records the date, who was present, and the questions asked and answered. The participant is offered:</w:t>
      </w:r>
    </w:p>
    <w:p>
      <w:pPr>
        <w:pStyle w:val="ListBullet"/>
        <w:spacing w:after="60"/>
      </w:pPr>
      <w:r>
        <w:t>an interpreter through [interpreter service] at no cost to them;</w:t>
      </w:r>
    </w:p>
    <w:p>
      <w:pPr>
        <w:pStyle w:val="ListBullet"/>
        <w:spacing w:after="60"/>
      </w:pPr>
      <w:r>
        <w:t>large print, electronic or translated copies on request;</w:t>
      </w:r>
    </w:p>
    <w:p>
      <w:pPr>
        <w:pStyle w:val="ListBullet"/>
        <w:spacing w:after="60"/>
      </w:pPr>
      <w:r>
        <w:t>a second conversation before signing, on request or where the care partner judges the cost or services are not yet understood; and</w:t>
      </w:r>
    </w:p>
    <w:p>
      <w:pPr>
        <w:pStyle w:val="ListBullet"/>
        <w:spacing w:after="60"/>
      </w:pPr>
      <w:r>
        <w:t>a signed copy of the agreement and schedules to keep.</w:t>
      </w:r>
    </w:p>
    <w:p>
      <w:pPr>
        <w:spacing w:before="160" w:after="60"/>
      </w:pPr>
      <w:r>
        <w:rPr>
          <w:b/>
          <w:sz w:val="23"/>
        </w:rPr>
        <w:t>5.4 Supporters, advocates and consent</w:t>
      </w:r>
    </w:p>
    <w:p>
      <w:pPr>
        <w:pStyle w:val="ListBullet"/>
        <w:spacing w:after="60"/>
      </w:pPr>
      <w:r>
        <w:t>The participant decides who takes part. Their choice, including proceeding without a supporter, is recorded.</w:t>
      </w:r>
    </w:p>
    <w:p>
      <w:pPr>
        <w:pStyle w:val="ListBullet"/>
        <w:spacing w:after="60"/>
      </w:pPr>
      <w:r>
        <w:t>Where a registered supporter or person with legal authority to act is involved, [Organisation Name] records their name, relationship, the basis of their authority and the evidence sighted.</w:t>
      </w:r>
    </w:p>
    <w:p>
      <w:pPr>
        <w:pStyle w:val="ListBullet"/>
        <w:spacing w:after="60"/>
      </w:pPr>
      <w:r>
        <w:t>Where a participant cannot sign, the [Service Manager] confirms the signatory's authority before services start, and the participant's own views are still recorded.</w:t>
      </w:r>
    </w:p>
    <w:p>
      <w:pPr>
        <w:pStyle w:val="ListBullet"/>
        <w:spacing w:after="60"/>
      </w:pPr>
      <w:r>
        <w:t>Participants are told in writing how to contact an independent aged care advocate.</w:t>
      </w:r>
    </w:p>
    <w:p>
      <w:pPr>
        <w:spacing w:before="160" w:after="60"/>
      </w:pPr>
      <w:r>
        <w:rPr>
          <w:b/>
          <w:sz w:val="23"/>
        </w:rPr>
        <w:t>5.5 Signing and commencement</w:t>
      </w:r>
    </w:p>
    <w:p>
      <w:pPr>
        <w:pStyle w:val="ListBullet"/>
        <w:spacing w:after="60"/>
      </w:pPr>
      <w:r>
        <w:t>The agreement is signed by the participant, or their authorised representative, and by the [Service Manager] for [Organisation Name]. Both parties receive a dated copy.</w:t>
      </w:r>
    </w:p>
    <w:p>
      <w:pPr>
        <w:pStyle w:val="ListBullet"/>
        <w:spacing w:after="60"/>
      </w:pPr>
      <w:r>
        <w:t>No service is rostered or delivered before signing. Where need is urgent the [Service Manager] may authorise an expedited same day process, but the agreement is still signed first and the reason recorded.</w:t>
      </w:r>
    </w:p>
    <w:p>
      <w:pPr>
        <w:pStyle w:val="ListBullet"/>
        <w:spacing w:after="60"/>
      </w:pPr>
      <w:r>
        <w:t>The signed agreement is uploaded to [client management system] within [1 business day]. The roster is released only after that upload is confirmed.</w:t>
      </w:r>
    </w:p>
    <w:p>
      <w:pPr>
        <w:pStyle w:val="ListBullet"/>
        <w:spacing w:after="60"/>
      </w:pPr>
      <w:r>
        <w:t>The [Finance Officer] submits the start notification to Services Australia within [the timeframe in the current program manual] and records the reference.</w:t>
      </w:r>
    </w:p>
    <w:p>
      <w:pPr>
        <w:spacing w:before="160" w:after="60"/>
      </w:pPr>
      <w:r>
        <w:rPr>
          <w:b/>
          <w:sz w:val="23"/>
        </w:rPr>
        <w:t>5.6 Pricing transparency within the agreement</w:t>
      </w:r>
    </w:p>
    <w:p>
      <w:pPr>
        <w:pStyle w:val="ListBullet"/>
        <w:spacing w:after="60"/>
      </w:pPr>
      <w:r>
        <w:t>Prices in the agreement match the prices [Organisation Name] publishes on My Aged Care and on its own website for the same service.</w:t>
      </w:r>
    </w:p>
    <w:p>
      <w:pPr>
        <w:pStyle w:val="ListBullet"/>
        <w:spacing w:after="60"/>
      </w:pPr>
      <w:r>
        <w:t>Prices are all-inclusive. Travel, administration and other delivery costs are already in the price and are not charged as separate items.</w:t>
      </w:r>
    </w:p>
    <w:p>
      <w:pPr>
        <w:pStyle w:val="ListBullet"/>
        <w:spacing w:after="60"/>
      </w:pPr>
      <w:r>
        <w:t>The agreement states that Clinical Support services are fully funded by the Government, and that participants contribute towards Independence and Everyday Living services at a rate set by a Services Australia income and assets assessment.</w:t>
      </w:r>
    </w:p>
    <w:p>
      <w:pPr>
        <w:pStyle w:val="ListBullet"/>
        <w:spacing w:after="60"/>
      </w:pPr>
      <w:r>
        <w:t>Where the participant was receiving or approved for a Home Care Package on or before 12 September 2024 and was not liable for an income-tested care fee, the agreement records that they pay no contribution for services on the Support at Home service list.</w:t>
      </w:r>
    </w:p>
    <w:p>
      <w:pPr>
        <w:pStyle w:val="ListBullet"/>
        <w:spacing w:after="60"/>
      </w:pPr>
      <w:r>
        <w:t>The agreement states that 10 per cent of the ongoing quarterly budget is allocated to care management, pooled across participants in the service delivery branch and held by Services Australia, and claimed against by [Organisation Name].</w:t>
      </w:r>
    </w:p>
    <w:p>
      <w:pPr>
        <w:pStyle w:val="ListBullet"/>
        <w:spacing w:after="60"/>
      </w:pPr>
      <w:r>
        <w:t>Price changes are notified in writing at least [30 days] ahead and issued as a variation. Classification amounts are indicative and subject to indexation.</w:t>
      </w:r>
    </w:p>
    <w:p>
      <w:pPr>
        <w:spacing w:before="160" w:after="60"/>
      </w:pPr>
      <w:r>
        <w:rPr>
          <w:b/>
          <w:sz w:val="23"/>
        </w:rPr>
        <w:t>5.7 Varying an existing agreement</w:t>
      </w:r>
    </w:p>
    <w:p>
      <w:r>
        <w:t>A variation is prepared, explained and agreed whenever:</w:t>
      </w:r>
    </w:p>
    <w:p>
      <w:pPr>
        <w:pStyle w:val="ListBullet"/>
        <w:spacing w:after="60"/>
      </w:pPr>
      <w:r>
        <w:t>the care plan changes at a scheduled or early review;</w:t>
      </w:r>
    </w:p>
    <w:p>
      <w:pPr>
        <w:pStyle w:val="ListBullet"/>
        <w:spacing w:after="60"/>
      </w:pPr>
      <w:r>
        <w:t>the classification changes after reassessment;</w:t>
      </w:r>
    </w:p>
    <w:p>
      <w:pPr>
        <w:pStyle w:val="ListBullet"/>
        <w:spacing w:after="60"/>
      </w:pPr>
      <w:r>
        <w:t>services, frequency, duration or the worker or provider delivering them change;</w:t>
      </w:r>
    </w:p>
    <w:p>
      <w:pPr>
        <w:pStyle w:val="ListBullet"/>
        <w:spacing w:after="60"/>
      </w:pPr>
      <w:r>
        <w:t>a short-term pathway starts or ends;</w:t>
      </w:r>
    </w:p>
    <w:p>
      <w:pPr>
        <w:pStyle w:val="ListBullet"/>
        <w:spacing w:after="60"/>
      </w:pPr>
      <w:r>
        <w:t>the price of a service changes, or the published price changes;</w:t>
      </w:r>
    </w:p>
    <w:p>
      <w:pPr>
        <w:pStyle w:val="ListBullet"/>
        <w:spacing w:after="60"/>
      </w:pPr>
      <w:r>
        <w:t>the contribution changes following a Services Australia assessment or hardship decision; or</w:t>
      </w:r>
    </w:p>
    <w:p>
      <w:pPr>
        <w:pStyle w:val="ListBullet"/>
        <w:spacing w:after="60"/>
      </w:pPr>
      <w:r>
        <w:t>the participant moves to or from self-management.</w:t>
      </w:r>
    </w:p>
    <w:p>
      <w:r>
        <w:t>The care partner prepares and explains the variation and obtains written agreement before the change is delivered or charged. The version number is incremented, the superseded version retained, a copy given to the participant, and the roster, care plan and billing records updated on the day it takes effect, within [5 business days] of the trigger.</w:t>
      </w:r>
    </w:p>
    <w:p>
      <w:pPr>
        <w:spacing w:before="160" w:after="60"/>
      </w:pPr>
      <w:r>
        <w:rPr>
          <w:b/>
          <w:sz w:val="23"/>
        </w:rPr>
        <w:t>5.8 Transitioned HCP participants and existing Home Care Agreements</w:t>
      </w:r>
    </w:p>
    <w:p>
      <w:r>
        <w:t>Participants who moved from the Home Care Packages Program on 1 November 2025 may continue under an existing Home Care Agreement, varied rather than replaced where that is clearer for them. [Organisation Name] reviews each of these and records:</w:t>
      </w:r>
    </w:p>
    <w:p>
      <w:pPr>
        <w:pStyle w:val="ListBullet"/>
        <w:spacing w:after="60"/>
      </w:pPr>
      <w:r>
        <w:t>that the four mandatory matters are present and accurate, with any gap closed by variation;</w:t>
      </w:r>
    </w:p>
    <w:p>
      <w:pPr>
        <w:pStyle w:val="ListBullet"/>
        <w:spacing w:after="60"/>
      </w:pPr>
      <w:r>
        <w:t>the transitioned HCP classification and the quarterly budget structure that now applies, replacing monthly or annual package wording;</w:t>
      </w:r>
    </w:p>
    <w:p>
      <w:pPr>
        <w:pStyle w:val="ListBullet"/>
        <w:spacing w:after="60"/>
      </w:pPr>
      <w:r>
        <w:t>how retained unspent HCP funds are held and drawn down, kept separate from the carryover rule that applies to quarterly budgets;</w:t>
      </w:r>
    </w:p>
    <w:p>
      <w:pPr>
        <w:pStyle w:val="ListBullet"/>
        <w:spacing w:after="60"/>
      </w:pPr>
      <w:r>
        <w:t>whether the no worse off protection applies, and the evidence supporting that finding; and</w:t>
      </w:r>
    </w:p>
    <w:p>
      <w:pPr>
        <w:pStyle w:val="ListBullet"/>
        <w:spacing w:after="60"/>
      </w:pPr>
      <w:r>
        <w:t>removal of superseded HCP terminology, fee types and administration charges.</w:t>
      </w:r>
    </w:p>
    <w:p>
      <w:r>
        <w:t>Where the volume of changes would make the varied document hard to follow, the care partner issues a new Support at Home service agreement instead and records that the participant was not disadvantaged.</w:t>
      </w:r>
    </w:p>
    <w:p>
      <w:pPr>
        <w:spacing w:before="160" w:after="60"/>
      </w:pPr>
      <w:r>
        <w:rPr>
          <w:b/>
          <w:sz w:val="23"/>
        </w:rPr>
        <w:t>5.9 Records, retention and version control</w:t>
      </w:r>
    </w:p>
    <w:p>
      <w:pPr>
        <w:pStyle w:val="ListBullet"/>
        <w:spacing w:after="60"/>
      </w:pPr>
      <w:r>
        <w:t>[client management system] holds the single source of truth. Paper and email copies are working copies.</w:t>
      </w:r>
    </w:p>
    <w:p>
      <w:pPr>
        <w:pStyle w:val="ListBullet"/>
        <w:spacing w:after="60"/>
      </w:pPr>
      <w:r>
        <w:t>Files follow [Participant ID]_ServiceAgreement_v[X.X]_[YYYYMMDD]. Every version is kept.</w:t>
      </w:r>
    </w:p>
    <w:p>
      <w:pPr>
        <w:pStyle w:val="ListBullet"/>
        <w:spacing w:after="60"/>
      </w:pPr>
      <w:r>
        <w:t>The agreement register records the current version, signing date, date and reason for the last variation, and the location of the signed copy.</w:t>
      </w:r>
    </w:p>
    <w:p>
      <w:pPr>
        <w:pStyle w:val="ListBullet"/>
        <w:spacing w:after="60"/>
      </w:pPr>
      <w:r>
        <w:t>Agreements are retained for [the period required by the Aged Care Act 2024 (Cth) and [Organisation Name]'s retention schedule], and stored under the Privacy and Confidentiality Policy.</w:t>
      </w:r>
    </w:p>
    <w:p>
      <w:pPr>
        <w:spacing w:before="160" w:after="60"/>
      </w:pPr>
      <w:r>
        <w:rPr>
          <w:b/>
          <w:sz w:val="23"/>
        </w:rPr>
        <w:t>5.10 Ending, suspending or transferring an agreement</w:t>
      </w:r>
    </w:p>
    <w:p>
      <w:pPr>
        <w:pStyle w:val="ListBullet"/>
        <w:spacing w:after="60"/>
      </w:pPr>
      <w:r>
        <w:t>Notice periods for both parties and the short-suspension process are stated in the agreement.</w:t>
      </w:r>
    </w:p>
    <w:p>
      <w:pPr>
        <w:pStyle w:val="ListBullet"/>
        <w:spacing w:after="60"/>
      </w:pPr>
      <w:r>
        <w:t>Where a participant moves to another registered provider, the care partner confirms the last service date, finalises claiming and statements, and transfers records with consent.</w:t>
      </w:r>
    </w:p>
    <w:p>
      <w:pPr>
        <w:pStyle w:val="ListBullet"/>
        <w:spacing w:after="60"/>
      </w:pPr>
      <w:r>
        <w:t>Services are not withdrawn abruptly over an unpaid contribution. The [Service Manager] follows the Participant Contributions and Fee Policy, including hardship and payment arrangements, first.</w:t>
      </w:r>
    </w:p>
    <w:p>
      <w:pPr>
        <w:pStyle w:val="ListBullet"/>
        <w:spacing w:after="60"/>
      </w:pPr>
      <w:r>
        <w:t>Every ending is recorded with the date, reason, who was notified and the final statement.</w:t>
      </w:r>
    </w:p>
    <w:p>
      <w:pPr>
        <w:spacing w:before="240" w:after="80"/>
      </w:pPr>
      <w:r>
        <w:rPr>
          <w:b/>
          <w:sz w:val="26"/>
        </w:rPr>
        <w:t>6. Roles and Responsibilities</w:t>
      </w:r>
    </w:p>
    <w:tbl>
      <w:tblPr>
        <w:tblStyle w:val="TableGrid"/>
        <w:tblW w:type="auto" w:w="0"/>
        <w:jc w:val="left"/>
        <w:tblLook w:firstColumn="1" w:firstRow="1" w:lastColumn="0" w:lastRow="0" w:noHBand="0" w:noVBand="1" w:val="04A0"/>
      </w:tblPr>
      <w:tblGrid>
        <w:gridCol w:w="4680"/>
        <w:gridCol w:w="4680"/>
      </w:tblGrid>
      <w:tr>
        <w:tc>
          <w:tcPr>
            <w:tcW w:type="dxa" w:w="2736"/>
          </w:tcPr>
          <w:p>
            <w:pPr>
              <w:spacing w:after="40"/>
            </w:pPr>
            <w:r/>
            <w:r>
              <w:rPr>
                <w:b/>
              </w:rPr>
              <w:t>Role</w:t>
            </w:r>
          </w:p>
        </w:tc>
        <w:tc>
          <w:tcPr>
            <w:tcW w:type="dxa" w:w="6624"/>
          </w:tcPr>
          <w:p>
            <w:pPr>
              <w:spacing w:after="40"/>
            </w:pPr>
            <w:r/>
            <w:r>
              <w:rPr>
                <w:b/>
              </w:rPr>
              <w:t>Responsibility</w:t>
            </w:r>
          </w:p>
        </w:tc>
      </w:tr>
      <w:tr>
        <w:tc>
          <w:tcPr>
            <w:tcW w:type="dxa" w:w="2736"/>
          </w:tcPr>
          <w:p>
            <w:pPr>
              <w:spacing w:after="40"/>
            </w:pPr>
            <w:r/>
            <w:r>
              <w:t>[Board]</w:t>
            </w:r>
          </w:p>
        </w:tc>
        <w:tc>
          <w:tcPr>
            <w:tcW w:type="dxa" w:w="6624"/>
          </w:tcPr>
          <w:p>
            <w:pPr>
              <w:spacing w:after="40"/>
            </w:pPr>
            <w:r/>
            <w:r>
              <w:t>Approves this policy. Receives audit results on agreement currency.</w:t>
            </w:r>
          </w:p>
        </w:tc>
      </w:tr>
      <w:tr>
        <w:tc>
          <w:tcPr>
            <w:tcW w:type="dxa" w:w="2736"/>
          </w:tcPr>
          <w:p>
            <w:pPr>
              <w:spacing w:after="40"/>
            </w:pPr>
            <w:r/>
            <w:r>
              <w:t>[Chief Executive Officer]</w:t>
            </w:r>
          </w:p>
        </w:tc>
        <w:tc>
          <w:tcPr>
            <w:tcW w:type="dxa" w:w="6624"/>
          </w:tcPr>
          <w:p>
            <w:pPr>
              <w:spacing w:after="40"/>
            </w:pPr>
            <w:r/>
            <w:r>
              <w:t>Accountable for provider obligations, including that no service starts without an agreed written agreement.</w:t>
            </w:r>
          </w:p>
        </w:tc>
      </w:tr>
      <w:tr>
        <w:tc>
          <w:tcPr>
            <w:tcW w:type="dxa" w:w="2736"/>
          </w:tcPr>
          <w:p>
            <w:pPr>
              <w:spacing w:after="40"/>
            </w:pPr>
            <w:r/>
            <w:r>
              <w:t>[Service Manager]</w:t>
            </w:r>
          </w:p>
        </w:tc>
        <w:tc>
          <w:tcPr>
            <w:tcW w:type="dxa" w:w="6624"/>
          </w:tcPr>
          <w:p>
            <w:pPr>
              <w:spacing w:after="40"/>
            </w:pPr>
            <w:r/>
            <w:r>
              <w:t>Signs agreements. Authorises expedited processes. Releases rosters only against a signed agreement. Confirms signing authority.</w:t>
            </w:r>
          </w:p>
        </w:tc>
      </w:tr>
      <w:tr>
        <w:tc>
          <w:tcPr>
            <w:tcW w:type="dxa" w:w="2736"/>
          </w:tcPr>
          <w:p>
            <w:pPr>
              <w:spacing w:after="40"/>
            </w:pPr>
            <w:r/>
            <w:r>
              <w:t>Care Partner</w:t>
            </w:r>
          </w:p>
        </w:tc>
        <w:tc>
          <w:tcPr>
            <w:tcW w:type="dxa" w:w="6624"/>
          </w:tcPr>
          <w:p>
            <w:pPr>
              <w:spacing w:after="40"/>
            </w:pPr>
            <w:r/>
            <w:r>
              <w:t>Drafts, explains and varies the agreement with the participant. Checks the service mix against the quarterly budget. Records every explanation.</w:t>
            </w:r>
          </w:p>
        </w:tc>
      </w:tr>
      <w:tr>
        <w:tc>
          <w:tcPr>
            <w:tcW w:type="dxa" w:w="2736"/>
          </w:tcPr>
          <w:p>
            <w:pPr>
              <w:spacing w:after="40"/>
            </w:pPr>
            <w:r/>
            <w:r>
              <w:t>[Intake Officer]</w:t>
            </w:r>
          </w:p>
        </w:tc>
        <w:tc>
          <w:tcPr>
            <w:tcW w:type="dxa" w:w="6624"/>
          </w:tcPr>
          <w:p>
            <w:pPr>
              <w:spacing w:after="40"/>
            </w:pPr>
            <w:r/>
            <w:r>
              <w:t>Registers referrals, classifications and pathways. Tracks the agreement to signature.</w:t>
            </w:r>
          </w:p>
        </w:tc>
      </w:tr>
      <w:tr>
        <w:tc>
          <w:tcPr>
            <w:tcW w:type="dxa" w:w="2736"/>
          </w:tcPr>
          <w:p>
            <w:pPr>
              <w:spacing w:after="40"/>
            </w:pPr>
            <w:r/>
            <w:r>
              <w:t>[Finance Officer]</w:t>
            </w:r>
          </w:p>
        </w:tc>
        <w:tc>
          <w:tcPr>
            <w:tcW w:type="dxa" w:w="6624"/>
          </w:tcPr>
          <w:p>
            <w:pPr>
              <w:spacing w:after="40"/>
            </w:pPr>
            <w:r/>
            <w:r>
              <w:t>Aligns the price schedule with published prices. Submits start notifications. Bills only what the agreement supports.</w:t>
            </w:r>
          </w:p>
        </w:tc>
      </w:tr>
      <w:tr>
        <w:tc>
          <w:tcPr>
            <w:tcW w:type="dxa" w:w="2736"/>
          </w:tcPr>
          <w:p>
            <w:pPr>
              <w:spacing w:after="40"/>
            </w:pPr>
            <w:r/>
            <w:r>
              <w:t>[Quality and Compliance Manager]</w:t>
            </w:r>
          </w:p>
        </w:tc>
        <w:tc>
          <w:tcPr>
            <w:tcW w:type="dxa" w:w="6624"/>
          </w:tcPr>
          <w:p>
            <w:pPr>
              <w:spacing w:after="40"/>
            </w:pPr>
            <w:r/>
            <w:r>
              <w:t>Owns this policy. Audits agreements against the mandatory content and tracks corrective actions.</w:t>
            </w:r>
          </w:p>
        </w:tc>
      </w:tr>
      <w:tr>
        <w:tc>
          <w:tcPr>
            <w:tcW w:type="dxa" w:w="2736"/>
          </w:tcPr>
          <w:p>
            <w:pPr>
              <w:spacing w:after="40"/>
            </w:pPr>
            <w:r/>
            <w:r>
              <w:t>All workers and contractors</w:t>
            </w:r>
          </w:p>
        </w:tc>
        <w:tc>
          <w:tcPr>
            <w:tcW w:type="dxa" w:w="6624"/>
          </w:tcPr>
          <w:p>
            <w:pPr>
              <w:spacing w:after="40"/>
            </w:pPr>
            <w:r/>
            <w:r>
              <w:t>Do not deliver a service that is not in the current agreement. Report any mismatch with what the participant expects.</w:t>
            </w:r>
          </w:p>
        </w:tc>
      </w:tr>
    </w:tbl>
    <w:p>
      <w:pPr>
        <w:spacing w:after="40"/>
      </w:pPr>
    </w:p>
    <w:p>
      <w:pPr>
        <w:spacing w:before="240" w:after="80"/>
      </w:pPr>
      <w:r>
        <w:rPr>
          <w:b/>
          <w:sz w:val="26"/>
        </w:rPr>
        <w:t>7. Related Policies</w:t>
      </w:r>
    </w:p>
    <w:p>
      <w:pPr>
        <w:pStyle w:val="ListBullet"/>
        <w:spacing w:after="60"/>
      </w:pPr>
      <w:r>
        <w:t>Participant Contributions and Fee Policy</w:t>
      </w:r>
    </w:p>
    <w:p>
      <w:pPr>
        <w:pStyle w:val="ListBullet"/>
        <w:spacing w:after="60"/>
      </w:pPr>
      <w:r>
        <w:t>Care Partner and Care Plan Management Policy</w:t>
      </w:r>
    </w:p>
    <w:p>
      <w:pPr>
        <w:pStyle w:val="ListBullet"/>
        <w:spacing w:after="60"/>
      </w:pPr>
      <w:r>
        <w:t>Quarterly Budget and Unspent Funds Policy</w:t>
      </w:r>
    </w:p>
    <w:p>
      <w:pPr>
        <w:pStyle w:val="ListBullet"/>
        <w:spacing w:after="60"/>
      </w:pPr>
      <w:r>
        <w:t>Consumer Entry, Transition and Exit Policy</w:t>
      </w:r>
    </w:p>
    <w:p>
      <w:pPr>
        <w:pStyle w:val="ListBullet"/>
        <w:spacing w:after="60"/>
      </w:pPr>
      <w:r>
        <w:t>Record Keeping Policy</w:t>
      </w:r>
    </w:p>
    <w:p>
      <w:pPr>
        <w:pStyle w:val="ListBullet"/>
        <w:spacing w:after="60"/>
      </w:pPr>
      <w:r>
        <w:t>Privacy and Confidentiality Policy</w:t>
      </w:r>
    </w:p>
    <w:p>
      <w:pPr>
        <w:spacing w:before="240" w:after="80"/>
      </w:pPr>
      <w:r>
        <w:rPr>
          <w:b/>
          <w:sz w:val="26"/>
        </w:rPr>
        <w:t>8. Relevant Legislation and Standards</w:t>
      </w:r>
    </w:p>
    <w:p>
      <w:pPr>
        <w:pStyle w:val="ListBullet"/>
        <w:spacing w:after="60"/>
      </w:pPr>
      <w:r>
        <w:t>Aged Care Act 2024 (Cth)</w:t>
      </w:r>
    </w:p>
    <w:p>
      <w:pPr>
        <w:pStyle w:val="ListBullet"/>
        <w:spacing w:after="60"/>
      </w:pPr>
      <w:r>
        <w:t>Aged Care Quality and Safety Commission Act 2018 (Cth)</w:t>
      </w:r>
    </w:p>
    <w:p>
      <w:pPr>
        <w:pStyle w:val="ListBullet"/>
        <w:spacing w:after="60"/>
      </w:pPr>
      <w:r>
        <w:t>Strengthened Aged Care Quality Standards, including Standard 3 (care and services) and Outcome 5.1 (Clinical Governance) of Standard 5: Clinical care</w:t>
      </w:r>
    </w:p>
    <w:p>
      <w:pPr>
        <w:pStyle w:val="ListBullet"/>
        <w:spacing w:after="60"/>
      </w:pPr>
      <w:r>
        <w:t>Privacy Act 1988 (Cth)</w:t>
      </w:r>
    </w:p>
    <w:p>
      <w:pPr>
        <w:pStyle w:val="ListBullet"/>
        <w:spacing w:after="60"/>
      </w:pPr>
      <w:r>
        <w:t>Support at Home program manual - A guide for registered providers (version 4.0, December 2025)</w:t>
      </w:r>
    </w:p>
    <w:p>
      <w:pPr>
        <w:spacing w:before="240" w:after="80"/>
      </w:pPr>
      <w:r>
        <w:rPr>
          <w:b/>
          <w:sz w:val="26"/>
        </w:rPr>
        <w:t>9. Monitoring and Review</w:t>
      </w:r>
    </w:p>
    <w:p>
      <w:r>
        <w:t>The [Quality and Compliance Manager] audits a [10 per cent] sample of agreements each [quarter] against the mandatory content and the steps in section 5. These measures go to the [Board] each [quarter]:</w:t>
      </w:r>
    </w:p>
    <w:p>
      <w:pPr>
        <w:pStyle w:val="ListBullet"/>
        <w:spacing w:after="60"/>
      </w:pPr>
      <w:r>
        <w:t>the proportion of participants with a signed agreement dated before their first service;</w:t>
      </w:r>
    </w:p>
    <w:p>
      <w:pPr>
        <w:pStyle w:val="ListBullet"/>
        <w:spacing w:after="60"/>
      </w:pPr>
      <w:r>
        <w:t>the proportion of care plan or classification changes that produced a signed variation within [5 business days];</w:t>
      </w:r>
    </w:p>
    <w:p>
      <w:pPr>
        <w:pStyle w:val="ListBullet"/>
        <w:spacing w:after="60"/>
      </w:pPr>
      <w:r>
        <w:t>agreements found to be missing any of the four mandatory matters;</w:t>
      </w:r>
    </w:p>
    <w:p>
      <w:pPr>
        <w:pStyle w:val="ListBullet"/>
        <w:spacing w:after="60"/>
      </w:pPr>
      <w:r>
        <w:t>transitioned HCP agreements reviewed, varied or replaced, and the number outstanding;</w:t>
      </w:r>
    </w:p>
    <w:p>
      <w:pPr>
        <w:pStyle w:val="ListBullet"/>
        <w:spacing w:after="60"/>
      </w:pPr>
      <w:r>
        <w:t>complaints and feedback about agreements, prices or contributions.</w:t>
      </w:r>
    </w:p>
    <w:p>
      <w:r>
        <w:t>This policy is reviewed annually, and sooner where the Support at Home program manual, the Aged Care Act 2024 (Cth), the Strengthened Aged Care Quality Standards or [Organisation Name]'s service list changes. Findings and corrective actions go to the continuous improvement register.</w:t>
      </w:r>
    </w:p>
    <w:p>
      <w:pPr>
        <w:spacing w:before="240" w:after="80"/>
      </w:pPr>
      <w:r>
        <w:rPr>
          <w:b/>
          <w:sz w:val="26"/>
        </w:rPr>
        <w:t>Document Control</w:t>
      </w:r>
    </w:p>
    <w:tbl>
      <w:tblPr>
        <w:tblStyle w:val="TableGrid"/>
        <w:tblW w:type="auto" w:w="0"/>
        <w:jc w:val="left"/>
        <w:tblLook w:firstColumn="1" w:firstRow="1" w:lastColumn="0" w:lastRow="0" w:noHBand="0" w:noVBand="1" w:val="04A0"/>
      </w:tblPr>
      <w:tblGrid>
        <w:gridCol w:w="2340"/>
        <w:gridCol w:w="2340"/>
        <w:gridCol w:w="2340"/>
        <w:gridCol w:w="2340"/>
      </w:tblGrid>
      <w:tr>
        <w:tc>
          <w:tcPr>
            <w:tcW w:type="dxa" w:w="2592"/>
          </w:tcPr>
          <w:p>
            <w:pPr>
              <w:spacing w:after="40"/>
            </w:pPr>
            <w:r/>
            <w:r>
              <w:rPr>
                <w:b/>
              </w:rPr>
              <w:t>Reviewed By</w:t>
            </w:r>
          </w:p>
        </w:tc>
        <w:tc>
          <w:tcPr>
            <w:tcW w:type="dxa" w:w="2880"/>
          </w:tcPr>
          <w:p>
            <w:pPr>
              <w:spacing w:after="40"/>
            </w:pPr>
            <w:r/>
            <w:r>
              <w:rPr>
                <w:b/>
              </w:rPr>
              <w:t>Role</w:t>
            </w:r>
          </w:p>
        </w:tc>
        <w:tc>
          <w:tcPr>
            <w:tcW w:type="dxa" w:w="1872"/>
          </w:tcPr>
          <w:p>
            <w:pPr>
              <w:spacing w:after="40"/>
            </w:pPr>
            <w:r/>
            <w:r>
              <w:rPr>
                <w:b/>
              </w:rPr>
              <w:t>Date</w:t>
            </w:r>
          </w:p>
        </w:tc>
        <w:tc>
          <w:tcPr>
            <w:tcW w:type="dxa" w:w="2016"/>
          </w:tcPr>
          <w:p>
            <w:pPr>
              <w:spacing w:after="40"/>
            </w:pPr>
            <w:r/>
            <w:r>
              <w:rPr>
                <w:b/>
              </w:rPr>
              <w:t>Signature</w:t>
            </w:r>
          </w:p>
        </w:tc>
      </w:tr>
      <w:tr>
        <w:tc>
          <w:tcPr>
            <w:tcW w:type="dxa" w:w="2592"/>
          </w:tcPr>
          <w:p>
            <w:pPr>
              <w:spacing w:after="40"/>
            </w:pPr>
            <w:r/>
            <w:r/>
          </w:p>
        </w:tc>
        <w:tc>
          <w:tcPr>
            <w:tcW w:type="dxa" w:w="2880"/>
          </w:tcPr>
          <w:p>
            <w:pPr>
              <w:spacing w:after="40"/>
            </w:pPr>
            <w:r/>
            <w:r/>
          </w:p>
        </w:tc>
        <w:tc>
          <w:tcPr>
            <w:tcW w:type="dxa" w:w="1872"/>
          </w:tcPr>
          <w:p>
            <w:pPr>
              <w:spacing w:after="40"/>
            </w:pPr>
            <w:r/>
            <w:r/>
          </w:p>
        </w:tc>
        <w:tc>
          <w:tcPr>
            <w:tcW w:type="dxa" w:w="2016"/>
          </w:tcPr>
          <w:p>
            <w:pPr>
              <w:spacing w:after="40"/>
            </w:pPr>
            <w:r/>
            <w:r/>
          </w:p>
        </w:tc>
      </w:tr>
      <w:tr>
        <w:tc>
          <w:tcPr>
            <w:tcW w:type="dxa" w:w="2592"/>
          </w:tcPr>
          <w:p>
            <w:pPr>
              <w:spacing w:after="40"/>
            </w:pPr>
            <w:r/>
            <w:r>
              <w:rPr>
                <w:b/>
              </w:rPr>
              <w:t>Approved By</w:t>
            </w:r>
          </w:p>
        </w:tc>
        <w:tc>
          <w:tcPr>
            <w:tcW w:type="dxa" w:w="2880"/>
          </w:tcPr>
          <w:p>
            <w:pPr>
              <w:spacing w:after="40"/>
            </w:pPr>
            <w:r/>
            <w:r>
              <w:rPr>
                <w:b/>
              </w:rPr>
              <w:t>Role</w:t>
            </w:r>
          </w:p>
        </w:tc>
        <w:tc>
          <w:tcPr>
            <w:tcW w:type="dxa" w:w="1872"/>
          </w:tcPr>
          <w:p>
            <w:pPr>
              <w:spacing w:after="40"/>
            </w:pPr>
            <w:r/>
            <w:r>
              <w:rPr>
                <w:b/>
              </w:rPr>
              <w:t>Date</w:t>
            </w:r>
          </w:p>
        </w:tc>
        <w:tc>
          <w:tcPr>
            <w:tcW w:type="dxa" w:w="2016"/>
          </w:tcPr>
          <w:p>
            <w:pPr>
              <w:spacing w:after="40"/>
            </w:pPr>
            <w:r/>
            <w:r>
              <w:rPr>
                <w:b/>
              </w:rPr>
              <w:t>Signature</w:t>
            </w:r>
          </w:p>
        </w:tc>
      </w:tr>
      <w:tr>
        <w:tc>
          <w:tcPr>
            <w:tcW w:type="dxa" w:w="2592"/>
          </w:tcPr>
          <w:p>
            <w:pPr>
              <w:spacing w:after="40"/>
            </w:pPr>
            <w:r/>
            <w:r/>
          </w:p>
        </w:tc>
        <w:tc>
          <w:tcPr>
            <w:tcW w:type="dxa" w:w="2880"/>
          </w:tcPr>
          <w:p>
            <w:pPr>
              <w:spacing w:after="40"/>
            </w:pPr>
            <w:r/>
            <w:r/>
          </w:p>
        </w:tc>
        <w:tc>
          <w:tcPr>
            <w:tcW w:type="dxa" w:w="1872"/>
          </w:tcPr>
          <w:p>
            <w:pPr>
              <w:spacing w:after="40"/>
            </w:pPr>
            <w:r/>
            <w:r/>
          </w:p>
        </w:tc>
        <w:tc>
          <w:tcPr>
            <w:tcW w:type="dxa" w:w="2016"/>
          </w:tcPr>
          <w:p>
            <w:pPr>
              <w:spacing w:after="40"/>
            </w:pPr>
            <w:r/>
            <w:r/>
          </w:p>
        </w:tc>
      </w:tr>
    </w:tbl>
    <w:p>
      <w:pPr>
        <w:spacing w:after="40"/>
      </w:pPr>
    </w:p>
    <w:p>
      <w:r>
        <w:t>Provided by Governa.ai as a starting point. Adapt every bracketed placeholder to your own structure, timeframes and service list, and approve the completed policy through your own governance process before use.</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