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b/>
          <w:sz w:val="32"/>
        </w:rPr>
        <w:t>[Organisation Name] - Support at Home Provider Audit Readiness Checklist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Document Number</w:t>
            </w:r>
          </w:p>
        </w:tc>
        <w:tc>
          <w:tcPr>
            <w:tcW w:type="dxa" w:w="345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[e.g. SAH-009]</w:t>
            </w:r>
          </w:p>
        </w:tc>
        <w:tc>
          <w:tcPr>
            <w:tcW w:type="dxa" w:w="1872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Version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1.0</w:t>
            </w:r>
          </w:p>
        </w:tc>
      </w:tr>
      <w:tr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Effective Date</w:t>
            </w:r>
          </w:p>
        </w:tc>
        <w:tc>
          <w:tcPr>
            <w:tcW w:type="dxa" w:w="345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[DD/MM/YYYY]</w:t>
            </w:r>
          </w:p>
        </w:tc>
        <w:tc>
          <w:tcPr>
            <w:tcW w:type="dxa" w:w="1872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Review Date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[DD/MM/YYYY]</w:t>
            </w:r>
          </w:p>
        </w:tc>
      </w:tr>
      <w:tr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Document Owner</w:t>
            </w:r>
          </w:p>
        </w:tc>
        <w:tc>
          <w:tcPr>
            <w:tcW w:type="dxa" w:w="345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[Quality and Compliance Manager]</w:t>
            </w:r>
          </w:p>
        </w:tc>
        <w:tc>
          <w:tcPr>
            <w:tcW w:type="dxa" w:w="1872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Approved By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[Board]</w:t>
            </w:r>
          </w:p>
        </w:tc>
      </w:tr>
    </w:tbl>
    <w:p>
      <w:pPr>
        <w:spacing w:after="40"/>
      </w:pPr>
    </w:p>
    <w:p>
      <w:pPr>
        <w:spacing w:after="80" w:before="120"/>
      </w:pPr>
      <w:r>
        <w:rPr>
          <w:b/>
          <w:sz w:val="24"/>
        </w:rPr>
        <w:t>1. Purpose</w:t>
      </w:r>
    </w:p>
    <w:p>
      <w:pPr>
        <w:spacing w:after="80" w:before="0"/>
      </w:pPr>
      <w:r>
        <w:rPr>
          <w:b w:val="0"/>
          <w:sz w:val="21"/>
        </w:rPr>
        <w:t>This checklist gives [Organisation Name] a structured way to self-assess readiness for an Aged Care Quality and Safety Commission audit of its Support at Home services. The program commenced on 1 November 2025 under the Aged Care Act 2024 (Cth), replacing the Home Care Packages Program and the Short-Term Restorative Care Programme, and it carries obligations that did not exist before. Each row below is a single checkable statement with a place to record where the evidence lives.</w:t>
      </w:r>
    </w:p>
    <w:p>
      <w:pPr>
        <w:spacing w:after="80" w:before="200"/>
      </w:pPr>
      <w:r>
        <w:rPr>
          <w:b/>
          <w:sz w:val="24"/>
        </w:rPr>
        <w:t>2. Scope</w:t>
      </w:r>
    </w:p>
    <w:p>
      <w:pPr>
        <w:spacing w:after="80" w:before="0"/>
      </w:pPr>
      <w:r>
        <w:rPr>
          <w:b w:val="0"/>
          <w:sz w:val="21"/>
        </w:rPr>
        <w:t>This checklist applies to all Support at Home services delivered by [Organisation Name], including services delivered by associated providers, subcontractors and third-party workers on its behalf. It covers every participant linked to [Organisation Name] under the single provider model, including those who self-manage. It does not replace the strengthened Quality Standards self-assessment, and it does not cover Commonwealth Home Support Programme services, which continue until no earlier than 1 July 2027.</w:t>
      </w:r>
    </w:p>
    <w:p>
      <w:pPr>
        <w:spacing w:after="80" w:before="200"/>
      </w:pPr>
      <w:r>
        <w:rPr>
          <w:b/>
          <w:sz w:val="24"/>
        </w:rPr>
        <w:t>3. How to Use This Checklist</w:t>
      </w:r>
    </w:p>
    <w:p>
      <w:pPr>
        <w:spacing w:after="80" w:before="0"/>
      </w:pPr>
      <w:r>
        <w:rPr>
          <w:b w:val="0"/>
          <w:sz w:val="21"/>
        </w:rPr>
        <w:t>Work through the checklist section by section. Each row is a statement that is either true or not true today, so a reviewer can answer it without interpretation.</w:t>
      </w:r>
    </w:p>
    <w:p>
      <w:pPr>
        <w:pStyle w:val="ListBullet"/>
        <w:spacing w:after="60"/>
      </w:pPr>
      <w:r>
        <w:rPr>
          <w:sz w:val="21"/>
        </w:rPr>
        <w:t>Assign each section to the role that holds the records: care partners answer care plan rows, finance answers budget and pricing rows.</w:t>
      </w:r>
    </w:p>
    <w:p>
      <w:pPr>
        <w:pStyle w:val="ListBullet"/>
        <w:spacing w:after="60"/>
      </w:pPr>
      <w:r>
        <w:rPr>
          <w:sz w:val="21"/>
        </w:rPr>
        <w:t>Answer Y only when a named document can be produced the same business day. If the evidence has to be rebuilt, the honest answer is N.</w:t>
      </w:r>
    </w:p>
    <w:p>
      <w:pPr>
        <w:pStyle w:val="ListBullet"/>
        <w:spacing w:after="60"/>
      </w:pPr>
      <w:r>
        <w:rPr>
          <w:sz w:val="21"/>
        </w:rPr>
        <w:t>Write the real location: system, report, folder or file reference. 'On file' is not an answer an auditor accepts.</w:t>
      </w:r>
    </w:p>
    <w:p>
      <w:pPr>
        <w:pStyle w:val="ListBullet"/>
        <w:spacing w:after="60"/>
      </w:pPr>
      <w:r>
        <w:rPr>
          <w:sz w:val="21"/>
        </w:rPr>
        <w:t>For participant-level rows, sample at least [10] records or [10%] of the caseload, whichever is larger.</w:t>
      </w:r>
    </w:p>
    <w:p>
      <w:pPr>
        <w:pStyle w:val="ListBullet"/>
        <w:spacing w:after="60"/>
      </w:pPr>
      <w:r>
        <w:rPr>
          <w:sz w:val="21"/>
        </w:rPr>
        <w:t>Transfer every N answer to the Gap Action Log in section 6 with an owner and a target date.</w:t>
      </w:r>
    </w:p>
    <w:p>
      <w:pPr>
        <w:pStyle w:val="ListBullet"/>
        <w:spacing w:after="60"/>
      </w:pPr>
      <w:r>
        <w:rPr>
          <w:sz w:val="21"/>
        </w:rPr>
        <w:t>Re-run the full checklist at least [six-monthly], and re-run any N section within [30 days] of its target date.</w:t>
      </w:r>
    </w:p>
    <w:p>
      <w:pPr>
        <w:spacing w:after="80" w:before="200"/>
      </w:pPr>
      <w:r>
        <w:rPr>
          <w:b/>
          <w:sz w:val="24"/>
        </w:rPr>
        <w:t>4. Definitions</w:t>
      </w:r>
    </w:p>
    <w:p>
      <w:pPr>
        <w:spacing w:after="60"/>
      </w:pPr>
      <w:r>
        <w:rPr>
          <w:b/>
          <w:sz w:val="21"/>
        </w:rPr>
        <w:t xml:space="preserve">Care partner: </w:t>
      </w:r>
      <w:r>
        <w:rPr>
          <w:sz w:val="21"/>
        </w:rPr>
        <w:t>The worker who develops the care plan collaboratively with the participant and coordinates their services, replacing the former care manager title. A preferred qualification example is a Certificate IV in Aged Care. Clinical care partners hold a tertiary health-related qualification, for example nursing or physiotherapy.</w:t>
      </w:r>
    </w:p>
    <w:p>
      <w:pPr>
        <w:spacing w:after="60"/>
      </w:pPr>
      <w:r>
        <w:rPr>
          <w:b/>
          <w:sz w:val="21"/>
        </w:rPr>
        <w:t xml:space="preserve">Single provider model: </w:t>
      </w:r>
      <w:r>
        <w:rPr>
          <w:sz w:val="21"/>
        </w:rPr>
        <w:t>Every participant is linked to one registered provider that holds the service agreement and coordinates, delivers and claims for all of their services.</w:t>
      </w:r>
    </w:p>
    <w:p>
      <w:pPr>
        <w:spacing w:after="60"/>
      </w:pPr>
      <w:r>
        <w:rPr>
          <w:b/>
          <w:sz w:val="21"/>
        </w:rPr>
        <w:t xml:space="preserve">Quarterly budget: </w:t>
      </w:r>
      <w:r>
        <w:rPr>
          <w:sz w:val="21"/>
        </w:rPr>
        <w:t>A participant's classification amount divided into four budgets, each covering three months.</w:t>
      </w:r>
    </w:p>
    <w:p>
      <w:pPr>
        <w:spacing w:after="60"/>
      </w:pPr>
      <w:r>
        <w:rPr>
          <w:b/>
          <w:sz w:val="21"/>
        </w:rPr>
        <w:t xml:space="preserve">Carryover: </w:t>
      </w:r>
      <w:r>
        <w:rPr>
          <w:sz w:val="21"/>
        </w:rPr>
        <w:t>Unspent funds a participant may carry into the next quarter, up to $1,000 or 10% of the quarterly budget, whichever is higher.</w:t>
      </w:r>
    </w:p>
    <w:p>
      <w:pPr>
        <w:spacing w:after="60"/>
      </w:pPr>
      <w:r>
        <w:rPr>
          <w:b/>
          <w:sz w:val="21"/>
        </w:rPr>
        <w:t xml:space="preserve">Care management account: </w:t>
      </w:r>
      <w:r>
        <w:rPr>
          <w:sz w:val="21"/>
        </w:rPr>
        <w:t>An amount equal to 10% of each participant's ongoing quarterly budget, pooled across participants in a service delivery branch and held by Services Australia.</w:t>
      </w:r>
    </w:p>
    <w:p>
      <w:pPr>
        <w:spacing w:after="60"/>
      </w:pPr>
      <w:r>
        <w:rPr>
          <w:b/>
          <w:sz w:val="21"/>
        </w:rPr>
        <w:t xml:space="preserve">Short-term pathways: </w:t>
      </w:r>
      <w:r>
        <w:rPr>
          <w:sz w:val="21"/>
        </w:rPr>
        <w:t>Assistive Technology and Home Modifications, the Restorative Care Pathway, and the End-of-Life Pathway.</w:t>
      </w:r>
    </w:p>
    <w:p>
      <w:pPr>
        <w:spacing w:after="60"/>
      </w:pPr>
      <w:r>
        <w:rPr>
          <w:b/>
          <w:sz w:val="21"/>
        </w:rPr>
        <w:t xml:space="preserve">Associated provider: </w:t>
      </w:r>
      <w:r>
        <w:rPr>
          <w:sz w:val="21"/>
        </w:rPr>
        <w:t>Another provider or subcontractor delivering services under arrangement with the registered provider that holds the service agreement.</w:t>
      </w:r>
    </w:p>
    <w:p>
      <w:pPr>
        <w:spacing w:after="60"/>
      </w:pPr>
      <w:r>
        <w:rPr>
          <w:b/>
          <w:sz w:val="21"/>
        </w:rPr>
        <w:t xml:space="preserve">Evidence: </w:t>
      </w:r>
      <w:r>
        <w:rPr>
          <w:sz w:val="21"/>
        </w:rPr>
        <w:t>A dated record in a named system or file that a reviewer can open without help from the person who created it.</w:t>
      </w:r>
    </w:p>
    <w:p>
      <w:pPr>
        <w:spacing w:after="80" w:before="200"/>
      </w:pPr>
      <w:r>
        <w:rPr>
          <w:b/>
          <w:sz w:val="24"/>
        </w:rPr>
        <w:t>5. Self-Assessment Checklist</w:t>
      </w:r>
    </w:p>
    <w:p>
      <w:pPr>
        <w:spacing w:after="80" w:before="0"/>
      </w:pPr>
      <w:r>
        <w:rPr>
          <w:b w:val="0"/>
          <w:sz w:val="21"/>
        </w:rPr>
        <w:t>Answer each row Y or N as at today's date and record where the evidence sits. An N is useful information provided it reaches the Gap Action Log.</w:t>
      </w:r>
    </w:p>
    <w:p>
      <w:pPr>
        <w:spacing w:after="80" w:before="160"/>
      </w:pPr>
      <w:r>
        <w:rPr>
          <w:b/>
          <w:sz w:val="22"/>
        </w:rPr>
        <w:t>5.1 Registration Categories Held</w:t>
      </w:r>
    </w:p>
    <w:p>
      <w:pPr>
        <w:spacing w:after="80" w:before="0"/>
      </w:pPr>
      <w:r>
        <w:rPr>
          <w:b w:val="0"/>
          <w:sz w:val="21"/>
        </w:rPr>
        <w:t>Delivering a service outside the categories held is a breach however well the care was delivered.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Evidence / Document location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Complete (Y/N)</w:t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Category 4 registration with service type 'Care management' is held for every participant [Organisation Name] holds a service agreement with.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A current register lists every registration category and service type held, with its approval date.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Where Assistive Technology or home modifications are delivered, Category 2 with service type 'Assistive Technology and Home Modifications' is held.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Where the Restorative Care Pathway is delivered, Category 4 includes both 'Restorative care management' and 'Allied health and therapy'.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Every service on the delivery schedule maps to a category held, and any unmatched service is stopped or a variation lodged.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The most recent audit report against the strengthened Quality Standards is on file, including the result for Outcome 5.1 (Clinical Governance) of Standard 5: Clinical care.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Start notifications have been submitted to Services Australia for every participant currently receiving services.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0"/>
      </w:pPr>
    </w:p>
    <w:p>
      <w:pPr>
        <w:spacing w:after="80" w:before="160"/>
      </w:pPr>
      <w:r>
        <w:rPr>
          <w:b/>
          <w:sz w:val="22"/>
        </w:rPr>
        <w:t>5.2 Service Agreements</w:t>
      </w:r>
    </w:p>
    <w:p>
      <w:pPr>
        <w:spacing w:after="80" w:before="0"/>
      </w:pPr>
      <w:r>
        <w:rPr>
          <w:b w:val="0"/>
          <w:sz w:val="21"/>
        </w:rPr>
        <w:t>Auditors test both the required contents of the agreement and the timing of when it was signed.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Evidence / Document location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Complete (Y/N)</w:t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Every participant has a written service agreement, signed and dated before the first service was delivered.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Each agreement states what services will be provided.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Each agreement states who will provide them, naming any associated provider or subcontractor.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Each agreement sets out the responsibilities of both the participant and [Organisation Name].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Each agreement states how much the services cost.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Agreements are in plain, readily understandable language, with an interpreter offered where needed.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Service changes are documented as variations and re-agreed in writing, not applied by phone note.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Where a participant self-manages, the agreement records the division of responsibilities and the oversight [Organisation Name] retains.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0"/>
      </w:pPr>
    </w:p>
    <w:p>
      <w:pPr>
        <w:spacing w:after="80" w:before="160"/>
      </w:pPr>
      <w:r>
        <w:rPr>
          <w:b/>
          <w:sz w:val="22"/>
        </w:rPr>
        <w:t>5.3 Care Plans and Review Currency</w:t>
      </w:r>
    </w:p>
    <w:p>
      <w:pPr>
        <w:spacing w:after="80" w:before="0"/>
      </w:pPr>
      <w:r>
        <w:rPr>
          <w:b w:val="0"/>
          <w:sz w:val="21"/>
        </w:rPr>
        <w:t>Standard 3 covers monitoring and reviewing the care plan. Review currency is a reportable number.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Evidence / Document location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Complete (Y/N)</w:t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Every participant has a care plan developed collaboratively by their care partner with them, with that involvement visible in the record.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No care plan is older than 12 months without a formal, dated review.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A report of care plan review due dates can be produced on demand and shows zero overdue reviews.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Reviews triggered by a change in condition, hospital admission or incident are documented, with the trigger named.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Services delivered and claimed match the goals and service types in the care plan.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Care partner qualifications are recorded, and clinical care partners hold a tertiary health-related qualification.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Participant consent, and any registered supporter arrangement, is recorded and current.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0"/>
      </w:pPr>
    </w:p>
    <w:p>
      <w:pPr>
        <w:spacing w:after="80" w:before="160"/>
      </w:pPr>
      <w:r>
        <w:rPr>
          <w:b/>
          <w:sz w:val="22"/>
        </w:rPr>
        <w:t>5.4 Quarterly Budget Governance</w:t>
      </w:r>
    </w:p>
    <w:p>
      <w:pPr>
        <w:spacing w:after="80" w:before="0"/>
      </w:pPr>
      <w:r>
        <w:rPr>
          <w:b w:val="0"/>
          <w:sz w:val="21"/>
        </w:rPr>
        <w:t>Every row here should be answerable from a system report, not a spreadsheet held by one person.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Evidence / Document location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Complete (Y/N)</w:t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Each ongoing classification amount is administered as four quarterly budgets, each covering three months.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Carryover is calculated as $1,000 or 10% of the quarterly budget, whichever is higher, and the calculation is retained.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Care management is claimed from the pooled account held by Services Australia, funded by 10% of each participant's ongoing quarterly budget.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Underspend and overspend is reviewed before quarter end, dated and attributed to a named role.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Monthly statements issued to participants reconcile to the claims submitted for the same period.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Quarterly Financial Report and Aged Care Financial Report submissions are on file with their lodgement dates.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A named role is accountable for budget governance and appears in the approved delegation schedule.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0"/>
      </w:pPr>
    </w:p>
    <w:p>
      <w:pPr>
        <w:spacing w:after="80" w:before="160"/>
      </w:pPr>
      <w:r>
        <w:rPr>
          <w:b/>
          <w:sz w:val="22"/>
        </w:rPr>
        <w:t>5.5 Contributions and Pricing Publication</w:t>
      </w:r>
    </w:p>
    <w:p>
      <w:pPr>
        <w:spacing w:after="80" w:before="0"/>
      </w:pPr>
      <w:r>
        <w:rPr>
          <w:b w:val="0"/>
          <w:sz w:val="21"/>
        </w:rPr>
        <w:t>Pricing publication is public, so check it yourself before an auditor does.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Evidence / Document location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Complete (Y/N)</w:t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Clinical Supports are treated as fully funded by the Government, with no participant contribution charged.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Contributions for Independence and Everyday Living services use the rate from the Services Australia income and assets assessment on file.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Participants receiving or approved for a Home Care Package on or before 12 September 2024 and not liable for an income-tested care fee are flagged 'no worse off' and charged no contributions on the service list.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The price most commonly charged for each service is published on My Aged Care.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The same prices are published on the [Organisation Name] website, and the two sets match today.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Published prices are all-inclusive of travel, administration and other delivery costs.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A written rationale and cost build-up supports why each published price is reasonable.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Invoices from the last quarter have been sampled against published prices with no unexplained variance.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0"/>
      </w:pPr>
    </w:p>
    <w:p>
      <w:pPr>
        <w:spacing w:after="80" w:before="160"/>
      </w:pPr>
      <w:r>
        <w:rPr>
          <w:b/>
          <w:sz w:val="22"/>
        </w:rPr>
        <w:t>5.6 Short-Term Pathways</w:t>
      </w:r>
    </w:p>
    <w:p>
      <w:pPr>
        <w:spacing w:after="80" w:before="0"/>
      </w:pPr>
      <w:r>
        <w:rPr>
          <w:b w:val="0"/>
          <w:sz w:val="21"/>
        </w:rPr>
        <w:t>The pathways are time-limited, so auditors look for the start reason, the end point and the handover.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Evidence / Document location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Complete (Y/N)</w:t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Assistive Technology and Home Modifications claims are supported by an assessment recommendation and a quote in the participant record.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Restorative Care Pathway participants have a time-limited, goal-based plan with allied health input documented.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End-of-Life Pathway participants have documented care preferences, consent and after-hours contact arrangements.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Exit from each pathway is documented, including any move to an ongoing classification.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Pathway services are delivered only where the matching registration category and service type are held.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Equipment and modification works have a recorded handover, including maintenance and safety information for the participant.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0"/>
      </w:pPr>
    </w:p>
    <w:p>
      <w:pPr>
        <w:spacing w:after="80" w:before="160"/>
      </w:pPr>
      <w:r>
        <w:rPr>
          <w:b/>
          <w:sz w:val="22"/>
        </w:rPr>
        <w:t>5.7 Associated Providers and Third-Party Workers</w:t>
      </w:r>
    </w:p>
    <w:p>
      <w:pPr>
        <w:spacing w:after="80" w:before="0"/>
      </w:pPr>
      <w:r>
        <w:rPr>
          <w:b w:val="0"/>
          <w:sz w:val="21"/>
        </w:rPr>
        <w:t>Accountability for regulatory obligations stays with the registered provider even when another organisation does the work.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Evidence / Document location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Complete (Y/N)</w:t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A current register lists every associated provider and subcontractor and the services each delivers.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A written agreement with each associated provider covers quality, reporting, incident notification and record access.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Worker screening, qualifications, registrations and insurances are verified and in date.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Participants are told in writing who will actually deliver each service.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Service records created by associated providers are received on an agreed schedule and held in the [Organisation Name] record system.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Where a participant self-manages, the accountability [Organisation Name] retains for regulatory obligations is written down.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0"/>
      </w:pPr>
    </w:p>
    <w:p>
      <w:pPr>
        <w:spacing w:after="80" w:before="160"/>
      </w:pPr>
      <w:r>
        <w:rPr>
          <w:b/>
          <w:sz w:val="22"/>
        </w:rPr>
        <w:t>5.8 Incident Management and SIRS</w:t>
      </w:r>
    </w:p>
    <w:p>
      <w:pPr>
        <w:spacing w:after="80" w:before="0"/>
      </w:pPr>
      <w:r>
        <w:rPr>
          <w:b w:val="0"/>
          <w:sz w:val="21"/>
        </w:rPr>
        <w:t>Incident obligations apply to home services, not only to care delivered in a building.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Evidence / Document location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Complete (Y/N)</w:t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An incident register captures incidents in participants' homes and in the community, including those involving third-party workers.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Reportable incidents have been notified within the required timeframes, with the notification reference stored against the record.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Each record shows the immediate response, the wellbeing check, and open disclosure where that applies.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Incident causes and trends are reported to the governing body at least quarterly, with minutes retained.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Staff and third-party workers can state what a reportable incident is, and training records evidence that.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Actions arising from incident reviews have owners, due dates and a closure record.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0"/>
      </w:pPr>
    </w:p>
    <w:p>
      <w:pPr>
        <w:spacing w:after="80" w:before="160"/>
      </w:pPr>
      <w:r>
        <w:rPr>
          <w:b/>
          <w:sz w:val="22"/>
        </w:rPr>
        <w:t>5.9 Evidence Location and Record Keeping</w:t>
      </w:r>
    </w:p>
    <w:p>
      <w:pPr>
        <w:spacing w:after="80" w:before="0"/>
      </w:pPr>
      <w:r>
        <w:rPr>
          <w:b w:val="0"/>
          <w:sz w:val="21"/>
        </w:rPr>
        <w:t>An audit is partly a test of retrieval speed. Record where each evidence set lives.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Evidence / Document location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Complete (Y/N)</w:t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Registration notices and the category register.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Signed service agreements and documented variations.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Care plans, review records and care partner qualification records.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Quarterly budget reports, carryover calculations and care management claim records.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Published price list, pricing rationale and participant statements.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Short-term pathway assessments, quotes and exit records.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Associated provider agreements and worker screening records.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Incident register, notification references and governing body reporting.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Quality Standards self-assessment, internal audit reports and the continuous improvement plan.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0"/>
      </w:pPr>
    </w:p>
    <w:p>
      <w:pPr>
        <w:spacing w:after="80" w:before="200"/>
      </w:pPr>
      <w:r>
        <w:rPr>
          <w:b/>
          <w:sz w:val="24"/>
        </w:rPr>
        <w:t>6. Audit Day Readiness and Gap Closure</w:t>
      </w:r>
    </w:p>
    <w:p>
      <w:pPr>
        <w:spacing w:after="80" w:before="0"/>
      </w:pPr>
      <w:r>
        <w:rPr>
          <w:b w:val="0"/>
          <w:sz w:val="21"/>
        </w:rPr>
        <w:t>Complete this section in the week before a scheduled audit, or immediately after notice of an unannounced visit.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Evidence / Document location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Complete (Y/N)</w:t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A named contact and a backup contact are available for the full audit period, with mobile numbers circulated.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Read-only auditor access or a printed evidence pack is prepared for each system named above.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Participants and carers selected for interview have been told who may contact them, and consent is recorded.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Staff have been briefed on the audit scope and know they may answer 'I will find out' rather than guess.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The current Gap Action Log is printed and ready to hand over, with owners and dates.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76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Every N answer in sections 5.1 to 5.9 has been closed or appears in the Gap Action Log.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60" w:before="0"/>
      </w:pPr>
      <w:r>
        <w:rPr>
          <w:b/>
          <w:sz w:val="21"/>
        </w:rPr>
        <w:t>Gap Action Log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744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Gap identified (section and row)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Action and accountable role</w:t>
            </w:r>
          </w:p>
        </w:tc>
        <w:tc>
          <w:tcPr>
            <w:tcW w:type="dxa" w:w="1872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Target date</w:t>
            </w:r>
          </w:p>
        </w:tc>
      </w:tr>
      <w:tr>
        <w:tc>
          <w:tcPr>
            <w:tcW w:type="dxa" w:w="3744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0"/>
      </w:pPr>
    </w:p>
    <w:p>
      <w:pPr>
        <w:spacing w:after="80" w:before="200"/>
      </w:pPr>
      <w:r>
        <w:rPr>
          <w:b/>
          <w:sz w:val="24"/>
        </w:rPr>
        <w:t>7. Related Policies</w:t>
      </w:r>
    </w:p>
    <w:p>
      <w:pPr>
        <w:pStyle w:val="ListBullet"/>
        <w:spacing w:after="60"/>
      </w:pPr>
      <w:r>
        <w:rPr>
          <w:sz w:val="21"/>
        </w:rPr>
        <w:t>Accreditation and Regulatory Audit Management Policy</w:t>
      </w:r>
    </w:p>
    <w:p>
      <w:pPr>
        <w:pStyle w:val="ListBullet"/>
        <w:spacing w:after="60"/>
      </w:pPr>
      <w:r>
        <w:rPr>
          <w:sz w:val="21"/>
        </w:rPr>
        <w:t>Clinical Governance Framework Policy</w:t>
      </w:r>
    </w:p>
    <w:p>
      <w:pPr>
        <w:pStyle w:val="ListBullet"/>
        <w:spacing w:after="60"/>
      </w:pPr>
      <w:r>
        <w:rPr>
          <w:sz w:val="21"/>
        </w:rPr>
        <w:t>Incident Management and Reporting Policy</w:t>
      </w:r>
    </w:p>
    <w:p>
      <w:pPr>
        <w:pStyle w:val="ListBullet"/>
        <w:spacing w:after="60"/>
      </w:pPr>
      <w:r>
        <w:rPr>
          <w:sz w:val="21"/>
        </w:rPr>
        <w:t>Serious Incident Response Scheme Policy</w:t>
      </w:r>
    </w:p>
    <w:p>
      <w:pPr>
        <w:pStyle w:val="ListBullet"/>
        <w:spacing w:after="60"/>
      </w:pPr>
      <w:r>
        <w:rPr>
          <w:sz w:val="21"/>
        </w:rPr>
        <w:t>Fee Transparency and Financial Governance Policy</w:t>
      </w:r>
    </w:p>
    <w:p>
      <w:pPr>
        <w:pStyle w:val="ListBullet"/>
        <w:spacing w:after="60"/>
      </w:pPr>
      <w:r>
        <w:rPr>
          <w:sz w:val="21"/>
        </w:rPr>
        <w:t>Feedback and Complaints Management Policy</w:t>
      </w:r>
    </w:p>
    <w:p>
      <w:pPr>
        <w:pStyle w:val="ListBullet"/>
        <w:spacing w:after="60"/>
      </w:pPr>
      <w:r>
        <w:rPr>
          <w:sz w:val="21"/>
        </w:rPr>
        <w:t>Third-Party and Subcontractor Management Policy</w:t>
      </w:r>
    </w:p>
    <w:p>
      <w:pPr>
        <w:pStyle w:val="ListBullet"/>
        <w:spacing w:after="60"/>
      </w:pPr>
      <w:r>
        <w:rPr>
          <w:sz w:val="21"/>
        </w:rPr>
        <w:t>Consumer Entry, Transition and Exit Policy</w:t>
      </w:r>
    </w:p>
    <w:p>
      <w:pPr>
        <w:pStyle w:val="ListBullet"/>
        <w:spacing w:after="60"/>
      </w:pPr>
      <w:r>
        <w:rPr>
          <w:sz w:val="21"/>
        </w:rPr>
        <w:t>Record Keeping Policy</w:t>
      </w:r>
    </w:p>
    <w:p>
      <w:pPr>
        <w:pStyle w:val="ListBullet"/>
        <w:spacing w:after="60"/>
      </w:pPr>
      <w:r>
        <w:rPr>
          <w:sz w:val="21"/>
        </w:rPr>
        <w:t>Quality Improvement Policy</w:t>
      </w:r>
    </w:p>
    <w:p>
      <w:pPr>
        <w:spacing w:after="80" w:before="200"/>
      </w:pPr>
      <w:r>
        <w:rPr>
          <w:b/>
          <w:sz w:val="24"/>
        </w:rPr>
        <w:t>8. Relevant Legislation and Standards</w:t>
      </w:r>
    </w:p>
    <w:p>
      <w:pPr>
        <w:pStyle w:val="ListBullet"/>
        <w:spacing w:after="60"/>
      </w:pPr>
      <w:r>
        <w:rPr>
          <w:sz w:val="21"/>
        </w:rPr>
        <w:t>Aged Care Act 2024 (Cth), the governing law for Support at Home from 1 November 2025</w:t>
      </w:r>
    </w:p>
    <w:p>
      <w:pPr>
        <w:pStyle w:val="ListBullet"/>
        <w:spacing w:after="60"/>
      </w:pPr>
      <w:r>
        <w:rPr>
          <w:sz w:val="21"/>
        </w:rPr>
        <w:t>Strengthened Aged Care Quality Standards, in particular Standard 2 The Organisation, Standard 3 The Care and Services, and Standard 5 Clinical Care including Outcome 5.1 Clinical Governance</w:t>
      </w:r>
    </w:p>
    <w:p>
      <w:pPr>
        <w:pStyle w:val="ListBullet"/>
        <w:spacing w:after="60"/>
      </w:pPr>
      <w:r>
        <w:rPr>
          <w:sz w:val="21"/>
        </w:rPr>
        <w:t>Serious Incident Response Scheme obligations as they apply to home services</w:t>
      </w:r>
    </w:p>
    <w:p>
      <w:pPr>
        <w:pStyle w:val="ListBullet"/>
        <w:spacing w:after="60"/>
      </w:pPr>
      <w:r>
        <w:rPr>
          <w:sz w:val="21"/>
        </w:rPr>
        <w:t>Aged Care Quality and Safety Commission registration, audit and provider obligation requirements</w:t>
      </w:r>
    </w:p>
    <w:p>
      <w:pPr>
        <w:pStyle w:val="ListBullet"/>
        <w:spacing w:after="60"/>
      </w:pPr>
      <w:r>
        <w:rPr>
          <w:sz w:val="21"/>
        </w:rPr>
        <w:t>Support at Home program manual - A guide for registered providers (version 4.0, December 2025)</w:t>
      </w:r>
    </w:p>
    <w:p>
      <w:pPr>
        <w:pStyle w:val="ListBullet"/>
        <w:spacing w:after="60"/>
      </w:pPr>
      <w:r>
        <w:rPr>
          <w:sz w:val="21"/>
        </w:rPr>
        <w:t>Privacy Act 1988 (Cth) for participant records and information handling</w:t>
      </w:r>
    </w:p>
    <w:p>
      <w:pPr>
        <w:pStyle w:val="ListBullet"/>
        <w:spacing w:after="60"/>
      </w:pPr>
      <w:r>
        <w:rPr>
          <w:sz w:val="21"/>
        </w:rPr>
        <w:t>Work Health and Safety legislation in each state or territory where services are delivered</w:t>
      </w:r>
    </w:p>
    <w:p>
      <w:pPr>
        <w:spacing w:after="80" w:before="200"/>
      </w:pPr>
      <w:r>
        <w:rPr>
          <w:b/>
          <w:sz w:val="24"/>
        </w:rPr>
        <w:t>9. Monitoring and Review</w:t>
      </w:r>
    </w:p>
    <w:p>
      <w:pPr>
        <w:pStyle w:val="ListBullet"/>
        <w:spacing w:after="60"/>
      </w:pPr>
      <w:r>
        <w:rPr>
          <w:sz w:val="21"/>
        </w:rPr>
        <w:t>[Quality and Compliance Manager] coordinates a full completion at least [six-monthly] and within [four weeks] of any change to registration categories held.</w:t>
      </w:r>
    </w:p>
    <w:p>
      <w:pPr>
        <w:pStyle w:val="ListBullet"/>
        <w:spacing w:after="60"/>
      </w:pPr>
      <w:r>
        <w:rPr>
          <w:sz w:val="21"/>
        </w:rPr>
        <w:t>Section owners return their rows with evidence locations by the date in the review schedule.</w:t>
      </w:r>
    </w:p>
    <w:p>
      <w:pPr>
        <w:pStyle w:val="ListBullet"/>
        <w:spacing w:after="60"/>
      </w:pPr>
      <w:r>
        <w:rPr>
          <w:sz w:val="21"/>
        </w:rPr>
        <w:t>The completed checklist and the Gap Action Log are tabled at the [Quality Committee] and reported to the governing body quarterly.</w:t>
      </w:r>
    </w:p>
    <w:p>
      <w:pPr>
        <w:pStyle w:val="ListBullet"/>
        <w:spacing w:after="60"/>
      </w:pPr>
      <w:r>
        <w:rPr>
          <w:sz w:val="21"/>
        </w:rPr>
        <w:t>Open gaps are tracked to closure in the continuous improvement plan, retaining the original target date.</w:t>
      </w:r>
    </w:p>
    <w:p>
      <w:pPr>
        <w:pStyle w:val="ListBullet"/>
        <w:spacing w:after="60"/>
      </w:pPr>
      <w:r>
        <w:rPr>
          <w:sz w:val="21"/>
        </w:rPr>
        <w:t>This document is reviewed every [12 months], or sooner if the program manual, Quality Standards or categories held change.</w:t>
      </w:r>
    </w:p>
    <w:p>
      <w:pPr>
        <w:spacing w:after="80" w:before="200"/>
      </w:pPr>
      <w:r>
        <w:rPr>
          <w:b/>
          <w:sz w:val="24"/>
        </w:rPr>
        <w:t>Document Control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3168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Reviewed By</w:t>
            </w:r>
          </w:p>
        </w:tc>
        <w:tc>
          <w:tcPr>
            <w:tcW w:type="dxa" w:w="3168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Role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Date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Signature</w:t>
            </w:r>
          </w:p>
        </w:tc>
      </w:tr>
      <w:tr>
        <w:tc>
          <w:tcPr>
            <w:tcW w:type="dxa" w:w="3168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 xml:space="preserve"> </w:t>
            </w:r>
          </w:p>
        </w:tc>
        <w:tc>
          <w:tcPr>
            <w:tcW w:type="dxa" w:w="3168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 xml:space="preserve"> 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 xml:space="preserve"> 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 xml:space="preserve"> </w:t>
            </w:r>
          </w:p>
        </w:tc>
      </w:tr>
      <w:tr>
        <w:tc>
          <w:tcPr>
            <w:tcW w:type="dxa" w:w="3168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Approved By</w:t>
            </w:r>
          </w:p>
        </w:tc>
        <w:tc>
          <w:tcPr>
            <w:tcW w:type="dxa" w:w="3168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Role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Date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Signature</w:t>
            </w:r>
          </w:p>
        </w:tc>
      </w:tr>
      <w:tr>
        <w:tc>
          <w:tcPr>
            <w:tcW w:type="dxa" w:w="3168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 xml:space="preserve"> </w:t>
            </w:r>
          </w:p>
        </w:tc>
        <w:tc>
          <w:tcPr>
            <w:tcW w:type="dxa" w:w="3168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 xml:space="preserve"> 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 xml:space="preserve"> </w:t>
            </w:r>
          </w:p>
        </w:tc>
        <w:tc>
          <w:tcPr>
            <w:tcW w:type="dxa" w:w="201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 xml:space="preserve"> </w:t>
            </w:r>
          </w:p>
        </w:tc>
      </w:tr>
    </w:tbl>
    <w:sectPr w:rsidR="00FC693F" w:rsidRPr="0006063C" w:rsidSect="00034616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