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sz w:val="32"/>
        </w:rPr>
        <w:t>[Organisation Name] - Care Partner Induction and Competency Guide</w:t>
      </w:r>
    </w:p>
    <w:tbl>
      <w:tblPr>
        <w:tblStyle w:val="TableGrid"/>
        <w:tblW w:type="auto" w:w="0"/>
        <w:jc w:val="left"/>
        <w:tblLook w:firstColumn="1" w:firstRow="1" w:lastColumn="0" w:lastRow="0" w:noHBand="0" w:noVBand="1" w:val="04A0"/>
      </w:tblPr>
      <w:tblGrid>
        <w:gridCol w:w="2340"/>
        <w:gridCol w:w="2340"/>
        <w:gridCol w:w="2340"/>
        <w:gridCol w:w="2340"/>
      </w:tblGrid>
      <w:tr>
        <w:tc>
          <w:tcPr>
            <w:tcW w:type="dxa" w:w="2340"/>
          </w:tcPr>
          <w:p>
            <w:r/>
            <w:r>
              <w:rPr>
                <w:b/>
              </w:rPr>
              <w:t>Policy Number</w:t>
            </w:r>
          </w:p>
        </w:tc>
        <w:tc>
          <w:tcPr>
            <w:tcW w:type="dxa" w:w="2340"/>
          </w:tcPr>
          <w:p>
            <w:r/>
            <w:r>
              <w:t>[e.g. SAH-007]</w:t>
            </w:r>
          </w:p>
        </w:tc>
        <w:tc>
          <w:tcPr>
            <w:tcW w:type="dxa" w:w="2340"/>
          </w:tcPr>
          <w:p>
            <w:r/>
            <w:r>
              <w:rPr>
                <w:b/>
              </w:rPr>
              <w:t>Version</w:t>
            </w:r>
          </w:p>
        </w:tc>
        <w:tc>
          <w:tcPr>
            <w:tcW w:type="dxa" w:w="2340"/>
          </w:tcPr>
          <w:p>
            <w:r/>
            <w:r>
              <w:t>1.0</w:t>
            </w:r>
          </w:p>
        </w:tc>
      </w:tr>
      <w:tr>
        <w:tc>
          <w:tcPr>
            <w:tcW w:type="dxa" w:w="2340"/>
          </w:tcPr>
          <w:p>
            <w:r/>
            <w:r>
              <w:rPr>
                <w:b/>
              </w:rPr>
              <w:t>Effective Date</w:t>
            </w:r>
          </w:p>
        </w:tc>
        <w:tc>
          <w:tcPr>
            <w:tcW w:type="dxa" w:w="2340"/>
          </w:tcPr>
          <w:p>
            <w:r/>
            <w:r>
              <w:t>[DD/MM/YYYY]</w:t>
            </w:r>
          </w:p>
        </w:tc>
        <w:tc>
          <w:tcPr>
            <w:tcW w:type="dxa" w:w="2340"/>
          </w:tcPr>
          <w:p>
            <w:r/>
            <w:r>
              <w:rPr>
                <w:b/>
              </w:rPr>
              <w:t>Review Date</w:t>
            </w:r>
          </w:p>
        </w:tc>
        <w:tc>
          <w:tcPr>
            <w:tcW w:type="dxa" w:w="2340"/>
          </w:tcPr>
          <w:p>
            <w:r/>
            <w:r>
              <w:t>[DD/MM/YYYY]</w:t>
            </w:r>
          </w:p>
        </w:tc>
      </w:tr>
      <w:tr>
        <w:tc>
          <w:tcPr>
            <w:tcW w:type="dxa" w:w="2340"/>
          </w:tcPr>
          <w:p>
            <w:r/>
            <w:r>
              <w:rPr>
                <w:b/>
              </w:rPr>
              <w:t>Policy Owner</w:t>
            </w:r>
          </w:p>
        </w:tc>
        <w:tc>
          <w:tcPr>
            <w:tcW w:type="dxa" w:w="2340"/>
          </w:tcPr>
          <w:p>
            <w:r/>
            <w:r>
              <w:t>[Care Partner Team Leader / L&amp;D Manager]</w:t>
            </w:r>
          </w:p>
        </w:tc>
        <w:tc>
          <w:tcPr>
            <w:tcW w:type="dxa" w:w="2340"/>
          </w:tcPr>
          <w:p>
            <w:r/>
            <w:r>
              <w:rPr>
                <w:b/>
              </w:rPr>
              <w:t>Approved By</w:t>
            </w:r>
          </w:p>
        </w:tc>
        <w:tc>
          <w:tcPr>
            <w:tcW w:type="dxa" w:w="2340"/>
          </w:tcPr>
          <w:p>
            <w:r/>
            <w:r>
              <w:t>[Board]</w:t>
            </w:r>
          </w:p>
        </w:tc>
      </w:tr>
    </w:tbl>
    <w:p/>
    <w:p>
      <w:r>
        <w:rPr>
          <w:b/>
          <w:sz w:val="26"/>
        </w:rPr>
        <w:t>1. Purpose</w:t>
      </w:r>
    </w:p>
    <w:p>
      <w:r>
        <w:t>This guide inducts a new care partner at [Organisation Name] and records when that person is assessed as competent to carry a caseload. Support at Home commenced on 1 November 2025 under the Aged Care Act 2024 (Cth), replacing the Home Care Packages Program and the Short-Term Restorative Care Programme, and created the care partner role in place of the care manager role. Because the role is new, induction cannot run off an old position description.</w:t>
      </w:r>
    </w:p>
    <w:p>
      <w:r>
        <w:rPr>
          <w:b/>
          <w:sz w:val="26"/>
        </w:rPr>
        <w:t>2. Scope</w:t>
      </w:r>
    </w:p>
    <w:p>
      <w:r>
        <w:t>This guide applies to every newly appointed care partner and clinical care partner at [Organisation Name], to internal transfers into the role, and to the team leaders and clinical managers who assess them. Agency and contracted care partners complete the same modules and the same sign-off before holding a caseload.</w:t>
      </w:r>
    </w:p>
    <w:p>
      <w:r>
        <w:t>Commonwealth Home Support Programme staff remain under existing arrangements, which continue until that program transitions no earlier than 1 July 2027. Where a worker covers both programs, the differences are covered in supervision.</w:t>
      </w:r>
    </w:p>
    <w:p>
      <w:r>
        <w:rPr>
          <w:b/>
          <w:sz w:val="26"/>
        </w:rPr>
        <w:t>3. How to Use This Guide</w:t>
      </w:r>
    </w:p>
    <w:p>
      <w:pPr>
        <w:pStyle w:val="ListBullet"/>
      </w:pPr>
      <w:r>
        <w:t>The inductee keeps a copy and works through the modules in order.</w:t>
      </w:r>
    </w:p>
    <w:p>
      <w:pPr>
        <w:pStyle w:val="ListBullet"/>
      </w:pPr>
      <w:r>
        <w:t>The assessor signs each competency only after observing the behaviour, not after attendance at a session.</w:t>
      </w:r>
    </w:p>
    <w:p>
      <w:pPr>
        <w:pStyle w:val="ListBullet"/>
      </w:pPr>
      <w:r>
        <w:t>Replace every [bracketed] placeholder with your own position titles, systems and timeframes before issuing it.</w:t>
      </w:r>
    </w:p>
    <w:p>
      <w:pPr>
        <w:pStyle w:val="ListBullet"/>
      </w:pPr>
      <w:r>
        <w:t>File the completed matrix on the personnel record. It is the evidence an auditor will ask to see.</w:t>
      </w:r>
    </w:p>
    <w:p>
      <w:pPr>
        <w:pStyle w:val="ListBullet"/>
      </w:pPr>
      <w:r>
        <w:t>Reissue the guide when the Support at Home program manual is updated. The current reference is version 4.0, December 2025.</w:t>
      </w:r>
    </w:p>
    <w:p>
      <w:r>
        <w:rPr>
          <w:b/>
          <w:sz w:val="26"/>
        </w:rPr>
        <w:t>4. Definitions</w:t>
      </w:r>
    </w:p>
    <w:p>
      <w:pPr>
        <w:pStyle w:val="ListBullet"/>
      </w:pPr>
      <w:r>
        <w:t>Care partner: the named worker who coordinates a participant's services, develops and reviews the care plan, and is the main point of contact. The role replaces the former care manager role.</w:t>
      </w:r>
    </w:p>
    <w:p>
      <w:pPr>
        <w:pStyle w:val="ListBullet"/>
      </w:pPr>
      <w:r>
        <w:t>Clinical care partner: a care partner whose duties include clinical assessment, clinical decision-making or clinical oversight.</w:t>
      </w:r>
    </w:p>
    <w:p>
      <w:pPr>
        <w:pStyle w:val="ListBullet"/>
      </w:pPr>
      <w:r>
        <w:t>Care management account: the account to which 10% of each participant's ongoing quarterly budget is allocated. Amounts are pooled across a service delivery branch and held by Services Australia, and the provider claims care management from that pool.</w:t>
      </w:r>
    </w:p>
    <w:p>
      <w:pPr>
        <w:pStyle w:val="ListBullet"/>
      </w:pPr>
      <w:r>
        <w:t>Quarterly budget: one of four budgets, each covering three months, into which a classification amount is divided.</w:t>
      </w:r>
    </w:p>
    <w:p>
      <w:pPr>
        <w:pStyle w:val="ListBullet"/>
      </w:pPr>
      <w:r>
        <w:t>Supporter: a person the participant nominates to help them make or communicate decisions.</w:t>
      </w:r>
    </w:p>
    <w:p>
      <w:r>
        <w:rPr>
          <w:b/>
          <w:sz w:val="26"/>
        </w:rPr>
        <w:t>5. Induction Schedule</w:t>
      </w:r>
    </w:p>
    <w:p>
      <w:r>
        <w:t>No care partner holds a caseload before the week 1 and week 2 to 4 activities are signed off. Record dates as items are completed, not in advance.</w:t>
      </w:r>
    </w:p>
    <w:tbl>
      <w:tblPr>
        <w:tblStyle w:val="TableGrid"/>
        <w:tblW w:type="auto" w:w="0"/>
        <w:jc w:val="left"/>
        <w:tblLook w:firstColumn="1" w:firstRow="1" w:lastColumn="0" w:lastRow="0" w:noHBand="0" w:noVBand="1" w:val="04A0"/>
      </w:tblPr>
      <w:tblGrid>
        <w:gridCol w:w="1296"/>
        <w:gridCol w:w="4176"/>
        <w:gridCol w:w="3888"/>
      </w:tblGrid>
      <w:tr>
        <w:tc>
          <w:tcPr>
            <w:tcW w:type="dxa" w:w="3120"/>
          </w:tcPr>
          <w:p>
            <w:r/>
            <w:r>
              <w:rPr>
                <w:b/>
              </w:rPr>
              <w:t>Timeframe</w:t>
            </w:r>
          </w:p>
        </w:tc>
        <w:tc>
          <w:tcPr>
            <w:tcW w:type="dxa" w:w="3120"/>
          </w:tcPr>
          <w:p>
            <w:r/>
            <w:r>
              <w:rPr>
                <w:b/>
              </w:rPr>
              <w:t>Induction activity</w:t>
            </w:r>
          </w:p>
        </w:tc>
        <w:tc>
          <w:tcPr>
            <w:tcW w:type="dxa" w:w="3120"/>
          </w:tcPr>
          <w:p>
            <w:r/>
            <w:r>
              <w:rPr>
                <w:b/>
              </w:rPr>
              <w:t>Evidence recorded by [Organisation Name]</w:t>
            </w:r>
          </w:p>
        </w:tc>
      </w:tr>
      <w:tr>
        <w:tc>
          <w:tcPr>
            <w:tcW w:type="dxa" w:w="3120"/>
          </w:tcPr>
          <w:p>
            <w:r/>
            <w:r>
              <w:rPr>
                <w:b/>
              </w:rPr>
              <w:t>Week 1</w:t>
            </w:r>
          </w:p>
        </w:tc>
        <w:tc>
          <w:tcPr>
            <w:tcW w:type="dxa" w:w="3120"/>
          </w:tcPr>
          <w:p>
            <w:r/>
            <w:r>
              <w:t>Modules 1 and 2. Read the program manual sections on care management. Shadow two participant visits. Systems access and privacy briefing. No unaccompanied visits and no care plan authoring.</w:t>
            </w:r>
          </w:p>
        </w:tc>
        <w:tc>
          <w:tcPr>
            <w:tcW w:type="dxa" w:w="3120"/>
          </w:tcPr>
          <w:p>
            <w:r/>
            <w:r>
              <w:t>Signed induction checklist; reading log; shadowing record naming the host.</w:t>
            </w:r>
          </w:p>
        </w:tc>
      </w:tr>
      <w:tr>
        <w:tc>
          <w:tcPr>
            <w:tcW w:type="dxa" w:w="3120"/>
          </w:tcPr>
          <w:p>
            <w:r/>
            <w:r>
              <w:rPr>
                <w:b/>
              </w:rPr>
              <w:t>Weeks 2 to 4</w:t>
            </w:r>
          </w:p>
        </w:tc>
        <w:tc>
          <w:tcPr>
            <w:tcW w:type="dxa" w:w="3120"/>
          </w:tcPr>
          <w:p>
            <w:r/>
            <w:r>
              <w:t>Modules 3 to 6. Draft one service agreement and one care plan under supervision, both countersigned before they are finalised. First unaccompanied visits. Weekly supervision with [Care Partner Team Leader].</w:t>
            </w:r>
          </w:p>
        </w:tc>
        <w:tc>
          <w:tcPr>
            <w:tcW w:type="dxa" w:w="3120"/>
          </w:tcPr>
          <w:p>
            <w:r/>
            <w:r>
              <w:t>Countersigned draft agreement and care plan; dated supervision notes; written feedback on progress notes.</w:t>
            </w:r>
          </w:p>
        </w:tc>
      </w:tr>
      <w:tr>
        <w:tc>
          <w:tcPr>
            <w:tcW w:type="dxa" w:w="3120"/>
          </w:tcPr>
          <w:p>
            <w:r/>
            <w:r>
              <w:rPr>
                <w:b/>
              </w:rPr>
              <w:t>By 3 months</w:t>
            </w:r>
          </w:p>
        </w:tc>
        <w:tc>
          <w:tcPr>
            <w:tcW w:type="dxa" w:w="3120"/>
          </w:tcPr>
          <w:p>
            <w:r/>
            <w:r>
              <w:t>Competency matrix completed and signed. Caseload stepped up to the agreed range. Qualification and police check records reviewed. Probation review held.</w:t>
            </w:r>
          </w:p>
        </w:tc>
        <w:tc>
          <w:tcPr>
            <w:tcW w:type="dxa" w:w="3120"/>
          </w:tcPr>
          <w:p>
            <w:r/>
            <w:r>
              <w:t>Signed competency matrix; updated caseload record; probation review outcome on the personnel record.</w:t>
            </w:r>
          </w:p>
        </w:tc>
      </w:tr>
    </w:tbl>
    <w:p/>
    <w:p>
      <w:r>
        <w:rPr>
          <w:b/>
          <w:sz w:val="26"/>
        </w:rPr>
        <w:t>6. Induction Modules</w:t>
      </w:r>
    </w:p>
    <w:p>
      <w:r>
        <w:rPr>
          <w:b/>
          <w:sz w:val="22"/>
        </w:rPr>
        <w:t>6.1 Module 1: The Care Partner Role and What Changed</w:t>
      </w:r>
    </w:p>
    <w:p>
      <w:r>
        <w:t>The care partner is a new role, not a retitled one. Whoever plans the care is also the person the participant rings, the one who monitors whether the plan is working, and the one whose notes support the care management claim. The inductee must be able to say that to a participant in plain words.</w:t>
      </w:r>
    </w:p>
    <w:p>
      <w:pPr>
        <w:pStyle w:val="ListBullet"/>
      </w:pPr>
      <w:r>
        <w:t>Read this guide, your position description and [Care Partner Obligations summary].</w:t>
      </w:r>
    </w:p>
    <w:p>
      <w:pPr>
        <w:pStyle w:val="ListBullet"/>
      </w:pPr>
      <w:r>
        <w:t>Shadow two participant visits and write a short reflection on what the care partner did between visits.</w:t>
      </w:r>
    </w:p>
    <w:p>
      <w:pPr>
        <w:pStyle w:val="ListBullet"/>
      </w:pPr>
      <w:r>
        <w:t>Confirm in supervision which duties sit outside a non-clinical scope.</w:t>
      </w:r>
    </w:p>
    <w:p>
      <w:r>
        <w:rPr>
          <w:b/>
          <w:sz w:val="22"/>
        </w:rPr>
        <w:t>6.2 Module 2: The Single Provider Model</w:t>
      </w:r>
    </w:p>
    <w:p>
      <w:r>
        <w:t>Every participant is linked to one registered provider that holds the service agreement and coordinates, delivers and claims for all services. [Organisation Name] holds Category 4 registration with the Care management service type, is audited under the strengthened Quality Standards, and meets Outcome 5.1 (Clinical Governance) of Standard 5: Clinical care. Assistive Technology and Home Modifications requires Category 2 with that service type; the Restorative Care Pathway requires Category 4 with both Restorative care management and Allied health and therapy.</w:t>
      </w:r>
    </w:p>
    <w:p>
      <w:pPr>
        <w:pStyle w:val="ListBullet"/>
      </w:pPr>
      <w:r>
        <w:t>Learn which registration categories [Organisation Name] holds, and which services are therefore subcontracted.</w:t>
      </w:r>
    </w:p>
    <w:p>
      <w:pPr>
        <w:pStyle w:val="ListBullet"/>
      </w:pPr>
      <w:r>
        <w:t>Where a participant self-manages, accountability for regulatory obligations stays with [Organisation Name]. Record the agreed task split in the care plan.</w:t>
      </w:r>
    </w:p>
    <w:p>
      <w:r>
        <w:rPr>
          <w:b/>
          <w:sz w:val="22"/>
        </w:rPr>
        <w:t>6.3 Module 3: Service Agreements</w:t>
      </w:r>
    </w:p>
    <w:p>
      <w:r>
        <w:t>A service agreement must be written, agreed before services begin, and set out in plain, readily understandable language. It covers what services will be provided, who will provide them, the responsibilities of participant and provider, and how much services cost.</w:t>
      </w:r>
    </w:p>
    <w:p>
      <w:pPr>
        <w:pStyle w:val="ListBullet"/>
      </w:pPr>
      <w:r>
        <w:t>Draft one agreement under supervision, countersigned by [Position title] before it goes to the participant.</w:t>
      </w:r>
    </w:p>
    <w:p>
      <w:pPr>
        <w:pStyle w:val="ListBullet"/>
      </w:pPr>
      <w:r>
        <w:t>Check quoted prices against those [Organisation Name] publishes on My Aged Care and its website. Published prices are all-inclusive of travel, administration and other delivery costs, and must be reasonable.</w:t>
      </w:r>
    </w:p>
    <w:p>
      <w:pPr>
        <w:pStyle w:val="ListBullet"/>
      </w:pPr>
      <w:r>
        <w:t>Record consent, the agreement date, and any interpreter or supporter involved.</w:t>
      </w:r>
    </w:p>
    <w:p>
      <w:r>
        <w:rPr>
          <w:b/>
          <w:sz w:val="22"/>
        </w:rPr>
        <w:t>6.4 Module 4: Care Plans, Monitoring and Review Cycles</w:t>
      </w:r>
    </w:p>
    <w:p>
      <w:r>
        <w:t>The care partner develops the care plan with the participant, not for them, and the plan is formally reviewed as often as needed and at least annually. Standard 3 covers monitoring and reviewing the care plan, so the review record is audit evidence.</w:t>
      </w:r>
    </w:p>
    <w:p>
      <w:pPr>
        <w:pStyle w:val="ListBullet"/>
      </w:pPr>
      <w:r>
        <w:t>Write goals in the participant's own words, with assessed needs, agreed services and frequency, risks and the review date.</w:t>
      </w:r>
    </w:p>
    <w:p>
      <w:pPr>
        <w:pStyle w:val="ListBullet"/>
      </w:pPr>
      <w:r>
        <w:t>Bring a review forward on any of these: hospital admission or discharge, a fall or incident, a classification or pathway change, a new diagnosis, carer breakdown, a complaint, declined services, or a participant request.</w:t>
      </w:r>
    </w:p>
    <w:p>
      <w:pPr>
        <w:pStyle w:val="ListBullet"/>
      </w:pPr>
      <w:r>
        <w:t>Book the next formal review before closing the current one and record it in [client management system].</w:t>
      </w:r>
    </w:p>
    <w:p>
      <w:r>
        <w:rPr>
          <w:b/>
          <w:sz w:val="22"/>
        </w:rPr>
        <w:t>6.5 Module 5: Budgets and Contributions at a Working Level</w:t>
      </w:r>
    </w:p>
    <w:p>
      <w:r>
        <w:t>A care partner does not run finance, but does answer what a participant asks at the kitchen table. Answer only what you know and refer the rest to [Position title] the same day.</w:t>
      </w:r>
    </w:p>
    <w:p>
      <w:pPr>
        <w:pStyle w:val="ListBullet"/>
      </w:pPr>
      <w:r>
        <w:t>A classification amount is divided into four quarterly budgets of three months each.</w:t>
      </w:r>
    </w:p>
    <w:p>
      <w:pPr>
        <w:pStyle w:val="ListBullet"/>
      </w:pPr>
      <w:r>
        <w:t>Unspent funds carry over between quarters up to $1,000 or 10% of the quarterly budget, whichever is higher.</w:t>
      </w:r>
    </w:p>
    <w:p>
      <w:pPr>
        <w:pStyle w:val="ListBullet"/>
      </w:pPr>
      <w:r>
        <w:t>10% of each ongoing quarterly budget goes to the pooled care management account held by Services Australia. That is why care management notes matter.</w:t>
      </w:r>
    </w:p>
    <w:p>
      <w:pPr>
        <w:pStyle w:val="ListBullet"/>
      </w:pPr>
      <w:r>
        <w:t>The Government fully funds Clinical Support services. Participants contribute to Independence and Everyday Living services at a rate set by a Services Australia income and assets assessment.</w:t>
      </w:r>
    </w:p>
    <w:p>
      <w:pPr>
        <w:pStyle w:val="ListBullet"/>
      </w:pPr>
      <w:r>
        <w:t>Participants receiving or approved for a Home Care Package on or before 12 September 2024 and not liable for an income-tested care fee pay no contributions for services on the Support at Home service list.</w:t>
      </w:r>
    </w:p>
    <w:p>
      <w:pPr>
        <w:pStyle w:val="ListBullet"/>
      </w:pPr>
      <w:r>
        <w:t>Never estimate a dollar figure, classification amount or contribution rate. Classification amounts are indicative and subject to indexation.</w:t>
      </w:r>
    </w:p>
    <w:p>
      <w:r>
        <w:rPr>
          <w:b/>
          <w:sz w:val="22"/>
        </w:rPr>
        <w:t>6.6 Module 6: Boundaries, Escalation and Documentation</w:t>
      </w:r>
    </w:p>
    <w:p>
      <w:r>
        <w:t>Complaints about care partners usually concern boundaries and silence, not clinical error.</w:t>
      </w:r>
    </w:p>
    <w:p>
      <w:pPr>
        <w:pStyle w:val="ListBullet"/>
      </w:pPr>
      <w:r>
        <w:t>Do not accept gifts, loans or any role in a participant's finances, will or property. Declare conflicts of interest in writing to [Position title].</w:t>
      </w:r>
    </w:p>
    <w:p>
      <w:pPr>
        <w:pStyle w:val="ListBullet"/>
      </w:pPr>
      <w:r>
        <w:t>Escalate the day you notice it: a changed clinical presentation, an incident, a suspected reportable incident, a safeguarding concern, a missed service, or a participant declining care they need.</w:t>
      </w:r>
    </w:p>
    <w:p>
      <w:pPr>
        <w:pStyle w:val="ListBullet"/>
      </w:pPr>
      <w:r>
        <w:t>Write notes on the day of contact, and within [24 hours] at the latest. Record facts and what was said, not opinion.</w:t>
      </w:r>
    </w:p>
    <w:p>
      <w:pPr>
        <w:pStyle w:val="ListBullet"/>
      </w:pPr>
      <w:r>
        <w:t>Record every refusal of care, the risk explained and who was told.</w:t>
      </w:r>
    </w:p>
    <w:p>
      <w:pPr>
        <w:pStyle w:val="ListBullet"/>
      </w:pPr>
      <w:r>
        <w:t>Follow [Privacy and Confidentiality Policy] on what goes in a note, what is shared with family, and what needs recorded consent.</w:t>
      </w:r>
    </w:p>
    <w:p>
      <w:r>
        <w:rPr>
          <w:b/>
          <w:sz w:val="26"/>
        </w:rPr>
        <w:t>7. Qualifications, Supervision and Scope of Practice</w:t>
      </w:r>
    </w:p>
    <w:p>
      <w:r>
        <w:t>[Organisation Name] does not apply one mandatory credential to the role. Expectations differ for clinical and non-clinical duties.</w:t>
      </w:r>
    </w:p>
    <w:tbl>
      <w:tblPr>
        <w:tblStyle w:val="TableGrid"/>
        <w:tblW w:type="auto" w:w="0"/>
        <w:jc w:val="left"/>
        <w:tblLook w:firstColumn="1" w:firstRow="1" w:lastColumn="0" w:lastRow="0" w:noHBand="0" w:noVBand="1" w:val="04A0"/>
      </w:tblPr>
      <w:tblGrid>
        <w:gridCol w:w="1872"/>
        <w:gridCol w:w="3888"/>
        <w:gridCol w:w="3600"/>
      </w:tblGrid>
      <w:tr>
        <w:tc>
          <w:tcPr>
            <w:tcW w:type="dxa" w:w="3120"/>
          </w:tcPr>
          <w:p>
            <w:r/>
            <w:r>
              <w:rPr>
                <w:b/>
              </w:rPr>
              <w:t>Care partner type</w:t>
            </w:r>
          </w:p>
        </w:tc>
        <w:tc>
          <w:tcPr>
            <w:tcW w:type="dxa" w:w="3120"/>
          </w:tcPr>
          <w:p>
            <w:r/>
            <w:r>
              <w:rPr>
                <w:b/>
              </w:rPr>
              <w:t>Qualification expectation at [Organisation Name]</w:t>
            </w:r>
          </w:p>
        </w:tc>
        <w:tc>
          <w:tcPr>
            <w:tcW w:type="dxa" w:w="3120"/>
          </w:tcPr>
          <w:p>
            <w:r/>
            <w:r>
              <w:rPr>
                <w:b/>
              </w:rPr>
              <w:t>Supervision arrangement</w:t>
            </w:r>
          </w:p>
        </w:tc>
      </w:tr>
      <w:tr>
        <w:tc>
          <w:tcPr>
            <w:tcW w:type="dxa" w:w="3120"/>
          </w:tcPr>
          <w:p>
            <w:r/>
            <w:r>
              <w:rPr>
                <w:b/>
              </w:rPr>
              <w:t>Non-clinical care partner</w:t>
            </w:r>
          </w:p>
        </w:tc>
        <w:tc>
          <w:tcPr>
            <w:tcW w:type="dxa" w:w="3120"/>
          </w:tcPr>
          <w:p>
            <w:r/>
            <w:r>
              <w:t>A Certificate IV in Aged Care is the preferred example. Documented and assessed community or home care experience may be accepted. There is no single mandatory credential.</w:t>
            </w:r>
          </w:p>
        </w:tc>
        <w:tc>
          <w:tcPr>
            <w:tcW w:type="dxa" w:w="3120"/>
          </w:tcPr>
          <w:p>
            <w:r/>
            <w:r>
              <w:t>Fortnightly supervision with [Care Partner Team Leader]; clinical questions referred to a clinical care partner.</w:t>
            </w:r>
          </w:p>
        </w:tc>
      </w:tr>
      <w:tr>
        <w:tc>
          <w:tcPr>
            <w:tcW w:type="dxa" w:w="3120"/>
          </w:tcPr>
          <w:p>
            <w:r/>
            <w:r>
              <w:rPr>
                <w:b/>
              </w:rPr>
              <w:t>Clinical care partner</w:t>
            </w:r>
          </w:p>
        </w:tc>
        <w:tc>
          <w:tcPr>
            <w:tcW w:type="dxa" w:w="3120"/>
          </w:tcPr>
          <w:p>
            <w:r/>
            <w:r>
              <w:t>A tertiary health-related qualification, for example nursing, physiotherapy or social work, with current registration or membership where the profession requires it.</w:t>
            </w:r>
          </w:p>
        </w:tc>
        <w:tc>
          <w:tcPr>
            <w:tcW w:type="dxa" w:w="3120"/>
          </w:tcPr>
          <w:p>
            <w:r/>
            <w:r>
              <w:t>Clinical supervision through [Clinical Manager] under Outcome 5.1 (Clinical Governance) of Standard 5: Clinical care.</w:t>
            </w:r>
          </w:p>
        </w:tc>
      </w:tr>
      <w:tr>
        <w:tc>
          <w:tcPr>
            <w:tcW w:type="dxa" w:w="3120"/>
          </w:tcPr>
          <w:p>
            <w:r/>
            <w:r>
              <w:rPr>
                <w:b/>
              </w:rPr>
              <w:t>All care partners</w:t>
            </w:r>
          </w:p>
        </w:tc>
        <w:tc>
          <w:tcPr>
            <w:tcW w:type="dxa" w:w="3120"/>
          </w:tcPr>
          <w:p>
            <w:r/>
            <w:r>
              <w:t>Current police check and [state or territory] worker screening, Code of Conduct acknowledgement, and the training set in [Workforce Training and Competency Policy].</w:t>
            </w:r>
          </w:p>
        </w:tc>
        <w:tc>
          <w:tcPr>
            <w:tcW w:type="dxa" w:w="3120"/>
          </w:tcPr>
          <w:p>
            <w:r/>
            <w:r>
              <w:t>Expiry tracked in [learning management system], alerting [Position title] 60 days ahead.</w:t>
            </w:r>
          </w:p>
        </w:tc>
      </w:tr>
    </w:tbl>
    <w:p/>
    <w:p>
      <w:r>
        <w:rPr>
          <w:b/>
          <w:sz w:val="26"/>
        </w:rPr>
        <w:t>8. Competency Assessment Matrix</w:t>
      </w:r>
    </w:p>
    <w:p>
      <w:r>
        <w:t>Each competency is signed only when the assessor has seen the behaviour. An unsigned line means the work is not yet carried unsupervised.</w:t>
      </w:r>
    </w:p>
    <w:tbl>
      <w:tblPr>
        <w:tblStyle w:val="TableGrid"/>
        <w:tblW w:type="auto" w:w="0"/>
        <w:jc w:val="left"/>
        <w:tblLook w:firstColumn="1" w:firstRow="1" w:lastColumn="0" w:lastRow="0" w:noHBand="0" w:noVBand="1" w:val="04A0"/>
      </w:tblPr>
      <w:tblGrid>
        <w:gridCol w:w="2016"/>
        <w:gridCol w:w="3456"/>
        <w:gridCol w:w="2160"/>
        <w:gridCol w:w="1728"/>
      </w:tblGrid>
      <w:tr>
        <w:tc>
          <w:tcPr>
            <w:tcW w:type="dxa" w:w="2340"/>
          </w:tcPr>
          <w:p>
            <w:r/>
            <w:r>
              <w:rPr>
                <w:b/>
              </w:rPr>
              <w:t>Competency</w:t>
            </w:r>
          </w:p>
        </w:tc>
        <w:tc>
          <w:tcPr>
            <w:tcW w:type="dxa" w:w="2340"/>
          </w:tcPr>
          <w:p>
            <w:r/>
            <w:r>
              <w:rPr>
                <w:b/>
              </w:rPr>
              <w:t>Observable behaviour</w:t>
            </w:r>
          </w:p>
        </w:tc>
        <w:tc>
          <w:tcPr>
            <w:tcW w:type="dxa" w:w="2340"/>
          </w:tcPr>
          <w:p>
            <w:r/>
            <w:r>
              <w:rPr>
                <w:b/>
              </w:rPr>
              <w:t>Assessment method</w:t>
            </w:r>
          </w:p>
        </w:tc>
        <w:tc>
          <w:tcPr>
            <w:tcW w:type="dxa" w:w="2340"/>
          </w:tcPr>
          <w:p>
            <w:r/>
            <w:r>
              <w:rPr>
                <w:b/>
              </w:rPr>
              <w:t>Assessor sign-off</w:t>
            </w:r>
          </w:p>
        </w:tc>
      </w:tr>
      <w:tr>
        <w:tc>
          <w:tcPr>
            <w:tcW w:type="dxa" w:w="2340"/>
          </w:tcPr>
          <w:p>
            <w:r/>
            <w:r>
              <w:rPr>
                <w:b/>
              </w:rPr>
              <w:t>Explains the care partner role</w:t>
            </w:r>
          </w:p>
        </w:tc>
        <w:tc>
          <w:tcPr>
            <w:tcW w:type="dxa" w:w="2340"/>
          </w:tcPr>
          <w:p>
            <w:r/>
            <w:r>
              <w:t>Tells a participant in plain language what a care partner does, without describing the job as the old care manager role renamed.</w:t>
            </w:r>
          </w:p>
        </w:tc>
        <w:tc>
          <w:tcPr>
            <w:tcW w:type="dxa" w:w="2340"/>
          </w:tcPr>
          <w:p>
            <w:r/>
            <w:r>
              <w:t>Verbal questioning plus observed first visit.</w:t>
            </w:r>
          </w:p>
        </w:tc>
        <w:tc>
          <w:tcPr>
            <w:tcW w:type="dxa" w:w="2340"/>
          </w:tcPr>
          <w:p>
            <w:r/>
            <w:r>
              <w:t>[Name / Date]</w:t>
            </w:r>
          </w:p>
        </w:tc>
      </w:tr>
      <w:tr>
        <w:tc>
          <w:tcPr>
            <w:tcW w:type="dxa" w:w="2340"/>
          </w:tcPr>
          <w:p>
            <w:r/>
            <w:r>
              <w:rPr>
                <w:b/>
              </w:rPr>
              <w:t>Explains the single provider model</w:t>
            </w:r>
          </w:p>
        </w:tc>
        <w:tc>
          <w:tcPr>
            <w:tcW w:type="dxa" w:w="2340"/>
          </w:tcPr>
          <w:p>
            <w:r/>
            <w:r>
              <w:t>States that one registered provider holds the service agreement and coordinates, delivers and claims for all services, and answers a provider-change question without guessing.</w:t>
            </w:r>
          </w:p>
        </w:tc>
        <w:tc>
          <w:tcPr>
            <w:tcW w:type="dxa" w:w="2340"/>
          </w:tcPr>
          <w:p>
            <w:r/>
            <w:r>
              <w:t>Scenario question in supervision.</w:t>
            </w:r>
          </w:p>
        </w:tc>
        <w:tc>
          <w:tcPr>
            <w:tcW w:type="dxa" w:w="2340"/>
          </w:tcPr>
          <w:p>
            <w:r/>
            <w:r>
              <w:t>[Name / Date]</w:t>
            </w:r>
          </w:p>
        </w:tc>
      </w:tr>
      <w:tr>
        <w:tc>
          <w:tcPr>
            <w:tcW w:type="dxa" w:w="2340"/>
          </w:tcPr>
          <w:p>
            <w:r/>
            <w:r>
              <w:rPr>
                <w:b/>
              </w:rPr>
              <w:t>Completes a written service agreement</w:t>
            </w:r>
          </w:p>
        </w:tc>
        <w:tc>
          <w:tcPr>
            <w:tcW w:type="dxa" w:w="2340"/>
          </w:tcPr>
          <w:p>
            <w:r/>
            <w:r>
              <w:t>Drafts a plain-language agreement covering what services will be provided, who provides them, both parties' responsibilities and cost, agreed before services begin.</w:t>
            </w:r>
          </w:p>
        </w:tc>
        <w:tc>
          <w:tcPr>
            <w:tcW w:type="dxa" w:w="2340"/>
          </w:tcPr>
          <w:p>
            <w:r/>
            <w:r>
              <w:t>Observation plus file audit of one live agreement.</w:t>
            </w:r>
          </w:p>
        </w:tc>
        <w:tc>
          <w:tcPr>
            <w:tcW w:type="dxa" w:w="2340"/>
          </w:tcPr>
          <w:p>
            <w:r/>
            <w:r>
              <w:t>[Name / Date]</w:t>
            </w:r>
          </w:p>
        </w:tc>
      </w:tr>
      <w:tr>
        <w:tc>
          <w:tcPr>
            <w:tcW w:type="dxa" w:w="2340"/>
          </w:tcPr>
          <w:p>
            <w:r/>
            <w:r>
              <w:rPr>
                <w:b/>
              </w:rPr>
              <w:t>Develops a care plan collaboratively</w:t>
            </w:r>
          </w:p>
        </w:tc>
        <w:tc>
          <w:tcPr>
            <w:tcW w:type="dxa" w:w="2340"/>
          </w:tcPr>
          <w:p>
            <w:r/>
            <w:r>
              <w:t>Records goals in the participant's own words, involves any nominated supporter or interpreter, and confirms the plan before finalising it.</w:t>
            </w:r>
          </w:p>
        </w:tc>
        <w:tc>
          <w:tcPr>
            <w:tcW w:type="dxa" w:w="2340"/>
          </w:tcPr>
          <w:p>
            <w:r/>
            <w:r>
              <w:t>Observed planning conversation plus care plan audit.</w:t>
            </w:r>
          </w:p>
        </w:tc>
        <w:tc>
          <w:tcPr>
            <w:tcW w:type="dxa" w:w="2340"/>
          </w:tcPr>
          <w:p>
            <w:r/>
            <w:r>
              <w:t>[Name / Date]</w:t>
            </w:r>
          </w:p>
        </w:tc>
      </w:tr>
      <w:tr>
        <w:tc>
          <w:tcPr>
            <w:tcW w:type="dxa" w:w="2340"/>
          </w:tcPr>
          <w:p>
            <w:r/>
            <w:r>
              <w:rPr>
                <w:b/>
              </w:rPr>
              <w:t>Manages the review cycle</w:t>
            </w:r>
          </w:p>
        </w:tc>
        <w:tc>
          <w:tcPr>
            <w:tcW w:type="dxa" w:w="2340"/>
          </w:tcPr>
          <w:p>
            <w:r/>
            <w:r>
              <w:t>Books the next formal review inside 12 months, brings a review forward when a trigger occurs, and records the reason the review was held.</w:t>
            </w:r>
          </w:p>
        </w:tc>
        <w:tc>
          <w:tcPr>
            <w:tcW w:type="dxa" w:w="2340"/>
          </w:tcPr>
          <w:p>
            <w:r/>
            <w:r>
              <w:t>File audit of three care plans against the review register.</w:t>
            </w:r>
          </w:p>
        </w:tc>
        <w:tc>
          <w:tcPr>
            <w:tcW w:type="dxa" w:w="2340"/>
          </w:tcPr>
          <w:p>
            <w:r/>
            <w:r>
              <w:t>[Name / Date]</w:t>
            </w:r>
          </w:p>
        </w:tc>
      </w:tr>
      <w:tr>
        <w:tc>
          <w:tcPr>
            <w:tcW w:type="dxa" w:w="2340"/>
          </w:tcPr>
          <w:p>
            <w:r/>
            <w:r>
              <w:rPr>
                <w:b/>
              </w:rPr>
              <w:t>Explains budgets and contributions</w:t>
            </w:r>
          </w:p>
        </w:tc>
        <w:tc>
          <w:tcPr>
            <w:tcW w:type="dxa" w:w="2340"/>
          </w:tcPr>
          <w:p>
            <w:r/>
            <w:r>
              <w:t>Describes quarterly budgets, states the carryover rule correctly, and explains that Clinical Support is fully Government funded while Independence and Everyday Living services attract a Services Australia assessed contribution.</w:t>
            </w:r>
          </w:p>
        </w:tc>
        <w:tc>
          <w:tcPr>
            <w:tcW w:type="dxa" w:w="2340"/>
          </w:tcPr>
          <w:p>
            <w:r/>
            <w:r>
              <w:t>Written scenario plus role play.</w:t>
            </w:r>
          </w:p>
        </w:tc>
        <w:tc>
          <w:tcPr>
            <w:tcW w:type="dxa" w:w="2340"/>
          </w:tcPr>
          <w:p>
            <w:r/>
            <w:r>
              <w:t>[Name / Date]</w:t>
            </w:r>
          </w:p>
        </w:tc>
      </w:tr>
      <w:tr>
        <w:tc>
          <w:tcPr>
            <w:tcW w:type="dxa" w:w="2340"/>
          </w:tcPr>
          <w:p>
            <w:r/>
            <w:r>
              <w:rPr>
                <w:b/>
              </w:rPr>
              <w:t>Records care management activity</w:t>
            </w:r>
          </w:p>
        </w:tc>
        <w:tc>
          <w:tcPr>
            <w:tcW w:type="dxa" w:w="2340"/>
          </w:tcPr>
          <w:p>
            <w:r/>
            <w:r>
              <w:t>Writes a dated note for each care management contact showing what was done and why, so a claim against the pooled account traces to real work.</w:t>
            </w:r>
          </w:p>
        </w:tc>
        <w:tc>
          <w:tcPr>
            <w:tcW w:type="dxa" w:w="2340"/>
          </w:tcPr>
          <w:p>
            <w:r/>
            <w:r>
              <w:t>Audit of 10 notes against claimed activity.</w:t>
            </w:r>
          </w:p>
        </w:tc>
        <w:tc>
          <w:tcPr>
            <w:tcW w:type="dxa" w:w="2340"/>
          </w:tcPr>
          <w:p>
            <w:r/>
            <w:r>
              <w:t>[Name / Date]</w:t>
            </w:r>
          </w:p>
        </w:tc>
      </w:tr>
      <w:tr>
        <w:tc>
          <w:tcPr>
            <w:tcW w:type="dxa" w:w="2340"/>
          </w:tcPr>
          <w:p>
            <w:r/>
            <w:r>
              <w:rPr>
                <w:b/>
              </w:rPr>
              <w:t>Holds the boundary of the role</w:t>
            </w:r>
          </w:p>
        </w:tc>
        <w:tc>
          <w:tcPr>
            <w:tcW w:type="dxa" w:w="2340"/>
          </w:tcPr>
          <w:p>
            <w:r/>
            <w:r>
              <w:t>Declines out-of-scope tasks, refuses gifts and financial involvement, declares conflicts, and refers clinical questions on.</w:t>
            </w:r>
          </w:p>
        </w:tc>
        <w:tc>
          <w:tcPr>
            <w:tcW w:type="dxa" w:w="2340"/>
          </w:tcPr>
          <w:p>
            <w:r/>
            <w:r>
              <w:t>Supervision discussion of two real referrals.</w:t>
            </w:r>
          </w:p>
        </w:tc>
        <w:tc>
          <w:tcPr>
            <w:tcW w:type="dxa" w:w="2340"/>
          </w:tcPr>
          <w:p>
            <w:r/>
            <w:r>
              <w:t>[Name / Date]</w:t>
            </w:r>
          </w:p>
        </w:tc>
      </w:tr>
      <w:tr>
        <w:tc>
          <w:tcPr>
            <w:tcW w:type="dxa" w:w="2340"/>
          </w:tcPr>
          <w:p>
            <w:r/>
            <w:r>
              <w:rPr>
                <w:b/>
              </w:rPr>
              <w:t>Escalates risk the same day</w:t>
            </w:r>
          </w:p>
        </w:tc>
        <w:tc>
          <w:tcPr>
            <w:tcW w:type="dxa" w:w="2340"/>
          </w:tcPr>
          <w:p>
            <w:r/>
            <w:r>
              <w:t>Escalates a changed clinical presentation, incident, reportable matter or safeguarding concern to [Position title] the day it is noticed.</w:t>
            </w:r>
          </w:p>
        </w:tc>
        <w:tc>
          <w:tcPr>
            <w:tcW w:type="dxa" w:w="2340"/>
          </w:tcPr>
          <w:p>
            <w:r/>
            <w:r>
              <w:t>Observed handover plus incident record review.</w:t>
            </w:r>
          </w:p>
        </w:tc>
        <w:tc>
          <w:tcPr>
            <w:tcW w:type="dxa" w:w="2340"/>
          </w:tcPr>
          <w:p>
            <w:r/>
            <w:r>
              <w:t>[Name / Date]</w:t>
            </w:r>
          </w:p>
        </w:tc>
      </w:tr>
      <w:tr>
        <w:tc>
          <w:tcPr>
            <w:tcW w:type="dxa" w:w="2340"/>
          </w:tcPr>
          <w:p>
            <w:r/>
            <w:r>
              <w:rPr>
                <w:b/>
              </w:rPr>
              <w:t>Documents to the required standard</w:t>
            </w:r>
          </w:p>
        </w:tc>
        <w:tc>
          <w:tcPr>
            <w:tcW w:type="dxa" w:w="2340"/>
          </w:tcPr>
          <w:p>
            <w:r/>
            <w:r>
              <w:t>Writes factual, dated notes free of judgement, records consent and refusals, and completes entries within [24 hours].</w:t>
            </w:r>
          </w:p>
        </w:tc>
        <w:tc>
          <w:tcPr>
            <w:tcW w:type="dxa" w:w="2340"/>
          </w:tcPr>
          <w:p>
            <w:r/>
            <w:r>
              <w:t>Audit of 10 consecutive entries.</w:t>
            </w:r>
          </w:p>
        </w:tc>
        <w:tc>
          <w:tcPr>
            <w:tcW w:type="dxa" w:w="2340"/>
          </w:tcPr>
          <w:p>
            <w:r/>
            <w:r>
              <w:t>[Name / Date]</w:t>
            </w:r>
          </w:p>
        </w:tc>
      </w:tr>
    </w:tbl>
    <w:p/>
    <w:p>
      <w:r>
        <w:rPr>
          <w:b/>
          <w:sz w:val="26"/>
        </w:rPr>
        <w:t>9. Roles and Responsibilities</w:t>
      </w:r>
    </w:p>
    <w:tbl>
      <w:tblPr>
        <w:tblStyle w:val="TableGrid"/>
        <w:tblW w:type="auto" w:w="0"/>
        <w:jc w:val="left"/>
        <w:tblLook w:firstColumn="1" w:firstRow="1" w:lastColumn="0" w:lastRow="0" w:noHBand="0" w:noVBand="1" w:val="04A0"/>
      </w:tblPr>
      <w:tblGrid>
        <w:gridCol w:w="2736"/>
        <w:gridCol w:w="6624"/>
      </w:tblGrid>
      <w:tr>
        <w:tc>
          <w:tcPr>
            <w:tcW w:type="dxa" w:w="4680"/>
          </w:tcPr>
          <w:p>
            <w:r/>
            <w:r>
              <w:rPr>
                <w:b/>
              </w:rPr>
              <w:t>Role</w:t>
            </w:r>
          </w:p>
        </w:tc>
        <w:tc>
          <w:tcPr>
            <w:tcW w:type="dxa" w:w="4680"/>
          </w:tcPr>
          <w:p>
            <w:r/>
            <w:r>
              <w:rPr>
                <w:b/>
              </w:rPr>
              <w:t>Responsibility</w:t>
            </w:r>
          </w:p>
        </w:tc>
      </w:tr>
      <w:tr>
        <w:tc>
          <w:tcPr>
            <w:tcW w:type="dxa" w:w="4680"/>
          </w:tcPr>
          <w:p>
            <w:r/>
            <w:r>
              <w:rPr>
                <w:b/>
              </w:rPr>
              <w:t>[Board]</w:t>
            </w:r>
          </w:p>
        </w:tc>
        <w:tc>
          <w:tcPr>
            <w:tcW w:type="dxa" w:w="4680"/>
          </w:tcPr>
          <w:p>
            <w:r/>
            <w:r>
              <w:t>Approves this guide. Receives competency reporting and confirms the role is resourced.</w:t>
            </w:r>
          </w:p>
        </w:tc>
      </w:tr>
      <w:tr>
        <w:tc>
          <w:tcPr>
            <w:tcW w:type="dxa" w:w="4680"/>
          </w:tcPr>
          <w:p>
            <w:r/>
            <w:r>
              <w:rPr>
                <w:b/>
              </w:rPr>
              <w:t>[Chief Executive Officer]</w:t>
            </w:r>
          </w:p>
        </w:tc>
        <w:tc>
          <w:tcPr>
            <w:tcW w:type="dxa" w:w="4680"/>
          </w:tcPr>
          <w:p>
            <w:r/>
            <w:r>
              <w:t>Accountable for registration conditions, including Category 4 with the Care management service type, and for the induction program being funded and run.</w:t>
            </w:r>
          </w:p>
        </w:tc>
      </w:tr>
      <w:tr>
        <w:tc>
          <w:tcPr>
            <w:tcW w:type="dxa" w:w="4680"/>
          </w:tcPr>
          <w:p>
            <w:r/>
            <w:r>
              <w:rPr>
                <w:b/>
              </w:rPr>
              <w:t>[Care Partner Team Leader]</w:t>
            </w:r>
          </w:p>
        </w:tc>
        <w:tc>
          <w:tcPr>
            <w:tcW w:type="dxa" w:w="4680"/>
          </w:tcPr>
          <w:p>
            <w:r/>
            <w:r>
              <w:t>Runs the induction schedule, holds supervision, signs the competency matrix, and sets caseloads for new care partners.</w:t>
            </w:r>
          </w:p>
        </w:tc>
      </w:tr>
      <w:tr>
        <w:tc>
          <w:tcPr>
            <w:tcW w:type="dxa" w:w="4680"/>
          </w:tcPr>
          <w:p>
            <w:r/>
            <w:r>
              <w:rPr>
                <w:b/>
              </w:rPr>
              <w:t>[Clinical Manager]</w:t>
            </w:r>
          </w:p>
        </w:tc>
        <w:tc>
          <w:tcPr>
            <w:tcW w:type="dxa" w:w="4680"/>
          </w:tcPr>
          <w:p>
            <w:r/>
            <w:r>
              <w:t>Provides clinical supervision, assesses clinical competencies, and sets the limits of a non-clinical scope.</w:t>
            </w:r>
          </w:p>
        </w:tc>
      </w:tr>
      <w:tr>
        <w:tc>
          <w:tcPr>
            <w:tcW w:type="dxa" w:w="4680"/>
          </w:tcPr>
          <w:p>
            <w:r/>
            <w:r>
              <w:rPr>
                <w:b/>
              </w:rPr>
              <w:t>New care partner</w:t>
            </w:r>
          </w:p>
        </w:tc>
        <w:tc>
          <w:tcPr>
            <w:tcW w:type="dxa" w:w="4680"/>
          </w:tcPr>
          <w:p>
            <w:r/>
            <w:r>
              <w:t>Completes every module, asks when unsure, escalates risk the same day, and keeps records current.</w:t>
            </w:r>
          </w:p>
        </w:tc>
      </w:tr>
      <w:tr>
        <w:tc>
          <w:tcPr>
            <w:tcW w:type="dxa" w:w="4680"/>
          </w:tcPr>
          <w:p>
            <w:r/>
            <w:r>
              <w:rPr>
                <w:b/>
              </w:rPr>
              <w:t>[Quality and Compliance Manager]</w:t>
            </w:r>
          </w:p>
        </w:tc>
        <w:tc>
          <w:tcPr>
            <w:tcW w:type="dxa" w:w="4680"/>
          </w:tcPr>
          <w:p>
            <w:r/>
            <w:r>
              <w:t>Audits documentation and review currency, maintains the Quality Standards evidence set, and tracks corrective actions to completion.</w:t>
            </w:r>
          </w:p>
        </w:tc>
      </w:tr>
    </w:tbl>
    <w:p/>
    <w:p>
      <w:r>
        <w:rPr>
          <w:b/>
          <w:sz w:val="26"/>
        </w:rPr>
        <w:t>10. Related Policies</w:t>
      </w:r>
    </w:p>
    <w:p>
      <w:pPr>
        <w:pStyle w:val="ListBullet"/>
      </w:pPr>
      <w:r>
        <w:t>[Workforce Training and Competency Policy]</w:t>
      </w:r>
    </w:p>
    <w:p>
      <w:pPr>
        <w:pStyle w:val="ListBullet"/>
      </w:pPr>
      <w:r>
        <w:t>[Onboarding and Orientation Policy]</w:t>
      </w:r>
    </w:p>
    <w:p>
      <w:pPr>
        <w:pStyle w:val="ListBullet"/>
      </w:pPr>
      <w:r>
        <w:t>[Supervision and Performance Review Framework]</w:t>
      </w:r>
    </w:p>
    <w:p>
      <w:pPr>
        <w:pStyle w:val="ListBullet"/>
      </w:pPr>
      <w:r>
        <w:t>[Incident Management and Reporting Policy]</w:t>
      </w:r>
    </w:p>
    <w:p>
      <w:pPr>
        <w:pStyle w:val="ListBullet"/>
      </w:pPr>
      <w:r>
        <w:t>[Privacy and Confidentiality Policy]</w:t>
      </w:r>
    </w:p>
    <w:p>
      <w:pPr>
        <w:pStyle w:val="ListBullet"/>
      </w:pPr>
      <w:r>
        <w:t>[Conflict of Interest Policy] and [Code of Conduct and Ethics Policy]</w:t>
      </w:r>
    </w:p>
    <w:p>
      <w:r>
        <w:rPr>
          <w:b/>
          <w:sz w:val="26"/>
        </w:rPr>
        <w:t>11. Relevant Legislation and Standards</w:t>
      </w:r>
    </w:p>
    <w:p>
      <w:pPr>
        <w:pStyle w:val="ListBullet"/>
      </w:pPr>
      <w:r>
        <w:t>Aged Care Act 2024 (Cth)</w:t>
      </w:r>
    </w:p>
    <w:p>
      <w:pPr>
        <w:pStyle w:val="ListBullet"/>
      </w:pPr>
      <w:r>
        <w:t>Strengthened Aged Care Quality Standards, including Standard 3 and Standard 5: Clinical care, Outcome 5.1 Clinical Governance</w:t>
      </w:r>
    </w:p>
    <w:p>
      <w:pPr>
        <w:pStyle w:val="ListBullet"/>
      </w:pPr>
      <w:r>
        <w:t>Aged Care Code of Conduct</w:t>
      </w:r>
    </w:p>
    <w:p>
      <w:pPr>
        <w:pStyle w:val="ListBullet"/>
      </w:pPr>
      <w:r>
        <w:t>Support at Home program manual - A guide for registered providers (v4.0, December 2025)</w:t>
      </w:r>
    </w:p>
    <w:p>
      <w:pPr>
        <w:pStyle w:val="ListBullet"/>
      </w:pPr>
      <w:r>
        <w:t>Privacy Act 1988 (Cth)</w:t>
      </w:r>
    </w:p>
    <w:p>
      <w:pPr>
        <w:pStyle w:val="ListBullet"/>
      </w:pPr>
      <w:r>
        <w:t>Work Health and Safety legislation in [state or territory]</w:t>
      </w:r>
    </w:p>
    <w:p>
      <w:r>
        <w:rPr>
          <w:b/>
          <w:sz w:val="26"/>
        </w:rPr>
        <w:t>12. Monitoring and Review</w:t>
      </w:r>
    </w:p>
    <w:p>
      <w:pPr>
        <w:pStyle w:val="ListBullet"/>
      </w:pPr>
      <w:r>
        <w:t>[Care Partner Team Leader] reports induction and sign-off status to [Quality Committee] [quarterly].</w:t>
      </w:r>
    </w:p>
    <w:p>
      <w:pPr>
        <w:pStyle w:val="ListBullet"/>
      </w:pPr>
      <w:r>
        <w:t>[Quality and Compliance Manager] audits [five] files each quarter for review currency, progress note quality and recorded consent.</w:t>
      </w:r>
    </w:p>
    <w:p>
      <w:pPr>
        <w:pStyle w:val="ListBullet"/>
      </w:pPr>
      <w:r>
        <w:t>Every care partner is reassessed against the matrix [annually] and after any substantiated complaint.</w:t>
      </w:r>
    </w:p>
    <w:p>
      <w:pPr>
        <w:pStyle w:val="ListBullet"/>
      </w:pPr>
      <w:r>
        <w:t>This guide is reviewed [annually] and whenever the program manual, the Quality Standards or [Organisation Name]'s registration categories change.</w:t>
      </w:r>
    </w:p>
    <w:p>
      <w:r>
        <w:rPr>
          <w:b/>
          <w:sz w:val="26"/>
        </w:rPr>
        <w:t>Document Control</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rPr>
              <w:t>Reviewed By</w:t>
            </w:r>
          </w:p>
        </w:tc>
        <w:tc>
          <w:tcPr>
            <w:tcW w:type="dxa" w:w="2340"/>
          </w:tcPr>
          <w:p>
            <w:r/>
            <w:r>
              <w:rPr>
                <w:b/>
              </w:rPr>
              <w:t>Role</w:t>
            </w:r>
          </w:p>
        </w:tc>
        <w:tc>
          <w:tcPr>
            <w:tcW w:type="dxa" w:w="2340"/>
          </w:tcPr>
          <w:p>
            <w:r/>
            <w:r>
              <w:rPr>
                <w:b/>
              </w:rPr>
              <w:t>Date</w:t>
            </w:r>
          </w:p>
        </w:tc>
        <w:tc>
          <w:tcPr>
            <w:tcW w:type="dxa" w:w="2340"/>
          </w:tcPr>
          <w:p>
            <w:r/>
            <w:r>
              <w:rPr>
                <w:b/>
              </w:rPr>
              <w:t>Signature</w:t>
            </w:r>
          </w:p>
        </w:tc>
      </w:tr>
      <w:tr>
        <w:tc>
          <w:tcPr>
            <w:tcW w:type="dxa" w:w="2340"/>
          </w:tcPr>
          <w:p>
            <w:r/>
            <w:r/>
          </w:p>
        </w:tc>
        <w:tc>
          <w:tcPr>
            <w:tcW w:type="dxa" w:w="2340"/>
          </w:tcPr>
          <w:p>
            <w:r/>
            <w:r/>
          </w:p>
        </w:tc>
        <w:tc>
          <w:tcPr>
            <w:tcW w:type="dxa" w:w="2340"/>
          </w:tcPr>
          <w:p>
            <w:r/>
            <w:r/>
          </w:p>
        </w:tc>
        <w:tc>
          <w:tcPr>
            <w:tcW w:type="dxa" w:w="2340"/>
          </w:tcPr>
          <w:p>
            <w:r/>
            <w:r/>
          </w:p>
        </w:tc>
      </w:tr>
      <w:tr>
        <w:tc>
          <w:tcPr>
            <w:tcW w:type="dxa" w:w="2340"/>
          </w:tcPr>
          <w:p>
            <w:r/>
            <w:r>
              <w:rPr>
                <w:b/>
              </w:rPr>
              <w:t>Approved By</w:t>
            </w:r>
          </w:p>
        </w:tc>
        <w:tc>
          <w:tcPr>
            <w:tcW w:type="dxa" w:w="2340"/>
          </w:tcPr>
          <w:p>
            <w:r/>
            <w:r>
              <w:rPr>
                <w:b/>
              </w:rPr>
              <w:t>Role</w:t>
            </w:r>
          </w:p>
        </w:tc>
        <w:tc>
          <w:tcPr>
            <w:tcW w:type="dxa" w:w="2340"/>
          </w:tcPr>
          <w:p>
            <w:r/>
            <w:r>
              <w:rPr>
                <w:b/>
              </w:rPr>
              <w:t>Date</w:t>
            </w:r>
          </w:p>
        </w:tc>
        <w:tc>
          <w:tcPr>
            <w:tcW w:type="dxa" w:w="2340"/>
          </w:tcPr>
          <w:p>
            <w:r/>
            <w:r>
              <w:rPr>
                <w:b/>
              </w:rPr>
              <w:t>Signature</w:t>
            </w:r>
          </w:p>
        </w:tc>
      </w:tr>
      <w:tr>
        <w:tc>
          <w:tcPr>
            <w:tcW w:type="dxa" w:w="2340"/>
          </w:tcPr>
          <w:p>
            <w:r/>
            <w:r/>
          </w:p>
        </w:tc>
        <w:tc>
          <w:tcPr>
            <w:tcW w:type="dxa" w:w="2340"/>
          </w:tcPr>
          <w:p>
            <w:r/>
            <w:r/>
          </w:p>
        </w:tc>
        <w:tc>
          <w:tcPr>
            <w:tcW w:type="dxa" w:w="2340"/>
          </w:tcPr>
          <w:p>
            <w:r/>
            <w:r/>
          </w:p>
        </w:tc>
        <w:tc>
          <w:tcPr>
            <w:tcW w:type="dxa" w:w="2340"/>
          </w:tcPr>
          <w:p>
            <w:r/>
            <w:r/>
          </w:p>
        </w:tc>
      </w:tr>
    </w:tbl>
    <w:p>
      <w:r>
        <w:t>This guide is provided by Governa.ai as a starting point. Replace every [bracketed] placeholder with your own roles, timeframes and system names, and have your governing body approve it before use.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