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32"/>
        </w:rPr>
        <w:t>[Organisation Name] - Home Environment Risk Assessment Policy</w:t>
      </w:r>
    </w:p>
    <w:tbl>
      <w:tblPr>
        <w:tblStyle w:val="TableGrid"/>
        <w:tblW w:type="auto" w:w="0"/>
        <w:jc w:val="left"/>
        <w:tblLook w:firstColumn="1" w:firstRow="1" w:lastColumn="0" w:lastRow="0" w:noHBand="0" w:noVBand="1" w:val="04A0"/>
      </w:tblPr>
      <w:tblGrid>
        <w:gridCol w:w="2520"/>
        <w:gridCol w:w="2520"/>
        <w:gridCol w:w="2520"/>
        <w:gridCol w:w="2520"/>
      </w:tblGrid>
      <w:tr>
        <w:tc>
          <w:tcPr>
            <w:tcW w:type="dxa" w:w="2520"/>
          </w:tcPr>
          <w:p>
            <w:r/>
            <w:r>
              <w:rPr>
                <w:b/>
                <w:sz w:val="20"/>
              </w:rPr>
              <w:t>Policy Number</w:t>
            </w:r>
          </w:p>
        </w:tc>
        <w:tc>
          <w:tcPr>
            <w:tcW w:type="dxa" w:w="2520"/>
          </w:tcPr>
          <w:p>
            <w:r/>
            <w:r>
              <w:rPr>
                <w:b w:val="0"/>
                <w:sz w:val="20"/>
              </w:rPr>
              <w:t>[e.g. SAH-005]</w:t>
            </w:r>
          </w:p>
        </w:tc>
        <w:tc>
          <w:tcPr>
            <w:tcW w:type="dxa" w:w="2520"/>
          </w:tcPr>
          <w:p>
            <w:r/>
            <w:r>
              <w:rPr>
                <w:b w:val="0"/>
                <w:sz w:val="20"/>
              </w:rPr>
              <w:t>Version</w:t>
            </w:r>
          </w:p>
        </w:tc>
        <w:tc>
          <w:tcPr>
            <w:tcW w:type="dxa" w:w="2520"/>
          </w:tcPr>
          <w:p>
            <w:r/>
            <w:r>
              <w:rPr>
                <w:b w:val="0"/>
                <w:sz w:val="20"/>
              </w:rPr>
              <w:t>1.0</w:t>
            </w:r>
          </w:p>
        </w:tc>
      </w:tr>
      <w:tr>
        <w:tc>
          <w:tcPr>
            <w:tcW w:type="dxa" w:w="2520"/>
          </w:tcPr>
          <w:p>
            <w:r/>
            <w:r>
              <w:rPr>
                <w:b/>
                <w:sz w:val="20"/>
              </w:rPr>
              <w:t>Effective Date</w:t>
            </w:r>
          </w:p>
        </w:tc>
        <w:tc>
          <w:tcPr>
            <w:tcW w:type="dxa" w:w="2520"/>
          </w:tcPr>
          <w:p>
            <w:r/>
            <w:r>
              <w:rPr>
                <w:b w:val="0"/>
                <w:sz w:val="20"/>
              </w:rPr>
              <w:t>[DD/MM/YYYY]</w:t>
            </w:r>
          </w:p>
        </w:tc>
        <w:tc>
          <w:tcPr>
            <w:tcW w:type="dxa" w:w="2520"/>
          </w:tcPr>
          <w:p>
            <w:r/>
            <w:r>
              <w:rPr>
                <w:b w:val="0"/>
                <w:sz w:val="20"/>
              </w:rPr>
              <w:t>Review Date</w:t>
            </w:r>
          </w:p>
        </w:tc>
        <w:tc>
          <w:tcPr>
            <w:tcW w:type="dxa" w:w="2520"/>
          </w:tcPr>
          <w:p>
            <w:r/>
            <w:r>
              <w:rPr>
                <w:b w:val="0"/>
                <w:sz w:val="20"/>
              </w:rPr>
              <w:t>[DD/MM/YYYY]</w:t>
            </w:r>
          </w:p>
        </w:tc>
      </w:tr>
      <w:tr>
        <w:tc>
          <w:tcPr>
            <w:tcW w:type="dxa" w:w="2520"/>
          </w:tcPr>
          <w:p>
            <w:r/>
            <w:r>
              <w:rPr>
                <w:b/>
                <w:sz w:val="20"/>
              </w:rPr>
              <w:t>Policy Owner</w:t>
            </w:r>
          </w:p>
        </w:tc>
        <w:tc>
          <w:tcPr>
            <w:tcW w:type="dxa" w:w="2520"/>
          </w:tcPr>
          <w:p>
            <w:r/>
            <w:r>
              <w:rPr>
                <w:b w:val="0"/>
                <w:sz w:val="20"/>
              </w:rPr>
              <w:t>[Quality and Safety Manager]</w:t>
            </w:r>
          </w:p>
        </w:tc>
        <w:tc>
          <w:tcPr>
            <w:tcW w:type="dxa" w:w="2520"/>
          </w:tcPr>
          <w:p>
            <w:r/>
            <w:r>
              <w:rPr>
                <w:b w:val="0"/>
                <w:sz w:val="20"/>
              </w:rPr>
              <w:t>Approved By</w:t>
            </w:r>
          </w:p>
        </w:tc>
        <w:tc>
          <w:tcPr>
            <w:tcW w:type="dxa" w:w="2520"/>
          </w:tcPr>
          <w:p>
            <w:r/>
            <w:r>
              <w:rPr>
                <w:b w:val="0"/>
                <w:sz w:val="20"/>
              </w:rPr>
              <w:t>[Board]</w:t>
            </w:r>
          </w:p>
        </w:tc>
      </w:tr>
    </w:tbl>
    <w:p/>
    <w:p>
      <w:pPr>
        <w:spacing w:before="240" w:after="80"/>
      </w:pPr>
      <w:r>
        <w:rPr>
          <w:b/>
          <w:sz w:val="26"/>
        </w:rPr>
        <w:t>1. Purpose</w:t>
      </w:r>
    </w:p>
    <w:p>
      <w:pPr>
        <w:spacing w:after="120"/>
      </w:pPr>
      <w:r>
        <w:rPr>
          <w:sz w:val="21"/>
        </w:rPr>
        <w:t>This policy sets out how [Organisation Name] identifies, records, controls and reviews risks in the homes of Support at Home participants, from first contact through to any decision to vary, suspend or end a service.</w:t>
      </w:r>
    </w:p>
    <w:p>
      <w:pPr>
        <w:spacing w:after="120"/>
      </w:pPr>
      <w:r>
        <w:rPr>
          <w:sz w:val="21"/>
        </w:rPr>
        <w:t>A participant's home is two things at once: a private home governed by the participant's own choices, and, for the hours a worker is inside it, a workplace [Organisation Name] is legally answerable for.</w:t>
      </w:r>
    </w:p>
    <w:p>
      <w:pPr>
        <w:spacing w:before="240" w:after="80"/>
      </w:pPr>
      <w:r>
        <w:rPr>
          <w:b/>
          <w:sz w:val="26"/>
        </w:rPr>
        <w:t>2. Scope</w:t>
      </w:r>
    </w:p>
    <w:p>
      <w:pPr>
        <w:spacing w:after="120"/>
      </w:pPr>
      <w:r>
        <w:rPr>
          <w:sz w:val="21"/>
        </w:rPr>
        <w:t>This policy applies to every dwelling where [Organisation Name] delivers Support at Home services, and to the approaches a worker uses to reach them.</w:t>
      </w:r>
    </w:p>
    <w:p>
      <w:pPr>
        <w:spacing w:after="120"/>
      </w:pPr>
      <w:r>
        <w:rPr>
          <w:sz w:val="21"/>
        </w:rPr>
        <w:t>It covers employees, contractors, third-party workers, students and volunteers. It applies where a participant self-manages, because accountability for regulatory obligations stays with the registered provider.</w:t>
      </w:r>
    </w:p>
    <w:p>
      <w:pPr>
        <w:spacing w:before="240" w:after="80"/>
      </w:pPr>
      <w:r>
        <w:rPr>
          <w:b/>
          <w:sz w:val="26"/>
        </w:rPr>
        <w:t>3. Policy Statement</w:t>
      </w:r>
    </w:p>
    <w:p>
      <w:pPr>
        <w:spacing w:after="120"/>
      </w:pPr>
      <w:r>
        <w:rPr>
          <w:sz w:val="21"/>
        </w:rPr>
        <w:t>[Organisation Name] will not deliver a service in a home it has not assessed, and will not ask a worker to accept a risk it has chosen not to control. Within those limits, the participant decides how their home is run.</w:t>
      </w:r>
    </w:p>
    <w:p>
      <w:pPr>
        <w:pStyle w:val="ListBullet"/>
        <w:spacing w:after="60"/>
      </w:pPr>
      <w:r>
        <w:rPr>
          <w:sz w:val="21"/>
        </w:rPr>
        <w:t>An assessment is completed before the first service visit, except for an urgent same-day service approved under section 5.8.</w:t>
      </w:r>
    </w:p>
    <w:p>
      <w:pPr>
        <w:pStyle w:val="ListBullet"/>
        <w:spacing w:after="60"/>
      </w:pPr>
      <w:r>
        <w:rPr>
          <w:sz w:val="21"/>
        </w:rPr>
        <w:t>Assessment is done with the participant, in plain language, through an interpreter or registered supporter where needed.</w:t>
      </w:r>
    </w:p>
    <w:p>
      <w:pPr>
        <w:pStyle w:val="ListBullet"/>
        <w:spacing w:after="60"/>
      </w:pPr>
      <w:r>
        <w:rPr>
          <w:sz w:val="21"/>
        </w:rPr>
        <w:t>A participant may decline a recommended control. That is respected, recorded and managed as a negotiated risk, not treated as grounds to withdraw the service.</w:t>
      </w:r>
    </w:p>
    <w:p>
      <w:pPr>
        <w:pStyle w:val="ListBullet"/>
        <w:spacing w:after="60"/>
      </w:pPr>
      <w:r>
        <w:rPr>
          <w:sz w:val="21"/>
        </w:rPr>
        <w:t>[Organisation Name] cannot transfer or contract out its work health and safety duty.</w:t>
      </w:r>
    </w:p>
    <w:p>
      <w:pPr>
        <w:pStyle w:val="ListBullet"/>
        <w:spacing w:after="60"/>
      </w:pPr>
      <w:r>
        <w:rPr>
          <w:sz w:val="21"/>
        </w:rPr>
        <w:t>No worker performs a task where an identified risk has not been controlled, and none is disadvantaged for stopping and escalating.</w:t>
      </w:r>
    </w:p>
    <w:p>
      <w:pPr>
        <w:spacing w:before="240" w:after="80"/>
      </w:pPr>
      <w:r>
        <w:rPr>
          <w:b/>
          <w:sz w:val="26"/>
        </w:rPr>
        <w:t>4. Definitions</w:t>
      </w:r>
    </w:p>
    <w:p>
      <w:pPr>
        <w:pStyle w:val="ListBullet"/>
        <w:spacing w:after="60"/>
      </w:pPr>
      <w:r>
        <w:rPr>
          <w:b/>
          <w:sz w:val="21"/>
        </w:rPr>
        <w:t xml:space="preserve">Hazard: </w:t>
      </w:r>
      <w:r>
        <w:rPr>
          <w:sz w:val="21"/>
        </w:rPr>
        <w:t>anything in the home or on its approaches with the potential to cause harm, including the way work is carried out there.</w:t>
      </w:r>
    </w:p>
    <w:p>
      <w:pPr>
        <w:pStyle w:val="ListBullet"/>
        <w:spacing w:after="60"/>
      </w:pPr>
      <w:r>
        <w:rPr>
          <w:b/>
          <w:sz w:val="21"/>
        </w:rPr>
        <w:t xml:space="preserve">Control: </w:t>
      </w:r>
      <w:r>
        <w:rPr>
          <w:sz w:val="21"/>
        </w:rPr>
        <w:t>an action that removes a hazard or reduces harm, chosen in order of effectiveness: remove, substitute, isolate, engineer, change the work method, then protective equipment last.</w:t>
      </w:r>
    </w:p>
    <w:p>
      <w:pPr>
        <w:pStyle w:val="ListBullet"/>
        <w:spacing w:after="60"/>
      </w:pPr>
      <w:r>
        <w:rPr>
          <w:b/>
          <w:sz w:val="21"/>
        </w:rPr>
        <w:t xml:space="preserve">Dignity of risk: </w:t>
      </w:r>
      <w:r>
        <w:rPr>
          <w:sz w:val="21"/>
        </w:rPr>
        <w:t>the right of a participant to make decisions about their own life and home, including risky ones, with support to understand the consequences. Standard 1 of the strengthened Aged Care Quality Standards covers choice, supported decision-making and dignity of risk.</w:t>
      </w:r>
    </w:p>
    <w:p>
      <w:pPr>
        <w:pStyle w:val="ListBullet"/>
        <w:spacing w:after="60"/>
      </w:pPr>
      <w:r>
        <w:rPr>
          <w:b/>
          <w:sz w:val="21"/>
        </w:rPr>
        <w:t xml:space="preserve">Negotiated risk agreement: </w:t>
      </w:r>
      <w:r>
        <w:rPr>
          <w:sz w:val="21"/>
        </w:rPr>
        <w:t>a signed record used where a participant declines a control, stating the hazard, what was agreed instead, the residual risk to participant and workers, who is responsible, and the review date.</w:t>
      </w:r>
    </w:p>
    <w:p>
      <w:pPr>
        <w:spacing w:before="240" w:after="80"/>
      </w:pPr>
      <w:r>
        <w:rPr>
          <w:b/>
          <w:sz w:val="26"/>
        </w:rPr>
        <w:t>5. Home Environment Risk Assessment Procedure</w:t>
      </w:r>
    </w:p>
    <w:p>
      <w:pPr>
        <w:spacing w:before="180" w:after="60"/>
      </w:pPr>
      <w:r>
        <w:rPr>
          <w:b/>
          <w:sz w:val="22"/>
        </w:rPr>
        <w:t>5.1 Initial Assessment</w:t>
      </w:r>
    </w:p>
    <w:p>
      <w:pPr>
        <w:spacing w:after="120"/>
      </w:pPr>
      <w:r>
        <w:rPr>
          <w:sz w:val="21"/>
        </w:rPr>
        <w:t>The initial assessment is completed by [the care partner or an approved assessor] at the in-home assessment and planning visit, on the approved form in [name of system]. Notes and photographs on personal devices are not a record.</w:t>
      </w:r>
    </w:p>
    <w:p>
      <w:pPr>
        <w:pStyle w:val="ListBullet"/>
        <w:spacing w:after="60"/>
      </w:pPr>
      <w:r>
        <w:rPr>
          <w:sz w:val="21"/>
        </w:rPr>
        <w:t>Walk the dwelling, the approaches and every room where a service will be delivered. A kitchen nobody enters is assessed differently from a bathroom used for four shower transfers a week.</w:t>
      </w:r>
    </w:p>
    <w:p>
      <w:pPr>
        <w:pStyle w:val="ListBullet"/>
        <w:spacing w:after="60"/>
      </w:pPr>
      <w:r>
        <w:rPr>
          <w:sz w:val="21"/>
        </w:rPr>
        <w:t>Work through all twelve categories at section 5.2, recording each as checked even where nothing is found, so a later reviewer can tell no hazard from no look.</w:t>
      </w:r>
    </w:p>
    <w:p>
      <w:pPr>
        <w:pStyle w:val="ListBullet"/>
        <w:spacing w:after="60"/>
      </w:pPr>
      <w:r>
        <w:rPr>
          <w:sz w:val="21"/>
        </w:rPr>
        <w:t>For each hazard, record the rating, the control agreed, who is responsible and the date due. Where it depends on a landlord, tradesperson or council, record the referral and the date to chase it.</w:t>
      </w:r>
    </w:p>
    <w:p>
      <w:pPr>
        <w:pStyle w:val="ListBullet"/>
        <w:spacing w:after="60"/>
      </w:pPr>
      <w:r>
        <w:rPr>
          <w:sz w:val="21"/>
        </w:rPr>
        <w:t>Write agreed controls into the care plan, and have [the Quality and Safety Manager] countersign any high or extreme assessment before the first visit.</w:t>
      </w:r>
    </w:p>
    <w:p>
      <w:pPr>
        <w:spacing w:before="180" w:after="60"/>
      </w:pPr>
      <w:r>
        <w:rPr>
          <w:b/>
          <w:sz w:val="22"/>
        </w:rPr>
        <w:t>5.2 Hazard Categories and Minimum Checks</w:t>
      </w:r>
    </w:p>
    <w:p>
      <w:pPr>
        <w:spacing w:after="120"/>
      </w:pPr>
      <w:r>
        <w:rPr>
          <w:sz w:val="21"/>
        </w:rPr>
        <w:t>Every assessment covers all twelve categories, with the control agreed with the participant recorded against each hazard found.</w:t>
      </w:r>
    </w:p>
    <w:tbl>
      <w:tblPr>
        <w:tblStyle w:val="TableGrid"/>
        <w:tblW w:type="auto" w:w="0"/>
        <w:jc w:val="left"/>
        <w:tblLook w:firstColumn="1" w:firstRow="1" w:lastColumn="0" w:lastRow="0" w:noHBand="0" w:noVBand="1" w:val="04A0"/>
      </w:tblPr>
      <w:tblGrid>
        <w:gridCol w:w="5040"/>
        <w:gridCol w:w="5040"/>
      </w:tblGrid>
      <w:tr>
        <w:tc>
          <w:tcPr>
            <w:tcW w:type="dxa" w:w="5040"/>
          </w:tcPr>
          <w:p>
            <w:r/>
            <w:r>
              <w:rPr>
                <w:b/>
                <w:sz w:val="20"/>
              </w:rPr>
              <w:t>Hazard category</w:t>
            </w:r>
          </w:p>
        </w:tc>
        <w:tc>
          <w:tcPr>
            <w:tcW w:type="dxa" w:w="5040"/>
          </w:tcPr>
          <w:p>
            <w:r/>
            <w:r>
              <w:rPr>
                <w:b/>
                <w:sz w:val="20"/>
              </w:rPr>
              <w:t>Minimum checks at every assessment</w:t>
            </w:r>
          </w:p>
        </w:tc>
      </w:tr>
      <w:tr>
        <w:tc>
          <w:tcPr>
            <w:tcW w:type="dxa" w:w="5040"/>
          </w:tcPr>
          <w:p>
            <w:r/>
            <w:r>
              <w:rPr>
                <w:b w:val="0"/>
                <w:sz w:val="20"/>
              </w:rPr>
              <w:t>1. Slips, trips and falls</w:t>
            </w:r>
          </w:p>
        </w:tc>
        <w:tc>
          <w:tcPr>
            <w:tcW w:type="dxa" w:w="5040"/>
          </w:tcPr>
          <w:p>
            <w:r/>
            <w:r>
              <w:rPr>
                <w:b w:val="0"/>
                <w:sz w:val="20"/>
              </w:rPr>
              <w:t>Loose mats, trailing cords, damaged flooring, steps without a rail, clutter, wet floors</w:t>
            </w:r>
          </w:p>
        </w:tc>
      </w:tr>
      <w:tr>
        <w:tc>
          <w:tcPr>
            <w:tcW w:type="dxa" w:w="5040"/>
          </w:tcPr>
          <w:p>
            <w:r/>
            <w:r>
              <w:rPr>
                <w:b w:val="0"/>
                <w:sz w:val="20"/>
              </w:rPr>
              <w:t>2. Electrical and gas</w:t>
            </w:r>
          </w:p>
        </w:tc>
        <w:tc>
          <w:tcPr>
            <w:tcW w:type="dxa" w:w="5040"/>
          </w:tcPr>
          <w:p>
            <w:r/>
            <w:r>
              <w:rPr>
                <w:b w:val="0"/>
                <w:sz w:val="20"/>
              </w:rPr>
              <w:t>Damaged leads, overloaded power boards, scorched outlets, unflued heaters, appliance age</w:t>
            </w:r>
          </w:p>
        </w:tc>
      </w:tr>
      <w:tr>
        <w:tc>
          <w:tcPr>
            <w:tcW w:type="dxa" w:w="5040"/>
          </w:tcPr>
          <w:p>
            <w:r/>
            <w:r>
              <w:rPr>
                <w:b w:val="0"/>
                <w:sz w:val="20"/>
              </w:rPr>
              <w:t>3. Fire safety and egress</w:t>
            </w:r>
          </w:p>
        </w:tc>
        <w:tc>
          <w:tcPr>
            <w:tcW w:type="dxa" w:w="5040"/>
          </w:tcPr>
          <w:p>
            <w:r/>
            <w:r>
              <w:rPr>
                <w:b w:val="0"/>
                <w:sz w:val="20"/>
              </w:rPr>
              <w:t>Smoke alarm test dates, clear exits, bedding near heaters, can the participant leave unaided</w:t>
            </w:r>
          </w:p>
        </w:tc>
      </w:tr>
      <w:tr>
        <w:tc>
          <w:tcPr>
            <w:tcW w:type="dxa" w:w="5040"/>
          </w:tcPr>
          <w:p>
            <w:r/>
            <w:r>
              <w:rPr>
                <w:b w:val="0"/>
                <w:sz w:val="20"/>
              </w:rPr>
              <w:t>4. Animals</w:t>
            </w:r>
          </w:p>
        </w:tc>
        <w:tc>
          <w:tcPr>
            <w:tcW w:type="dxa" w:w="5040"/>
          </w:tcPr>
          <w:p>
            <w:r/>
            <w:r>
              <w:rPr>
                <w:b w:val="0"/>
                <w:sz w:val="20"/>
              </w:rPr>
              <w:t>Behaviour towards visitors, size, bite history, containment, waste, allergy risk</w:t>
            </w:r>
          </w:p>
        </w:tc>
      </w:tr>
      <w:tr>
        <w:tc>
          <w:tcPr>
            <w:tcW w:type="dxa" w:w="5040"/>
          </w:tcPr>
          <w:p>
            <w:r/>
            <w:r>
              <w:rPr>
                <w:b w:val="0"/>
                <w:sz w:val="20"/>
              </w:rPr>
              <w:t>5. Smoking and substance use</w:t>
            </w:r>
          </w:p>
        </w:tc>
        <w:tc>
          <w:tcPr>
            <w:tcW w:type="dxa" w:w="5040"/>
          </w:tcPr>
          <w:p>
            <w:r/>
            <w:r>
              <w:rPr>
                <w:b w:val="0"/>
                <w:sz w:val="20"/>
              </w:rPr>
              <w:t>Smoking indoors, oxygen near an ignition source, substance use affecting visit safety</w:t>
            </w:r>
          </w:p>
        </w:tc>
      </w:tr>
      <w:tr>
        <w:tc>
          <w:tcPr>
            <w:tcW w:type="dxa" w:w="5040"/>
          </w:tcPr>
          <w:p>
            <w:r/>
            <w:r>
              <w:rPr>
                <w:b w:val="0"/>
                <w:sz w:val="20"/>
              </w:rPr>
              <w:t>6. Hoarding and squalor</w:t>
            </w:r>
          </w:p>
        </w:tc>
        <w:tc>
          <w:tcPr>
            <w:tcW w:type="dxa" w:w="5040"/>
          </w:tcPr>
          <w:p>
            <w:r/>
            <w:r>
              <w:rPr>
                <w:b w:val="0"/>
                <w:sz w:val="20"/>
              </w:rPr>
              <w:t>Blocked exits, floor loading, vermin, rotting food, reachable bed, toilet and kitchen</w:t>
            </w:r>
          </w:p>
        </w:tc>
      </w:tr>
      <w:tr>
        <w:tc>
          <w:tcPr>
            <w:tcW w:type="dxa" w:w="5040"/>
          </w:tcPr>
          <w:p>
            <w:r/>
            <w:r>
              <w:rPr>
                <w:b w:val="0"/>
                <w:sz w:val="20"/>
              </w:rPr>
              <w:t>7. Infection prevention and control</w:t>
            </w:r>
          </w:p>
        </w:tc>
        <w:tc>
          <w:tcPr>
            <w:tcW w:type="dxa" w:w="5040"/>
          </w:tcPr>
          <w:p>
            <w:r/>
            <w:r>
              <w:rPr>
                <w:b w:val="0"/>
                <w:sz w:val="20"/>
              </w:rPr>
              <w:t>Hand washing access, hot water, soap and towel, sharps and waste disposal, infection</w:t>
            </w:r>
          </w:p>
        </w:tc>
      </w:tr>
      <w:tr>
        <w:tc>
          <w:tcPr>
            <w:tcW w:type="dxa" w:w="5040"/>
          </w:tcPr>
          <w:p>
            <w:r/>
            <w:r>
              <w:rPr>
                <w:b w:val="0"/>
                <w:sz w:val="20"/>
              </w:rPr>
              <w:t>8. Equipment and assistive technology</w:t>
            </w:r>
          </w:p>
        </w:tc>
        <w:tc>
          <w:tcPr>
            <w:tcW w:type="dxa" w:w="5040"/>
          </w:tcPr>
          <w:p>
            <w:r/>
            <w:r>
              <w:rPr>
                <w:b w:val="0"/>
                <w:sz w:val="20"/>
              </w:rPr>
              <w:t>Condition, service dates and weight limits of beds, lifters, slings and chairs; fit to need</w:t>
            </w:r>
          </w:p>
        </w:tc>
      </w:tr>
      <w:tr>
        <w:tc>
          <w:tcPr>
            <w:tcW w:type="dxa" w:w="5040"/>
          </w:tcPr>
          <w:p>
            <w:r/>
            <w:r>
              <w:rPr>
                <w:b w:val="0"/>
                <w:sz w:val="20"/>
              </w:rPr>
              <w:t>9. Lighting and visibility</w:t>
            </w:r>
          </w:p>
        </w:tc>
        <w:tc>
          <w:tcPr>
            <w:tcW w:type="dxa" w:w="5040"/>
          </w:tcPr>
          <w:p>
            <w:r/>
            <w:r>
              <w:rPr>
                <w:b w:val="0"/>
                <w:sz w:val="20"/>
              </w:rPr>
              <w:t>Light levels at entry, hallway, stairs and bathroom; early and late visits; globe changes</w:t>
            </w:r>
          </w:p>
        </w:tc>
      </w:tr>
      <w:tr>
        <w:tc>
          <w:tcPr>
            <w:tcW w:type="dxa" w:w="5040"/>
          </w:tcPr>
          <w:p>
            <w:r/>
            <w:r>
              <w:rPr>
                <w:b w:val="0"/>
                <w:sz w:val="20"/>
              </w:rPr>
              <w:t>10. Manual handling space</w:t>
            </w:r>
          </w:p>
        </w:tc>
        <w:tc>
          <w:tcPr>
            <w:tcW w:type="dxa" w:w="5040"/>
          </w:tcPr>
          <w:p>
            <w:r/>
            <w:r>
              <w:rPr>
                <w:b w:val="0"/>
                <w:sz w:val="20"/>
              </w:rPr>
              <w:t>Space either side of the bed, bathroom turning circle, doorway widths, bed and chair heights</w:t>
            </w:r>
          </w:p>
        </w:tc>
      </w:tr>
      <w:tr>
        <w:tc>
          <w:tcPr>
            <w:tcW w:type="dxa" w:w="5040"/>
          </w:tcPr>
          <w:p>
            <w:r/>
            <w:r>
              <w:rPr>
                <w:b w:val="0"/>
                <w:sz w:val="20"/>
              </w:rPr>
              <w:t>11. Access and lone worker safety</w:t>
            </w:r>
          </w:p>
        </w:tc>
        <w:tc>
          <w:tcPr>
            <w:tcW w:type="dxa" w:w="5040"/>
          </w:tcPr>
          <w:p>
            <w:r/>
            <w:r>
              <w:rPr>
                <w:b w:val="0"/>
                <w:sz w:val="20"/>
              </w:rPr>
              <w:t>Parking, street lighting, locked gates, entry stairs, key safe, coverage, aggression history</w:t>
            </w:r>
          </w:p>
        </w:tc>
      </w:tr>
      <w:tr>
        <w:tc>
          <w:tcPr>
            <w:tcW w:type="dxa" w:w="5040"/>
          </w:tcPr>
          <w:p>
            <w:r/>
            <w:r>
              <w:rPr>
                <w:b w:val="0"/>
                <w:sz w:val="20"/>
              </w:rPr>
              <w:t>12. Emergency and continuity</w:t>
            </w:r>
          </w:p>
        </w:tc>
        <w:tc>
          <w:tcPr>
            <w:tcW w:type="dxa" w:w="5040"/>
          </w:tcPr>
          <w:p>
            <w:r/>
            <w:r>
              <w:rPr>
                <w:b w:val="0"/>
                <w:sz w:val="20"/>
              </w:rPr>
              <w:t>Flood, bushfire and heatwave exposure, power dependence, backup contacts, medicine storage</w:t>
            </w:r>
          </w:p>
        </w:tc>
      </w:tr>
    </w:tbl>
    <w:p/>
    <w:p>
      <w:pPr>
        <w:spacing w:before="180" w:after="60"/>
      </w:pPr>
      <w:r>
        <w:rPr>
          <w:b/>
          <w:sz w:val="22"/>
        </w:rPr>
        <w:t>5.3 Risk Rating and Choice of Controls</w:t>
      </w:r>
    </w:p>
    <w:p>
      <w:pPr>
        <w:pStyle w:val="ListBullet"/>
        <w:spacing w:after="60"/>
      </w:pPr>
      <w:r>
        <w:rPr>
          <w:sz w:val="21"/>
        </w:rPr>
        <w:t>Rate every hazard low, moderate, high or extreme using likelihood against severity, as it is on the day rather than as it would be once a control works.</w:t>
      </w:r>
    </w:p>
    <w:p>
      <w:pPr>
        <w:pStyle w:val="ListBullet"/>
        <w:spacing w:after="60"/>
      </w:pPr>
      <w:r>
        <w:rPr>
          <w:sz w:val="21"/>
        </w:rPr>
        <w:t>Removing or substituting the hazard comes first. Protective equipment is the last line, never the first answer.</w:t>
      </w:r>
    </w:p>
    <w:p>
      <w:pPr>
        <w:pStyle w:val="ListBullet"/>
        <w:spacing w:after="60"/>
      </w:pPr>
      <w:r>
        <w:rPr>
          <w:sz w:val="21"/>
        </w:rPr>
        <w:t>Treat a control as in place only once a named person confirms it. An ordered grab rail is not a control until it is installed and load tested.</w:t>
      </w:r>
    </w:p>
    <w:p>
      <w:pPr>
        <w:pStyle w:val="ListBullet"/>
        <w:spacing w:after="60"/>
      </w:pPr>
      <w:r>
        <w:rPr>
          <w:sz w:val="21"/>
        </w:rPr>
        <w:t>State the residual risk in words a worker can act on. 'Dog secured in laundry before entry, call ahead' is useful. 'Animal risk managed' is not.</w:t>
      </w:r>
    </w:p>
    <w:p>
      <w:pPr>
        <w:spacing w:before="180" w:after="60"/>
      </w:pPr>
      <w:r>
        <w:rPr>
          <w:b/>
          <w:sz w:val="22"/>
        </w:rPr>
        <w:t>5.4 Dignity of Risk and Negotiated Risk</w:t>
      </w:r>
    </w:p>
    <w:p>
      <w:pPr>
        <w:spacing w:after="120"/>
      </w:pPr>
      <w:r>
        <w:rPr>
          <w:sz w:val="21"/>
        </w:rPr>
        <w:t>A participant has the right to make decisions about their own home and their own life, including decisions others would not make. Risk assessment that treats every hazard as something to remove over the participant's objection is not person-centred care, and it will not survive an audit against Standard 1.</w:t>
      </w:r>
    </w:p>
    <w:p>
      <w:pPr>
        <w:pStyle w:val="ListBullet"/>
        <w:spacing w:after="60"/>
      </w:pPr>
      <w:r>
        <w:rPr>
          <w:sz w:val="21"/>
        </w:rPr>
        <w:t>Explain the hazard, the likely consequences and the realistic options in plain language, using an interpreter or registered supporter where that is what makes the explanation land.</w:t>
      </w:r>
    </w:p>
    <w:p>
      <w:pPr>
        <w:pStyle w:val="ListBullet"/>
        <w:spacing w:after="60"/>
      </w:pPr>
      <w:r>
        <w:rPr>
          <w:sz w:val="21"/>
        </w:rPr>
        <w:t>Ask what the participant will accept instead. Someone who refuses to give up a treasured hallway rug may accept double-sided tape, a different walking route or better lighting.</w:t>
      </w:r>
    </w:p>
    <w:p>
      <w:pPr>
        <w:pStyle w:val="ListBullet"/>
        <w:spacing w:after="60"/>
      </w:pPr>
      <w:r>
        <w:rPr>
          <w:sz w:val="21"/>
        </w:rPr>
        <w:t>Complete a negotiated risk agreement for every declined control, signed by the participant and [the care partner], recording what was recommended, what was declined and what was agreed instead.</w:t>
      </w:r>
    </w:p>
    <w:p>
      <w:pPr>
        <w:pStyle w:val="ListBullet"/>
        <w:spacing w:after="60"/>
      </w:pPr>
      <w:r>
        <w:rPr>
          <w:sz w:val="21"/>
        </w:rPr>
        <w:t>Review each agreement at every care plan review, which under Support at Home happens as often as needed and at least annually, and whenever circumstances change.</w:t>
      </w:r>
    </w:p>
    <w:p>
      <w:pPr>
        <w:pStyle w:val="ListBullet"/>
        <w:spacing w:after="60"/>
      </w:pPr>
      <w:r>
        <w:rPr>
          <w:sz w:val="21"/>
        </w:rPr>
        <w:t>An agreement records a participant's choice about risk to themselves. It cannot authorise a worker to accept a risk the law requires to be controlled. A participant may keep smoking in their own home; [Organisation Name] may still require a smoke-free period around each visit.</w:t>
      </w:r>
    </w:p>
    <w:p>
      <w:pPr>
        <w:pStyle w:val="ListBullet"/>
        <w:spacing w:after="60"/>
      </w:pPr>
      <w:r>
        <w:rPr>
          <w:sz w:val="21"/>
        </w:rPr>
        <w:t>Where the participant has capacity, their decision is the one recorded, even if a family member disagrees. Never use an agreement as a signature that shifts blame.</w:t>
      </w:r>
    </w:p>
    <w:p>
      <w:pPr>
        <w:spacing w:before="180" w:after="60"/>
      </w:pPr>
      <w:r>
        <w:rPr>
          <w:b/>
          <w:sz w:val="22"/>
        </w:rPr>
        <w:t>5.5 Shared Work Health and Safety Duty in a Private Home</w:t>
      </w:r>
    </w:p>
    <w:p>
      <w:pPr>
        <w:pStyle w:val="ListBullet"/>
        <w:spacing w:after="60"/>
      </w:pPr>
      <w:r>
        <w:rPr>
          <w:sz w:val="21"/>
        </w:rPr>
        <w:t>Under work health and safety law a workplace is any place a worker goes or is likely to be while at work, and that includes a private home where a person is being cared for or supported by a worker.</w:t>
      </w:r>
    </w:p>
    <w:p>
      <w:pPr>
        <w:pStyle w:val="ListBullet"/>
        <w:spacing w:after="60"/>
      </w:pPr>
      <w:r>
        <w:rPr>
          <w:sz w:val="21"/>
        </w:rPr>
        <w:t>[Organisation Name] is a PCBU, a person conducting a business or undertaking, and must provide a working environment without risks to health and safety, so far as is reasonably practicable, inside that home. That duty cannot be transferred or contracted out.</w:t>
      </w:r>
    </w:p>
    <w:p>
      <w:pPr>
        <w:pStyle w:val="ListBullet"/>
        <w:spacing w:after="60"/>
      </w:pPr>
      <w:r>
        <w:rPr>
          <w:sz w:val="21"/>
        </w:rPr>
        <w:t>More than one organisation can hold the same duty. Where a subcontracted nursing provider, an equipment supplier and [Organisation Name] all attend one home, each must meet its duty to the extent it can influence and control the matter, and each must consult, cooperate and coordinate with the others.</w:t>
      </w:r>
    </w:p>
    <w:p>
      <w:pPr>
        <w:pStyle w:val="ListBullet"/>
        <w:spacing w:after="60"/>
      </w:pPr>
      <w:r>
        <w:rPr>
          <w:sz w:val="21"/>
        </w:rPr>
        <w:t>Participants and others in the home must take reasonable care for their own safety and that of others present. Raise this at the service agreement conversation, not after an incident.</w:t>
      </w:r>
    </w:p>
    <w:p>
      <w:pPr>
        <w:pStyle w:val="ListBullet"/>
        <w:spacing w:after="60"/>
      </w:pPr>
      <w:r>
        <w:rPr>
          <w:sz w:val="21"/>
        </w:rPr>
        <w:t>A dangerous animal, a history of aggression or an unsafe transfer is never left for the next worker to discover at the door.</w:t>
      </w:r>
    </w:p>
    <w:p>
      <w:pPr>
        <w:spacing w:before="180" w:after="60"/>
      </w:pPr>
      <w:r>
        <w:rPr>
          <w:b/>
          <w:sz w:val="22"/>
        </w:rPr>
        <w:t>5.6 Re-assessment Triggers and Periodic Review</w:t>
      </w:r>
    </w:p>
    <w:p>
      <w:pPr>
        <w:spacing w:after="120"/>
      </w:pPr>
      <w:r>
        <w:rPr>
          <w:sz w:val="21"/>
        </w:rPr>
        <w:t>Home environments change faster than care plans. Re-assessment is driven by scheduled review, by trigger events, and by what workers notice at every visit.</w:t>
      </w:r>
    </w:p>
    <w:p>
      <w:pPr>
        <w:pStyle w:val="ListBullet"/>
        <w:spacing w:after="60"/>
      </w:pPr>
      <w:r>
        <w:rPr>
          <w:sz w:val="21"/>
        </w:rPr>
        <w:t>A full assessment at least every [12] months, timed alongside the care plan review.</w:t>
      </w:r>
    </w:p>
    <w:p>
      <w:pPr>
        <w:pStyle w:val="ListBullet"/>
        <w:spacing w:after="60"/>
      </w:pPr>
      <w:r>
        <w:rPr>
          <w:sz w:val="21"/>
        </w:rPr>
        <w:t>Re-assessment within [2] business days of a fall, near miss or injury in the home; an incident involving a worker; a change in mobility, cognition, vision or continence; a hospital discharge; new, removed or repaired equipment; a new animal; a new person living in the home; a change of address; or a worker safety report.</w:t>
      </w:r>
    </w:p>
    <w:p>
      <w:pPr>
        <w:pStyle w:val="ListBullet"/>
        <w:spacing w:after="60"/>
      </w:pPr>
      <w:r>
        <w:rPr>
          <w:sz w:val="21"/>
        </w:rPr>
        <w:t>Every visit: the worker completes the pre-entry and in-home check, confirms agreed controls are still in place, and records anything new before leaving.</w:t>
      </w:r>
    </w:p>
    <w:p>
      <w:pPr>
        <w:pStyle w:val="ListBullet"/>
        <w:spacing w:after="60"/>
      </w:pPr>
      <w:r>
        <w:rPr>
          <w:sz w:val="21"/>
        </w:rPr>
        <w:t>A new or worsened hazard is reported the same day. [The on-call coordinator] decides whether the next visit proceeds, proceeds with changes, or is held.</w:t>
      </w:r>
    </w:p>
    <w:p>
      <w:pPr>
        <w:spacing w:before="180" w:after="60"/>
      </w:pPr>
      <w:r>
        <w:rPr>
          <w:b/>
          <w:sz w:val="22"/>
        </w:rPr>
        <w:t>5.7 Documentation and Information Sharing</w:t>
      </w:r>
    </w:p>
    <w:p>
      <w:pPr>
        <w:pStyle w:val="ListBullet"/>
        <w:spacing w:after="60"/>
      </w:pPr>
      <w:r>
        <w:rPr>
          <w:sz w:val="21"/>
        </w:rPr>
        <w:t>Hold the current assessment, every negotiated risk agreement and a one-screen hazard alert summary against the participant record in [name of system].</w:t>
      </w:r>
    </w:p>
    <w:p>
      <w:pPr>
        <w:pStyle w:val="ListBullet"/>
        <w:spacing w:after="60"/>
      </w:pPr>
      <w:r>
        <w:rPr>
          <w:sz w:val="21"/>
        </w:rPr>
        <w:t>Show the hazard alert to the worker before they accept the visit, not on arrival. An alert buried three screens deep is not information sharing.</w:t>
      </w:r>
    </w:p>
    <w:p>
      <w:pPr>
        <w:pStyle w:val="ListBullet"/>
        <w:spacing w:after="60"/>
      </w:pPr>
      <w:r>
        <w:rPr>
          <w:sz w:val="21"/>
        </w:rPr>
        <w:t>Record environmental risks and agreed controls in the care plan, which the care partner develops collaboratively with the participant and reviews at least annually.</w:t>
      </w:r>
    </w:p>
    <w:p>
      <w:pPr>
        <w:pStyle w:val="ListBullet"/>
        <w:spacing w:after="60"/>
      </w:pPr>
      <w:r>
        <w:rPr>
          <w:sz w:val="21"/>
        </w:rPr>
        <w:t>Record who assessed, who was present, what was decided and what is outstanding. A control with no owner is an audit finding waiting to happen.</w:t>
      </w:r>
    </w:p>
    <w:p>
      <w:pPr>
        <w:pStyle w:val="ListBullet"/>
        <w:spacing w:after="60"/>
      </w:pPr>
      <w:r>
        <w:rPr>
          <w:sz w:val="21"/>
        </w:rPr>
        <w:t>Where a control is an assistive technology item or home modification, pursue it through the Assistive Technology and Home Modifications pathway; where it costs the participant money, explain the cost first.</w:t>
      </w:r>
    </w:p>
    <w:p>
      <w:pPr>
        <w:spacing w:before="180" w:after="60"/>
      </w:pPr>
      <w:r>
        <w:rPr>
          <w:b/>
          <w:sz w:val="22"/>
        </w:rPr>
        <w:t>5.8 Escalation, Service Variation and Withdrawal</w:t>
      </w:r>
    </w:p>
    <w:p>
      <w:pPr>
        <w:spacing w:after="120"/>
      </w:pPr>
      <w:r>
        <w:rPr>
          <w:sz w:val="21"/>
        </w:rPr>
        <w:t>Withdrawing a service is a serious step for someone who may have few alternatives. It is a last option, taken by named decision makers after cheaper options have been tried and recorded, never a decision made alone at the door.</w:t>
      </w:r>
    </w:p>
    <w:p>
      <w:pPr>
        <w:pStyle w:val="ListBullet"/>
        <w:spacing w:after="60"/>
      </w:pPr>
      <w:r>
        <w:rPr>
          <w:sz w:val="21"/>
        </w:rPr>
        <w:t>Immediate danger: the worker leaves, calls 000 if needed, and contacts [the on-call coordinator] before the end of the shift. Leaving is supported and is never a performance matter.</w:t>
      </w:r>
    </w:p>
    <w:p>
      <w:pPr>
        <w:pStyle w:val="ListBullet"/>
        <w:spacing w:after="60"/>
      </w:pPr>
      <w:r>
        <w:rPr>
          <w:sz w:val="21"/>
        </w:rPr>
        <w:t>Vary the service before withdrawing it. Consider and record, in this order: change the task; change the method; change or add equipment; change the time of day; send two workers; deliver the service elsewhere; reduce it to the part that can be done safely.</w:t>
      </w:r>
    </w:p>
    <w:p>
      <w:pPr>
        <w:pStyle w:val="ListBullet"/>
        <w:spacing w:after="60"/>
      </w:pPr>
      <w:r>
        <w:rPr>
          <w:sz w:val="21"/>
        </w:rPr>
        <w:t>A decision to suspend or end a service is made by [the Head of Service Delivery] with [the Quality and Safety Manager], recorded with reasons, the options tried and the date.</w:t>
      </w:r>
    </w:p>
    <w:p>
      <w:pPr>
        <w:pStyle w:val="ListBullet"/>
        <w:spacing w:after="60"/>
      </w:pPr>
      <w:r>
        <w:rPr>
          <w:sz w:val="21"/>
        </w:rPr>
        <w:t>Give the participant written plain-language notice of the uncontrolled risk, what would have to change for the service to resume, how to complain, and how to reach an advocate. Notify My Aged Care and work on continuity, since every participant is linked to one registered provider.</w:t>
      </w:r>
    </w:p>
    <w:p>
      <w:pPr>
        <w:pStyle w:val="ListBullet"/>
        <w:spacing w:after="60"/>
      </w:pPr>
      <w:r>
        <w:rPr>
          <w:sz w:val="21"/>
        </w:rPr>
        <w:t>Where the state of the home suggests abuse, neglect or self-neglect, apply the Abuse and Neglect Prevention Policy and the Serious Incident Response Scheme Policy as well.</w:t>
      </w:r>
    </w:p>
    <w:p>
      <w:pPr>
        <w:spacing w:before="240" w:after="80"/>
      </w:pPr>
      <w:r>
        <w:rPr>
          <w:b/>
          <w:sz w:val="26"/>
        </w:rPr>
        <w:t>6. Roles and Responsibilities</w:t>
      </w:r>
    </w:p>
    <w:tbl>
      <w:tblPr>
        <w:tblStyle w:val="TableGrid"/>
        <w:tblW w:type="auto" w:w="0"/>
        <w:jc w:val="left"/>
        <w:tblLook w:firstColumn="1" w:firstRow="1" w:lastColumn="0" w:lastRow="0" w:noHBand="0" w:noVBand="1" w:val="04A0"/>
      </w:tblPr>
      <w:tblGrid>
        <w:gridCol w:w="5040"/>
        <w:gridCol w:w="5040"/>
      </w:tblGrid>
      <w:tr>
        <w:tc>
          <w:tcPr>
            <w:tcW w:type="dxa" w:w="5040"/>
          </w:tcPr>
          <w:p>
            <w:r/>
            <w:r>
              <w:rPr>
                <w:b/>
                <w:sz w:val="20"/>
              </w:rPr>
              <w:t>Role</w:t>
            </w:r>
          </w:p>
        </w:tc>
        <w:tc>
          <w:tcPr>
            <w:tcW w:type="dxa" w:w="5040"/>
          </w:tcPr>
          <w:p>
            <w:r/>
            <w:r>
              <w:rPr>
                <w:b/>
                <w:sz w:val="20"/>
              </w:rPr>
              <w:t>Responsibility</w:t>
            </w:r>
          </w:p>
        </w:tc>
      </w:tr>
      <w:tr>
        <w:tc>
          <w:tcPr>
            <w:tcW w:type="dxa" w:w="5040"/>
          </w:tcPr>
          <w:p>
            <w:r/>
            <w:r>
              <w:rPr>
                <w:b w:val="0"/>
                <w:sz w:val="20"/>
              </w:rPr>
              <w:t>[Board]</w:t>
            </w:r>
          </w:p>
        </w:tc>
        <w:tc>
          <w:tcPr>
            <w:tcW w:type="dxa" w:w="5040"/>
          </w:tcPr>
          <w:p>
            <w:r/>
            <w:r>
              <w:rPr>
                <w:b w:val="0"/>
                <w:sz w:val="20"/>
              </w:rPr>
              <w:t>Approves this policy; receives quarterly reporting on open high and extreme risks, negotiated risk agreements and worker injuries</w:t>
            </w:r>
          </w:p>
        </w:tc>
      </w:tr>
      <w:tr>
        <w:tc>
          <w:tcPr>
            <w:tcW w:type="dxa" w:w="5040"/>
          </w:tcPr>
          <w:p>
            <w:r/>
            <w:r>
              <w:rPr>
                <w:b w:val="0"/>
                <w:sz w:val="20"/>
              </w:rPr>
              <w:t>[Head of Service Delivery]</w:t>
            </w:r>
          </w:p>
        </w:tc>
        <w:tc>
          <w:tcPr>
            <w:tcW w:type="dxa" w:w="5040"/>
          </w:tcPr>
          <w:p>
            <w:r/>
            <w:r>
              <w:rPr>
                <w:b w:val="0"/>
                <w:sz w:val="20"/>
              </w:rPr>
              <w:t>Approves service variation, suspension and withdrawal; confirms high and extreme risks are closed out</w:t>
            </w:r>
          </w:p>
        </w:tc>
      </w:tr>
      <w:tr>
        <w:tc>
          <w:tcPr>
            <w:tcW w:type="dxa" w:w="5040"/>
          </w:tcPr>
          <w:p>
            <w:r/>
            <w:r>
              <w:rPr>
                <w:b w:val="0"/>
                <w:sz w:val="20"/>
              </w:rPr>
              <w:t>[Quality and Safety Manager]</w:t>
            </w:r>
          </w:p>
        </w:tc>
        <w:tc>
          <w:tcPr>
            <w:tcW w:type="dxa" w:w="5040"/>
          </w:tcPr>
          <w:p>
            <w:r/>
            <w:r>
              <w:rPr>
                <w:b w:val="0"/>
                <w:sz w:val="20"/>
              </w:rPr>
              <w:t>Maintains the form and risk matrix; countersigns high and extreme assessments; audits a sample each [quarter]</w:t>
            </w:r>
          </w:p>
        </w:tc>
      </w:tr>
      <w:tr>
        <w:tc>
          <w:tcPr>
            <w:tcW w:type="dxa" w:w="5040"/>
          </w:tcPr>
          <w:p>
            <w:r/>
            <w:r>
              <w:rPr>
                <w:b w:val="0"/>
                <w:sz w:val="20"/>
              </w:rPr>
              <w:t>Care partner</w:t>
            </w:r>
          </w:p>
        </w:tc>
        <w:tc>
          <w:tcPr>
            <w:tcW w:type="dxa" w:w="5040"/>
          </w:tcPr>
          <w:p>
            <w:r/>
            <w:r>
              <w:rPr>
                <w:b w:val="0"/>
                <w:sz w:val="20"/>
              </w:rPr>
              <w:t>Assesses and reviews with the participant; writes negotiated risk agreements; writes controls into the care plan</w:t>
            </w:r>
          </w:p>
        </w:tc>
      </w:tr>
      <w:tr>
        <w:tc>
          <w:tcPr>
            <w:tcW w:type="dxa" w:w="5040"/>
          </w:tcPr>
          <w:p>
            <w:r/>
            <w:r>
              <w:rPr>
                <w:b w:val="0"/>
                <w:sz w:val="20"/>
              </w:rPr>
              <w:t>Clinical care partner or Registered Nurse</w:t>
            </w:r>
          </w:p>
        </w:tc>
        <w:tc>
          <w:tcPr>
            <w:tcW w:type="dxa" w:w="5040"/>
          </w:tcPr>
          <w:p>
            <w:r/>
            <w:r>
              <w:rPr>
                <w:b w:val="0"/>
                <w:sz w:val="20"/>
              </w:rPr>
              <w:t>Assesses clinical risk: equipment suitability, transfer safety, infection risk, medicine storage</w:t>
            </w:r>
          </w:p>
        </w:tc>
      </w:tr>
      <w:tr>
        <w:tc>
          <w:tcPr>
            <w:tcW w:type="dxa" w:w="5040"/>
          </w:tcPr>
          <w:p>
            <w:r/>
            <w:r>
              <w:rPr>
                <w:b w:val="0"/>
                <w:sz w:val="20"/>
              </w:rPr>
              <w:t>Rostering and scheduling</w:t>
            </w:r>
          </w:p>
        </w:tc>
        <w:tc>
          <w:tcPr>
            <w:tcW w:type="dxa" w:w="5040"/>
          </w:tcPr>
          <w:p>
            <w:r/>
            <w:r>
              <w:rPr>
                <w:b w:val="0"/>
                <w:sz w:val="20"/>
              </w:rPr>
              <w:t>Holds a visit while a hazard alert is unresolved; applies two-worker, daylight-only and call-ahead flags</w:t>
            </w:r>
          </w:p>
        </w:tc>
      </w:tr>
      <w:tr>
        <w:tc>
          <w:tcPr>
            <w:tcW w:type="dxa" w:w="5040"/>
          </w:tcPr>
          <w:p>
            <w:r/>
            <w:r>
              <w:rPr>
                <w:b w:val="0"/>
                <w:sz w:val="20"/>
              </w:rPr>
              <w:t>Support workers, allied health and nurses</w:t>
            </w:r>
          </w:p>
        </w:tc>
        <w:tc>
          <w:tcPr>
            <w:tcW w:type="dxa" w:w="5040"/>
          </w:tcPr>
          <w:p>
            <w:r/>
            <w:r>
              <w:rPr>
                <w:b w:val="0"/>
                <w:sz w:val="20"/>
              </w:rPr>
              <w:t>Check at every visit; keep controls in place; report new hazards the same day; stop and escalate rather than work in an uncontrolled risk</w:t>
            </w:r>
          </w:p>
        </w:tc>
      </w:tr>
      <w:tr>
        <w:tc>
          <w:tcPr>
            <w:tcW w:type="dxa" w:w="5040"/>
          </w:tcPr>
          <w:p>
            <w:r/>
            <w:r>
              <w:rPr>
                <w:b w:val="0"/>
                <w:sz w:val="20"/>
              </w:rPr>
              <w:t>Participant, carers and supporters</w:t>
            </w:r>
          </w:p>
        </w:tc>
        <w:tc>
          <w:tcPr>
            <w:tcW w:type="dxa" w:w="5040"/>
          </w:tcPr>
          <w:p>
            <w:r/>
            <w:r>
              <w:rPr>
                <w:b w:val="0"/>
                <w:sz w:val="20"/>
              </w:rPr>
              <w:t>Take part in assessment; take reasonable care for their own and others' safety; keep agreed controls in place</w:t>
            </w:r>
          </w:p>
        </w:tc>
      </w:tr>
    </w:tbl>
    <w:p/>
    <w:p>
      <w:pPr>
        <w:spacing w:before="240" w:after="80"/>
      </w:pPr>
      <w:r>
        <w:rPr>
          <w:b/>
          <w:sz w:val="26"/>
        </w:rPr>
        <w:t>7. Related Policies</w:t>
      </w:r>
    </w:p>
    <w:p>
      <w:pPr>
        <w:pStyle w:val="ListBullet"/>
        <w:spacing w:after="60"/>
      </w:pPr>
      <w:r>
        <w:rPr>
          <w:sz w:val="21"/>
        </w:rPr>
        <w:t>Work Health and Safety Policy</w:t>
      </w:r>
    </w:p>
    <w:p>
      <w:pPr>
        <w:pStyle w:val="ListBullet"/>
        <w:spacing w:after="60"/>
      </w:pPr>
      <w:r>
        <w:rPr>
          <w:sz w:val="21"/>
        </w:rPr>
        <w:t>Dignity of Risk and Positive Risk-Taking Policy</w:t>
      </w:r>
    </w:p>
    <w:p>
      <w:pPr>
        <w:pStyle w:val="ListBullet"/>
        <w:spacing w:after="60"/>
      </w:pPr>
      <w:r>
        <w:rPr>
          <w:sz w:val="21"/>
        </w:rPr>
        <w:t>Risk Management Policy</w:t>
      </w:r>
    </w:p>
    <w:p>
      <w:pPr>
        <w:pStyle w:val="ListBullet"/>
        <w:spacing w:after="60"/>
      </w:pPr>
      <w:r>
        <w:rPr>
          <w:sz w:val="21"/>
        </w:rPr>
        <w:t>Manual Handling and Assisted Mobility Policy</w:t>
      </w:r>
    </w:p>
    <w:p>
      <w:pPr>
        <w:pStyle w:val="ListBullet"/>
        <w:spacing w:after="60"/>
      </w:pPr>
      <w:r>
        <w:rPr>
          <w:sz w:val="21"/>
        </w:rPr>
        <w:t>Infection Prevention and Control Policy</w:t>
      </w:r>
    </w:p>
    <w:p>
      <w:pPr>
        <w:pStyle w:val="ListBullet"/>
        <w:spacing w:after="60"/>
      </w:pPr>
      <w:r>
        <w:rPr>
          <w:sz w:val="21"/>
        </w:rPr>
        <w:t>Assistive Technology and Equipment Management Policy</w:t>
      </w:r>
    </w:p>
    <w:p>
      <w:pPr>
        <w:pStyle w:val="ListBullet"/>
        <w:spacing w:after="60"/>
      </w:pPr>
      <w:r>
        <w:rPr>
          <w:sz w:val="21"/>
        </w:rPr>
        <w:t>Incident Management and Reporting Policy</w:t>
      </w:r>
    </w:p>
    <w:p>
      <w:pPr>
        <w:pStyle w:val="ListBullet"/>
        <w:spacing w:after="60"/>
      </w:pPr>
      <w:r>
        <w:rPr>
          <w:sz w:val="21"/>
        </w:rPr>
        <w:t>Emergency and Disaster Management Policy</w:t>
      </w:r>
    </w:p>
    <w:p>
      <w:pPr>
        <w:pStyle w:val="ListBullet"/>
        <w:spacing w:after="60"/>
      </w:pPr>
      <w:r>
        <w:rPr>
          <w:sz w:val="21"/>
        </w:rPr>
        <w:t>Record Keeping Policy</w:t>
      </w:r>
    </w:p>
    <w:p>
      <w:pPr>
        <w:spacing w:before="240" w:after="80"/>
      </w:pPr>
      <w:r>
        <w:rPr>
          <w:b/>
          <w:sz w:val="26"/>
        </w:rPr>
        <w:t>8. Relevant Legislation and Standards</w:t>
      </w:r>
    </w:p>
    <w:p>
      <w:pPr>
        <w:pStyle w:val="ListBullet"/>
        <w:spacing w:after="60"/>
      </w:pPr>
      <w:r>
        <w:rPr>
          <w:sz w:val="21"/>
        </w:rPr>
        <w:t>Aged Care Act 2024 (Cth) and the Aged Care Rules 2025</w:t>
      </w:r>
    </w:p>
    <w:p>
      <w:pPr>
        <w:pStyle w:val="ListBullet"/>
        <w:spacing w:after="60"/>
      </w:pPr>
      <w:r>
        <w:rPr>
          <w:sz w:val="21"/>
        </w:rPr>
        <w:t>Strengthened Aged Care Quality Standards: Standard 1 (The individual), Standard 2 (The organisation), Standard 3 (The care and services)</w:t>
      </w:r>
    </w:p>
    <w:p>
      <w:pPr>
        <w:pStyle w:val="ListBullet"/>
        <w:spacing w:after="60"/>
      </w:pPr>
      <w:r>
        <w:rPr>
          <w:sz w:val="21"/>
        </w:rPr>
        <w:t>Strengthened Aged Care Quality Standards, Standard 4 (The environment): Outcome 4.1a, services delivered in the individual's home, and Outcome 4.2, infection prevention and control</w:t>
      </w:r>
    </w:p>
    <w:p>
      <w:pPr>
        <w:pStyle w:val="ListBullet"/>
        <w:spacing w:after="60"/>
      </w:pPr>
      <w:r>
        <w:rPr>
          <w:sz w:val="21"/>
        </w:rPr>
        <w:t>Strengthened Aged Care Quality Standards, Standard 5 (Clinical care): Outcome 5.1, Clinical Governance</w:t>
      </w:r>
    </w:p>
    <w:p>
      <w:pPr>
        <w:pStyle w:val="ListBullet"/>
        <w:spacing w:after="60"/>
      </w:pPr>
      <w:r>
        <w:rPr>
          <w:sz w:val="21"/>
        </w:rPr>
        <w:t>Work Health and Safety Act 2011 and Regulations as applied in [your state or territory], or equivalent legislation</w:t>
      </w:r>
    </w:p>
    <w:p>
      <w:pPr>
        <w:pStyle w:val="ListBullet"/>
        <w:spacing w:after="60"/>
      </w:pPr>
      <w:r>
        <w:rPr>
          <w:sz w:val="21"/>
        </w:rPr>
        <w:t>Safe Work Australia Model Code of Practice for the health care and social assistance industry</w:t>
      </w:r>
    </w:p>
    <w:p>
      <w:pPr>
        <w:pStyle w:val="ListBullet"/>
        <w:spacing w:after="60"/>
      </w:pPr>
      <w:r>
        <w:rPr>
          <w:sz w:val="21"/>
        </w:rPr>
        <w:t>Support at Home program manual: A guide for registered providers (version 4.0, December 2025)</w:t>
      </w:r>
    </w:p>
    <w:p>
      <w:pPr>
        <w:spacing w:before="240" w:after="80"/>
      </w:pPr>
      <w:r>
        <w:rPr>
          <w:b/>
          <w:sz w:val="26"/>
        </w:rPr>
        <w:t>9. Monitoring and Review</w:t>
      </w:r>
    </w:p>
    <w:p>
      <w:pPr>
        <w:spacing w:after="120"/>
      </w:pPr>
      <w:r>
        <w:rPr>
          <w:sz w:val="21"/>
        </w:rPr>
        <w:t>[The Quality and Safety Manager] reviews this policy every [12] months and submits it to [the Board], and earlier where legislation or the Support at Home program manual changes, or where an incident, audit or complaint shows it did not work in practice.</w:t>
      </w:r>
    </w:p>
    <w:p>
      <w:pPr>
        <w:pStyle w:val="ListBullet"/>
        <w:spacing w:after="60"/>
      </w:pPr>
      <w:r>
        <w:rPr>
          <w:sz w:val="21"/>
        </w:rPr>
        <w:t>Percentage of active participants with a current assessment, by branch</w:t>
      </w:r>
    </w:p>
    <w:p>
      <w:pPr>
        <w:pStyle w:val="ListBullet"/>
        <w:spacing w:after="60"/>
      </w:pPr>
      <w:r>
        <w:rPr>
          <w:sz w:val="21"/>
        </w:rPr>
        <w:t>Number and age of overdue assessments and overdue agreement reviews</w:t>
      </w:r>
    </w:p>
    <w:p>
      <w:pPr>
        <w:pStyle w:val="ListBullet"/>
        <w:spacing w:after="60"/>
      </w:pPr>
      <w:r>
        <w:rPr>
          <w:sz w:val="21"/>
        </w:rPr>
        <w:t>Open high and extreme home risks, and days open</w:t>
      </w:r>
    </w:p>
    <w:p>
      <w:pPr>
        <w:pStyle w:val="ListBullet"/>
        <w:spacing w:after="60"/>
      </w:pPr>
      <w:r>
        <w:rPr>
          <w:sz w:val="21"/>
        </w:rPr>
        <w:t>Negotiated risk agreements in place, and the proportion reviewed on time</w:t>
      </w:r>
    </w:p>
    <w:p>
      <w:pPr>
        <w:pStyle w:val="ListBullet"/>
        <w:spacing w:after="60"/>
      </w:pPr>
      <w:r>
        <w:rPr>
          <w:sz w:val="21"/>
        </w:rPr>
        <w:t>Worker-reported hazards, and median days from report to control in place</w:t>
      </w:r>
    </w:p>
    <w:p>
      <w:pPr>
        <w:pStyle w:val="ListBullet"/>
        <w:spacing w:after="60"/>
      </w:pPr>
      <w:r>
        <w:rPr>
          <w:sz w:val="21"/>
        </w:rPr>
        <w:t>Incidents, near misses and worker injuries in the home, by hazard category</w:t>
      </w:r>
    </w:p>
    <w:p>
      <w:pPr>
        <w:spacing w:before="240" w:after="80"/>
      </w:pPr>
      <w:r>
        <w:rPr>
          <w:b/>
          <w:sz w:val="26"/>
        </w:rPr>
        <w:t>Document Control</w:t>
      </w:r>
    </w:p>
    <w:tbl>
      <w:tblPr>
        <w:tblStyle w:val="TableGrid"/>
        <w:tblW w:type="auto" w:w="0"/>
        <w:jc w:val="left"/>
        <w:tblLook w:firstColumn="1" w:firstRow="1" w:lastColumn="0" w:lastRow="0" w:noHBand="0" w:noVBand="1" w:val="04A0"/>
      </w:tblPr>
      <w:tblGrid>
        <w:gridCol w:w="2520"/>
        <w:gridCol w:w="2520"/>
        <w:gridCol w:w="2520"/>
        <w:gridCol w:w="2520"/>
      </w:tblGrid>
      <w:tr>
        <w:tc>
          <w:tcPr>
            <w:tcW w:type="dxa" w:w="2520"/>
          </w:tcPr>
          <w:p>
            <w:r/>
            <w:r>
              <w:rPr>
                <w:b/>
                <w:sz w:val="20"/>
              </w:rPr>
              <w:t>Reviewed By</w:t>
            </w:r>
          </w:p>
        </w:tc>
        <w:tc>
          <w:tcPr>
            <w:tcW w:type="dxa" w:w="2520"/>
          </w:tcPr>
          <w:p>
            <w:r/>
            <w:r>
              <w:rPr>
                <w:b w:val="0"/>
                <w:sz w:val="20"/>
              </w:rPr>
              <w:t>Role</w:t>
            </w:r>
          </w:p>
        </w:tc>
        <w:tc>
          <w:tcPr>
            <w:tcW w:type="dxa" w:w="2520"/>
          </w:tcPr>
          <w:p>
            <w:r/>
            <w:r>
              <w:rPr>
                <w:b w:val="0"/>
                <w:sz w:val="20"/>
              </w:rPr>
              <w:t>Date</w:t>
            </w:r>
          </w:p>
        </w:tc>
        <w:tc>
          <w:tcPr>
            <w:tcW w:type="dxa" w:w="2520"/>
          </w:tcPr>
          <w:p>
            <w:r/>
            <w:r>
              <w:rPr>
                <w:b w:val="0"/>
                <w:sz w:val="20"/>
              </w:rPr>
              <w:t>Signature</w:t>
            </w:r>
          </w:p>
        </w:tc>
      </w:tr>
      <w:tr>
        <w:tc>
          <w:tcPr>
            <w:tcW w:type="dxa" w:w="2520"/>
          </w:tcPr>
          <w:p>
            <w:r/>
            <w:r>
              <w:rPr>
                <w:b/>
                <w:sz w:val="20"/>
              </w:rPr>
            </w:r>
          </w:p>
        </w:tc>
        <w:tc>
          <w:tcPr>
            <w:tcW w:type="dxa" w:w="2520"/>
          </w:tcPr>
          <w:p>
            <w:r/>
            <w:r>
              <w:rPr>
                <w:b w:val="0"/>
                <w:sz w:val="20"/>
              </w:rPr>
            </w:r>
          </w:p>
        </w:tc>
        <w:tc>
          <w:tcPr>
            <w:tcW w:type="dxa" w:w="2520"/>
          </w:tcPr>
          <w:p>
            <w:r/>
            <w:r>
              <w:rPr>
                <w:b w:val="0"/>
                <w:sz w:val="20"/>
              </w:rPr>
            </w:r>
          </w:p>
        </w:tc>
        <w:tc>
          <w:tcPr>
            <w:tcW w:type="dxa" w:w="2520"/>
          </w:tcPr>
          <w:p>
            <w:r/>
            <w:r>
              <w:rPr>
                <w:b w:val="0"/>
                <w:sz w:val="20"/>
              </w:rPr>
            </w:r>
          </w:p>
        </w:tc>
      </w:tr>
      <w:tr>
        <w:tc>
          <w:tcPr>
            <w:tcW w:type="dxa" w:w="2520"/>
          </w:tcPr>
          <w:p>
            <w:r/>
            <w:r>
              <w:rPr>
                <w:b/>
                <w:sz w:val="20"/>
              </w:rPr>
              <w:t>Approved By</w:t>
            </w:r>
          </w:p>
        </w:tc>
        <w:tc>
          <w:tcPr>
            <w:tcW w:type="dxa" w:w="2520"/>
          </w:tcPr>
          <w:p>
            <w:r/>
            <w:r>
              <w:rPr>
                <w:b w:val="0"/>
                <w:sz w:val="20"/>
              </w:rPr>
              <w:t>Role</w:t>
            </w:r>
          </w:p>
        </w:tc>
        <w:tc>
          <w:tcPr>
            <w:tcW w:type="dxa" w:w="2520"/>
          </w:tcPr>
          <w:p>
            <w:r/>
            <w:r>
              <w:rPr>
                <w:b w:val="0"/>
                <w:sz w:val="20"/>
              </w:rPr>
              <w:t>Date</w:t>
            </w:r>
          </w:p>
        </w:tc>
        <w:tc>
          <w:tcPr>
            <w:tcW w:type="dxa" w:w="2520"/>
          </w:tcPr>
          <w:p>
            <w:r/>
            <w:r>
              <w:rPr>
                <w:b w:val="0"/>
                <w:sz w:val="20"/>
              </w:rPr>
              <w:t>Signature</w:t>
            </w:r>
          </w:p>
        </w:tc>
      </w:tr>
      <w:tr>
        <w:tc>
          <w:tcPr>
            <w:tcW w:type="dxa" w:w="2520"/>
          </w:tcPr>
          <w:p>
            <w:r/>
            <w:r>
              <w:rPr>
                <w:b/>
                <w:sz w:val="20"/>
              </w:rPr>
            </w:r>
          </w:p>
        </w:tc>
        <w:tc>
          <w:tcPr>
            <w:tcW w:type="dxa" w:w="2520"/>
          </w:tcPr>
          <w:p>
            <w:r/>
            <w:r>
              <w:rPr>
                <w:b w:val="0"/>
                <w:sz w:val="20"/>
              </w:rPr>
            </w:r>
          </w:p>
        </w:tc>
        <w:tc>
          <w:tcPr>
            <w:tcW w:type="dxa" w:w="2520"/>
          </w:tcPr>
          <w:p>
            <w:r/>
            <w:r>
              <w:rPr>
                <w:b w:val="0"/>
                <w:sz w:val="20"/>
              </w:rPr>
            </w:r>
          </w:p>
        </w:tc>
        <w:tc>
          <w:tcPr>
            <w:tcW w:type="dxa" w:w="2520"/>
          </w:tcPr>
          <w:p>
            <w:r/>
            <w:r>
              <w:rPr>
                <w:b w:val="0"/>
                <w:sz w:val="20"/>
              </w:rPr>
            </w:r>
          </w:p>
        </w:tc>
      </w:tr>
    </w:tbl>
    <w:p>
      <w:r>
        <w:rPr>
          <w:i/>
          <w:color w:val="555555"/>
          <w:sz w:val="18"/>
        </w:rPr>
        <w:t>Provided by Governa.ai as a starting point. Check it against your own registration categories and state or territory work health and safety legislation before use.</w:t>
      </w:r>
    </w:p>
    <w:sectPr w:rsidR="00FC693F" w:rsidRPr="0006063C" w:rsidSect="0003461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