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32"/>
        </w:rPr>
        <w:t>[Organisation Name] - Support at Home Quarterly Budget and Unspent Funds Policy</w:t>
      </w:r>
    </w:p>
    <w:tbl>
      <w:tblPr>
        <w:tblStyle w:val="TableGrid"/>
        <w:tblW w:type="auto" w:w="0"/>
        <w:jc w:val="left"/>
        <w:tblLayout w:type="autofit"/>
        <w:tblLook w:firstColumn="1" w:firstRow="1" w:lastColumn="0" w:lastRow="0" w:noHBand="0" w:noVBand="1" w:val="04A0"/>
      </w:tblPr>
      <w:tblGrid>
        <w:gridCol w:w="2340"/>
        <w:gridCol w:w="2340"/>
        <w:gridCol w:w="2340"/>
        <w:gridCol w:w="2340"/>
      </w:tblGrid>
      <w:tr>
        <w:tc>
          <w:tcPr>
            <w:tcW w:type="dxa" w:w="2340"/>
          </w:tcPr>
          <w:p>
            <w:r/>
            <w:r>
              <w:rPr>
                <w:b/>
              </w:rPr>
              <w:t>Policy Number</w:t>
            </w:r>
          </w:p>
        </w:tc>
        <w:tc>
          <w:tcPr>
            <w:tcW w:type="dxa" w:w="2340"/>
          </w:tcPr>
          <w:p>
            <w:r>
              <w:t>[e.g. SAH-001]</w:t>
            </w:r>
          </w:p>
        </w:tc>
        <w:tc>
          <w:tcPr>
            <w:tcW w:type="dxa" w:w="2340"/>
          </w:tcPr>
          <w:p>
            <w:r/>
            <w:r>
              <w:rPr>
                <w:b/>
              </w:rPr>
              <w:t>Version</w:t>
            </w:r>
          </w:p>
        </w:tc>
        <w:tc>
          <w:tcPr>
            <w:tcW w:type="dxa" w:w="2340"/>
          </w:tcPr>
          <w:p>
            <w:r>
              <w:t>1.0</w:t>
            </w:r>
          </w:p>
        </w:tc>
      </w:tr>
      <w:tr>
        <w:tc>
          <w:tcPr>
            <w:tcW w:type="dxa" w:w="2340"/>
          </w:tcPr>
          <w:p>
            <w:r/>
            <w:r>
              <w:rPr>
                <w:b/>
              </w:rPr>
              <w:t>Effective Date</w:t>
            </w:r>
          </w:p>
        </w:tc>
        <w:tc>
          <w:tcPr>
            <w:tcW w:type="dxa" w:w="2340"/>
          </w:tcPr>
          <w:p>
            <w:r>
              <w:t>[DD/MM/YYYY]</w:t>
            </w:r>
          </w:p>
        </w:tc>
        <w:tc>
          <w:tcPr>
            <w:tcW w:type="dxa" w:w="2340"/>
          </w:tcPr>
          <w:p>
            <w:r/>
            <w:r>
              <w:rPr>
                <w:b/>
              </w:rPr>
              <w:t>Review Date</w:t>
            </w:r>
          </w:p>
        </w:tc>
        <w:tc>
          <w:tcPr>
            <w:tcW w:type="dxa" w:w="2340"/>
          </w:tcPr>
          <w:p>
            <w:r>
              <w:t>[DD/MM/YYYY]</w:t>
            </w:r>
          </w:p>
        </w:tc>
      </w:tr>
      <w:tr>
        <w:tc>
          <w:tcPr>
            <w:tcW w:type="dxa" w:w="2340"/>
          </w:tcPr>
          <w:p>
            <w:r/>
            <w:r>
              <w:rPr>
                <w:b/>
              </w:rPr>
              <w:t>Policy Owner</w:t>
            </w:r>
          </w:p>
        </w:tc>
        <w:tc>
          <w:tcPr>
            <w:tcW w:type="dxa" w:w="2340"/>
          </w:tcPr>
          <w:p>
            <w:r>
              <w:t>[Chief Financial Officer / Head of Care Operations]</w:t>
            </w:r>
          </w:p>
        </w:tc>
        <w:tc>
          <w:tcPr>
            <w:tcW w:type="dxa" w:w="2340"/>
          </w:tcPr>
          <w:p>
            <w:r/>
            <w:r>
              <w:rPr>
                <w:b/>
              </w:rPr>
              <w:t>Approved By</w:t>
            </w:r>
          </w:p>
        </w:tc>
        <w:tc>
          <w:tcPr>
            <w:tcW w:type="dxa" w:w="2340"/>
          </w:tcPr>
          <w:p>
            <w:r>
              <w:t>[Board]</w:t>
            </w:r>
          </w:p>
        </w:tc>
      </w:tr>
    </w:tbl>
    <w:p/>
    <w:p>
      <w:pPr>
        <w:spacing w:before="200"/>
      </w:pPr>
      <w:r>
        <w:rPr>
          <w:b/>
          <w:sz w:val="26"/>
        </w:rPr>
        <w:t>1. Purpose</w:t>
      </w:r>
    </w:p>
    <w:p>
      <w:r>
        <w:t>This policy sets out how [Organisation Name] plans, spends, monitors, carries over and reports the quarterly budget of every participant linked to us as their single registered provider under the Support at Home program, which commenced on 1 November 2025 under the Aged Care Act 2024 (Cth) and replaced the Home Care Packages (HCP) Program and the Short-Term Restorative Care Programme. A participant's classification amount is divided into four budgets, each covering three months, so funds are managed quarter by quarter rather than across a whole year.</w:t>
      </w:r>
    </w:p>
    <w:p>
      <w:r>
        <w:t>It gives every worker one written rule set so participants receive the services in their care plan, funds are spent on assessed need, unspent funds are treated correctly, and our claims and financial reports can be evidenced on request.</w:t>
      </w:r>
    </w:p>
    <w:p>
      <w:pPr>
        <w:spacing w:before="200"/>
      </w:pPr>
      <w:r>
        <w:rPr>
          <w:b/>
          <w:sz w:val="26"/>
        </w:rPr>
        <w:t>2. Scope</w:t>
      </w:r>
    </w:p>
    <w:p>
      <w:r>
        <w:t>This policy applies to all employees, care partners, contracted workers, volunteers and third-party providers of [Organisation Name] who plan, approve, schedule, deliver, record, invoice or claim Support at Home services, and to board and executive members with financial or care governance duties.</w:t>
      </w:r>
    </w:p>
    <w:p>
      <w:r>
        <w:t>It covers participants funded under the eight ongoing classifications and the four transitioned HCP classifications. Funding under the three short-term pathways, being Assistive Technology and Home Modifications (AT-HM), the Restorative Care Pathway and the End-of-Life Pathway, is recorded separately from the ongoing quarterly budget, and staff must confirm current arrangements in the Support at Home program manual before committing those funds. Participants who self-manage remain in scope, because accountability for regulatory obligations stays with [Organisation Name].</w:t>
      </w:r>
    </w:p>
    <w:p>
      <w:pPr>
        <w:spacing w:before="200"/>
      </w:pPr>
      <w:r>
        <w:rPr>
          <w:b/>
          <w:sz w:val="26"/>
        </w:rPr>
        <w:t>3. Policy Statement</w:t>
      </w:r>
    </w:p>
    <w:p>
      <w:r>
        <w:t>[Organisation Name] treats each quarterly budget as funding held for that participant's assessed needs, not as organisational revenue. We will:</w:t>
      </w:r>
    </w:p>
    <w:p>
      <w:pPr>
        <w:pStyle w:val="ListBullet"/>
      </w:pPr>
      <w:r>
        <w:t>Plan services with the participant against the funds available in the current quarter, using our published prices.</w:t>
      </w:r>
    </w:p>
    <w:p>
      <w:pPr>
        <w:pStyle w:val="ListBullet"/>
      </w:pPr>
      <w:r>
        <w:t>Apply the carryover rule exactly as the program sets it: unspent funds may be carried between quarters up to $1,000 or 10% of the quarterly budget, whichever is higher.</w:t>
      </w:r>
    </w:p>
    <w:p>
      <w:pPr>
        <w:pStyle w:val="ListBullet"/>
      </w:pPr>
      <w:r>
        <w:t>Hold retained HCP unspent funds for transitioned participants as a separately reported balance.</w:t>
      </w:r>
    </w:p>
    <w:p>
      <w:pPr>
        <w:pStyle w:val="ListBullet"/>
      </w:pPr>
      <w:r>
        <w:t>Treat the 10% care management allocation as money for care management work actually delivered and recorded.</w:t>
      </w:r>
    </w:p>
    <w:p>
      <w:pPr>
        <w:pStyle w:val="ListBullet"/>
      </w:pPr>
      <w:r>
        <w:t>Escalate any gap between assessed need and available funds rather than quietly reducing services.</w:t>
      </w:r>
    </w:p>
    <w:p>
      <w:pPr>
        <w:pStyle w:val="ListBullet"/>
      </w:pPr>
      <w:r>
        <w:t>Tell participants in plain, readily understandable language what their budget is, what has been spent and what remains.</w:t>
      </w:r>
    </w:p>
    <w:p>
      <w:pPr>
        <w:pStyle w:val="ListBullet"/>
      </w:pPr>
      <w:r>
        <w:t>Claim only for services delivered, recorded, priced at the published price, and agreed in the service agreement and care plan.</w:t>
      </w:r>
    </w:p>
    <w:p>
      <w:pPr>
        <w:spacing w:before="200"/>
      </w:pPr>
      <w:r>
        <w:rPr>
          <w:b/>
          <w:sz w:val="26"/>
        </w:rPr>
        <w:t>4. Definitions</w:t>
      </w:r>
    </w:p>
    <w:p>
      <w:pPr>
        <w:pStyle w:val="ListBullet"/>
      </w:pPr>
      <w:r>
        <w:t>Quarterly budget: the portion of a classification amount available for a three-month period. The classification amount is divided into four such budgets.</w:t>
      </w:r>
    </w:p>
    <w:p>
      <w:pPr>
        <w:pStyle w:val="ListBullet"/>
      </w:pPr>
      <w:r>
        <w:t>Carryover: unspent funds moved from one quarter into the next, limited to $1,000 or 10% of the quarterly budget, whichever is higher.</w:t>
      </w:r>
    </w:p>
    <w:p>
      <w:pPr>
        <w:pStyle w:val="ListBullet"/>
      </w:pPr>
      <w:r>
        <w:t>Care management account: 10% of each participant's ongoing quarterly budget, pooled across the service delivery branch and held by Services Australia, from which the provider claims care management services.</w:t>
      </w:r>
    </w:p>
    <w:p>
      <w:pPr>
        <w:pStyle w:val="ListBullet"/>
      </w:pPr>
      <w:r>
        <w:t>Care partner: the worker who develops and reviews the care plan with the participant, previously called a care manager. A clinical care partner holds a tertiary health-related qualification, for example nursing, physiotherapy or social work.</w:t>
      </w:r>
    </w:p>
    <w:p>
      <w:pPr>
        <w:pStyle w:val="ListBullet"/>
      </w:pPr>
      <w:r>
        <w:t>Retained HCP unspent funds: unspent Home Care Package funds still held for a participant who transitioned into Support at Home.</w:t>
      </w:r>
    </w:p>
    <w:p>
      <w:pPr>
        <w:pStyle w:val="ListBullet"/>
      </w:pPr>
      <w:r>
        <w:t>Single provider model: each participant is linked to one registered provider holding the service agreement and coordinating, delivering and claiming all services.</w:t>
      </w:r>
    </w:p>
    <w:p>
      <w:pPr>
        <w:pStyle w:val="ListBullet"/>
      </w:pPr>
      <w:r>
        <w:t>QFR and ACFR: the Quarterly Financial Report and the Aged Care Financial Report.</w:t>
      </w:r>
    </w:p>
    <w:p>
      <w:pPr>
        <w:pStyle w:val="ListBullet"/>
      </w:pPr>
      <w:r>
        <w:t>Under-spend and over-spend: spending that falls materially below, or is forecast to exceed, the funds available in the quarter.</w:t>
      </w:r>
    </w:p>
    <w:p>
      <w:pPr>
        <w:spacing w:before="200"/>
      </w:pPr>
      <w:r>
        <w:rPr>
          <w:b/>
          <w:sz w:val="26"/>
        </w:rPr>
        <w:t>5. Quarterly Budget and Unspent Funds Procedures</w:t>
      </w:r>
    </w:p>
    <w:p>
      <w:pPr>
        <w:spacing w:before="200"/>
      </w:pPr>
      <w:r>
        <w:rPr>
          <w:b/>
          <w:sz w:val="23"/>
        </w:rPr>
        <w:t>5.1 Setting up the budget for a new or transitioned participant</w:t>
      </w:r>
    </w:p>
    <w:p>
      <w:pPr>
        <w:pStyle w:val="ListBullet"/>
      </w:pPr>
      <w:r>
        <w:t>On receiving a classification, the care partner records it with the quarterly budget amount and the quarter start and end dates in [client management system] within [2] business days.</w:t>
      </w:r>
    </w:p>
    <w:p>
      <w:pPr>
        <w:pStyle w:val="ListBullet"/>
      </w:pPr>
      <w:r>
        <w:t>[Finance Officer] checks the amount against the Services Australia record before any service is scheduled, and submits the start notification to Services Australia.</w:t>
      </w:r>
    </w:p>
    <w:p>
      <w:pPr>
        <w:pStyle w:val="ListBullet"/>
      </w:pPr>
      <w:r>
        <w:t>Classification amounts are indicative and subject to indexation. Staff quote only the current recorded figure and never promise a fixed annual amount.</w:t>
      </w:r>
    </w:p>
    <w:p>
      <w:pPr>
        <w:pStyle w:val="ListBullet"/>
      </w:pPr>
      <w:r>
        <w:t>For a transitioning HCP participant, [Finance Officer] also records the retained HCP unspent funds balance as a separate line before the first service.</w:t>
      </w:r>
    </w:p>
    <w:p>
      <w:pPr>
        <w:spacing w:before="200"/>
      </w:pPr>
      <w:r>
        <w:rPr>
          <w:b/>
          <w:sz w:val="23"/>
        </w:rPr>
        <w:t>5.2 The care management account</w:t>
      </w:r>
    </w:p>
    <w:p>
      <w:pPr>
        <w:pStyle w:val="ListBullet"/>
      </w:pPr>
      <w:r>
        <w:t>10% of each ongoing quarterly budget goes to the care management account, pooled across the service delivery branch and held by Services Australia.</w:t>
      </w:r>
    </w:p>
    <w:p>
      <w:pPr>
        <w:pStyle w:val="ListBullet"/>
      </w:pPr>
      <w:r>
        <w:t>Care partners record care management activity as it occurs, with date, duration, participant, purpose and outcome, in [client management system].</w:t>
      </w:r>
    </w:p>
    <w:p>
      <w:pPr>
        <w:pStyle w:val="ListBullet"/>
      </w:pPr>
      <w:r>
        <w:t>[Care Operations Manager] reviews branch-level claiming against recorded activity monthly and documents it in [finance meeting minutes].</w:t>
      </w:r>
    </w:p>
    <w:p>
      <w:pPr>
        <w:pStyle w:val="ListBullet"/>
      </w:pPr>
      <w:r>
        <w:t>Remaining funds are available for the services set out in the care plan.</w:t>
      </w:r>
    </w:p>
    <w:p>
      <w:pPr>
        <w:spacing w:before="200"/>
      </w:pPr>
      <w:r>
        <w:rPr>
          <w:b/>
          <w:sz w:val="23"/>
        </w:rPr>
        <w:t>5.3 Planning services against the quarter</w:t>
      </w:r>
    </w:p>
    <w:p>
      <w:pPr>
        <w:pStyle w:val="ListBullet"/>
      </w:pPr>
      <w:r>
        <w:t>Before a service is scheduled the care partner confirms and records four things: the service is on the Support at Home service list, it is in the current care plan, funds remain in the quarter, and the price is our published price.</w:t>
      </w:r>
    </w:p>
    <w:p>
      <w:pPr>
        <w:pStyle w:val="ListBullet"/>
      </w:pPr>
      <w:r>
        <w:t>Prices used in planning are the prices we most commonly charge, published on My Aged Care and on our website, all-inclusive of travel, administration and other delivery costs.</w:t>
      </w:r>
    </w:p>
    <w:p>
      <w:pPr>
        <w:pStyle w:val="ListBullet"/>
      </w:pPr>
      <w:r>
        <w:t>Any commitment above [80%] of the funds remaining in the quarter requires written approval from [Care Operations Manager] before booking.</w:t>
      </w:r>
    </w:p>
    <w:p>
      <w:pPr>
        <w:pStyle w:val="ListBullet"/>
      </w:pPr>
      <w:r>
        <w:t>Scheduling staff must not book a service with no funding attached, and must refer the request back to the care partner.</w:t>
      </w:r>
    </w:p>
    <w:p>
      <w:pPr>
        <w:spacing w:before="200"/>
      </w:pPr>
      <w:r>
        <w:rPr>
          <w:b/>
          <w:sz w:val="23"/>
        </w:rPr>
        <w:t>5.4 Carrying unspent funds between quarters</w:t>
      </w:r>
    </w:p>
    <w:p>
      <w:pPr>
        <w:pStyle w:val="ListBullet"/>
      </w:pPr>
      <w:r>
        <w:t>Within [5] business days of the quarter closing, [Finance Officer] calculates each participant's unspent funds and the amount that may carry into the next quarter.</w:t>
      </w:r>
    </w:p>
    <w:p>
      <w:pPr>
        <w:pStyle w:val="ListBullet"/>
      </w:pPr>
      <w:r>
        <w:t>The limit is $1,000 or 10% of the quarterly budget, whichever is higher. Both are calculated and the higher applied. Inputs and result are saved in [finance system] as the audit record.</w:t>
      </w:r>
    </w:p>
    <w:p>
      <w:pPr>
        <w:pStyle w:val="ListBullet"/>
      </w:pPr>
      <w:r>
        <w:t>The care partner tells the participant in writing, in plain language, what carried over and what did not, within [5] business days.</w:t>
      </w:r>
    </w:p>
    <w:p>
      <w:pPr>
        <w:pStyle w:val="ListBullet"/>
      </w:pPr>
      <w:r>
        <w:t>Where funds above the limit were lost, the care partner records why planned services were not delivered. Repeated loss is treated as a care quality signal and reported under section 9.</w:t>
      </w:r>
    </w:p>
    <w:p>
      <w:pPr>
        <w:spacing w:before="200"/>
      </w:pPr>
      <w:r>
        <w:rPr>
          <w:b/>
          <w:sz w:val="23"/>
        </w:rPr>
        <w:t>5.5 Retained HCP unspent funds</w:t>
      </w:r>
    </w:p>
    <w:p>
      <w:pPr>
        <w:pStyle w:val="ListBullet"/>
      </w:pPr>
      <w:r>
        <w:t>Retained HCP unspent funds are held as a distinct balance for the individual participant, are never merged with the quarterly budget for reporting, and are shown separately on statements.</w:t>
      </w:r>
    </w:p>
    <w:p>
      <w:pPr>
        <w:pStyle w:val="ListBullet"/>
      </w:pPr>
      <w:r>
        <w:t>The drawdown order between the quarterly budget and retained HCP funds follows the current Support at Home program manual. [Finance Manager] confirms the rule at each policy review.</w:t>
      </w:r>
    </w:p>
    <w:p>
      <w:pPr>
        <w:pStyle w:val="ListBullet"/>
      </w:pPr>
      <w:r>
        <w:t>Any planned use of retained funds is discussed with the participant, recorded in the care plan, and reflected in the service agreement where that needs to change.</w:t>
      </w:r>
    </w:p>
    <w:p>
      <w:pPr>
        <w:pStyle w:val="ListBullet"/>
      </w:pPr>
      <w:r>
        <w:t>[Finance Manager] reconciles retained HCP balances monthly and reports them separately.</w:t>
      </w:r>
    </w:p>
    <w:p>
      <w:pPr>
        <w:spacing w:before="200"/>
      </w:pPr>
      <w:r>
        <w:rPr>
          <w:b/>
          <w:sz w:val="23"/>
        </w:rPr>
        <w:t>5.6 Monitoring under-spend and over-spend</w:t>
      </w:r>
    </w:p>
    <w:p>
      <w:pPr>
        <w:pStyle w:val="ListBullet"/>
      </w:pPr>
      <w:r>
        <w:t>[Finance Officer] produces a monthly spend report listing, per participant: quarterly budget, spent, committed, forecast at quarter end, variance and action owner.</w:t>
      </w:r>
    </w:p>
    <w:p>
      <w:pPr>
        <w:pStyle w:val="ListBullet"/>
      </w:pPr>
      <w:r>
        <w:t>Under-spend trigger: where less than [40%] of the quarterly budget is spent at the halfway point of the quarter, the care partner contacts the participant within [5] business days to review the care plan and records the outcome.</w:t>
      </w:r>
    </w:p>
    <w:p>
      <w:pPr>
        <w:pStyle w:val="ListBullet"/>
      </w:pPr>
      <w:r>
        <w:t>Trigger for over-spend: where the forecast exceeds available funds, [Care Operations Manager] pauses new non-urgent bookings and escalates under 5.7.</w:t>
      </w:r>
    </w:p>
    <w:p>
      <w:pPr>
        <w:pStyle w:val="ListBullet"/>
      </w:pPr>
      <w:r>
        <w:t>Staff must not deliver unfunded services and seek approval afterwards. Any instance is reported to [Care Operations Manager] the day it is identified.</w:t>
      </w:r>
    </w:p>
    <w:p>
      <w:pPr>
        <w:spacing w:before="200"/>
      </w:pPr>
      <w:r>
        <w:rPr>
          <w:b/>
          <w:sz w:val="23"/>
        </w:rPr>
        <w:t>5.7 Escalation when the budget will not cover assessed need</w:t>
      </w:r>
    </w:p>
    <w:p>
      <w:pPr>
        <w:pStyle w:val="ListBullet"/>
      </w:pPr>
      <w:r>
        <w:t>The care partner documents the assessed need, the funding gap and the clinical or safety risk of not meeting it, and escalates to [Care Operations Manager] within [2] business days.</w:t>
      </w:r>
    </w:p>
    <w:p>
      <w:pPr>
        <w:pStyle w:val="ListBullet"/>
      </w:pPr>
      <w:r>
        <w:t>The options considered are recorded in the care plan: reprioritising services within the plan, checking eligibility for a short-term pathway (AT-HM, Restorative Care Pathway or End-of-Life Pathway), referring for reassessment of the classification, and discussing the choices with the participant and their supporter or advocate.</w:t>
      </w:r>
    </w:p>
    <w:p>
      <w:pPr>
        <w:pStyle w:val="ListBullet"/>
      </w:pPr>
      <w:r>
        <w:t>Clinical supports are fully funded by the Government, so a funding gap is never a reason to withdraw clinical support without clinical review. Clinical risk is escalated under Outcome 5.1 of Standard 5: Clinical care.</w:t>
      </w:r>
    </w:p>
    <w:p>
      <w:pPr>
        <w:pStyle w:val="ListBullet"/>
      </w:pPr>
      <w:r>
        <w:t>The decision, the reason and the participant's response are recorded in the care plan and tabled at [Finance and Risk Committee]. Where the participant disagrees, the care partner offers the complaints process and advocacy support.</w:t>
      </w:r>
    </w:p>
    <w:p>
      <w:pPr>
        <w:spacing w:before="200"/>
      </w:pPr>
      <w:r>
        <w:rPr>
          <w:b/>
          <w:sz w:val="23"/>
        </w:rPr>
        <w:t>5.8 Telling participants about their budget</w:t>
      </w:r>
    </w:p>
    <w:p>
      <w:pPr>
        <w:pStyle w:val="ListBullet"/>
      </w:pPr>
      <w:r>
        <w:t>Each monthly statement shows the quarterly budget, services delivered with the price charged, any contribution, the amount remaining, the amount carried in, and any retained HCP balance.</w:t>
      </w:r>
    </w:p>
    <w:p>
      <w:pPr>
        <w:pStyle w:val="ListBullet"/>
      </w:pPr>
      <w:r>
        <w:t>Statements and budget conversations use plain, readily understandable language, with an interpreter, supporter or advocate involved where the participant wants one.</w:t>
      </w:r>
    </w:p>
    <w:p>
      <w:pPr>
        <w:pStyle w:val="ListBullet"/>
      </w:pPr>
      <w:r>
        <w:t>Contributions apply to Independence and Everyday Living services only, at the rate set by the Services Australia income and assets assessment. Staff never estimate a rate themselves.</w:t>
      </w:r>
    </w:p>
    <w:p>
      <w:pPr>
        <w:pStyle w:val="ListBullet"/>
      </w:pPr>
      <w:r>
        <w:t>Under the 'no worse off' arrangement, participants receiving or approved for an HCP on or before 12 September 2024 who were not liable for an income-tested care fee pay no contributions for services on the Support at Home service list. [Finance Officer] flags them at onboarding.</w:t>
      </w:r>
    </w:p>
    <w:p>
      <w:pPr>
        <w:pStyle w:val="ListBullet"/>
      </w:pPr>
      <w:r>
        <w:t>Price changes are published on My Aged Care and our website, and participants are notified in writing [14] days before a change takes effect.</w:t>
      </w:r>
    </w:p>
    <w:p>
      <w:pPr>
        <w:spacing w:before="200"/>
      </w:pPr>
      <w:r>
        <w:rPr>
          <w:b/>
          <w:sz w:val="23"/>
        </w:rPr>
        <w:t>5.9 Reporting touchpoints: QFR and ACFR</w:t>
      </w:r>
    </w:p>
    <w:p>
      <w:pPr>
        <w:pStyle w:val="ListBullet"/>
      </w:pPr>
      <w:r>
        <w:t>[Finance Manager] reconciles the service ledger to claims monthly so that quarterly reporting is a check rather than a reconstruction.</w:t>
      </w:r>
    </w:p>
    <w:p>
      <w:pPr>
        <w:pStyle w:val="ListBullet"/>
      </w:pPr>
      <w:r>
        <w:t>The Quarterly Financial Report is reviewed by [Chief Financial Officer] and lodged by the due date. The Aged Care Financial Report is approved by [Board] before lodgement.</w:t>
      </w:r>
    </w:p>
    <w:p>
      <w:pPr>
        <w:pStyle w:val="ListBullet"/>
      </w:pPr>
      <w:r>
        <w:t>The evidence pack for each period includes claim data, carryover calculations, care management records, the under-spend and over-spend register, and escalations.</w:t>
      </w:r>
    </w:p>
    <w:p>
      <w:pPr>
        <w:pStyle w:val="ListBullet"/>
      </w:pPr>
      <w:r>
        <w:t>Material variances are explained in writing in the board finance report.</w:t>
      </w:r>
    </w:p>
    <w:p>
      <w:pPr>
        <w:spacing w:before="200"/>
      </w:pPr>
      <w:r>
        <w:rPr>
          <w:b/>
          <w:sz w:val="23"/>
        </w:rPr>
        <w:t>5.10 Records, approvals and version control</w:t>
      </w:r>
    </w:p>
    <w:p>
      <w:pPr>
        <w:pStyle w:val="ListBullet"/>
      </w:pPr>
      <w:r>
        <w:t>Every budget decision records a named decision maker, the date, the reason and the participant's view where relevant.</w:t>
      </w:r>
    </w:p>
    <w:p>
      <w:pPr>
        <w:pStyle w:val="ListBullet"/>
      </w:pPr>
      <w:r>
        <w:t>Budget records, statements and carryover calculations are retained under the [Record Keeping Policy] and the organisational retention schedule.</w:t>
      </w:r>
    </w:p>
    <w:p>
      <w:pPr>
        <w:pStyle w:val="ListBullet"/>
      </w:pPr>
      <w:r>
        <w:t>For self-managing participants, [Organisation Name] keeps records of the oversight provided, because the registered provider stays accountable.</w:t>
      </w:r>
    </w:p>
    <w:p>
      <w:pPr>
        <w:pStyle w:val="ListBullet"/>
      </w:pPr>
      <w:r>
        <w:t>Superseded versions are retained and change history recorded in the document control table.</w:t>
      </w:r>
    </w:p>
    <w:p>
      <w:pPr>
        <w:spacing w:before="200"/>
      </w:pPr>
      <w:r>
        <w:rPr>
          <w:b/>
          <w:sz w:val="26"/>
        </w:rPr>
        <w:t>6. Roles and Responsibilities</w:t>
      </w:r>
    </w:p>
    <w:tbl>
      <w:tblPr>
        <w:tblStyle w:val="TableGrid"/>
        <w:tblW w:type="auto" w:w="0"/>
        <w:jc w:val="left"/>
        <w:tblLayout w:type="autofit"/>
        <w:tblLook w:firstColumn="1" w:firstRow="1" w:lastColumn="0" w:lastRow="0" w:noHBand="0" w:noVBand="1" w:val="04A0"/>
      </w:tblPr>
      <w:tblGrid>
        <w:gridCol w:w="4680"/>
        <w:gridCol w:w="4680"/>
      </w:tblGrid>
      <w:tr>
        <w:tc>
          <w:tcPr>
            <w:tcW w:type="dxa" w:w="4680"/>
          </w:tcPr>
          <w:p>
            <w:r/>
            <w:r>
              <w:rPr>
                <w:b/>
              </w:rPr>
              <w:t>Role</w:t>
            </w:r>
          </w:p>
        </w:tc>
        <w:tc>
          <w:tcPr>
            <w:tcW w:type="dxa" w:w="4680"/>
          </w:tcPr>
          <w:p>
            <w:r/>
            <w:r>
              <w:rPr>
                <w:b/>
              </w:rPr>
              <w:t>Responsibility</w:t>
            </w:r>
          </w:p>
        </w:tc>
      </w:tr>
      <w:tr>
        <w:tc>
          <w:tcPr>
            <w:tcW w:type="dxa" w:w="4680"/>
          </w:tcPr>
          <w:p>
            <w:r>
              <w:t>Board</w:t>
            </w:r>
          </w:p>
        </w:tc>
        <w:tc>
          <w:tcPr>
            <w:tcW w:type="dxa" w:w="4680"/>
          </w:tcPr>
          <w:p>
            <w:r>
              <w:t>Approves this policy and the ACFR. Receives quarterly reporting on budget use, carryover losses and escalations.</w:t>
            </w:r>
          </w:p>
        </w:tc>
      </w:tr>
      <w:tr>
        <w:tc>
          <w:tcPr>
            <w:tcW w:type="dxa" w:w="4680"/>
          </w:tcPr>
          <w:p>
            <w:r>
              <w:t>Chief Executive Officer</w:t>
            </w:r>
          </w:p>
        </w:tc>
        <w:tc>
          <w:tcPr>
            <w:tcW w:type="dxa" w:w="4680"/>
          </w:tcPr>
          <w:p>
            <w:r>
              <w:t>Accountable for Support at Home financial governance. Makes sure budget and care decisions are made together.</w:t>
            </w:r>
          </w:p>
        </w:tc>
      </w:tr>
      <w:tr>
        <w:tc>
          <w:tcPr>
            <w:tcW w:type="dxa" w:w="4680"/>
          </w:tcPr>
          <w:p>
            <w:r>
              <w:t>Chief Financial Officer</w:t>
            </w:r>
          </w:p>
        </w:tc>
        <w:tc>
          <w:tcPr>
            <w:tcW w:type="dxa" w:w="4680"/>
          </w:tcPr>
          <w:p>
            <w:r>
              <w:t>Owns the QFR and ACFR. Reviews monthly reconciliation and signs off reporting before lodgement.</w:t>
            </w:r>
          </w:p>
        </w:tc>
      </w:tr>
      <w:tr>
        <w:tc>
          <w:tcPr>
            <w:tcW w:type="dxa" w:w="4680"/>
          </w:tcPr>
          <w:p>
            <w:r>
              <w:t>Finance Manager / Finance Officer</w:t>
            </w:r>
          </w:p>
        </w:tc>
        <w:tc>
          <w:tcPr>
            <w:tcW w:type="dxa" w:w="4680"/>
          </w:tcPr>
          <w:p>
            <w:r>
              <w:t>Verifies budget amounts, calculates carryover, reconciles claims, tracks retained HCP balances, produces the monthly spend report.</w:t>
            </w:r>
          </w:p>
        </w:tc>
      </w:tr>
      <w:tr>
        <w:tc>
          <w:tcPr>
            <w:tcW w:type="dxa" w:w="4680"/>
          </w:tcPr>
          <w:p>
            <w:r>
              <w:t>Care Operations Manager</w:t>
            </w:r>
          </w:p>
        </w:tc>
        <w:tc>
          <w:tcPr>
            <w:tcW w:type="dxa" w:w="4680"/>
          </w:tcPr>
          <w:p>
            <w:r>
              <w:t>Approves commitments above the threshold at 5.3, reviews care management claiming, handles escalations under 5.7.</w:t>
            </w:r>
          </w:p>
        </w:tc>
      </w:tr>
      <w:tr>
        <w:tc>
          <w:tcPr>
            <w:tcW w:type="dxa" w:w="4680"/>
          </w:tcPr>
          <w:p>
            <w:r>
              <w:t>Care Partner</w:t>
            </w:r>
          </w:p>
        </w:tc>
        <w:tc>
          <w:tcPr>
            <w:tcW w:type="dxa" w:w="4680"/>
          </w:tcPr>
          <w:p>
            <w:r>
              <w:t>Plans services against the quarter with the participant, records care management activity, explains statements, raises funding gaps, reviews the care plan at least annually.</w:t>
            </w:r>
          </w:p>
        </w:tc>
      </w:tr>
      <w:tr>
        <w:tc>
          <w:tcPr>
            <w:tcW w:type="dxa" w:w="4680"/>
          </w:tcPr>
          <w:p>
            <w:r>
              <w:t>Rostering and Scheduling</w:t>
            </w:r>
          </w:p>
        </w:tc>
        <w:tc>
          <w:tcPr>
            <w:tcW w:type="dxa" w:w="4680"/>
          </w:tcPr>
          <w:p>
            <w:r>
              <w:t>Books only services in the care plan and funded in the current quarter. Refers unfunded requests back to the care partner.</w:t>
            </w:r>
          </w:p>
        </w:tc>
      </w:tr>
      <w:tr>
        <w:tc>
          <w:tcPr>
            <w:tcW w:type="dxa" w:w="4680"/>
          </w:tcPr>
          <w:p>
            <w:r>
              <w:t>Quality and Compliance Lead</w:t>
            </w:r>
          </w:p>
        </w:tc>
        <w:tc>
          <w:tcPr>
            <w:tcW w:type="dxa" w:w="4680"/>
          </w:tcPr>
          <w:p>
            <w:r>
              <w:t>Audits budget records against this policy, reports findings to the governing body, keeps the policy aligned to the program manual.</w:t>
            </w:r>
          </w:p>
        </w:tc>
      </w:tr>
    </w:tbl>
    <w:p/>
    <w:p>
      <w:pPr>
        <w:spacing w:before="200"/>
      </w:pPr>
      <w:r>
        <w:rPr>
          <w:b/>
          <w:sz w:val="26"/>
        </w:rPr>
        <w:t>7. Related Policies</w:t>
      </w:r>
    </w:p>
    <w:p>
      <w:pPr>
        <w:pStyle w:val="ListBullet"/>
      </w:pPr>
      <w:r>
        <w:t>Support at Home Service Agreement Policy</w:t>
      </w:r>
    </w:p>
    <w:p>
      <w:pPr>
        <w:pStyle w:val="ListBullet"/>
      </w:pPr>
      <w:r>
        <w:t>Fee Transparency and Financial Governance Policy</w:t>
      </w:r>
    </w:p>
    <w:p>
      <w:pPr>
        <w:pStyle w:val="ListBullet"/>
      </w:pPr>
      <w:r>
        <w:t>Care Planning, Review and Care Partner Allocation Policy</w:t>
      </w:r>
    </w:p>
    <w:p>
      <w:pPr>
        <w:pStyle w:val="ListBullet"/>
      </w:pPr>
      <w:r>
        <w:t>Record Keeping Policy</w:t>
      </w:r>
    </w:p>
    <w:p>
      <w:pPr>
        <w:pStyle w:val="ListBullet"/>
      </w:pPr>
      <w:r>
        <w:t>Feedback and Complaints Management Policy</w:t>
      </w:r>
    </w:p>
    <w:p>
      <w:pPr>
        <w:pStyle w:val="ListBullet"/>
      </w:pPr>
      <w:r>
        <w:t>Risk Management Policy</w:t>
      </w:r>
    </w:p>
    <w:p>
      <w:pPr>
        <w:pStyle w:val="ListBullet"/>
      </w:pPr>
      <w:r>
        <w:t>Incident Management and Reporting Policy</w:t>
      </w:r>
    </w:p>
    <w:p>
      <w:pPr>
        <w:pStyle w:val="ListBullet"/>
      </w:pPr>
      <w:r>
        <w:t>Clinical Governance Framework Policy</w:t>
      </w:r>
    </w:p>
    <w:p>
      <w:pPr>
        <w:spacing w:before="200"/>
      </w:pPr>
      <w:r>
        <w:rPr>
          <w:b/>
          <w:sz w:val="26"/>
        </w:rPr>
        <w:t>8. Relevant Legislation and Standards</w:t>
      </w:r>
    </w:p>
    <w:p>
      <w:pPr>
        <w:pStyle w:val="ListBullet"/>
      </w:pPr>
      <w:r>
        <w:t>Aged Care Act 2024 (Cth)</w:t>
      </w:r>
    </w:p>
    <w:p>
      <w:pPr>
        <w:pStyle w:val="ListBullet"/>
      </w:pPr>
      <w:r>
        <w:t>Support at Home program manual - A guide for registered providers (version 4.0, December 2025)</w:t>
      </w:r>
    </w:p>
    <w:p>
      <w:pPr>
        <w:pStyle w:val="ListBullet"/>
      </w:pPr>
      <w:r>
        <w:t>Strengthened Aged Care Quality Standards, including Standard 3 and Standard 5: Clinical care, Outcome 5.1 (Clinical Governance)</w:t>
      </w:r>
    </w:p>
    <w:p>
      <w:pPr>
        <w:pStyle w:val="ListBullet"/>
      </w:pPr>
      <w:r>
        <w:t>Aged Care Quality and Safety Commission provider obligations for Support at Home</w:t>
      </w:r>
    </w:p>
    <w:p>
      <w:pPr>
        <w:pStyle w:val="ListBullet"/>
      </w:pPr>
      <w:r>
        <w:t>Quarterly Financial Report (QFR) and Aged Care Financial Report (ACFR) requirements</w:t>
      </w:r>
    </w:p>
    <w:p>
      <w:pPr>
        <w:pStyle w:val="ListBullet"/>
      </w:pPr>
      <w:r>
        <w:t>Privacy Act 1988 (Cth) as it applies to participant financial information</w:t>
      </w:r>
    </w:p>
    <w:p>
      <w:pPr>
        <w:spacing w:before="200"/>
      </w:pPr>
      <w:r>
        <w:rPr>
          <w:b/>
          <w:sz w:val="26"/>
        </w:rPr>
        <w:t>9. Monitoring and Review</w:t>
      </w:r>
    </w:p>
    <w:p>
      <w:r>
        <w:t>This policy is reviewed annually by [Chief Financial Officer] and [Care Operations Manager], and earlier whenever the Support at Home program manual, the service list, pricing obligations or reporting requirements change. [Board] approves each revision. The following measures are reported to [Board] each quarter:</w:t>
      </w:r>
    </w:p>
    <w:p>
      <w:pPr>
        <w:pStyle w:val="ListBullet"/>
      </w:pPr>
      <w:r>
        <w:t>Number and value of participant carryover amounts lost above the limit, with reasons.</w:t>
      </w:r>
    </w:p>
    <w:p>
      <w:pPr>
        <w:pStyle w:val="ListBullet"/>
      </w:pPr>
      <w:r>
        <w:t>Participants triggering the under-spend threshold at 5.6 and the proportion contacted within [5] business days.</w:t>
      </w:r>
    </w:p>
    <w:p>
      <w:pPr>
        <w:pStyle w:val="ListBullet"/>
      </w:pPr>
      <w:r>
        <w:t>Funding gap escalations under 5.7 and how each was resolved.</w:t>
      </w:r>
    </w:p>
    <w:p>
      <w:pPr>
        <w:pStyle w:val="ListBullet"/>
      </w:pPr>
      <w:r>
        <w:t>Care management claiming against recorded activity at branch level.</w:t>
      </w:r>
    </w:p>
    <w:p>
      <w:pPr>
        <w:pStyle w:val="ListBullet"/>
      </w:pPr>
      <w:r>
        <w:t>QFR and ACFR lodged by the due date, and any variance explanations provided.</w:t>
      </w:r>
    </w:p>
    <w:p>
      <w:pPr>
        <w:pStyle w:val="ListBullet"/>
      </w:pPr>
      <w:r>
        <w:t>Audit findings on budget records, statements and claim accuracy, with corrective actions tracked to completion.</w:t>
      </w:r>
    </w:p>
    <w:p/>
    <w:p>
      <w:pPr>
        <w:spacing w:before="200"/>
      </w:pPr>
      <w:r>
        <w:rPr>
          <w:b/>
          <w:sz w:val="26"/>
        </w:rPr>
        <w:t>Document Control</w:t>
      </w:r>
    </w:p>
    <w:tbl>
      <w:tblPr>
        <w:tblStyle w:val="TableGrid"/>
        <w:tblW w:type="auto" w:w="0"/>
        <w:jc w:val="left"/>
        <w:tblLayout w:type="autofit"/>
        <w:tblLook w:firstColumn="1" w:firstRow="1" w:lastColumn="0" w:lastRow="0" w:noHBand="0" w:noVBand="1" w:val="04A0"/>
      </w:tblPr>
      <w:tblGrid>
        <w:gridCol w:w="2340"/>
        <w:gridCol w:w="2340"/>
        <w:gridCol w:w="2340"/>
        <w:gridCol w:w="2340"/>
      </w:tblGrid>
      <w:tr>
        <w:tc>
          <w:tcPr>
            <w:tcW w:type="dxa" w:w="2340"/>
          </w:tcPr>
          <w:p>
            <w:r/>
            <w:r>
              <w:rPr>
                <w:b/>
              </w:rPr>
              <w:t>Reviewed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t xml:space="preserve">  </w:t>
            </w:r>
          </w:p>
        </w:tc>
        <w:tc>
          <w:tcPr>
            <w:tcW w:type="dxa" w:w="2340"/>
          </w:tcPr>
          <w:p>
            <w:r>
              <w:t xml:space="preserve">  </w:t>
            </w:r>
          </w:p>
        </w:tc>
        <w:tc>
          <w:tcPr>
            <w:tcW w:type="dxa" w:w="2340"/>
          </w:tcPr>
          <w:p>
            <w:r>
              <w:t xml:space="preserve">  </w:t>
            </w:r>
          </w:p>
        </w:tc>
        <w:tc>
          <w:tcPr>
            <w:tcW w:type="dxa" w:w="2340"/>
          </w:tcPr>
          <w:p>
            <w:r>
              <w:t xml:space="preserve">  </w:t>
            </w:r>
          </w:p>
        </w:tc>
      </w:tr>
      <w:tr>
        <w:tc>
          <w:tcPr>
            <w:tcW w:type="dxa" w:w="2340"/>
          </w:tcPr>
          <w:p>
            <w:r/>
            <w:r>
              <w:rPr>
                <w:b/>
              </w:rPr>
              <w:t>Approved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t xml:space="preserve">  </w:t>
            </w:r>
          </w:p>
        </w:tc>
        <w:tc>
          <w:tcPr>
            <w:tcW w:type="dxa" w:w="2340"/>
          </w:tcPr>
          <w:p>
            <w:r>
              <w:t xml:space="preserve">  </w:t>
            </w:r>
          </w:p>
        </w:tc>
        <w:tc>
          <w:tcPr>
            <w:tcW w:type="dxa" w:w="2340"/>
          </w:tcPr>
          <w:p>
            <w:r>
              <w:t xml:space="preserve">  </w:t>
            </w:r>
          </w:p>
        </w:tc>
        <w:tc>
          <w:tcPr>
            <w:tcW w:type="dxa" w:w="2340"/>
          </w:tcPr>
          <w:p>
            <w:r>
              <w:t xml:space="preserve">  </w:t>
            </w:r>
          </w:p>
        </w:tc>
      </w:tr>
    </w:tbl>
    <w:p/>
    <w:p>
      <w:r>
        <w:rPr>
          <w:i/>
          <w:sz w:val="18"/>
        </w:rPr>
        <w:t>This template is general information for Australian Support at Home providers and is not legal advice. Replace every [bracketed] placeholder, check it against the current Support at Home program manual, and approve it through your own governance process before use.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