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b/>
          <w:sz w:val="32"/>
        </w:rPr>
        <w:t>[Organisation Name] - Support at Home Participant Contributions and Fee Policy</w:t>
      </w:r>
    </w:p>
    <w:tbl>
      <w:tblPr>
        <w:tblStyle w:val="TableGrid"/>
        <w:tblW w:type="auto" w:w="0"/>
        <w:jc w:val="left"/>
        <w:tblLook w:firstColumn="1" w:firstRow="1" w:lastColumn="0" w:lastRow="0" w:noHBand="0" w:noVBand="1" w:val="04A0"/>
      </w:tblPr>
      <w:tblGrid>
        <w:gridCol w:w="2340"/>
        <w:gridCol w:w="2340"/>
        <w:gridCol w:w="2340"/>
        <w:gridCol w:w="2340"/>
      </w:tblGrid>
      <w:tr>
        <w:tc>
          <w:tcPr>
            <w:tcW w:type="dxa" w:w="2016"/>
          </w:tcPr>
          <w:p>
            <w:pPr>
              <w:spacing w:after="40"/>
            </w:pPr>
            <w:r/>
            <w:r>
              <w:rPr>
                <w:b/>
              </w:rPr>
              <w:t>Policy Number</w:t>
            </w:r>
          </w:p>
        </w:tc>
        <w:tc>
          <w:tcPr>
            <w:tcW w:type="dxa" w:w="3312"/>
          </w:tcPr>
          <w:p>
            <w:pPr>
              <w:spacing w:after="40"/>
            </w:pPr>
            <w:r/>
            <w:r>
              <w:t>[e.g. SAH-004]</w:t>
            </w:r>
          </w:p>
        </w:tc>
        <w:tc>
          <w:tcPr>
            <w:tcW w:type="dxa" w:w="1728"/>
          </w:tcPr>
          <w:p>
            <w:pPr>
              <w:spacing w:after="40"/>
            </w:pPr>
            <w:r/>
            <w:r>
              <w:rPr>
                <w:b/>
              </w:rPr>
              <w:t>Version</w:t>
            </w:r>
          </w:p>
        </w:tc>
        <w:tc>
          <w:tcPr>
            <w:tcW w:type="dxa" w:w="2304"/>
          </w:tcPr>
          <w:p>
            <w:pPr>
              <w:spacing w:after="40"/>
            </w:pPr>
            <w:r/>
            <w:r>
              <w:t>1.0</w:t>
            </w:r>
          </w:p>
        </w:tc>
      </w:tr>
      <w:tr>
        <w:tc>
          <w:tcPr>
            <w:tcW w:type="dxa" w:w="2016"/>
          </w:tcPr>
          <w:p>
            <w:pPr>
              <w:spacing w:after="40"/>
            </w:pPr>
            <w:r/>
            <w:r>
              <w:rPr>
                <w:b/>
              </w:rPr>
              <w:t>Effective Date</w:t>
            </w:r>
          </w:p>
        </w:tc>
        <w:tc>
          <w:tcPr>
            <w:tcW w:type="dxa" w:w="3312"/>
          </w:tcPr>
          <w:p>
            <w:pPr>
              <w:spacing w:after="40"/>
            </w:pPr>
            <w:r/>
            <w:r>
              <w:t>[DD/MM/YYYY]</w:t>
            </w:r>
          </w:p>
        </w:tc>
        <w:tc>
          <w:tcPr>
            <w:tcW w:type="dxa" w:w="1728"/>
          </w:tcPr>
          <w:p>
            <w:pPr>
              <w:spacing w:after="40"/>
            </w:pPr>
            <w:r/>
            <w:r>
              <w:rPr>
                <w:b/>
              </w:rPr>
              <w:t>Review Date</w:t>
            </w:r>
          </w:p>
        </w:tc>
        <w:tc>
          <w:tcPr>
            <w:tcW w:type="dxa" w:w="2304"/>
          </w:tcPr>
          <w:p>
            <w:pPr>
              <w:spacing w:after="40"/>
            </w:pPr>
            <w:r/>
            <w:r>
              <w:t>[DD/MM/YYYY]</w:t>
            </w:r>
          </w:p>
        </w:tc>
      </w:tr>
      <w:tr>
        <w:tc>
          <w:tcPr>
            <w:tcW w:type="dxa" w:w="2016"/>
          </w:tcPr>
          <w:p>
            <w:pPr>
              <w:spacing w:after="40"/>
            </w:pPr>
            <w:r/>
            <w:r>
              <w:rPr>
                <w:b/>
              </w:rPr>
              <w:t>Policy Owner</w:t>
            </w:r>
          </w:p>
        </w:tc>
        <w:tc>
          <w:tcPr>
            <w:tcW w:type="dxa" w:w="3312"/>
          </w:tcPr>
          <w:p>
            <w:pPr>
              <w:spacing w:after="40"/>
            </w:pPr>
            <w:r/>
            <w:r>
              <w:t>[Finance and Compliance Manager]</w:t>
            </w:r>
          </w:p>
        </w:tc>
        <w:tc>
          <w:tcPr>
            <w:tcW w:type="dxa" w:w="1728"/>
          </w:tcPr>
          <w:p>
            <w:pPr>
              <w:spacing w:after="40"/>
            </w:pPr>
            <w:r/>
            <w:r>
              <w:rPr>
                <w:b/>
              </w:rPr>
              <w:t>Approved By</w:t>
            </w:r>
          </w:p>
        </w:tc>
        <w:tc>
          <w:tcPr>
            <w:tcW w:type="dxa" w:w="2304"/>
          </w:tcPr>
          <w:p>
            <w:pPr>
              <w:spacing w:after="40"/>
            </w:pPr>
            <w:r/>
            <w:r>
              <w:t>[Board]</w:t>
            </w:r>
          </w:p>
        </w:tc>
      </w:tr>
    </w:tbl>
    <w:p>
      <w:pPr>
        <w:spacing w:after="40"/>
      </w:pPr>
    </w:p>
    <w:p>
      <w:pPr>
        <w:spacing w:before="240" w:after="80"/>
      </w:pPr>
      <w:r>
        <w:rPr>
          <w:b/>
          <w:sz w:val="26"/>
        </w:rPr>
        <w:t>1. Purpose</w:t>
      </w:r>
    </w:p>
    <w:p>
      <w:r>
        <w:t>This policy sets out how [Organisation Name] calculates, discloses, invoices and collects participant contributions under Support at Home. It states which services carry a contribution, where the rate comes from, what must be in writing before the first service, and how hardship, disputes and unpaid accounts are handled without a participant losing care abruptly.</w:t>
      </w:r>
    </w:p>
    <w:p>
      <w:r>
        <w:t>Support at Home commenced on 1 November 2025 under the Aged Care Act 2024 (Cth), and these arrangements apply from that date.</w:t>
      </w:r>
    </w:p>
    <w:p>
      <w:pPr>
        <w:spacing w:before="240" w:after="80"/>
      </w:pPr>
      <w:r>
        <w:rPr>
          <w:b/>
          <w:sz w:val="26"/>
        </w:rPr>
        <w:t>2. Scope</w:t>
      </w:r>
    </w:p>
    <w:p>
      <w:r>
        <w:t>This policy applies to every Support at Home participant of [Organisation Name] and to every board member, manager, care partner, finance officer, worker and subcontracted provider involved in quoting, scheduling, billing or collecting money for a funded service. It covers:</w:t>
      </w:r>
    </w:p>
    <w:p>
      <w:pPr>
        <w:pStyle w:val="ListBullet"/>
        <w:spacing w:after="60"/>
      </w:pPr>
      <w:r>
        <w:t>participants funded under the 8 ongoing or 4 transitioned HCP classifications;</w:t>
      </w:r>
    </w:p>
    <w:p>
      <w:pPr>
        <w:pStyle w:val="ListBullet"/>
        <w:spacing w:after="60"/>
      </w:pPr>
      <w:r>
        <w:t>participants on the Assistive Technology and Home Modifications (AT-HM), Restorative Care or End-of-Life short-term pathways;</w:t>
      </w:r>
    </w:p>
    <w:p>
      <w:pPr>
        <w:pStyle w:val="ListBullet"/>
        <w:spacing w:after="60"/>
      </w:pPr>
      <w:r>
        <w:t>self-managing participants, where [Organisation Name] remains the registered provider;</w:t>
      </w:r>
    </w:p>
    <w:p>
      <w:pPr>
        <w:pStyle w:val="ListBullet"/>
        <w:spacing w:after="60"/>
      </w:pPr>
      <w:r>
        <w:t>any service quoted, delivered or invoiced by a subcontracted provider.</w:t>
      </w:r>
    </w:p>
    <w:p>
      <w:pPr>
        <w:spacing w:before="240" w:after="80"/>
      </w:pPr>
      <w:r>
        <w:rPr>
          <w:b/>
          <w:sz w:val="26"/>
        </w:rPr>
        <w:t>3. Policy Statement</w:t>
      </w:r>
    </w:p>
    <w:p>
      <w:r>
        <w:t>[Organisation Name] charges participant contributions only where they are lawfully payable, only at the rate advised by Services Australia, and only after the amount has been explained and put in writing. We hold to the following commitments:</w:t>
      </w:r>
    </w:p>
    <w:p>
      <w:pPr>
        <w:pStyle w:val="ListBullet"/>
        <w:spacing w:after="60"/>
      </w:pPr>
      <w:r>
        <w:t>No participant is charged for a Clinical Support service. The Government fully funds those services.</w:t>
      </w:r>
    </w:p>
    <w:p>
      <w:pPr>
        <w:pStyle w:val="ListBullet"/>
        <w:spacing w:after="60"/>
      </w:pPr>
      <w:r>
        <w:t>Contribution rates are never set or adjusted by our staff. They come from the Services Australia income and assets assessment.</w:t>
      </w:r>
    </w:p>
    <w:p>
      <w:pPr>
        <w:pStyle w:val="ListBullet"/>
        <w:spacing w:after="60"/>
      </w:pPr>
      <w:r>
        <w:t>No service begins before the participant has a written statement of its cost and their contribution.</w:t>
      </w:r>
    </w:p>
    <w:p>
      <w:pPr>
        <w:pStyle w:val="ListBullet"/>
        <w:spacing w:after="60"/>
      </w:pPr>
      <w:r>
        <w:t>Published prices are all-inclusive. Travel, administration and other delivery costs sit inside the price and are never added as a separate line.</w:t>
      </w:r>
    </w:p>
    <w:p>
      <w:pPr>
        <w:pStyle w:val="ListBullet"/>
        <w:spacing w:after="60"/>
      </w:pPr>
      <w:r>
        <w:t>A participant who cannot pay is offered a hardship pathway, not a service cancellation.</w:t>
      </w:r>
    </w:p>
    <w:p>
      <w:pPr>
        <w:pStyle w:val="ListBullet"/>
        <w:spacing w:after="60"/>
      </w:pPr>
      <w:r>
        <w:t>Billing errors we find are disclosed and corrected, whether or not the participant raised them.</w:t>
      </w:r>
    </w:p>
    <w:p>
      <w:pPr>
        <w:spacing w:before="240" w:after="80"/>
      </w:pPr>
      <w:r>
        <w:rPr>
          <w:b/>
          <w:sz w:val="26"/>
        </w:rPr>
        <w:t>4. Definitions</w:t>
      </w:r>
    </w:p>
    <w:tbl>
      <w:tblPr>
        <w:tblStyle w:val="TableGrid"/>
        <w:tblW w:type="auto" w:w="0"/>
        <w:jc w:val="left"/>
        <w:tblLook w:firstColumn="1" w:firstRow="1" w:lastColumn="0" w:lastRow="0" w:noHBand="0" w:noVBand="1" w:val="04A0"/>
      </w:tblPr>
      <w:tblGrid>
        <w:gridCol w:w="4680"/>
        <w:gridCol w:w="4680"/>
      </w:tblGrid>
      <w:tr>
        <w:tc>
          <w:tcPr>
            <w:tcW w:type="dxa" w:w="2736"/>
          </w:tcPr>
          <w:p>
            <w:pPr>
              <w:spacing w:after="40"/>
            </w:pPr>
            <w:r/>
            <w:r>
              <w:rPr>
                <w:b/>
              </w:rPr>
              <w:t>Term</w:t>
            </w:r>
          </w:p>
        </w:tc>
        <w:tc>
          <w:tcPr>
            <w:tcW w:type="dxa" w:w="6624"/>
          </w:tcPr>
          <w:p>
            <w:pPr>
              <w:spacing w:after="40"/>
            </w:pPr>
            <w:r/>
            <w:r>
              <w:rPr>
                <w:b/>
              </w:rPr>
              <w:t>Definition</w:t>
            </w:r>
          </w:p>
        </w:tc>
      </w:tr>
      <w:tr>
        <w:tc>
          <w:tcPr>
            <w:tcW w:type="dxa" w:w="2736"/>
          </w:tcPr>
          <w:p>
            <w:pPr>
              <w:spacing w:after="40"/>
            </w:pPr>
            <w:r/>
            <w:r>
              <w:t>Participant contribution</w:t>
            </w:r>
          </w:p>
        </w:tc>
        <w:tc>
          <w:tcPr>
            <w:tcW w:type="dxa" w:w="6624"/>
          </w:tcPr>
          <w:p>
            <w:pPr>
              <w:spacing w:after="40"/>
            </w:pPr>
            <w:r/>
            <w:r>
              <w:t>The amount a participant pays towards a Support at Home service, set by a Services Australia income and assets assessment.</w:t>
            </w:r>
          </w:p>
        </w:tc>
      </w:tr>
      <w:tr>
        <w:tc>
          <w:tcPr>
            <w:tcW w:type="dxa" w:w="2736"/>
          </w:tcPr>
          <w:p>
            <w:pPr>
              <w:spacing w:after="40"/>
            </w:pPr>
            <w:r/>
            <w:r>
              <w:t>Clinical Support</w:t>
            </w:r>
          </w:p>
        </w:tc>
        <w:tc>
          <w:tcPr>
            <w:tcW w:type="dxa" w:w="6624"/>
          </w:tcPr>
          <w:p>
            <w:pPr>
              <w:spacing w:after="40"/>
            </w:pPr>
            <w:r/>
            <w:r>
              <w:t>The service category the Government fully funds. No contribution is payable.</w:t>
            </w:r>
          </w:p>
        </w:tc>
      </w:tr>
      <w:tr>
        <w:tc>
          <w:tcPr>
            <w:tcW w:type="dxa" w:w="2736"/>
          </w:tcPr>
          <w:p>
            <w:pPr>
              <w:spacing w:after="40"/>
            </w:pPr>
            <w:r/>
            <w:r>
              <w:t>Independence and Everyday Living</w:t>
            </w:r>
          </w:p>
        </w:tc>
        <w:tc>
          <w:tcPr>
            <w:tcW w:type="dxa" w:w="6624"/>
          </w:tcPr>
          <w:p>
            <w:pPr>
              <w:spacing w:after="40"/>
            </w:pPr>
            <w:r/>
            <w:r>
              <w:t>The service categories participants contribute to, at their assessed rate.</w:t>
            </w:r>
          </w:p>
        </w:tc>
      </w:tr>
      <w:tr>
        <w:tc>
          <w:tcPr>
            <w:tcW w:type="dxa" w:w="2736"/>
          </w:tcPr>
          <w:p>
            <w:pPr>
              <w:spacing w:after="40"/>
            </w:pPr>
            <w:r/>
            <w:r>
              <w:t>No worse off</w:t>
            </w:r>
          </w:p>
        </w:tc>
        <w:tc>
          <w:tcPr>
            <w:tcW w:type="dxa" w:w="6624"/>
          </w:tcPr>
          <w:p>
            <w:pPr>
              <w:spacing w:after="40"/>
            </w:pPr>
            <w:r/>
            <w:r>
              <w:t>The protection for a person receiving, or approved for, a Home Care Package on or before 12 September 2024 who is not liable for an income-tested care fee. They pay no contributions for services on the Support at Home service list.</w:t>
            </w:r>
          </w:p>
        </w:tc>
      </w:tr>
      <w:tr>
        <w:tc>
          <w:tcPr>
            <w:tcW w:type="dxa" w:w="2736"/>
          </w:tcPr>
          <w:p>
            <w:pPr>
              <w:spacing w:after="40"/>
            </w:pPr>
            <w:r/>
            <w:r>
              <w:t>Published price</w:t>
            </w:r>
          </w:p>
        </w:tc>
        <w:tc>
          <w:tcPr>
            <w:tcW w:type="dxa" w:w="6624"/>
          </w:tcPr>
          <w:p>
            <w:pPr>
              <w:spacing w:after="40"/>
            </w:pPr>
            <w:r/>
            <w:r>
              <w:t>The price [Organisation Name] most commonly charges for a service, published on My Aged Care and our website, inclusive of all delivery costs.</w:t>
            </w:r>
          </w:p>
        </w:tc>
      </w:tr>
      <w:tr>
        <w:tc>
          <w:tcPr>
            <w:tcW w:type="dxa" w:w="2736"/>
          </w:tcPr>
          <w:p>
            <w:pPr>
              <w:spacing w:after="40"/>
            </w:pPr>
            <w:r/>
            <w:r>
              <w:t>Carryover</w:t>
            </w:r>
          </w:p>
        </w:tc>
        <w:tc>
          <w:tcPr>
            <w:tcW w:type="dxa" w:w="6624"/>
          </w:tcPr>
          <w:p>
            <w:pPr>
              <w:spacing w:after="40"/>
            </w:pPr>
            <w:r/>
            <w:r>
              <w:t>Unspent funds a participant may carry between quarters, up to $1,000 or 10% of the quarterly budget, whichever is higher.</w:t>
            </w:r>
          </w:p>
        </w:tc>
      </w:tr>
    </w:tbl>
    <w:p>
      <w:pPr>
        <w:spacing w:after="40"/>
      </w:pPr>
    </w:p>
    <w:p>
      <w:pPr>
        <w:spacing w:before="240" w:after="80"/>
      </w:pPr>
      <w:r>
        <w:rPr>
          <w:b/>
          <w:sz w:val="26"/>
        </w:rPr>
        <w:t>5. Contribution and Fee Procedures</w:t>
      </w:r>
    </w:p>
    <w:p>
      <w:pPr>
        <w:spacing w:before="160" w:after="60"/>
      </w:pPr>
      <w:r>
        <w:rPr>
          <w:b/>
          <w:sz w:val="23"/>
        </w:rPr>
        <w:t>5.1 Classifying every service before it is quoted</w:t>
      </w:r>
    </w:p>
    <w:p>
      <w:r>
        <w:t>No price is quoted until the service has been classified. The care partner records the category against each service in the support plan, and the finance officer checks it before the first invoice is raised.</w:t>
      </w:r>
    </w:p>
    <w:p>
      <w:pPr>
        <w:pStyle w:val="ListBullet"/>
        <w:spacing w:after="60"/>
      </w:pPr>
      <w:r>
        <w:rPr>
          <w:b/>
        </w:rPr>
        <w:t xml:space="preserve">Clinical Support: </w:t>
      </w:r>
      <w:r>
        <w:t>recorded as fully government funded, with a zero contribution.</w:t>
      </w:r>
    </w:p>
    <w:p>
      <w:pPr>
        <w:pStyle w:val="ListBullet"/>
        <w:spacing w:after="60"/>
      </w:pPr>
      <w:r>
        <w:rPr>
          <w:b/>
        </w:rPr>
        <w:t xml:space="preserve">Independence and Everyday Living: </w:t>
      </w:r>
      <w:r>
        <w:t>recorded with the participant's assessed contribution rate against each line.</w:t>
      </w:r>
    </w:p>
    <w:p>
      <w:pPr>
        <w:pStyle w:val="ListBullet"/>
        <w:spacing w:after="60"/>
      </w:pPr>
      <w:r>
        <w:rPr>
          <w:b/>
        </w:rPr>
        <w:t xml:space="preserve">Unclear cases: </w:t>
      </w:r>
      <w:r>
        <w:t>where a service could sit in more than one category, the care partner escalates to the [Clinical Lead] before quoting, and the decision and its reason go into the participant record.</w:t>
      </w:r>
    </w:p>
    <w:p>
      <w:r>
        <w:t>Reclassification after services start is treated as a change under section 5.5 and is never applied retrospectively to increase what a participant owes.</w:t>
      </w:r>
    </w:p>
    <w:p>
      <w:pPr>
        <w:spacing w:before="160" w:after="60"/>
      </w:pPr>
      <w:r>
        <w:rPr>
          <w:b/>
          <w:sz w:val="23"/>
        </w:rPr>
        <w:t>5.2 Obtaining and applying the contribution rate</w:t>
      </w:r>
    </w:p>
    <w:p>
      <w:r>
        <w:t>Contribution rates are determined by a Services Australia income and assets assessment. Staff do not estimate, negotiate or reverse-engineer a rate.</w:t>
      </w:r>
    </w:p>
    <w:p>
      <w:pPr>
        <w:pStyle w:val="ListBullet"/>
        <w:spacing w:after="60"/>
      </w:pPr>
      <w:r>
        <w:t>At intake, the care partner confirms whether an income and assets assessment has been completed and records the answer.</w:t>
      </w:r>
    </w:p>
    <w:p>
      <w:pPr>
        <w:pStyle w:val="ListBullet"/>
        <w:spacing w:after="60"/>
      </w:pPr>
      <w:r>
        <w:t>Where none has been completed, the care partner explains its purpose, offers help to arrange it and records the referral.</w:t>
      </w:r>
    </w:p>
    <w:p>
      <w:pPr>
        <w:pStyle w:val="ListBullet"/>
        <w:spacing w:after="60"/>
      </w:pPr>
      <w:r>
        <w:t>The advised rate is entered into [Client Management System] by the finance officer only, with the source document attached to the record.</w:t>
      </w:r>
    </w:p>
    <w:p>
      <w:pPr>
        <w:pStyle w:val="ListBullet"/>
        <w:spacing w:after="60"/>
      </w:pPr>
      <w:r>
        <w:t>A changed rate applies from the effective date given, is explained in writing within [5] business days, and a copy filed.</w:t>
      </w:r>
    </w:p>
    <w:p>
      <w:pPr>
        <w:pStyle w:val="ListBullet"/>
        <w:spacing w:after="60"/>
      </w:pPr>
      <w:r>
        <w:t>Care partners and rostering staff have read-only access to rates. Edit rights sit with [Finance and Compliance Manager] alone.</w:t>
      </w:r>
    </w:p>
    <w:p>
      <w:pPr>
        <w:spacing w:before="160" w:after="60"/>
      </w:pPr>
      <w:r>
        <w:rPr>
          <w:b/>
          <w:sz w:val="23"/>
        </w:rPr>
        <w:t>5.3 'No worse off' participants</w:t>
      </w:r>
    </w:p>
    <w:p>
      <w:r>
        <w:t>A participant receiving, or approved for, a Home Care Package on or before 12 September 2024 who is not liable for an income-tested care fee pays no contributions for services on the Support at Home service list.</w:t>
      </w:r>
    </w:p>
    <w:p>
      <w:pPr>
        <w:pStyle w:val="ListBullet"/>
        <w:spacing w:after="60"/>
      </w:pPr>
      <w:r>
        <w:t>The finance officer flags every transitioned participant in [Client Management System] against their package status and income-tested care fee liability.</w:t>
      </w:r>
    </w:p>
    <w:p>
      <w:pPr>
        <w:pStyle w:val="ListBullet"/>
        <w:spacing w:after="60"/>
      </w:pPr>
      <w:r>
        <w:t>The flag is checked before the first invoice and at every rate change. A flagged participant's invoices show a zero contribution for service list items.</w:t>
      </w:r>
    </w:p>
    <w:p>
      <w:pPr>
        <w:pStyle w:val="ListBullet"/>
        <w:spacing w:after="60"/>
      </w:pPr>
      <w:r>
        <w:t>Any charge to a flagged participant is a billing error under section 5.8: refunded next cycle and logged in the [Quality and Risk Register].</w:t>
      </w:r>
    </w:p>
    <w:p>
      <w:pPr>
        <w:pStyle w:val="ListBullet"/>
        <w:spacing w:after="60"/>
      </w:pPr>
      <w:r>
        <w:t>The flag is removed only on written advice of changed circumstances, and the change is explained before any contribution is charged.</w:t>
      </w:r>
    </w:p>
    <w:p>
      <w:pPr>
        <w:spacing w:before="160" w:after="60"/>
      </w:pPr>
      <w:r>
        <w:rPr>
          <w:b/>
          <w:sz w:val="23"/>
        </w:rPr>
        <w:t>5.4 Publishing prices</w:t>
      </w:r>
    </w:p>
    <w:p>
      <w:r>
        <w:t>Providers must publish the price they most commonly charge for each service on My Aged Care and on their own website, and prices must be all-inclusive and reasonable. At [Organisation Name]:</w:t>
      </w:r>
    </w:p>
    <w:p>
      <w:pPr>
        <w:pStyle w:val="ListBullet"/>
        <w:spacing w:after="60"/>
      </w:pPr>
      <w:r>
        <w:t>[Finance and Compliance Manager] holds the single master price list. No other version goes to participants.</w:t>
      </w:r>
    </w:p>
    <w:p>
      <w:pPr>
        <w:pStyle w:val="ListBullet"/>
        <w:spacing w:after="60"/>
      </w:pPr>
      <w:r>
        <w:t>Travel, administration, rostering and other delivery costs are built into each published price, never invoiced separately.</w:t>
      </w:r>
    </w:p>
    <w:p>
      <w:pPr>
        <w:pStyle w:val="ListBullet"/>
        <w:spacing w:after="60"/>
      </w:pPr>
      <w:r>
        <w:t>Prices on My Aged Care and our website are reconciled against the master list [monthly], then signed and filed.</w:t>
      </w:r>
    </w:p>
    <w:p>
      <w:pPr>
        <w:pStyle w:val="ListBullet"/>
        <w:spacing w:after="60"/>
      </w:pPr>
      <w:r>
        <w:t>Every price change is approved by [Chief Executive Officer], supported by a written cost basis showing the price is reasonable, and published before it is charged.</w:t>
      </w:r>
    </w:p>
    <w:p>
      <w:pPr>
        <w:pStyle w:val="ListBullet"/>
        <w:spacing w:after="60"/>
      </w:pPr>
      <w:r>
        <w:t>Subcontracted services are quoted at our published price. A subcontractor rate card is never shown to participants.</w:t>
      </w:r>
    </w:p>
    <w:p>
      <w:pPr>
        <w:spacing w:before="160" w:after="60"/>
      </w:pPr>
      <w:r>
        <w:rPr>
          <w:b/>
          <w:sz w:val="23"/>
        </w:rPr>
        <w:t>5.5 Written disclosure before services start</w:t>
      </w:r>
    </w:p>
    <w:p>
      <w:r>
        <w:t>No service is delivered before the participant has received, in plain language, a written statement of costs covering:</w:t>
      </w:r>
    </w:p>
    <w:p>
      <w:pPr>
        <w:pStyle w:val="ListBullet"/>
        <w:spacing w:after="60"/>
      </w:pPr>
      <w:r>
        <w:t>Each service to be delivered, with its published price.</w:t>
      </w:r>
    </w:p>
    <w:p>
      <w:pPr>
        <w:pStyle w:val="ListBullet"/>
        <w:spacing w:after="60"/>
      </w:pPr>
      <w:r>
        <w:t>Which services are Clinical Support and carry no contribution.</w:t>
      </w:r>
    </w:p>
    <w:p>
      <w:pPr>
        <w:pStyle w:val="ListBullet"/>
        <w:spacing w:after="60"/>
      </w:pPr>
      <w:r>
        <w:t>Their contribution for each Independence and Everyday Living service.</w:t>
      </w:r>
    </w:p>
    <w:p>
      <w:pPr>
        <w:pStyle w:val="ListBullet"/>
        <w:spacing w:after="60"/>
      </w:pPr>
      <w:r>
        <w:t>The expected contribution across a typical [month], stated as an estimate that moves with the services delivered.</w:t>
      </w:r>
    </w:p>
    <w:p>
      <w:pPr>
        <w:pStyle w:val="ListBullet"/>
        <w:spacing w:after="60"/>
      </w:pPr>
      <w:r>
        <w:t>How and when invoices are issued, accepted payment methods, and payment terms.</w:t>
      </w:r>
    </w:p>
    <w:p>
      <w:pPr>
        <w:pStyle w:val="ListBullet"/>
        <w:spacing w:after="60"/>
      </w:pPr>
      <w:r>
        <w:t>What happens if they cannot pay, including how to request hardship support.</w:t>
      </w:r>
    </w:p>
    <w:p>
      <w:pPr>
        <w:pStyle w:val="ListBullet"/>
        <w:spacing w:after="60"/>
      </w:pPr>
      <w:r>
        <w:t>How to query or dispute an amount, and the contact point for doing so.</w:t>
      </w:r>
    </w:p>
    <w:p>
      <w:r>
        <w:t>The care partner gives this with the service agreement and records the date. Where an interpreter, registered supporter or advocate is used, the statement is explained through that person and the fact recorded. Later changes to services or prices are put in writing before the changed service is delivered.</w:t>
      </w:r>
    </w:p>
    <w:p>
      <w:pPr>
        <w:spacing w:before="160" w:after="60"/>
      </w:pPr>
      <w:r>
        <w:rPr>
          <w:b/>
          <w:sz w:val="23"/>
        </w:rPr>
        <w:t>5.6 Invoicing and monthly statements</w:t>
      </w:r>
    </w:p>
    <w:p>
      <w:pPr>
        <w:pStyle w:val="ListBullet"/>
        <w:spacing w:after="60"/>
      </w:pPr>
      <w:r>
        <w:t>Invoices are issued [monthly in arrears] and itemise each service delivered, its date, the published price, the contribution charged and the amount funded.</w:t>
      </w:r>
    </w:p>
    <w:p>
      <w:pPr>
        <w:pStyle w:val="ListBullet"/>
        <w:spacing w:after="60"/>
      </w:pPr>
      <w:r>
        <w:t>Clinical Support lines appear at zero contribution so the participant can see they were delivered and fully funded.</w:t>
      </w:r>
    </w:p>
    <w:p>
      <w:pPr>
        <w:pStyle w:val="ListBullet"/>
        <w:spacing w:after="60"/>
      </w:pPr>
      <w:r>
        <w:t>No charge appears for a service not delivered. Cancelled visits are shown and treated under [Cancellation Procedure].</w:t>
      </w:r>
    </w:p>
    <w:p>
      <w:pPr>
        <w:pStyle w:val="ListBullet"/>
        <w:spacing w:after="60"/>
      </w:pPr>
      <w:r>
        <w:t>A monthly statement shows the quarterly budget, funds used, funds remaining and any amount expected to carry over, up to $1,000 or 10% of the quarterly budget, whichever is higher.</w:t>
      </w:r>
    </w:p>
    <w:p>
      <w:pPr>
        <w:pStyle w:val="ListBullet"/>
        <w:spacing w:after="60"/>
      </w:pPr>
      <w:r>
        <w:t>Statements are issued in the preferred format and language where practicable, and copies retained.</w:t>
      </w:r>
    </w:p>
    <w:p>
      <w:pPr>
        <w:pStyle w:val="ListBullet"/>
        <w:spacing w:after="60"/>
      </w:pPr>
      <w:r>
        <w:t>[Finance and Compliance Manager] samples [10] invoices monthly against delivered-service records and the published price list, and records the result.</w:t>
      </w:r>
    </w:p>
    <w:p>
      <w:pPr>
        <w:spacing w:before="160" w:after="60"/>
      </w:pPr>
      <w:r>
        <w:rPr>
          <w:b/>
          <w:sz w:val="23"/>
        </w:rPr>
        <w:t>5.7 Financial hardship</w:t>
      </w:r>
    </w:p>
    <w:p>
      <w:r>
        <w:t>A participant who cannot afford their contribution is offered a hardship pathway the day the concern is raised. Staff do not ask them to stop services first.</w:t>
      </w:r>
    </w:p>
    <w:p>
      <w:pPr>
        <w:pStyle w:val="ListBullet"/>
        <w:spacing w:after="60"/>
      </w:pPr>
      <w:r>
        <w:t>Any staff member who hears an affordability concern refers it to the care partner that business day.</w:t>
      </w:r>
    </w:p>
    <w:p>
      <w:pPr>
        <w:pStyle w:val="ListBullet"/>
        <w:spacing w:after="60"/>
      </w:pPr>
      <w:r>
        <w:t>The care partner contacts them within [2] business days, explains the pathway, and offers help with Services Australia processes and referral to a financial counsellor or advocate.</w:t>
      </w:r>
    </w:p>
    <w:p>
      <w:pPr>
        <w:pStyle w:val="ListBullet"/>
        <w:spacing w:after="60"/>
      </w:pPr>
      <w:r>
        <w:t>Collection activity pauses while a hardship request is being considered.</w:t>
      </w:r>
    </w:p>
    <w:p>
      <w:pPr>
        <w:pStyle w:val="ListBullet"/>
        <w:spacing w:after="60"/>
      </w:pPr>
      <w:r>
        <w:t>[Finance and Compliance Manager] decides within [10] business days and gives the decision in writing with reasons and review rights.</w:t>
      </w:r>
    </w:p>
    <w:p>
      <w:pPr>
        <w:pStyle w:val="ListBullet"/>
        <w:spacing w:after="60"/>
      </w:pPr>
      <w:r>
        <w:t>Agreed arrangements, such as a payment plan or revised service mix, are documented, given to the participant and reviewed at least [quarterly].</w:t>
      </w:r>
    </w:p>
    <w:p>
      <w:pPr>
        <w:pStyle w:val="ListBullet"/>
        <w:spacing w:after="60"/>
      </w:pPr>
      <w:r>
        <w:t>Hardship decisions are reported in de-identified form to the [Board] [quarterly].</w:t>
      </w:r>
    </w:p>
    <w:p>
      <w:pPr>
        <w:spacing w:before="160" w:after="60"/>
      </w:pPr>
      <w:r>
        <w:rPr>
          <w:b/>
          <w:sz w:val="23"/>
        </w:rPr>
        <w:t>5.8 Queries, billing errors and disputes</w:t>
      </w:r>
    </w:p>
    <w:p>
      <w:pPr>
        <w:pStyle w:val="ListBullet"/>
        <w:spacing w:after="60"/>
      </w:pPr>
      <w:r>
        <w:t>A participant may query any amount by any method, including verbally to a worker, and it is recorded the same day.</w:t>
      </w:r>
    </w:p>
    <w:p>
      <w:pPr>
        <w:pStyle w:val="ListBullet"/>
        <w:spacing w:after="60"/>
      </w:pPr>
      <w:r>
        <w:t>The disputed amount goes on hold immediately and no reminder notice is sent while it is in dispute.</w:t>
      </w:r>
    </w:p>
    <w:p>
      <w:pPr>
        <w:pStyle w:val="ListBullet"/>
        <w:spacing w:after="60"/>
      </w:pPr>
      <w:r>
        <w:t>[Finance and Compliance Manager] acknowledges within [2] business days and resolves within [14] business days, or explains the delay in writing.</w:t>
      </w:r>
    </w:p>
    <w:p>
      <w:pPr>
        <w:pStyle w:val="ListBullet"/>
        <w:spacing w:after="60"/>
      </w:pPr>
      <w:r>
        <w:t>Where we overcharged, we say so plainly, refund or credit within [1] billing cycle, and record the cause so the error is fixed at system level.</w:t>
      </w:r>
    </w:p>
    <w:p>
      <w:pPr>
        <w:pStyle w:val="ListBullet"/>
        <w:spacing w:after="60"/>
      </w:pPr>
      <w:r>
        <w:t>A participant who is not satisfied is told in writing of their right to complain to the Aged Care Quality and Safety Commission, and offered support to do so.</w:t>
      </w:r>
    </w:p>
    <w:p>
      <w:pPr>
        <w:pStyle w:val="ListBullet"/>
        <w:spacing w:after="60"/>
      </w:pPr>
      <w:r>
        <w:t>All queries and outcomes are logged in the [Feedback and Complaints Register] and themed [quarterly].</w:t>
      </w:r>
    </w:p>
    <w:p>
      <w:pPr>
        <w:spacing w:before="160" w:after="60"/>
      </w:pPr>
      <w:r>
        <w:rPr>
          <w:b/>
          <w:sz w:val="23"/>
        </w:rPr>
        <w:t>5.9 Unpaid contributions and continuity of care</w:t>
      </w:r>
    </w:p>
    <w:p>
      <w:r>
        <w:t>Non-payment is treated first as a sign of need. [Organisation Name] does not stop, reduce or withdraw services abruptly over an unpaid contribution.</w:t>
      </w:r>
    </w:p>
    <w:p>
      <w:pPr>
        <w:pStyle w:val="ListBullet"/>
        <w:spacing w:after="60"/>
      </w:pPr>
      <w:r>
        <w:rPr>
          <w:b/>
        </w:rPr>
        <w:t xml:space="preserve">Step 1: </w:t>
      </w:r>
      <w:r>
        <w:t>at [30] days overdue, a plain-language reminder is sent and the care partner notified.</w:t>
      </w:r>
    </w:p>
    <w:p>
      <w:pPr>
        <w:pStyle w:val="ListBullet"/>
        <w:spacing w:after="60"/>
      </w:pPr>
      <w:r>
        <w:rPr>
          <w:b/>
        </w:rPr>
        <w:t xml:space="preserve">Step 2: </w:t>
      </w:r>
      <w:r>
        <w:t>at [45] days, the care partner makes personal contact to check for hardship, capacity change or elder financial abuse, and records what they find.</w:t>
      </w:r>
    </w:p>
    <w:p>
      <w:pPr>
        <w:pStyle w:val="ListBullet"/>
        <w:spacing w:after="60"/>
      </w:pPr>
      <w:r>
        <w:rPr>
          <w:b/>
        </w:rPr>
        <w:t xml:space="preserve">Step 3: </w:t>
      </w:r>
      <w:r>
        <w:t>at [60] days, a hardship assessment or payment plan is offered in writing, with referral to independent advocacy.</w:t>
      </w:r>
    </w:p>
    <w:p>
      <w:pPr>
        <w:pStyle w:val="ListBullet"/>
        <w:spacing w:after="60"/>
      </w:pPr>
      <w:r>
        <w:rPr>
          <w:b/>
        </w:rPr>
        <w:t xml:space="preserve">Step 4: </w:t>
      </w:r>
      <w:r>
        <w:t>any proposal to change or end services is considered only by [Chief Executive Officer], only after the steps above are documented, and only with written notice and a care transition plan.</w:t>
      </w:r>
    </w:p>
    <w:p>
      <w:pPr>
        <w:pStyle w:val="ListBullet"/>
        <w:spacing w:after="60"/>
      </w:pPr>
      <w:r>
        <w:rPr>
          <w:b/>
        </w:rPr>
        <w:t xml:space="preserve">At all times: </w:t>
      </w:r>
      <w:r>
        <w:t>Clinical Support and any service needed to keep the participant safe continue throughout.</w:t>
      </w:r>
    </w:p>
    <w:p>
      <w:r>
        <w:t>Suspected financial abuse is escalated immediately under [Abuse and Neglect Prevention Policy] and the serious incident reporting procedure, whatever the state of the account.</w:t>
      </w:r>
    </w:p>
    <w:p>
      <w:pPr>
        <w:spacing w:before="160" w:after="60"/>
      </w:pPr>
      <w:r>
        <w:rPr>
          <w:b/>
          <w:sz w:val="23"/>
        </w:rPr>
        <w:t>5.10 Records, reporting and internal audit</w:t>
      </w:r>
    </w:p>
    <w:p>
      <w:pPr>
        <w:pStyle w:val="ListBullet"/>
        <w:spacing w:after="60"/>
      </w:pPr>
      <w:r>
        <w:t>Contribution records, rate advice, written disclosures, invoices, statements, hardship decisions and dispute outcomes are retained under [Record Keeping Policy].</w:t>
      </w:r>
    </w:p>
    <w:p>
      <w:pPr>
        <w:pStyle w:val="ListBullet"/>
        <w:spacing w:after="60"/>
      </w:pPr>
      <w:r>
        <w:t>Contribution data is reconciled against the Quarterly Financial Report (QFR) and Aged Care Financial Report (ACFR) before they are lodged.</w:t>
      </w:r>
    </w:p>
    <w:p>
      <w:pPr>
        <w:pStyle w:val="ListBullet"/>
        <w:spacing w:after="60"/>
      </w:pPr>
      <w:r>
        <w:t>Start notifications to Services Australia are checked against the recorded service start date and written disclosure date.</w:t>
      </w:r>
    </w:p>
    <w:p>
      <w:pPr>
        <w:pStyle w:val="ListBullet"/>
        <w:spacing w:after="60"/>
      </w:pPr>
      <w:r>
        <w:t>[Finance and Compliance Manager] reports to the [Board] [quarterly] on billing errors, hardship requests, disputes, overdue accounts and any service change arising from non-payment.</w:t>
      </w:r>
    </w:p>
    <w:p>
      <w:pPr>
        <w:pStyle w:val="ListBullet"/>
        <w:spacing w:after="60"/>
      </w:pPr>
      <w:r>
        <w:t>An internal audit of this policy is completed at least [annually] and findings tracked to closure in the [Quality and Risk Register].</w:t>
      </w:r>
    </w:p>
    <w:p>
      <w:pPr>
        <w:spacing w:before="240" w:after="80"/>
      </w:pPr>
      <w:r>
        <w:rPr>
          <w:b/>
          <w:sz w:val="26"/>
        </w:rPr>
        <w:t>6. Roles and Responsibilities</w:t>
      </w:r>
    </w:p>
    <w:tbl>
      <w:tblPr>
        <w:tblStyle w:val="TableGrid"/>
        <w:tblW w:type="auto" w:w="0"/>
        <w:jc w:val="left"/>
        <w:tblLook w:firstColumn="1" w:firstRow="1" w:lastColumn="0" w:lastRow="0" w:noHBand="0" w:noVBand="1" w:val="04A0"/>
      </w:tblPr>
      <w:tblGrid>
        <w:gridCol w:w="4680"/>
        <w:gridCol w:w="4680"/>
      </w:tblGrid>
      <w:tr>
        <w:tc>
          <w:tcPr>
            <w:tcW w:type="dxa" w:w="2736"/>
          </w:tcPr>
          <w:p>
            <w:pPr>
              <w:spacing w:after="40"/>
            </w:pPr>
            <w:r/>
            <w:r>
              <w:rPr>
                <w:b/>
              </w:rPr>
              <w:t>Role</w:t>
            </w:r>
          </w:p>
        </w:tc>
        <w:tc>
          <w:tcPr>
            <w:tcW w:type="dxa" w:w="6624"/>
          </w:tcPr>
          <w:p>
            <w:pPr>
              <w:spacing w:after="40"/>
            </w:pPr>
            <w:r/>
            <w:r>
              <w:rPr>
                <w:b/>
              </w:rPr>
              <w:t>Responsibility</w:t>
            </w:r>
          </w:p>
        </w:tc>
      </w:tr>
      <w:tr>
        <w:tc>
          <w:tcPr>
            <w:tcW w:type="dxa" w:w="2736"/>
          </w:tcPr>
          <w:p>
            <w:pPr>
              <w:spacing w:after="40"/>
            </w:pPr>
            <w:r/>
            <w:r>
              <w:t>Board</w:t>
            </w:r>
          </w:p>
        </w:tc>
        <w:tc>
          <w:tcPr>
            <w:tcW w:type="dxa" w:w="6624"/>
          </w:tcPr>
          <w:p>
            <w:pPr>
              <w:spacing w:after="40"/>
            </w:pPr>
            <w:r/>
            <w:r>
              <w:t>Approves this policy and the pricing approach. Receives quarterly reporting on hardship, disputes, billing errors and service changes arising from non-payment.</w:t>
            </w:r>
          </w:p>
        </w:tc>
      </w:tr>
      <w:tr>
        <w:tc>
          <w:tcPr>
            <w:tcW w:type="dxa" w:w="2736"/>
          </w:tcPr>
          <w:p>
            <w:pPr>
              <w:spacing w:after="40"/>
            </w:pPr>
            <w:r/>
            <w:r>
              <w:t>Chief Executive Officer</w:t>
            </w:r>
          </w:p>
        </w:tc>
        <w:tc>
          <w:tcPr>
            <w:tcW w:type="dxa" w:w="6624"/>
          </w:tcPr>
          <w:p>
            <w:pPr>
              <w:spacing w:after="40"/>
            </w:pPr>
            <w:r/>
            <w:r>
              <w:t>Approves published prices and the cost basis supporting them. Sole approver of any proposal to change or end services where payment is a factor.</w:t>
            </w:r>
          </w:p>
        </w:tc>
      </w:tr>
      <w:tr>
        <w:tc>
          <w:tcPr>
            <w:tcW w:type="dxa" w:w="2736"/>
          </w:tcPr>
          <w:p>
            <w:pPr>
              <w:spacing w:after="40"/>
            </w:pPr>
            <w:r/>
            <w:r>
              <w:t>Finance and Compliance Manager</w:t>
            </w:r>
          </w:p>
        </w:tc>
        <w:tc>
          <w:tcPr>
            <w:tcW w:type="dxa" w:w="6624"/>
          </w:tcPr>
          <w:p>
            <w:pPr>
              <w:spacing w:after="40"/>
            </w:pPr>
            <w:r/>
            <w:r>
              <w:t>Owns the master price list and the price reconciliation. Enters rates, decides hardship requests, resolves disputes, runs the monthly invoice sample and reports to the Board.</w:t>
            </w:r>
          </w:p>
        </w:tc>
      </w:tr>
      <w:tr>
        <w:tc>
          <w:tcPr>
            <w:tcW w:type="dxa" w:w="2736"/>
          </w:tcPr>
          <w:p>
            <w:pPr>
              <w:spacing w:after="40"/>
            </w:pPr>
            <w:r/>
            <w:r>
              <w:t>Care Partner</w:t>
            </w:r>
          </w:p>
        </w:tc>
        <w:tc>
          <w:tcPr>
            <w:tcW w:type="dxa" w:w="6624"/>
          </w:tcPr>
          <w:p>
            <w:pPr>
              <w:spacing w:after="40"/>
            </w:pPr>
            <w:r/>
            <w:r>
              <w:t>Classifies services, gives and explains the written statement of costs before services start, refers affordability concerns the same business day and makes contact on overdue accounts.</w:t>
            </w:r>
          </w:p>
        </w:tc>
      </w:tr>
      <w:tr>
        <w:tc>
          <w:tcPr>
            <w:tcW w:type="dxa" w:w="2736"/>
          </w:tcPr>
          <w:p>
            <w:pPr>
              <w:spacing w:after="40"/>
            </w:pPr>
            <w:r/>
            <w:r>
              <w:t>Finance Officer</w:t>
            </w:r>
          </w:p>
        </w:tc>
        <w:tc>
          <w:tcPr>
            <w:tcW w:type="dxa" w:w="6624"/>
          </w:tcPr>
          <w:p>
            <w:pPr>
              <w:spacing w:after="40"/>
            </w:pPr>
            <w:r/>
            <w:r>
              <w:t>Raises invoices and statements, applies rate changes from the effective date, pauses collection on disputed amounts and processes refunds.</w:t>
            </w:r>
          </w:p>
        </w:tc>
      </w:tr>
      <w:tr>
        <w:tc>
          <w:tcPr>
            <w:tcW w:type="dxa" w:w="2736"/>
          </w:tcPr>
          <w:p>
            <w:pPr>
              <w:spacing w:after="40"/>
            </w:pPr>
            <w:r/>
            <w:r>
              <w:t>Workers and subcontracted providers</w:t>
            </w:r>
          </w:p>
        </w:tc>
        <w:tc>
          <w:tcPr>
            <w:tcW w:type="dxa" w:w="6624"/>
          </w:tcPr>
          <w:p>
            <w:pPr>
              <w:spacing w:after="40"/>
            </w:pPr>
            <w:r/>
            <w:r>
              <w:t>Charge only our published price, never add travel or administration charges, and pass affordability concerns or billing queries to the care partner.</w:t>
            </w:r>
          </w:p>
        </w:tc>
      </w:tr>
    </w:tbl>
    <w:p>
      <w:pPr>
        <w:spacing w:after="40"/>
      </w:pPr>
    </w:p>
    <w:p>
      <w:pPr>
        <w:spacing w:before="240" w:after="80"/>
      </w:pPr>
      <w:r>
        <w:rPr>
          <w:b/>
          <w:sz w:val="26"/>
        </w:rPr>
        <w:t>7. Related Policies</w:t>
      </w:r>
    </w:p>
    <w:p>
      <w:pPr>
        <w:pStyle w:val="ListBullet"/>
        <w:spacing w:after="60"/>
      </w:pPr>
      <w:r>
        <w:t>Fee Transparency and Financial Governance Policy</w:t>
      </w:r>
    </w:p>
    <w:p>
      <w:pPr>
        <w:pStyle w:val="ListBullet"/>
        <w:spacing w:after="60"/>
      </w:pPr>
      <w:r>
        <w:t>Financial Hardship Policy</w:t>
      </w:r>
    </w:p>
    <w:p>
      <w:pPr>
        <w:pStyle w:val="ListBullet"/>
        <w:spacing w:after="60"/>
      </w:pPr>
      <w:r>
        <w:t>Support at Home Service Agreement Policy</w:t>
      </w:r>
    </w:p>
    <w:p>
      <w:pPr>
        <w:pStyle w:val="ListBullet"/>
        <w:spacing w:after="60"/>
      </w:pPr>
      <w:r>
        <w:t>Feedback and Complaints Management Policy</w:t>
      </w:r>
    </w:p>
    <w:p>
      <w:pPr>
        <w:pStyle w:val="ListBullet"/>
        <w:spacing w:after="60"/>
      </w:pPr>
      <w:r>
        <w:t>Suspension and Cessation of Services Policy</w:t>
      </w:r>
    </w:p>
    <w:p>
      <w:pPr>
        <w:pStyle w:val="ListBullet"/>
        <w:spacing w:after="60"/>
      </w:pPr>
      <w:r>
        <w:t>Abuse and Neglect Prevention Policy</w:t>
      </w:r>
    </w:p>
    <w:p>
      <w:pPr>
        <w:pStyle w:val="ListBullet"/>
        <w:spacing w:after="60"/>
      </w:pPr>
      <w:r>
        <w:t>Record Keeping Policy</w:t>
      </w:r>
    </w:p>
    <w:p>
      <w:pPr>
        <w:spacing w:before="240" w:after="80"/>
      </w:pPr>
      <w:r>
        <w:rPr>
          <w:b/>
          <w:sz w:val="26"/>
        </w:rPr>
        <w:t>8. Relevant Legislation and Standards</w:t>
      </w:r>
    </w:p>
    <w:p>
      <w:pPr>
        <w:pStyle w:val="ListBullet"/>
        <w:spacing w:after="60"/>
      </w:pPr>
      <w:r>
        <w:t>Aged Care Act 2024 (Cth)</w:t>
      </w:r>
    </w:p>
    <w:p>
      <w:pPr>
        <w:pStyle w:val="ListBullet"/>
        <w:spacing w:after="60"/>
      </w:pPr>
      <w:r>
        <w:t>Aged Care Quality and Safety Commission Act 2018 (Cth)</w:t>
      </w:r>
    </w:p>
    <w:p>
      <w:pPr>
        <w:pStyle w:val="ListBullet"/>
        <w:spacing w:after="60"/>
      </w:pPr>
      <w:r>
        <w:t>Strengthened Aged Care Quality Standards, including Standard 1 (the person) and Standard 2 (the organisation)</w:t>
      </w:r>
    </w:p>
    <w:p>
      <w:pPr>
        <w:pStyle w:val="ListBullet"/>
        <w:spacing w:after="60"/>
      </w:pPr>
      <w:r>
        <w:t>Support at Home program manual: A guide for registered providers (version 4.0, December 2025)</w:t>
      </w:r>
    </w:p>
    <w:p>
      <w:pPr>
        <w:pStyle w:val="ListBullet"/>
        <w:spacing w:after="60"/>
      </w:pPr>
      <w:r>
        <w:t>Australian Consumer Law, Schedule 2 to the Competition and Consumer Act 2010 (Cth)</w:t>
      </w:r>
    </w:p>
    <w:p>
      <w:pPr>
        <w:spacing w:before="240" w:after="80"/>
      </w:pPr>
      <w:r>
        <w:rPr>
          <w:b/>
          <w:sz w:val="26"/>
        </w:rPr>
        <w:t>9. Monitoring and Review</w:t>
      </w:r>
    </w:p>
    <w:p>
      <w:r>
        <w:t>This policy is reviewed at least annually by [Finance and Compliance Manager] and approved by the [Board], and earlier when contribution or pricing requirements change, when an audit or complaint identifies a gap, or when a billing error affects more than [one] participant.</w:t>
      </w:r>
    </w:p>
    <w:p>
      <w:r>
        <w:t>Monitoring measures include: the monthly invoice sample result; the number and cause of billing errors; time taken to resolve fee queries; hardship requests received, approved and declined; accounts reaching each overdue step; and participants whose services changed where payment was a factor. Target: no participant loses a needed service because of an unpaid contribution.</w:t>
      </w:r>
    </w:p>
    <w:p/>
    <w:p>
      <w:pPr>
        <w:spacing w:before="160" w:after="60"/>
      </w:pPr>
      <w:r>
        <w:rPr>
          <w:b/>
          <w:sz w:val="23"/>
        </w:rPr>
        <w:t>Document Control</w:t>
      </w:r>
    </w:p>
    <w:tbl>
      <w:tblPr>
        <w:tblStyle w:val="TableGrid"/>
        <w:tblW w:type="auto" w:w="0"/>
        <w:jc w:val="left"/>
        <w:tblLook w:firstColumn="1" w:firstRow="1" w:lastColumn="0" w:lastRow="0" w:noHBand="0" w:noVBand="1" w:val="04A0"/>
      </w:tblPr>
      <w:tblGrid>
        <w:gridCol w:w="2340"/>
        <w:gridCol w:w="2340"/>
        <w:gridCol w:w="2340"/>
        <w:gridCol w:w="2340"/>
      </w:tblGrid>
      <w:tr>
        <w:tc>
          <w:tcPr>
            <w:tcW w:type="dxa" w:w="2448"/>
          </w:tcPr>
          <w:p>
            <w:pPr>
              <w:spacing w:after="40"/>
            </w:pPr>
            <w:r/>
            <w:r>
              <w:rPr>
                <w:b/>
              </w:rPr>
              <w:t>Reviewed By</w:t>
            </w:r>
          </w:p>
        </w:tc>
        <w:tc>
          <w:tcPr>
            <w:tcW w:type="dxa" w:w="2592"/>
          </w:tcPr>
          <w:p>
            <w:pPr>
              <w:spacing w:after="40"/>
            </w:pPr>
            <w:r/>
            <w:r>
              <w:rPr>
                <w:b/>
              </w:rPr>
              <w:t>Role</w:t>
            </w:r>
          </w:p>
        </w:tc>
        <w:tc>
          <w:tcPr>
            <w:tcW w:type="dxa" w:w="2016"/>
          </w:tcPr>
          <w:p>
            <w:pPr>
              <w:spacing w:after="40"/>
            </w:pPr>
            <w:r/>
            <w:r>
              <w:rPr>
                <w:b/>
              </w:rPr>
              <w:t>Date</w:t>
            </w:r>
          </w:p>
        </w:tc>
        <w:tc>
          <w:tcPr>
            <w:tcW w:type="dxa" w:w="2304"/>
          </w:tcPr>
          <w:p>
            <w:pPr>
              <w:spacing w:after="40"/>
            </w:pPr>
            <w:r/>
            <w:r>
              <w:rPr>
                <w:b/>
              </w:rPr>
              <w:t>Signature</w:t>
            </w:r>
          </w:p>
        </w:tc>
      </w:tr>
      <w:tr>
        <w:tc>
          <w:tcPr>
            <w:tcW w:type="dxa" w:w="2448"/>
          </w:tcPr>
          <w:p>
            <w:pPr>
              <w:spacing w:after="40"/>
            </w:pPr>
            <w:r/>
            <w:r/>
          </w:p>
        </w:tc>
        <w:tc>
          <w:tcPr>
            <w:tcW w:type="dxa" w:w="2592"/>
          </w:tcPr>
          <w:p>
            <w:pPr>
              <w:spacing w:after="40"/>
            </w:pPr>
            <w:r/>
            <w:r/>
          </w:p>
        </w:tc>
        <w:tc>
          <w:tcPr>
            <w:tcW w:type="dxa" w:w="2016"/>
          </w:tcPr>
          <w:p>
            <w:pPr>
              <w:spacing w:after="40"/>
            </w:pPr>
            <w:r/>
            <w:r/>
          </w:p>
        </w:tc>
        <w:tc>
          <w:tcPr>
            <w:tcW w:type="dxa" w:w="2304"/>
          </w:tcPr>
          <w:p>
            <w:pPr>
              <w:spacing w:after="40"/>
            </w:pPr>
            <w:r/>
            <w:r/>
          </w:p>
        </w:tc>
      </w:tr>
      <w:tr>
        <w:tc>
          <w:tcPr>
            <w:tcW w:type="dxa" w:w="2448"/>
          </w:tcPr>
          <w:p>
            <w:pPr>
              <w:spacing w:after="40"/>
            </w:pPr>
            <w:r/>
            <w:r>
              <w:rPr>
                <w:b/>
              </w:rPr>
              <w:t>Approved By</w:t>
            </w:r>
          </w:p>
        </w:tc>
        <w:tc>
          <w:tcPr>
            <w:tcW w:type="dxa" w:w="2592"/>
          </w:tcPr>
          <w:p>
            <w:pPr>
              <w:spacing w:after="40"/>
            </w:pPr>
            <w:r/>
            <w:r>
              <w:rPr>
                <w:b/>
              </w:rPr>
              <w:t>Role</w:t>
            </w:r>
          </w:p>
        </w:tc>
        <w:tc>
          <w:tcPr>
            <w:tcW w:type="dxa" w:w="2016"/>
          </w:tcPr>
          <w:p>
            <w:pPr>
              <w:spacing w:after="40"/>
            </w:pPr>
            <w:r/>
            <w:r>
              <w:rPr>
                <w:b/>
              </w:rPr>
              <w:t>Date</w:t>
            </w:r>
          </w:p>
        </w:tc>
        <w:tc>
          <w:tcPr>
            <w:tcW w:type="dxa" w:w="2304"/>
          </w:tcPr>
          <w:p>
            <w:pPr>
              <w:spacing w:after="40"/>
            </w:pPr>
            <w:r/>
            <w:r>
              <w:rPr>
                <w:b/>
              </w:rPr>
              <w:t>Signature</w:t>
            </w:r>
          </w:p>
        </w:tc>
      </w:tr>
      <w:tr>
        <w:tc>
          <w:tcPr>
            <w:tcW w:type="dxa" w:w="2448"/>
          </w:tcPr>
          <w:p>
            <w:pPr>
              <w:spacing w:after="40"/>
            </w:pPr>
            <w:r/>
            <w:r/>
          </w:p>
        </w:tc>
        <w:tc>
          <w:tcPr>
            <w:tcW w:type="dxa" w:w="2592"/>
          </w:tcPr>
          <w:p>
            <w:pPr>
              <w:spacing w:after="40"/>
            </w:pPr>
            <w:r/>
            <w:r/>
          </w:p>
        </w:tc>
        <w:tc>
          <w:tcPr>
            <w:tcW w:type="dxa" w:w="2016"/>
          </w:tcPr>
          <w:p>
            <w:pPr>
              <w:spacing w:after="40"/>
            </w:pPr>
            <w:r/>
            <w:r/>
          </w:p>
        </w:tc>
        <w:tc>
          <w:tcPr>
            <w:tcW w:type="dxa" w:w="2304"/>
          </w:tcPr>
          <w:p>
            <w:pPr>
              <w:spacing w:after="40"/>
            </w:pPr>
            <w:r/>
            <w:r/>
          </w:p>
        </w:tc>
      </w:tr>
    </w:tbl>
    <w:p>
      <w:pPr>
        <w:spacing w:after="40"/>
      </w:pPr>
    </w:p>
    <w:sectPr w:rsidR="00FC693F" w:rsidRPr="0006063C" w:rsidSect="00034616">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