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yellow"/>
        </w:rPr>
      </w:pPr>
      <w:r w:rsidDel="00000000" w:rsidR="00000000" w:rsidRPr="00000000">
        <w:rPr>
          <w:highlight w:val="yellow"/>
          <w:rtl w:val="0"/>
        </w:rPr>
        <w:t xml:space="preserve">När ett aktiebolag ger ut aktier, teckningsoptioner eller konvertibler så måste det registreras hos Bolagsverket inom 6 månader från beslutet. Ibland händer det att registreringen inte skickas in i tid. I det fallet har bolaget två år på sig att skicka in en sen anmälan. För att kunna göra det måste varje investerare skriva på att den står fast vid teckningen, trots att registreringen skett för sent. Dessa dokument måste skickas in till Bolagsverket tillsammans med övriga handlingar som behövs för registreringen. Detta dokument är en mall som kan användas för detta ändamål. Notera att texten på svenska är obligatorisk; texten på engelska kan tas bort.</w:t>
      </w:r>
    </w:p>
    <w:p w:rsidR="00000000" w:rsidDel="00000000" w:rsidP="00000000" w:rsidRDefault="00000000" w:rsidRPr="00000000" w14:paraId="00000002">
      <w:pPr>
        <w:spacing w:before="240" w:line="335" w:lineRule="auto"/>
        <w:rPr>
          <w:highlight w:val="yellow"/>
        </w:rPr>
      </w:pPr>
      <w:r w:rsidDel="00000000" w:rsidR="00000000" w:rsidRPr="00000000">
        <w:rPr>
          <w:highlight w:val="yellow"/>
          <w:rtl w:val="0"/>
        </w:rPr>
        <w:t xml:space="preserve">Senast uppdaterad: 2022-12-14, se</w:t>
      </w:r>
      <w:hyperlink r:id="rId7">
        <w:r w:rsidDel="00000000" w:rsidR="00000000" w:rsidRPr="00000000">
          <w:rPr>
            <w:highlight w:val="yellow"/>
            <w:rtl w:val="0"/>
          </w:rPr>
          <w:t xml:space="preserve"> </w:t>
        </w:r>
      </w:hyperlink>
      <w:hyperlink r:id="rId8">
        <w:r w:rsidDel="00000000" w:rsidR="00000000" w:rsidRPr="00000000">
          <w:rPr>
            <w:color w:val="0000ff"/>
            <w:highlight w:val="yellow"/>
            <w:u w:val="single"/>
            <w:rtl w:val="0"/>
          </w:rPr>
          <w:t xml:space="preserve">ändringslogg</w:t>
        </w:r>
      </w:hyperlink>
      <w:r w:rsidDel="00000000" w:rsidR="00000000" w:rsidRPr="00000000">
        <w:rPr>
          <w:highlight w:val="yellow"/>
          <w:rtl w:val="0"/>
        </w:rPr>
        <w:t xml:space="preserve"> för alla detaljer.</w:t>
      </w:r>
    </w:p>
    <w:p w:rsidR="00000000" w:rsidDel="00000000" w:rsidP="00000000" w:rsidRDefault="00000000" w:rsidRPr="00000000" w14:paraId="00000003">
      <w:pPr>
        <w:rPr>
          <w:i w:val="1"/>
          <w:highlight w:val="yellow"/>
        </w:rPr>
      </w:pPr>
      <w:r w:rsidDel="00000000" w:rsidR="00000000" w:rsidRPr="00000000">
        <w:rPr>
          <w:i w:val="1"/>
          <w:highlight w:val="yellow"/>
          <w:rtl w:val="0"/>
        </w:rPr>
        <w:t xml:space="preserve">When a company issues shares, warrants or convertibles, it must be registered with Bolagsverket no later than 6 months after the decision. However, sometimes the registration does not happen on time. In that case, the company has 2 years to file a late registration. When doing so, then every investor in the issue must sign a document to the effect that they stand by their subscription. It must accompany the registration sent to Bolagsverket. This document is a template that can be used for this purpose. Note that the text in Swedish is mandatory; the English text can be removed.</w:t>
      </w:r>
    </w:p>
    <w:p w:rsidR="00000000" w:rsidDel="00000000" w:rsidP="00000000" w:rsidRDefault="00000000" w:rsidRPr="00000000" w14:paraId="00000004">
      <w:pPr>
        <w:spacing w:before="240" w:line="335" w:lineRule="auto"/>
        <w:rPr>
          <w:i w:val="1"/>
          <w:highlight w:val="yellow"/>
        </w:rPr>
      </w:pPr>
      <w:r w:rsidDel="00000000" w:rsidR="00000000" w:rsidRPr="00000000">
        <w:rPr>
          <w:i w:val="1"/>
          <w:highlight w:val="yellow"/>
          <w:rtl w:val="0"/>
        </w:rPr>
        <w:t xml:space="preserve">Latest update: December 12, 2022, see</w:t>
      </w:r>
      <w:hyperlink r:id="rId9">
        <w:r w:rsidDel="00000000" w:rsidR="00000000" w:rsidRPr="00000000">
          <w:rPr>
            <w:i w:val="1"/>
            <w:highlight w:val="yellow"/>
            <w:rtl w:val="0"/>
          </w:rPr>
          <w:t xml:space="preserve"> </w:t>
        </w:r>
      </w:hyperlink>
      <w:hyperlink r:id="rId10">
        <w:r w:rsidDel="00000000" w:rsidR="00000000" w:rsidRPr="00000000">
          <w:rPr>
            <w:i w:val="1"/>
            <w:color w:val="0000ff"/>
            <w:highlight w:val="yellow"/>
            <w:u w:val="single"/>
            <w:rtl w:val="0"/>
          </w:rPr>
          <w:t xml:space="preserve">changelog</w:t>
        </w:r>
      </w:hyperlink>
      <w:r w:rsidDel="00000000" w:rsidR="00000000" w:rsidRPr="00000000">
        <w:rPr>
          <w:i w:val="1"/>
          <w:highlight w:val="yellow"/>
          <w:rtl w:val="0"/>
        </w:rPr>
        <w:t xml:space="preserve"> for full details.</w:t>
      </w:r>
    </w:p>
    <w:p w:rsidR="00000000" w:rsidDel="00000000" w:rsidP="00000000" w:rsidRDefault="00000000" w:rsidRPr="00000000" w14:paraId="00000005">
      <w:pPr>
        <w:keepNext w:val="1"/>
        <w:widowControl w:val="0"/>
        <w:spacing w:after="120" w:before="320" w:lineRule="auto"/>
        <w:rPr>
          <w:rFonts w:ascii="Century Gothic" w:cs="Century Gothic" w:eastAsia="Century Gothic" w:hAnsi="Century Gothic"/>
          <w:smallCaps w:val="1"/>
          <w:color w:val="262626"/>
          <w:sz w:val="34"/>
          <w:szCs w:val="34"/>
          <w:highlight w:val="yellow"/>
        </w:rPr>
      </w:pPr>
      <w:r w:rsidDel="00000000" w:rsidR="00000000" w:rsidRPr="00000000">
        <w:rPr>
          <w:rFonts w:ascii="Century Gothic" w:cs="Century Gothic" w:eastAsia="Century Gothic" w:hAnsi="Century Gothic"/>
          <w:smallCaps w:val="1"/>
          <w:color w:val="262626"/>
          <w:sz w:val="34"/>
          <w:szCs w:val="34"/>
          <w:rtl w:val="0"/>
        </w:rPr>
        <w:t xml:space="preserve">BEKRÄFTELSE AV TECKNING AV </w:t>
      </w:r>
      <w:r w:rsidDel="00000000" w:rsidR="00000000" w:rsidRPr="00000000">
        <w:rPr>
          <w:rFonts w:ascii="Century Gothic" w:cs="Century Gothic" w:eastAsia="Century Gothic" w:hAnsi="Century Gothic"/>
          <w:smallCaps w:val="1"/>
          <w:color w:val="262626"/>
          <w:sz w:val="34"/>
          <w:szCs w:val="34"/>
          <w:highlight w:val="yellow"/>
          <w:rtl w:val="0"/>
        </w:rPr>
        <w:t xml:space="preserve">[AKTIER, TECKNINGSOPTIONER, KONVERTIBLER]</w:t>
      </w:r>
    </w:p>
    <w:p w:rsidR="00000000" w:rsidDel="00000000" w:rsidP="00000000" w:rsidRDefault="00000000" w:rsidRPr="00000000" w14:paraId="00000006">
      <w:pPr>
        <w:keepNext w:val="1"/>
        <w:widowControl w:val="0"/>
        <w:spacing w:after="120" w:before="320" w:lineRule="auto"/>
        <w:rPr>
          <w:rFonts w:ascii="Century Gothic" w:cs="Century Gothic" w:eastAsia="Century Gothic" w:hAnsi="Century Gothic"/>
          <w:i w:val="1"/>
          <w:smallCaps w:val="1"/>
          <w:color w:val="262626"/>
          <w:sz w:val="34"/>
          <w:szCs w:val="34"/>
          <w:highlight w:val="yellow"/>
        </w:rPr>
      </w:pPr>
      <w:r w:rsidDel="00000000" w:rsidR="00000000" w:rsidRPr="00000000">
        <w:rPr>
          <w:rFonts w:ascii="Century Gothic" w:cs="Century Gothic" w:eastAsia="Century Gothic" w:hAnsi="Century Gothic"/>
          <w:i w:val="1"/>
          <w:smallCaps w:val="1"/>
          <w:color w:val="262626"/>
          <w:sz w:val="34"/>
          <w:szCs w:val="34"/>
          <w:rtl w:val="0"/>
        </w:rPr>
        <w:t xml:space="preserve">CONFIRMATION OF SUBSCRIPTION FOR </w:t>
      </w:r>
      <w:r w:rsidDel="00000000" w:rsidR="00000000" w:rsidRPr="00000000">
        <w:rPr>
          <w:rFonts w:ascii="Century Gothic" w:cs="Century Gothic" w:eastAsia="Century Gothic" w:hAnsi="Century Gothic"/>
          <w:i w:val="1"/>
          <w:smallCaps w:val="1"/>
          <w:color w:val="262626"/>
          <w:sz w:val="34"/>
          <w:szCs w:val="34"/>
          <w:highlight w:val="yellow"/>
          <w:rtl w:val="0"/>
        </w:rPr>
        <w:t xml:space="preserve">[SHARES, WARRANTS, CONVERTIBLES]</w:t>
      </w:r>
    </w:p>
    <w:p w:rsidR="00000000" w:rsidDel="00000000" w:rsidP="00000000" w:rsidRDefault="00000000" w:rsidRPr="00000000" w14:paraId="00000007">
      <w:pPr>
        <w:rPr>
          <w:highlight w:val="yellow"/>
        </w:rPr>
      </w:pPr>
      <w:r w:rsidDel="00000000" w:rsidR="00000000" w:rsidRPr="00000000">
        <w:rPr>
          <w:highlight w:val="yellow"/>
          <w:rtl w:val="0"/>
        </w:rPr>
        <w:t xml:space="preserve">[Bolagsnamn AB]</w:t>
      </w:r>
      <w:r w:rsidDel="00000000" w:rsidR="00000000" w:rsidRPr="00000000">
        <w:rPr>
          <w:rtl w:val="0"/>
        </w:rPr>
        <w:t xml:space="preserve"> med organisationsnummer </w:t>
      </w:r>
      <w:r w:rsidDel="00000000" w:rsidR="00000000" w:rsidRPr="00000000">
        <w:rPr>
          <w:highlight w:val="yellow"/>
          <w:rtl w:val="0"/>
        </w:rPr>
        <w:t xml:space="preserve">[organisationsnummer]</w:t>
      </w:r>
      <w:r w:rsidDel="00000000" w:rsidR="00000000" w:rsidRPr="00000000">
        <w:rPr>
          <w:rtl w:val="0"/>
        </w:rPr>
        <w:t xml:space="preserve"> beslutade </w:t>
      </w:r>
      <w:r w:rsidDel="00000000" w:rsidR="00000000" w:rsidRPr="00000000">
        <w:rPr>
          <w:highlight w:val="yellow"/>
          <w:rtl w:val="0"/>
        </w:rPr>
        <w:t xml:space="preserve">[datum]</w:t>
      </w:r>
      <w:r w:rsidDel="00000000" w:rsidR="00000000" w:rsidRPr="00000000">
        <w:rPr>
          <w:rtl w:val="0"/>
        </w:rPr>
        <w:t xml:space="preserve"> om emission av </w:t>
      </w:r>
      <w:r w:rsidDel="00000000" w:rsidR="00000000" w:rsidRPr="00000000">
        <w:rPr>
          <w:highlight w:val="yellow"/>
          <w:rtl w:val="0"/>
        </w:rPr>
        <w:t xml:space="preserve">[aktier, teckningsoptioner, konvertibler].</w:t>
      </w:r>
    </w:p>
    <w:p w:rsidR="00000000" w:rsidDel="00000000" w:rsidP="00000000" w:rsidRDefault="00000000" w:rsidRPr="00000000" w14:paraId="00000008">
      <w:pPr>
        <w:rPr>
          <w:i w:val="1"/>
          <w:highlight w:val="yellow"/>
        </w:rPr>
      </w:pPr>
      <w:r w:rsidDel="00000000" w:rsidR="00000000" w:rsidRPr="00000000">
        <w:rPr>
          <w:i w:val="1"/>
          <w:highlight w:val="yellow"/>
          <w:rtl w:val="0"/>
        </w:rPr>
        <w:t xml:space="preserve">[Company name AB]</w:t>
      </w:r>
      <w:r w:rsidDel="00000000" w:rsidR="00000000" w:rsidRPr="00000000">
        <w:rPr>
          <w:i w:val="1"/>
          <w:rtl w:val="0"/>
        </w:rPr>
        <w:t xml:space="preserve"> with corporate registration number </w:t>
      </w:r>
      <w:r w:rsidDel="00000000" w:rsidR="00000000" w:rsidRPr="00000000">
        <w:rPr>
          <w:i w:val="1"/>
          <w:highlight w:val="yellow"/>
          <w:rtl w:val="0"/>
        </w:rPr>
        <w:t xml:space="preserve">[company registration number]</w:t>
      </w:r>
      <w:r w:rsidDel="00000000" w:rsidR="00000000" w:rsidRPr="00000000">
        <w:rPr>
          <w:i w:val="1"/>
          <w:rtl w:val="0"/>
        </w:rPr>
        <w:t xml:space="preserve"> decided on </w:t>
      </w:r>
      <w:r w:rsidDel="00000000" w:rsidR="00000000" w:rsidRPr="00000000">
        <w:rPr>
          <w:i w:val="1"/>
          <w:highlight w:val="yellow"/>
          <w:rtl w:val="0"/>
        </w:rPr>
        <w:t xml:space="preserve">[date]</w:t>
      </w:r>
      <w:r w:rsidDel="00000000" w:rsidR="00000000" w:rsidRPr="00000000">
        <w:rPr>
          <w:i w:val="1"/>
          <w:rtl w:val="0"/>
        </w:rPr>
        <w:t xml:space="preserve"> to issue </w:t>
      </w:r>
      <w:r w:rsidDel="00000000" w:rsidR="00000000" w:rsidRPr="00000000">
        <w:rPr>
          <w:i w:val="1"/>
          <w:highlight w:val="yellow"/>
          <w:rtl w:val="0"/>
        </w:rPr>
        <w:t xml:space="preserve">[shares, warrants, convertibles].</w:t>
      </w:r>
    </w:p>
    <w:p w:rsidR="00000000" w:rsidDel="00000000" w:rsidP="00000000" w:rsidRDefault="00000000" w:rsidRPr="00000000" w14:paraId="00000009">
      <w:pPr>
        <w:rPr/>
      </w:pPr>
      <w:r w:rsidDel="00000000" w:rsidR="00000000" w:rsidRPr="00000000">
        <w:rPr>
          <w:rtl w:val="0"/>
        </w:rPr>
        <w:t xml:space="preserve">Registreringen av emissionen hos Bolagsverket har inte skett i tid.</w:t>
      </w:r>
    </w:p>
    <w:p w:rsidR="00000000" w:rsidDel="00000000" w:rsidP="00000000" w:rsidRDefault="00000000" w:rsidRPr="00000000" w14:paraId="0000000A">
      <w:pPr>
        <w:rPr>
          <w:i w:val="1"/>
        </w:rPr>
      </w:pPr>
      <w:r w:rsidDel="00000000" w:rsidR="00000000" w:rsidRPr="00000000">
        <w:rPr>
          <w:i w:val="1"/>
          <w:rtl w:val="0"/>
        </w:rPr>
        <w:t xml:space="preserve">The registration of the issue to Bolagsverket has not been completed on time.</w:t>
      </w:r>
    </w:p>
    <w:p w:rsidR="00000000" w:rsidDel="00000000" w:rsidP="00000000" w:rsidRDefault="00000000" w:rsidRPr="00000000" w14:paraId="0000000B">
      <w:pPr>
        <w:rPr/>
      </w:pPr>
      <w:r w:rsidDel="00000000" w:rsidR="00000000" w:rsidRPr="00000000">
        <w:rPr>
          <w:rtl w:val="0"/>
        </w:rPr>
        <w:t xml:space="preserve">[</w:t>
      </w:r>
      <w:r w:rsidDel="00000000" w:rsidR="00000000" w:rsidRPr="00000000">
        <w:rPr>
          <w:highlight w:val="yellow"/>
          <w:rtl w:val="0"/>
        </w:rPr>
        <w:t xml:space="preserve">Investerare</w:t>
      </w:r>
      <w:r w:rsidDel="00000000" w:rsidR="00000000" w:rsidRPr="00000000">
        <w:rPr>
          <w:rtl w:val="0"/>
        </w:rPr>
        <w:t xml:space="preserve">] tecknade sig för </w:t>
      </w:r>
      <w:r w:rsidDel="00000000" w:rsidR="00000000" w:rsidRPr="00000000">
        <w:rPr>
          <w:highlight w:val="yellow"/>
          <w:rtl w:val="0"/>
        </w:rPr>
        <w:t xml:space="preserve">[antal]</w:t>
      </w:r>
      <w:r w:rsidDel="00000000" w:rsidR="00000000" w:rsidRPr="00000000">
        <w:rPr>
          <w:rtl w:val="0"/>
        </w:rPr>
        <w:t xml:space="preserve"> </w:t>
      </w:r>
      <w:r w:rsidDel="00000000" w:rsidR="00000000" w:rsidRPr="00000000">
        <w:rPr>
          <w:highlight w:val="yellow"/>
          <w:rtl w:val="0"/>
        </w:rPr>
        <w:t xml:space="preserve">[aktier/teckningsoptioner/konvertibler]</w:t>
      </w:r>
      <w:r w:rsidDel="00000000" w:rsidR="00000000" w:rsidRPr="00000000">
        <w:rPr>
          <w:rtl w:val="0"/>
        </w:rPr>
        <w:t xml:space="preserve"> i emissionen och bekräftar härmed att teckningen av aktierna kvarstår, trots att registreringen inte skedde i tid.</w:t>
      </w:r>
    </w:p>
    <w:p w:rsidR="00000000" w:rsidDel="00000000" w:rsidP="00000000" w:rsidRDefault="00000000" w:rsidRPr="00000000" w14:paraId="0000000C">
      <w:pPr>
        <w:rPr>
          <w:i w:val="1"/>
        </w:rPr>
      </w:pPr>
      <w:r w:rsidDel="00000000" w:rsidR="00000000" w:rsidRPr="00000000">
        <w:rPr>
          <w:i w:val="1"/>
          <w:rtl w:val="0"/>
        </w:rPr>
        <w:t xml:space="preserve">[</w:t>
      </w:r>
      <w:r w:rsidDel="00000000" w:rsidR="00000000" w:rsidRPr="00000000">
        <w:rPr>
          <w:i w:val="1"/>
          <w:highlight w:val="yellow"/>
          <w:rtl w:val="0"/>
        </w:rPr>
        <w:t xml:space="preserve">Investor</w:t>
      </w:r>
      <w:r w:rsidDel="00000000" w:rsidR="00000000" w:rsidRPr="00000000">
        <w:rPr>
          <w:i w:val="1"/>
          <w:rtl w:val="0"/>
        </w:rPr>
        <w:t xml:space="preserve">] subscribed for </w:t>
      </w:r>
      <w:r w:rsidDel="00000000" w:rsidR="00000000" w:rsidRPr="00000000">
        <w:rPr>
          <w:i w:val="1"/>
          <w:highlight w:val="yellow"/>
          <w:rtl w:val="0"/>
        </w:rPr>
        <w:t xml:space="preserve">[number]</w:t>
      </w:r>
      <w:r w:rsidDel="00000000" w:rsidR="00000000" w:rsidRPr="00000000">
        <w:rPr>
          <w:i w:val="1"/>
          <w:rtl w:val="0"/>
        </w:rPr>
        <w:t xml:space="preserve"> of </w:t>
      </w:r>
      <w:r w:rsidDel="00000000" w:rsidR="00000000" w:rsidRPr="00000000">
        <w:rPr>
          <w:i w:val="1"/>
          <w:highlight w:val="yellow"/>
          <w:rtl w:val="0"/>
        </w:rPr>
        <w:t xml:space="preserve">[shares/warrants/convertibles]</w:t>
      </w:r>
      <w:r w:rsidDel="00000000" w:rsidR="00000000" w:rsidRPr="00000000">
        <w:rPr>
          <w:i w:val="1"/>
          <w:rtl w:val="0"/>
        </w:rPr>
        <w:t xml:space="preserve"> in the issue and hereby confirms that it stands by the subscriptions, even though the registration has not been done on time.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Ort / </w:t>
      </w:r>
      <w:r w:rsidDel="00000000" w:rsidR="00000000" w:rsidRPr="00000000">
        <w:rPr>
          <w:i w:val="1"/>
          <w:rtl w:val="0"/>
        </w:rPr>
        <w:t xml:space="preserve">City</w:t>
      </w:r>
      <w:r w:rsidDel="00000000" w:rsidR="00000000" w:rsidRPr="00000000">
        <w:rPr>
          <w:rtl w:val="0"/>
        </w:rPr>
        <w:t xml:space="preserve">: </w:t>
        <w:tab/>
        <w:tab/>
        <w:tab/>
        <w:t xml:space="preserve">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Datum / </w:t>
      </w:r>
      <w:r w:rsidDel="00000000" w:rsidR="00000000" w:rsidRPr="00000000">
        <w:rPr>
          <w:i w:val="1"/>
          <w:rtl w:val="0"/>
        </w:rPr>
        <w:t xml:space="preserve">Date</w:t>
      </w:r>
      <w:r w:rsidDel="00000000" w:rsidR="00000000" w:rsidRPr="00000000">
        <w:rPr>
          <w:rtl w:val="0"/>
        </w:rPr>
        <w:t xml:space="preserve">:</w:t>
        <w:tab/>
        <w:tab/>
        <w:tab/>
        <w:t xml:space="preserve">_____________________</w:t>
      </w:r>
    </w:p>
    <w:p w:rsidR="00000000" w:rsidDel="00000000" w:rsidP="00000000" w:rsidRDefault="00000000" w:rsidRPr="00000000" w14:paraId="00000012">
      <w:pPr>
        <w:rPr/>
      </w:pPr>
      <w:r w:rsidDel="00000000" w:rsidR="00000000" w:rsidRPr="00000000">
        <w:rPr>
          <w:rtl w:val="0"/>
        </w:rPr>
        <w:tab/>
      </w:r>
    </w:p>
    <w:p w:rsidR="00000000" w:rsidDel="00000000" w:rsidP="00000000" w:rsidRDefault="00000000" w:rsidRPr="00000000" w14:paraId="00000013">
      <w:pPr>
        <w:rPr/>
      </w:pPr>
      <w:r w:rsidDel="00000000" w:rsidR="00000000" w:rsidRPr="00000000">
        <w:rPr>
          <w:rtl w:val="0"/>
        </w:rPr>
        <w:t xml:space="preserve">Underskrift / </w:t>
      </w:r>
      <w:r w:rsidDel="00000000" w:rsidR="00000000" w:rsidRPr="00000000">
        <w:rPr>
          <w:i w:val="1"/>
          <w:rtl w:val="0"/>
        </w:rPr>
        <w:t xml:space="preserve">Signature</w:t>
      </w:r>
      <w:r w:rsidDel="00000000" w:rsidR="00000000" w:rsidRPr="00000000">
        <w:rPr>
          <w:rtl w:val="0"/>
        </w:rPr>
        <w:t xml:space="preserve">:</w:t>
        <w:tab/>
        <w:tab/>
        <w:t xml:space="preserve">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Namnförtydligande:</w:t>
        <w:tab/>
        <w:tab/>
        <w:t xml:space="preserve">_____________________</w:t>
      </w:r>
    </w:p>
    <w:p w:rsidR="00000000" w:rsidDel="00000000" w:rsidP="00000000" w:rsidRDefault="00000000" w:rsidRPr="00000000" w14:paraId="00000016">
      <w:pPr>
        <w:rPr/>
      </w:pPr>
      <w:r w:rsidDel="00000000" w:rsidR="00000000" w:rsidRPr="00000000">
        <w:rPr>
          <w:i w:val="1"/>
          <w:rtl w:val="0"/>
        </w:rPr>
        <w:t xml:space="preserve">Clarification of signature</w:t>
        <w:tab/>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4" w:top="2155" w:left="1701" w:right="1418" w:header="851"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0" w:lineRule="auto"/>
      <w:rPr>
        <w:color w:val="000000"/>
        <w:sz w:val="12"/>
        <w:szCs w:val="1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30j0zll" w:id="1"/>
  <w:bookmarkEnd w:id="1"/>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0" w:lineRule="auto"/>
      <w:ind w:left="-567" w:firstLine="0"/>
      <w:rPr>
        <w:color w:val="000000"/>
        <w:sz w:val="12"/>
        <w:szCs w:val="12"/>
      </w:rPr>
    </w:pPr>
    <w:r w:rsidDel="00000000" w:rsidR="00000000" w:rsidRPr="00000000">
      <w:rPr>
        <w:color w:val="000000"/>
        <w:sz w:val="12"/>
        <w:szCs w:val="12"/>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0" w:lineRule="auto"/>
      <w:ind w:right="-569"/>
      <w:jc w:val="right"/>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pos="9356"/>
      </w:tabs>
      <w:spacing w:before="0" w:lineRule="auto"/>
      <w:ind w:left="-567" w:right="-2" w:firstLine="0"/>
      <w:jc w:val="both"/>
      <w:rPr>
        <w:color w:val="000000"/>
        <w:sz w:val="18"/>
        <w:szCs w:val="18"/>
      </w:rPr>
    </w:pPr>
    <w:bookmarkStart w:colFirst="0" w:colLast="0" w:name="_heading=h.gjdgxs" w:id="0"/>
    <w:bookmarkEnd w:id="0"/>
    <w:r w:rsidDel="00000000" w:rsidR="00000000" w:rsidRPr="00000000">
      <w:rPr>
        <w:color w:val="000000"/>
        <w:sz w:val="18"/>
        <w:szCs w:val="18"/>
        <w:rtl w:val="0"/>
      </w:rPr>
      <w:t xml:space="preserve">Download the latest version at </w:t>
    </w:r>
    <w:hyperlink r:id="rId1">
      <w:r w:rsidDel="00000000" w:rsidR="00000000" w:rsidRPr="00000000">
        <w:rPr>
          <w:color w:val="1155cc"/>
          <w:sz w:val="18"/>
          <w:szCs w:val="18"/>
          <w:u w:val="single"/>
          <w:rtl w:val="0"/>
        </w:rPr>
        <w:t xml:space="preserve">StartupTools.org</w:t>
      </w:r>
    </w:hyperlink>
    <w:r w:rsidDel="00000000" w:rsidR="00000000" w:rsidRPr="00000000">
      <w:rPr>
        <w:color w:val="000000"/>
        <w:sz w:val="18"/>
        <w:szCs w:val="18"/>
        <w:rtl w:val="0"/>
      </w:rPr>
      <w:tab/>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0" w:lineRule="auto"/>
      <w:jc w:val="right"/>
      <w:rPr>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pos="9356"/>
      </w:tabs>
      <w:spacing w:before="0" w:lineRule="auto"/>
      <w:ind w:left="-567" w:right="-2" w:firstLine="0"/>
      <w:jc w:val="both"/>
      <w:rPr>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sv-SE"/>
      </w:rPr>
    </w:rPrDefault>
    <w:pPrDefault>
      <w:pPr>
        <w:spacing w:before="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320" w:lineRule="auto"/>
    </w:pPr>
    <w:rPr>
      <w:rFonts w:ascii="Century Gothic" w:cs="Century Gothic" w:eastAsia="Century Gothic" w:hAnsi="Century Gothic"/>
    </w:rPr>
  </w:style>
  <w:style w:type="paragraph" w:styleId="Heading2">
    <w:name w:val="heading 2"/>
    <w:basedOn w:val="Normal"/>
    <w:next w:val="Normal"/>
    <w:pPr>
      <w:keepNext w:val="1"/>
      <w:spacing w:before="280" w:lineRule="auto"/>
    </w:pPr>
    <w:rPr>
      <w:rFonts w:ascii="Century Gothic" w:cs="Century Gothic" w:eastAsia="Century Gothic" w:hAnsi="Century Gothic"/>
      <w:sz w:val="22"/>
      <w:szCs w:val="22"/>
    </w:rPr>
  </w:style>
  <w:style w:type="paragraph" w:styleId="Heading3">
    <w:name w:val="heading 3"/>
    <w:basedOn w:val="Normal"/>
    <w:next w:val="Normal"/>
    <w:pPr>
      <w:keepNext w:val="1"/>
      <w:spacing w:before="240" w:lineRule="auto"/>
    </w:pPr>
    <w:rPr>
      <w:rFonts w:ascii="Century Gothic" w:cs="Century Gothic" w:eastAsia="Century Gothic" w:hAnsi="Century Gothic"/>
    </w:rPr>
  </w:style>
  <w:style w:type="paragraph" w:styleId="Heading4">
    <w:name w:val="heading 4"/>
    <w:basedOn w:val="Normal"/>
    <w:next w:val="Normal"/>
    <w:pPr>
      <w:keepNext w:val="1"/>
    </w:pPr>
    <w:rPr>
      <w:rFonts w:ascii="Century Gothic" w:cs="Century Gothic" w:eastAsia="Century Gothic" w:hAnsi="Century Gothic"/>
    </w:rPr>
  </w:style>
  <w:style w:type="paragraph" w:styleId="Heading5">
    <w:name w:val="heading 5"/>
    <w:basedOn w:val="Normal"/>
    <w:next w:val="Normal"/>
    <w:pPr>
      <w:keepNext w:val="1"/>
      <w:keepLines w:val="1"/>
      <w:spacing w:before="200" w:lineRule="auto"/>
    </w:pPr>
    <w:rPr>
      <w:rFonts w:ascii="Arial Narrow" w:cs="Arial Narrow" w:eastAsia="Arial Narrow" w:hAnsi="Arial Narrow"/>
      <w:color w:val="004354"/>
    </w:rPr>
  </w:style>
  <w:style w:type="paragraph" w:styleId="Heading6">
    <w:name w:val="heading 6"/>
    <w:basedOn w:val="Normal"/>
    <w:next w:val="Normal"/>
    <w:pPr>
      <w:keepNext w:val="1"/>
      <w:keepLines w:val="1"/>
      <w:spacing w:before="200" w:lineRule="auto"/>
    </w:pPr>
    <w:rPr>
      <w:rFonts w:ascii="Arial Narrow" w:cs="Arial Narrow" w:eastAsia="Arial Narrow" w:hAnsi="Arial Narrow"/>
      <w:i w:val="1"/>
      <w:color w:val="004354"/>
    </w:rPr>
  </w:style>
  <w:style w:type="paragraph" w:styleId="Title">
    <w:name w:val="Title"/>
    <w:basedOn w:val="Normal"/>
    <w:next w:val="Normal"/>
    <w:pPr>
      <w:pBdr>
        <w:bottom w:color="0088a9" w:space="4" w:sz="8" w:val="single"/>
      </w:pBdr>
      <w:spacing w:after="300" w:before="0" w:lineRule="auto"/>
    </w:pPr>
    <w:rPr>
      <w:rFonts w:ascii="Arial Narrow" w:cs="Arial Narrow" w:eastAsia="Arial Narrow" w:hAnsi="Arial Narrow"/>
      <w:color w:val="17365d"/>
      <w:sz w:val="52"/>
      <w:szCs w:val="52"/>
    </w:rPr>
  </w:style>
  <w:style w:type="paragraph" w:styleId="Normal" w:default="1">
    <w:name w:val="Normal"/>
    <w:qFormat w:val="1"/>
  </w:style>
  <w:style w:type="paragraph" w:styleId="Heading1">
    <w:name w:val="heading 1"/>
    <w:basedOn w:val="Normal"/>
    <w:next w:val="Normal"/>
    <w:uiPriority w:val="9"/>
    <w:qFormat w:val="1"/>
    <w:pPr>
      <w:keepNext w:val="1"/>
      <w:spacing w:before="320"/>
      <w:outlineLvl w:val="0"/>
    </w:pPr>
    <w:rPr>
      <w:rFonts w:ascii="Century Gothic" w:cs="Century Gothic" w:eastAsia="Century Gothic" w:hAnsi="Century Gothic"/>
    </w:rPr>
  </w:style>
  <w:style w:type="paragraph" w:styleId="Heading2">
    <w:name w:val="heading 2"/>
    <w:basedOn w:val="Normal"/>
    <w:next w:val="Normal"/>
    <w:uiPriority w:val="9"/>
    <w:semiHidden w:val="1"/>
    <w:unhideWhenUsed w:val="1"/>
    <w:qFormat w:val="1"/>
    <w:pPr>
      <w:keepNext w:val="1"/>
      <w:spacing w:before="280"/>
      <w:outlineLvl w:val="1"/>
    </w:pPr>
    <w:rPr>
      <w:rFonts w:ascii="Century Gothic" w:cs="Century Gothic" w:eastAsia="Century Gothic" w:hAnsi="Century Gothic"/>
      <w:sz w:val="22"/>
      <w:szCs w:val="22"/>
    </w:rPr>
  </w:style>
  <w:style w:type="paragraph" w:styleId="Heading3">
    <w:name w:val="heading 3"/>
    <w:basedOn w:val="Normal"/>
    <w:next w:val="Normal"/>
    <w:uiPriority w:val="9"/>
    <w:semiHidden w:val="1"/>
    <w:unhideWhenUsed w:val="1"/>
    <w:qFormat w:val="1"/>
    <w:pPr>
      <w:keepNext w:val="1"/>
      <w:spacing w:before="240"/>
      <w:outlineLvl w:val="2"/>
    </w:pPr>
    <w:rPr>
      <w:rFonts w:ascii="Century Gothic" w:cs="Century Gothic" w:eastAsia="Century Gothic" w:hAnsi="Century Gothic"/>
    </w:rPr>
  </w:style>
  <w:style w:type="paragraph" w:styleId="Heading4">
    <w:name w:val="heading 4"/>
    <w:basedOn w:val="Normal"/>
    <w:next w:val="Normal"/>
    <w:uiPriority w:val="9"/>
    <w:semiHidden w:val="1"/>
    <w:unhideWhenUsed w:val="1"/>
    <w:qFormat w:val="1"/>
    <w:pPr>
      <w:keepNext w:val="1"/>
      <w:outlineLvl w:val="3"/>
    </w:pPr>
    <w:rPr>
      <w:rFonts w:ascii="Century Gothic" w:cs="Century Gothic" w:eastAsia="Century Gothic" w:hAnsi="Century Gothic"/>
    </w:rPr>
  </w:style>
  <w:style w:type="paragraph" w:styleId="Heading5">
    <w:name w:val="heading 5"/>
    <w:basedOn w:val="Normal"/>
    <w:next w:val="Normal"/>
    <w:uiPriority w:val="9"/>
    <w:semiHidden w:val="1"/>
    <w:unhideWhenUsed w:val="1"/>
    <w:qFormat w:val="1"/>
    <w:pPr>
      <w:keepNext w:val="1"/>
      <w:keepLines w:val="1"/>
      <w:spacing w:before="200"/>
      <w:outlineLvl w:val="4"/>
    </w:pPr>
    <w:rPr>
      <w:rFonts w:ascii="Arial Narrow" w:cs="Arial Narrow" w:eastAsia="Arial Narrow" w:hAnsi="Arial Narrow"/>
      <w:color w:val="004354"/>
    </w:rPr>
  </w:style>
  <w:style w:type="paragraph" w:styleId="Heading6">
    <w:name w:val="heading 6"/>
    <w:basedOn w:val="Normal"/>
    <w:next w:val="Normal"/>
    <w:uiPriority w:val="9"/>
    <w:semiHidden w:val="1"/>
    <w:unhideWhenUsed w:val="1"/>
    <w:qFormat w:val="1"/>
    <w:pPr>
      <w:keepNext w:val="1"/>
      <w:keepLines w:val="1"/>
      <w:spacing w:before="200"/>
      <w:outlineLvl w:val="5"/>
    </w:pPr>
    <w:rPr>
      <w:rFonts w:ascii="Arial Narrow" w:cs="Arial Narrow" w:eastAsia="Arial Narrow" w:hAnsi="Arial Narrow"/>
      <w:i w:val="1"/>
      <w:color w:val="00435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0088a9" w:space="4" w:sz="8" w:val="single"/>
      </w:pBdr>
      <w:spacing w:after="300" w:before="0"/>
    </w:pPr>
    <w:rPr>
      <w:rFonts w:ascii="Arial Narrow" w:cs="Arial Narrow" w:eastAsia="Arial Narrow" w:hAnsi="Arial Narrow"/>
      <w:color w:val="17365d"/>
      <w:sz w:val="52"/>
      <w:szCs w:val="52"/>
    </w:rPr>
  </w:style>
  <w:style w:type="paragraph" w:styleId="Subtitle">
    <w:name w:val="Subtitle"/>
    <w:basedOn w:val="Normal"/>
    <w:next w:val="Normal"/>
    <w:uiPriority w:val="11"/>
    <w:qFormat w:val="1"/>
    <w:pPr>
      <w:spacing w:after="60"/>
      <w:jc w:val="center"/>
    </w:pPr>
  </w:style>
  <w:style w:type="character" w:styleId="CommentReference">
    <w:name w:val="annotation reference"/>
    <w:basedOn w:val="DefaultParagraphFont"/>
    <w:uiPriority w:val="99"/>
    <w:semiHidden w:val="1"/>
    <w:unhideWhenUsed w:val="1"/>
    <w:rsid w:val="00D873AB"/>
    <w:rPr>
      <w:sz w:val="16"/>
      <w:szCs w:val="16"/>
    </w:rPr>
  </w:style>
  <w:style w:type="paragraph" w:styleId="CommentText">
    <w:name w:val="annotation text"/>
    <w:basedOn w:val="Normal"/>
    <w:link w:val="CommentTextChar"/>
    <w:uiPriority w:val="99"/>
    <w:semiHidden w:val="1"/>
    <w:unhideWhenUsed w:val="1"/>
    <w:rsid w:val="00D873AB"/>
  </w:style>
  <w:style w:type="character" w:styleId="CommentTextChar" w:customStyle="1">
    <w:name w:val="Comment Text Char"/>
    <w:basedOn w:val="DefaultParagraphFont"/>
    <w:link w:val="CommentText"/>
    <w:uiPriority w:val="99"/>
    <w:semiHidden w:val="1"/>
    <w:rsid w:val="00D873AB"/>
  </w:style>
  <w:style w:type="paragraph" w:styleId="CommentSubject">
    <w:name w:val="annotation subject"/>
    <w:basedOn w:val="CommentText"/>
    <w:next w:val="CommentText"/>
    <w:link w:val="CommentSubjectChar"/>
    <w:uiPriority w:val="99"/>
    <w:semiHidden w:val="1"/>
    <w:unhideWhenUsed w:val="1"/>
    <w:rsid w:val="00D873AB"/>
    <w:rPr>
      <w:b w:val="1"/>
      <w:bCs w:val="1"/>
    </w:rPr>
  </w:style>
  <w:style w:type="character" w:styleId="CommentSubjectChar" w:customStyle="1">
    <w:name w:val="Comment Subject Char"/>
    <w:basedOn w:val="CommentTextChar"/>
    <w:link w:val="CommentSubject"/>
    <w:uiPriority w:val="99"/>
    <w:semiHidden w:val="1"/>
    <w:rsid w:val="00D873AB"/>
    <w:rPr>
      <w:b w:val="1"/>
      <w:bCs w:val="1"/>
    </w:rPr>
  </w:style>
  <w:style w:type="paragraph" w:styleId="BalloonText">
    <w:name w:val="Balloon Text"/>
    <w:basedOn w:val="Normal"/>
    <w:link w:val="BalloonTextChar"/>
    <w:uiPriority w:val="99"/>
    <w:semiHidden w:val="1"/>
    <w:unhideWhenUsed w:val="1"/>
    <w:rsid w:val="00D873AB"/>
    <w:pPr>
      <w:spacing w:before="0"/>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873AB"/>
    <w:rPr>
      <w:rFonts w:ascii="Times New Roman" w:cs="Times New Roman" w:hAnsi="Times New Roman"/>
      <w:sz w:val="18"/>
      <w:szCs w:val="18"/>
    </w:rPr>
  </w:style>
  <w:style w:type="paragraph" w:styleId="Revision">
    <w:name w:val="Revision"/>
    <w:hidden w:val="1"/>
    <w:uiPriority w:val="99"/>
    <w:semiHidden w:val="1"/>
    <w:rsid w:val="00FA5419"/>
    <w:pPr>
      <w:spacing w:before="0"/>
    </w:pPr>
  </w:style>
  <w:style w:type="paragraph" w:styleId="Subtitle">
    <w:name w:val="Subtitle"/>
    <w:basedOn w:val="Normal"/>
    <w:next w:val="Normal"/>
    <w:pPr>
      <w:spacing w:after="60" w:lineRule="auto"/>
      <w:jc w:val="center"/>
    </w:pPr>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startuptools.org/out.php?url=https%3A%2F%2Fstartuptools.org%2Fse%2Fchangelog%2F%0A&amp;d=1629358105&amp;n=StartupTools+SE+-+WISE+Terms+-+2021-08-19.docx&amp;f=1"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rtuptools.org/out.php?url=https%3A%2F%2Fstartuptools.org%2Fse%2Fchangelog%2F%0A&amp;d=1629358105&amp;n=StartupTools+SE+-+WISE+Terms+-+2021-08-19.docx&amp;f=1"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artuptools.org/out.php?url=https%3A%2F%2Fstartuptools.org%2Fse%2Fchangelog%2F%0A&amp;d=1629358105&amp;n=StartupTools+SE+-+WISE+Terms+-+2021-08-19.docx&amp;f=1" TargetMode="External"/><Relationship Id="rId8" Type="http://schemas.openxmlformats.org/officeDocument/2006/relationships/hyperlink" Target="https://startuptools.org/out.php?url=https%3A%2F%2Fstartuptools.org%2Fse%2Fchangelog%2F%0A&amp;d=1629358105&amp;n=StartupTools+SE+-+WISE+Terms+-+2021-08-19.docx&amp;f=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startupt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zDy1TKk7yH1cEthbht8QKCd0w==">AMUW2mUGGRdDHcCh2B6mFL3j9b8gLOMXPocHtxsSEh1ERsXqwne3+NkahfBkjU16LfQBou0THZL1O4PGGsfVRdLo5s9ZbnEGuMYMMaBSZmXcDC9H4o6iGSVqa+wc1/i7stuOKReHOKOBQwsTcuD6kEPImzGX0E691Q==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2022-12-13T07:36:00Z</dcterms:created>
</cp:coreProperties>
</file>