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55"/>
        <w:tblW w:w="8918" w:type="dxa"/>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43" w:type="dxa"/>
          <w:right w:w="115" w:type="dxa"/>
        </w:tblCellMar>
        <w:tblLook w:val="04A0" w:firstRow="1" w:lastRow="0" w:firstColumn="1" w:lastColumn="0" w:noHBand="0" w:noVBand="1"/>
      </w:tblPr>
      <w:tblGrid>
        <w:gridCol w:w="1113"/>
        <w:gridCol w:w="7805"/>
      </w:tblGrid>
      <w:tr w:rsidR="001045FA" w:rsidTr="00C55950">
        <w:trPr>
          <w:trHeight w:val="266"/>
        </w:trPr>
        <w:tc>
          <w:tcPr>
            <w:tcW w:w="8918" w:type="dxa"/>
            <w:gridSpan w:val="2"/>
            <w:tcBorders>
              <w:top w:val="nil"/>
              <w:bottom w:val="nil"/>
            </w:tcBorders>
          </w:tcPr>
          <w:p w:rsidR="001045FA" w:rsidRPr="00610DFF" w:rsidRDefault="004D6452" w:rsidP="00361C61">
            <w:pPr>
              <w:pStyle w:val="Deloverskriftforfaks"/>
              <w:framePr w:hSpace="0" w:wrap="auto" w:vAnchor="margin" w:yAlign="inline"/>
              <w:tabs>
                <w:tab w:val="left" w:pos="1202"/>
              </w:tabs>
              <w:rPr>
                <w:sz w:val="28"/>
              </w:rPr>
            </w:pPr>
            <w:sdt>
              <w:sdtPr>
                <w:rPr>
                  <w:sz w:val="28"/>
                  <w:szCs w:val="24"/>
                </w:rPr>
                <w:alias w:val="Firma"/>
                <w:tag w:val="Company"/>
                <w:id w:val="77885041"/>
                <w:placeholder>
                  <w:docPart w:val="FC0CD0FA91DD4B13B9DA0B4C2CCC5EBD"/>
                </w:placeholder>
                <w:dataBinding w:prefixMappings="xmlns:ns0='http://schemas.openxmlformats.org/officeDocument/2006/extended-properties'" w:xpath="/ns0:Properties[1]/ns0:Company[1]" w:storeItemID="{6668398D-A668-4E3E-A5EB-62B293D839F1}"/>
                <w:text/>
              </w:sdtPr>
              <w:sdtEndPr/>
              <w:sdtContent>
                <w:r w:rsidR="00361C61">
                  <w:rPr>
                    <w:sz w:val="28"/>
                    <w:szCs w:val="24"/>
                  </w:rPr>
                  <w:t>Tiltakskostnader – anbefaling om valg av metode</w:t>
                </w:r>
              </w:sdtContent>
            </w:sdt>
          </w:p>
        </w:tc>
      </w:tr>
      <w:tr w:rsidR="001045FA" w:rsidTr="00C55950">
        <w:trPr>
          <w:trHeight w:val="30"/>
        </w:trPr>
        <w:tc>
          <w:tcPr>
            <w:tcW w:w="1113" w:type="dxa"/>
            <w:tcBorders>
              <w:top w:val="nil"/>
              <w:bottom w:val="nil"/>
            </w:tcBorders>
          </w:tcPr>
          <w:p w:rsidR="001045FA" w:rsidRPr="00610DFF" w:rsidRDefault="002408E9">
            <w:pPr>
              <w:pStyle w:val="Brdtekstifaks"/>
              <w:framePr w:hSpace="0" w:wrap="auto" w:vAnchor="margin" w:yAlign="inline"/>
              <w:rPr>
                <w:sz w:val="22"/>
              </w:rPr>
            </w:pPr>
            <w:r w:rsidRPr="00610DFF">
              <w:rPr>
                <w:sz w:val="22"/>
              </w:rPr>
              <w:t>Til:</w:t>
            </w:r>
          </w:p>
        </w:tc>
        <w:tc>
          <w:tcPr>
            <w:tcW w:w="7805" w:type="dxa"/>
            <w:tcBorders>
              <w:top w:val="nil"/>
              <w:bottom w:val="nil"/>
            </w:tcBorders>
          </w:tcPr>
          <w:p w:rsidR="001045FA" w:rsidRPr="00610DFF" w:rsidRDefault="00C16BE9" w:rsidP="00C16BE9">
            <w:pPr>
              <w:pStyle w:val="Brdtekstifaks"/>
              <w:framePr w:hSpace="0" w:wrap="auto" w:vAnchor="margin" w:yAlign="inline"/>
              <w:rPr>
                <w:sz w:val="22"/>
              </w:rPr>
            </w:pPr>
            <w:r>
              <w:rPr>
                <w:sz w:val="22"/>
              </w:rPr>
              <w:t xml:space="preserve">Stein Inge </w:t>
            </w:r>
            <w:proofErr w:type="spellStart"/>
            <w:r>
              <w:rPr>
                <w:sz w:val="22"/>
              </w:rPr>
              <w:t>Liasjø</w:t>
            </w:r>
            <w:proofErr w:type="spellEnd"/>
          </w:p>
        </w:tc>
      </w:tr>
      <w:tr w:rsidR="001045FA" w:rsidTr="00C55950">
        <w:trPr>
          <w:trHeight w:val="34"/>
        </w:trPr>
        <w:tc>
          <w:tcPr>
            <w:tcW w:w="1113" w:type="dxa"/>
            <w:tcBorders>
              <w:top w:val="nil"/>
              <w:bottom w:val="nil"/>
            </w:tcBorders>
          </w:tcPr>
          <w:p w:rsidR="001045FA" w:rsidRPr="00610DFF" w:rsidRDefault="002408E9">
            <w:pPr>
              <w:pStyle w:val="Brdtekstifaks"/>
              <w:framePr w:hSpace="0" w:wrap="auto" w:vAnchor="margin" w:yAlign="inline"/>
              <w:rPr>
                <w:sz w:val="22"/>
              </w:rPr>
            </w:pPr>
            <w:r w:rsidRPr="00610DFF">
              <w:rPr>
                <w:sz w:val="22"/>
              </w:rPr>
              <w:t>Fra:</w:t>
            </w:r>
          </w:p>
        </w:tc>
        <w:sdt>
          <w:sdtPr>
            <w:rPr>
              <w:sz w:val="22"/>
            </w:rPr>
            <w:alias w:val="Forfatter"/>
            <w:tag w:val="Author"/>
            <w:id w:val="19907975"/>
            <w:dataBinding w:prefixMappings="xmlns:ns0='http://schemas.openxmlformats.org/package/2006/metadata/core-properties' xmlns:ns1='http://purl.org/dc/elements/1.1/'" w:xpath="/ns0:coreProperties[1]/ns1:creator[1]" w:storeItemID="{6C3C8BC8-F283-45AE-878A-BAB7291924A1}"/>
            <w:text/>
          </w:sdtPr>
          <w:sdtEndPr/>
          <w:sdtContent>
            <w:tc>
              <w:tcPr>
                <w:tcW w:w="7805" w:type="dxa"/>
                <w:tcBorders>
                  <w:top w:val="nil"/>
                  <w:bottom w:val="nil"/>
                </w:tcBorders>
              </w:tcPr>
              <w:p w:rsidR="001045FA" w:rsidRPr="00610DFF" w:rsidRDefault="00610DFF" w:rsidP="00610DFF">
                <w:pPr>
                  <w:pStyle w:val="Brdtekstifaks"/>
                  <w:framePr w:hSpace="0" w:wrap="auto" w:vAnchor="margin" w:yAlign="inline"/>
                  <w:rPr>
                    <w:sz w:val="22"/>
                  </w:rPr>
                </w:pPr>
                <w:r w:rsidRPr="00610DFF">
                  <w:rPr>
                    <w:sz w:val="22"/>
                  </w:rPr>
                  <w:t>Per Ivar Helgesen</w:t>
                </w:r>
              </w:p>
            </w:tc>
          </w:sdtContent>
        </w:sdt>
      </w:tr>
      <w:tr w:rsidR="001045FA" w:rsidTr="00C55950">
        <w:trPr>
          <w:trHeight w:val="34"/>
        </w:trPr>
        <w:tc>
          <w:tcPr>
            <w:tcW w:w="1113" w:type="dxa"/>
            <w:tcBorders>
              <w:top w:val="nil"/>
              <w:bottom w:val="nil"/>
            </w:tcBorders>
          </w:tcPr>
          <w:p w:rsidR="001045FA" w:rsidRPr="00610DFF" w:rsidRDefault="002408E9">
            <w:pPr>
              <w:pStyle w:val="Brdtekstifaks"/>
              <w:framePr w:hSpace="0" w:wrap="auto" w:vAnchor="margin" w:yAlign="inline"/>
              <w:rPr>
                <w:sz w:val="22"/>
              </w:rPr>
            </w:pPr>
            <w:r w:rsidRPr="00610DFF">
              <w:rPr>
                <w:sz w:val="22"/>
              </w:rPr>
              <w:t>Kopi:</w:t>
            </w:r>
          </w:p>
        </w:tc>
        <w:tc>
          <w:tcPr>
            <w:tcW w:w="7805" w:type="dxa"/>
            <w:tcBorders>
              <w:top w:val="nil"/>
              <w:bottom w:val="nil"/>
            </w:tcBorders>
          </w:tcPr>
          <w:p w:rsidR="001045FA" w:rsidRPr="00610DFF" w:rsidRDefault="00361C61" w:rsidP="00CD2D3B">
            <w:pPr>
              <w:pStyle w:val="Brdtekstifaks"/>
              <w:framePr w:hSpace="0" w:wrap="auto" w:vAnchor="margin" w:yAlign="inline"/>
              <w:rPr>
                <w:sz w:val="22"/>
              </w:rPr>
            </w:pPr>
            <w:r>
              <w:rPr>
                <w:sz w:val="22"/>
              </w:rPr>
              <w:t>Gunn Jorun Widding</w:t>
            </w:r>
            <w:r w:rsidR="007B6DAB">
              <w:rPr>
                <w:sz w:val="22"/>
              </w:rPr>
              <w:t>, Ståle Hvitsand</w:t>
            </w:r>
          </w:p>
        </w:tc>
      </w:tr>
      <w:tr w:rsidR="001045FA" w:rsidTr="00C55950">
        <w:trPr>
          <w:trHeight w:val="34"/>
        </w:trPr>
        <w:tc>
          <w:tcPr>
            <w:tcW w:w="1113" w:type="dxa"/>
            <w:tcBorders>
              <w:top w:val="nil"/>
              <w:bottom w:val="nil"/>
            </w:tcBorders>
          </w:tcPr>
          <w:p w:rsidR="001045FA" w:rsidRPr="00610DFF" w:rsidRDefault="002408E9">
            <w:pPr>
              <w:pStyle w:val="Brdtekstifaks"/>
              <w:framePr w:hSpace="0" w:wrap="auto" w:vAnchor="margin" w:yAlign="inline"/>
              <w:rPr>
                <w:sz w:val="22"/>
              </w:rPr>
            </w:pPr>
            <w:r w:rsidRPr="00610DFF">
              <w:rPr>
                <w:sz w:val="22"/>
              </w:rPr>
              <w:t>Dato:</w:t>
            </w:r>
          </w:p>
        </w:tc>
        <w:tc>
          <w:tcPr>
            <w:tcW w:w="7805" w:type="dxa"/>
            <w:tcBorders>
              <w:top w:val="nil"/>
              <w:bottom w:val="nil"/>
            </w:tcBorders>
          </w:tcPr>
          <w:p w:rsidR="001045FA" w:rsidRPr="00610DFF" w:rsidRDefault="004D6452" w:rsidP="004D6452">
            <w:pPr>
              <w:pStyle w:val="Brdtekstifaks"/>
              <w:framePr w:hSpace="0" w:wrap="auto" w:vAnchor="margin" w:yAlign="inline"/>
              <w:rPr>
                <w:sz w:val="22"/>
              </w:rPr>
            </w:pPr>
            <w:r>
              <w:rPr>
                <w:sz w:val="22"/>
              </w:rPr>
              <w:t xml:space="preserve">7. juli 2017, oppdatert </w:t>
            </w:r>
            <w:sdt>
              <w:sdtPr>
                <w:rPr>
                  <w:sz w:val="22"/>
                </w:rPr>
                <w:id w:val="633121158"/>
                <w:date w:fullDate="2017-08-09T00:00:00Z">
                  <w:dateFormat w:val="d. MMMM yyyy"/>
                  <w:lid w:val="nb-NO"/>
                  <w:storeMappedDataAs w:val="dateTime"/>
                  <w:calendar w:val="gregorian"/>
                </w:date>
              </w:sdtPr>
              <w:sdtEndPr/>
              <w:sdtContent>
                <w:r>
                  <w:rPr>
                    <w:sz w:val="22"/>
                  </w:rPr>
                  <w:t>9. august 2017</w:t>
                </w:r>
              </w:sdtContent>
            </w:sdt>
          </w:p>
        </w:tc>
      </w:tr>
      <w:tr w:rsidR="001045FA" w:rsidTr="00C55950">
        <w:trPr>
          <w:trHeight w:val="266"/>
        </w:trPr>
        <w:tc>
          <w:tcPr>
            <w:tcW w:w="1113" w:type="dxa"/>
            <w:tcBorders>
              <w:top w:val="nil"/>
              <w:bottom w:val="single" w:sz="4" w:space="0" w:color="A6A6A6" w:themeColor="background1" w:themeShade="A6"/>
            </w:tcBorders>
            <w:tcMar>
              <w:bottom w:w="576" w:type="dxa"/>
            </w:tcMar>
          </w:tcPr>
          <w:p w:rsidR="001045FA" w:rsidRDefault="001045FA">
            <w:pPr>
              <w:pStyle w:val="Brdtekstifaks"/>
              <w:framePr w:hSpace="0" w:wrap="auto" w:vAnchor="margin" w:yAlign="inline"/>
            </w:pPr>
          </w:p>
        </w:tc>
        <w:tc>
          <w:tcPr>
            <w:tcW w:w="7805" w:type="dxa"/>
            <w:tcBorders>
              <w:top w:val="nil"/>
              <w:bottom w:val="single" w:sz="4" w:space="0" w:color="A6A6A6" w:themeColor="background1" w:themeShade="A6"/>
            </w:tcBorders>
            <w:tcMar>
              <w:bottom w:w="576" w:type="dxa"/>
            </w:tcMar>
          </w:tcPr>
          <w:p w:rsidR="001045FA" w:rsidRDefault="001045FA" w:rsidP="00610DFF">
            <w:pPr>
              <w:pStyle w:val="Brdtekstifaks"/>
              <w:framePr w:hSpace="0" w:wrap="auto" w:vAnchor="margin" w:yAlign="inline"/>
            </w:pPr>
            <w:bookmarkStart w:id="0" w:name="_GoBack"/>
            <w:bookmarkEnd w:id="0"/>
          </w:p>
        </w:tc>
      </w:tr>
      <w:tr w:rsidR="001045FA" w:rsidTr="00C55950">
        <w:trPr>
          <w:trHeight w:val="266"/>
        </w:trPr>
        <w:tc>
          <w:tcPr>
            <w:tcW w:w="1113" w:type="dxa"/>
            <w:tcBorders>
              <w:top w:val="single" w:sz="4" w:space="0" w:color="A6A6A6" w:themeColor="background1" w:themeShade="A6"/>
            </w:tcBorders>
            <w:tcMar>
              <w:top w:w="144" w:type="dxa"/>
            </w:tcMar>
          </w:tcPr>
          <w:p w:rsidR="004C40EB" w:rsidRDefault="004C40EB">
            <w:pPr>
              <w:pStyle w:val="Brdtekstifaks"/>
              <w:framePr w:hSpace="0" w:wrap="auto" w:vAnchor="margin" w:yAlign="inline"/>
            </w:pPr>
          </w:p>
        </w:tc>
        <w:tc>
          <w:tcPr>
            <w:tcW w:w="7805" w:type="dxa"/>
            <w:tcBorders>
              <w:top w:val="single" w:sz="4" w:space="0" w:color="A6A6A6" w:themeColor="background1" w:themeShade="A6"/>
            </w:tcBorders>
            <w:tcMar>
              <w:top w:w="144" w:type="dxa"/>
            </w:tcMar>
          </w:tcPr>
          <w:p w:rsidR="001045FA" w:rsidRDefault="001045FA">
            <w:pPr>
              <w:pStyle w:val="Brdtekstifaks"/>
              <w:framePr w:hSpace="0" w:wrap="auto" w:vAnchor="margin" w:yAlign="inline"/>
            </w:pPr>
          </w:p>
        </w:tc>
      </w:tr>
    </w:tbl>
    <w:p w:rsidR="00BB5233" w:rsidRPr="00BB5233" w:rsidRDefault="00BB5233" w:rsidP="00C8104F">
      <w:pPr>
        <w:pStyle w:val="Heading1"/>
      </w:pPr>
      <w:r w:rsidRPr="00BB5233">
        <w:t>Bakgrunn</w:t>
      </w:r>
    </w:p>
    <w:p w:rsidR="00FE6B54" w:rsidRDefault="00EF5803" w:rsidP="00EF5803">
      <w:pPr>
        <w:spacing w:after="200" w:line="276" w:lineRule="auto"/>
        <w:rPr>
          <w:rFonts w:ascii="Verdana" w:hAnsi="Verdana"/>
          <w:sz w:val="20"/>
        </w:rPr>
      </w:pPr>
      <w:r>
        <w:rPr>
          <w:rFonts w:ascii="Verdana" w:hAnsi="Verdana"/>
          <w:sz w:val="20"/>
        </w:rPr>
        <w:t xml:space="preserve">I den nye avtalen med OED fastslås det at </w:t>
      </w:r>
      <w:proofErr w:type="spellStart"/>
      <w:r>
        <w:rPr>
          <w:rFonts w:ascii="Verdana" w:hAnsi="Verdana"/>
          <w:sz w:val="20"/>
        </w:rPr>
        <w:t>Enova</w:t>
      </w:r>
      <w:proofErr w:type="spellEnd"/>
      <w:r>
        <w:rPr>
          <w:rFonts w:ascii="Verdana" w:hAnsi="Verdana"/>
          <w:sz w:val="20"/>
        </w:rPr>
        <w:t xml:space="preserve"> skal bidra til reduserte klimagassutslipp. For å kunne prioritere mellom ulike klimatiltak, har vi behov for å beregne </w:t>
      </w:r>
      <w:r w:rsidR="00BA7083">
        <w:rPr>
          <w:rFonts w:ascii="Verdana" w:hAnsi="Verdana"/>
          <w:sz w:val="20"/>
        </w:rPr>
        <w:t xml:space="preserve">sammenlignbare </w:t>
      </w:r>
      <w:r>
        <w:rPr>
          <w:rFonts w:ascii="Verdana" w:hAnsi="Verdana"/>
          <w:sz w:val="20"/>
        </w:rPr>
        <w:t>tiltakskostnad</w:t>
      </w:r>
      <w:r w:rsidR="00BA7083">
        <w:rPr>
          <w:rFonts w:ascii="Verdana" w:hAnsi="Verdana"/>
          <w:sz w:val="20"/>
        </w:rPr>
        <w:t>er</w:t>
      </w:r>
      <w:r>
        <w:rPr>
          <w:rFonts w:ascii="Verdana" w:hAnsi="Verdana"/>
          <w:sz w:val="20"/>
        </w:rPr>
        <w:t xml:space="preserve">. Dette notatet beskriver alternative metoder for tiltakskostnader, og anbefaler en metode for bruk i </w:t>
      </w:r>
      <w:proofErr w:type="spellStart"/>
      <w:r>
        <w:rPr>
          <w:rFonts w:ascii="Verdana" w:hAnsi="Verdana"/>
          <w:sz w:val="20"/>
        </w:rPr>
        <w:t>Enova</w:t>
      </w:r>
      <w:proofErr w:type="spellEnd"/>
      <w:r>
        <w:rPr>
          <w:rFonts w:ascii="Verdana" w:hAnsi="Verdana"/>
          <w:sz w:val="20"/>
        </w:rPr>
        <w:t>.</w:t>
      </w:r>
    </w:p>
    <w:p w:rsidR="005F6009" w:rsidRPr="00BB5233" w:rsidRDefault="005E70A3" w:rsidP="00C8104F">
      <w:pPr>
        <w:pStyle w:val="Heading1"/>
      </w:pPr>
      <w:r>
        <w:t>Prioriteringsgrunnlag for klima</w:t>
      </w:r>
      <w:r w:rsidR="00EF5803">
        <w:t>tiltak</w:t>
      </w:r>
    </w:p>
    <w:p w:rsidR="00EF5803" w:rsidRDefault="005E70A3" w:rsidP="00740F59">
      <w:pPr>
        <w:spacing w:after="200" w:line="276" w:lineRule="auto"/>
        <w:rPr>
          <w:rFonts w:ascii="Verdana" w:hAnsi="Verdana"/>
          <w:sz w:val="20"/>
        </w:rPr>
      </w:pPr>
      <w:r>
        <w:rPr>
          <w:rFonts w:ascii="Verdana" w:hAnsi="Verdana"/>
          <w:sz w:val="20"/>
        </w:rPr>
        <w:t>Vi forholder oss til fire alternativer for å prioritere mellom klimatiltak:</w:t>
      </w:r>
    </w:p>
    <w:p w:rsidR="00104D67" w:rsidRDefault="00104D67" w:rsidP="00104D67">
      <w:pPr>
        <w:pStyle w:val="ListParagraph"/>
        <w:numPr>
          <w:ilvl w:val="0"/>
          <w:numId w:val="21"/>
        </w:numPr>
        <w:spacing w:after="200" w:line="276" w:lineRule="auto"/>
        <w:rPr>
          <w:rFonts w:ascii="Verdana" w:hAnsi="Verdana"/>
          <w:sz w:val="20"/>
        </w:rPr>
      </w:pPr>
      <w:r>
        <w:rPr>
          <w:rFonts w:ascii="Verdana" w:hAnsi="Verdana"/>
          <w:sz w:val="20"/>
        </w:rPr>
        <w:t>Støtteintensitet</w:t>
      </w:r>
      <w:r w:rsidR="00FE216B">
        <w:rPr>
          <w:rFonts w:ascii="Verdana" w:hAnsi="Verdana"/>
          <w:sz w:val="20"/>
        </w:rPr>
        <w:t>, støttekroner på årlig utslippsreduksjon</w:t>
      </w:r>
    </w:p>
    <w:p w:rsidR="00104D67" w:rsidRDefault="00104D67" w:rsidP="00104D67">
      <w:pPr>
        <w:pStyle w:val="ListParagraph"/>
        <w:numPr>
          <w:ilvl w:val="0"/>
          <w:numId w:val="21"/>
        </w:numPr>
        <w:spacing w:after="200" w:line="276" w:lineRule="auto"/>
        <w:rPr>
          <w:rFonts w:ascii="Verdana" w:hAnsi="Verdana"/>
          <w:sz w:val="20"/>
        </w:rPr>
      </w:pPr>
      <w:r>
        <w:rPr>
          <w:rFonts w:ascii="Verdana" w:hAnsi="Verdana"/>
          <w:sz w:val="20"/>
        </w:rPr>
        <w:t>Miljødirektoratets Metode 1, annuitet</w:t>
      </w:r>
      <w:r w:rsidR="00FE216B">
        <w:rPr>
          <w:rFonts w:ascii="Verdana" w:hAnsi="Verdana"/>
          <w:sz w:val="20"/>
        </w:rPr>
        <w:t>skostnad</w:t>
      </w:r>
      <w:r>
        <w:rPr>
          <w:rFonts w:ascii="Verdana" w:hAnsi="Verdana"/>
          <w:sz w:val="20"/>
        </w:rPr>
        <w:t xml:space="preserve"> på årlig </w:t>
      </w:r>
      <w:r w:rsidR="00FE216B">
        <w:rPr>
          <w:rFonts w:ascii="Verdana" w:hAnsi="Verdana"/>
          <w:sz w:val="20"/>
        </w:rPr>
        <w:t>utslippsreduksjon</w:t>
      </w:r>
    </w:p>
    <w:p w:rsidR="00104D67" w:rsidRDefault="00104D67" w:rsidP="00104D67">
      <w:pPr>
        <w:pStyle w:val="ListParagraph"/>
        <w:numPr>
          <w:ilvl w:val="0"/>
          <w:numId w:val="21"/>
        </w:numPr>
        <w:spacing w:after="200" w:line="276" w:lineRule="auto"/>
        <w:rPr>
          <w:rFonts w:ascii="Verdana" w:hAnsi="Verdana"/>
          <w:sz w:val="20"/>
        </w:rPr>
      </w:pPr>
      <w:r>
        <w:rPr>
          <w:rFonts w:ascii="Verdana" w:hAnsi="Verdana"/>
          <w:sz w:val="20"/>
        </w:rPr>
        <w:t>Miljødirektoratets Metode 3</w:t>
      </w:r>
      <w:r w:rsidR="00FE216B">
        <w:rPr>
          <w:rFonts w:ascii="Verdana" w:hAnsi="Verdana"/>
          <w:sz w:val="20"/>
        </w:rPr>
        <w:t>, annuitetskostnad på gjennomsnittlig årlig utslippsreduksjon (hensyntatt investeringsperiode)</w:t>
      </w:r>
    </w:p>
    <w:p w:rsidR="00104D67" w:rsidRDefault="00104D67" w:rsidP="00104D67">
      <w:pPr>
        <w:pStyle w:val="ListParagraph"/>
        <w:numPr>
          <w:ilvl w:val="0"/>
          <w:numId w:val="21"/>
        </w:numPr>
        <w:spacing w:after="200" w:line="276" w:lineRule="auto"/>
        <w:rPr>
          <w:rFonts w:ascii="Verdana" w:hAnsi="Verdana"/>
          <w:sz w:val="20"/>
        </w:rPr>
      </w:pPr>
      <w:r>
        <w:rPr>
          <w:rFonts w:ascii="Verdana" w:hAnsi="Verdana"/>
          <w:sz w:val="20"/>
        </w:rPr>
        <w:t>Miljødirektoratets Metode 5, nåverdi på nåverdi</w:t>
      </w:r>
    </w:p>
    <w:p w:rsidR="00E51E02" w:rsidRDefault="005E70A3" w:rsidP="00104D67">
      <w:pPr>
        <w:spacing w:after="200" w:line="276" w:lineRule="auto"/>
        <w:rPr>
          <w:rFonts w:ascii="Verdana" w:hAnsi="Verdana"/>
          <w:sz w:val="20"/>
        </w:rPr>
      </w:pPr>
      <w:r>
        <w:rPr>
          <w:rFonts w:ascii="Verdana" w:hAnsi="Verdana"/>
          <w:sz w:val="20"/>
        </w:rPr>
        <w:t>Formler for de ulike alternativene er gitt i vedlegg.</w:t>
      </w:r>
      <w:r w:rsidR="000D4159">
        <w:rPr>
          <w:rFonts w:ascii="Verdana" w:hAnsi="Verdana"/>
          <w:sz w:val="20"/>
        </w:rPr>
        <w:t xml:space="preserve"> </w:t>
      </w:r>
    </w:p>
    <w:p w:rsidR="002436E3" w:rsidRDefault="000D4159" w:rsidP="00104D67">
      <w:pPr>
        <w:spacing w:after="200" w:line="276" w:lineRule="auto"/>
        <w:rPr>
          <w:rFonts w:ascii="Verdana" w:hAnsi="Verdana"/>
          <w:sz w:val="20"/>
        </w:rPr>
      </w:pPr>
      <w:r>
        <w:rPr>
          <w:rFonts w:ascii="Verdana" w:hAnsi="Verdana"/>
          <w:sz w:val="20"/>
        </w:rPr>
        <w:t>I noen analyser</w:t>
      </w:r>
      <w:r w:rsidR="00E51E02">
        <w:rPr>
          <w:rFonts w:ascii="Verdana" w:hAnsi="Verdana"/>
          <w:sz w:val="20"/>
        </w:rPr>
        <w:t xml:space="preserve"> </w:t>
      </w:r>
      <w:r>
        <w:rPr>
          <w:rFonts w:ascii="Verdana" w:hAnsi="Verdana"/>
          <w:sz w:val="20"/>
        </w:rPr>
        <w:t>har man foku</w:t>
      </w:r>
      <w:r w:rsidR="00E51E02">
        <w:rPr>
          <w:rFonts w:ascii="Verdana" w:hAnsi="Verdana"/>
          <w:sz w:val="20"/>
        </w:rPr>
        <w:t>sert på tiltakenes</w:t>
      </w:r>
      <w:r>
        <w:rPr>
          <w:rFonts w:ascii="Verdana" w:hAnsi="Verdana"/>
          <w:sz w:val="20"/>
        </w:rPr>
        <w:t xml:space="preserve"> effekt i et spesifikt år.</w:t>
      </w:r>
      <w:r w:rsidR="00E51E02">
        <w:rPr>
          <w:rFonts w:ascii="Verdana" w:hAnsi="Verdana"/>
          <w:sz w:val="20"/>
        </w:rPr>
        <w:t xml:space="preserve"> Ved beregning av tiltakskostnader i </w:t>
      </w:r>
      <w:proofErr w:type="spellStart"/>
      <w:r w:rsidR="00E51E02">
        <w:rPr>
          <w:rFonts w:ascii="Verdana" w:hAnsi="Verdana"/>
          <w:sz w:val="20"/>
        </w:rPr>
        <w:t>Klimakur</w:t>
      </w:r>
      <w:proofErr w:type="spellEnd"/>
      <w:r w:rsidR="00E51E02">
        <w:rPr>
          <w:rFonts w:ascii="Verdana" w:hAnsi="Verdana"/>
          <w:sz w:val="20"/>
        </w:rPr>
        <w:t xml:space="preserve"> vurderes hvilken utslippsreduksjon man kan oppnå i 2020, mens </w:t>
      </w:r>
      <w:r w:rsidR="00A7244B">
        <w:rPr>
          <w:rFonts w:ascii="Verdana" w:hAnsi="Verdana"/>
          <w:sz w:val="20"/>
        </w:rPr>
        <w:fldChar w:fldCharType="begin"/>
      </w:r>
      <w:r w:rsidR="00A7244B">
        <w:rPr>
          <w:rFonts w:ascii="Verdana" w:hAnsi="Verdana"/>
          <w:sz w:val="20"/>
        </w:rPr>
        <w:instrText xml:space="preserve"> ADDIN EN.CITE &lt;EndNote&gt;&lt;Cite AuthorYear="1"&gt;&lt;Author&gt;Miljødirektoratet&lt;/Author&gt;&lt;Year&gt;2015&lt;/Year&gt;&lt;RecNum&gt;2&lt;/RecNum&gt;&lt;DisplayText&gt;Miljødirektoratet (2015)&lt;/DisplayText&gt;&lt;record&gt;&lt;rec-number&gt;2&lt;/rec-number&gt;&lt;foreign-keys&gt;&lt;key app="EN" db-id="9afexa52u9atvmer9xm5a25lwzpf0ppxsf50" timestamp="1499260286"&gt;2&lt;/key&gt;&lt;/foreign-keys&gt;&lt;ref-type name="Report"&gt;27&lt;/ref-type&gt;&lt;contributors&gt;&lt;authors&gt;&lt;author&gt;Miljødirektoratet&lt;/author&gt;&lt;/authors&gt;&lt;/contributors&gt;&lt;titles&gt;&lt;title&gt;Klimatiltak og utslippsbaner mot 2030. Kunnskapsgrunnlag for lavutslippsutvikling.&lt;/title&gt;&lt;/titles&gt;&lt;pages&gt;322&lt;/pages&gt;&lt;number&gt;M-386&lt;/number&gt;&lt;dates&gt;&lt;year&gt;2015&lt;/year&gt;&lt;/dates&gt;&lt;publisher&gt;Miljødirektoratet&lt;/publisher&gt;&lt;urls&gt;&lt;/urls&gt;&lt;/record&gt;&lt;/Cite&gt;&lt;/EndNote&gt;</w:instrText>
      </w:r>
      <w:r w:rsidR="00A7244B">
        <w:rPr>
          <w:rFonts w:ascii="Verdana" w:hAnsi="Verdana"/>
          <w:sz w:val="20"/>
        </w:rPr>
        <w:fldChar w:fldCharType="separate"/>
      </w:r>
      <w:r w:rsidR="00A7244B">
        <w:rPr>
          <w:rFonts w:ascii="Verdana" w:hAnsi="Verdana"/>
          <w:noProof/>
          <w:sz w:val="20"/>
        </w:rPr>
        <w:t>Miljødirektoratet (2015)</w:t>
      </w:r>
      <w:r w:rsidR="00A7244B">
        <w:rPr>
          <w:rFonts w:ascii="Verdana" w:hAnsi="Verdana"/>
          <w:sz w:val="20"/>
        </w:rPr>
        <w:fldChar w:fldCharType="end"/>
      </w:r>
      <w:r w:rsidR="00565F08">
        <w:rPr>
          <w:rStyle w:val="FootnoteReference"/>
          <w:rFonts w:ascii="Verdana" w:hAnsi="Verdana"/>
          <w:sz w:val="20"/>
        </w:rPr>
        <w:footnoteReference w:id="1"/>
      </w:r>
      <w:r w:rsidR="00E51E02">
        <w:rPr>
          <w:rFonts w:ascii="Verdana" w:hAnsi="Verdana"/>
          <w:sz w:val="20"/>
        </w:rPr>
        <w:t xml:space="preserve"> vurderer reduksjonspotensial i 2030.</w:t>
      </w:r>
    </w:p>
    <w:p w:rsidR="006B4BA5" w:rsidRDefault="00F133E3" w:rsidP="00104D67">
      <w:pPr>
        <w:spacing w:after="200" w:line="276" w:lineRule="auto"/>
        <w:rPr>
          <w:rFonts w:ascii="Verdana" w:hAnsi="Verdana"/>
          <w:sz w:val="20"/>
        </w:rPr>
      </w:pPr>
      <w:r>
        <w:rPr>
          <w:rFonts w:ascii="Verdana" w:hAnsi="Verdana"/>
          <w:sz w:val="20"/>
        </w:rPr>
        <w:t>Vi gjør oppmerksom på at tiltakskostnad og reduksjonspotensial ikke er tilstrekkelige opplysninger for å gjøre korrekt prioritering av tiltak, se</w:t>
      </w:r>
      <w:r w:rsidR="002436E3">
        <w:rPr>
          <w:rFonts w:ascii="Verdana" w:hAnsi="Verdana"/>
          <w:sz w:val="20"/>
        </w:rPr>
        <w:t xml:space="preserve"> f.eks.</w:t>
      </w:r>
      <w:r>
        <w:rPr>
          <w:rFonts w:ascii="Verdana" w:hAnsi="Verdana"/>
          <w:sz w:val="20"/>
        </w:rPr>
        <w:t xml:space="preserve"> </w:t>
      </w:r>
      <w:r>
        <w:rPr>
          <w:rFonts w:ascii="Verdana" w:hAnsi="Verdana"/>
          <w:sz w:val="20"/>
        </w:rPr>
        <w:fldChar w:fldCharType="begin"/>
      </w:r>
      <w:r>
        <w:rPr>
          <w:rFonts w:ascii="Verdana" w:hAnsi="Verdana"/>
          <w:sz w:val="20"/>
        </w:rPr>
        <w:instrText xml:space="preserve"> ADDIN EN.CITE &lt;EndNote&gt;&lt;Cite AuthorYear="1"&gt;&lt;Author&gt;Vogt-Schilb&lt;/Author&gt;&lt;Year&gt;2014&lt;/Year&gt;&lt;RecNum&gt;1&lt;/RecNum&gt;&lt;DisplayText&gt;Vogt-Schilb and Hallegatte (2014)&lt;/DisplayText&gt;&lt;record&gt;&lt;rec-number&gt;1&lt;/rec-number&gt;&lt;foreign-keys&gt;&lt;key app="EN" db-id="9afexa52u9atvmer9xm5a25lwzpf0ppxsf50" timestamp="1499259981"&gt;1&lt;/key&gt;&lt;/foreign-keys&gt;&lt;ref-type name="Journal Article"&gt;17&lt;/ref-type&gt;&lt;contributors&gt;&lt;authors&gt;&lt;author&gt;Vogt-Schilb, Adrien&lt;/author&gt;&lt;author&gt;Hallegatte, Stéphane&lt;/author&gt;&lt;/authors&gt;&lt;/contributors&gt;&lt;titles&gt;&lt;title&gt;Marginal abatement cost curves and the optimal timing of mitigation measures&lt;/title&gt;&lt;secondary-title&gt;Energy Policy&lt;/secondary-title&gt;&lt;/titles&gt;&lt;periodical&gt;&lt;full-title&gt;Energy Policy&lt;/full-title&gt;&lt;/periodical&gt;&lt;pages&gt;645-653&lt;/pages&gt;&lt;volume&gt;66&lt;/volume&gt;&lt;keywords&gt;&lt;keyword&gt;Climate change mitigation&lt;/keyword&gt;&lt;keyword&gt;Dynamic efficiency&lt;/keyword&gt;&lt;keyword&gt;Sectoral policies&lt;/keyword&gt;&lt;/keywords&gt;&lt;dates&gt;&lt;year&gt;2014&lt;/year&gt;&lt;pub-dates&gt;&lt;date&gt;2014/03/01/&lt;/date&gt;&lt;/pub-dates&gt;&lt;/dates&gt;&lt;isbn&gt;0301-4215&lt;/isbn&gt;&lt;urls&gt;&lt;related-urls&gt;&lt;url&gt;http://www.sciencedirect.com/science/article/pii/S030142151301152X&lt;/url&gt;&lt;/related-urls&gt;&lt;/urls&gt;&lt;electronic-resource-num&gt;http://dx.doi.org/10.1016/j.enpol.2013.11.045&lt;/electronic-resource-num&gt;&lt;/record&gt;&lt;/Cite&gt;&lt;/EndNote&gt;</w:instrText>
      </w:r>
      <w:r>
        <w:rPr>
          <w:rFonts w:ascii="Verdana" w:hAnsi="Verdana"/>
          <w:sz w:val="20"/>
        </w:rPr>
        <w:fldChar w:fldCharType="separate"/>
      </w:r>
      <w:r>
        <w:rPr>
          <w:rFonts w:ascii="Verdana" w:hAnsi="Verdana"/>
          <w:noProof/>
          <w:sz w:val="20"/>
        </w:rPr>
        <w:t>Vogt-Schilb and Hallegatte (2014)</w:t>
      </w:r>
      <w:r>
        <w:rPr>
          <w:rFonts w:ascii="Verdana" w:hAnsi="Verdana"/>
          <w:sz w:val="20"/>
        </w:rPr>
        <w:fldChar w:fldCharType="end"/>
      </w:r>
      <w:r>
        <w:rPr>
          <w:rFonts w:ascii="Verdana" w:hAnsi="Verdana"/>
          <w:sz w:val="20"/>
        </w:rPr>
        <w:t xml:space="preserve"> for en mer utfyllende behandling av temaet.</w:t>
      </w:r>
    </w:p>
    <w:p w:rsidR="005F6009" w:rsidRPr="005F6009" w:rsidRDefault="00400F84" w:rsidP="00C8104F">
      <w:pPr>
        <w:pStyle w:val="Heading1"/>
      </w:pPr>
      <w:r>
        <w:lastRenderedPageBreak/>
        <w:t>Vurdering</w:t>
      </w:r>
    </w:p>
    <w:p w:rsidR="008D099E" w:rsidRDefault="00450A05" w:rsidP="00400F84">
      <w:pPr>
        <w:spacing w:line="276" w:lineRule="auto"/>
        <w:rPr>
          <w:rFonts w:ascii="Verdana" w:hAnsi="Verdana"/>
          <w:sz w:val="20"/>
        </w:rPr>
      </w:pPr>
      <w:r>
        <w:rPr>
          <w:rFonts w:ascii="Verdana" w:hAnsi="Verdana"/>
          <w:sz w:val="20"/>
        </w:rPr>
        <w:t>I dette kapittelet går vi gjennom de ulike alternativene og vurderer fordeler og ulemper ved disse.</w:t>
      </w:r>
    </w:p>
    <w:p w:rsidR="008D099E" w:rsidRDefault="008D099E" w:rsidP="008D099E">
      <w:pPr>
        <w:pStyle w:val="ListParagraph"/>
        <w:numPr>
          <w:ilvl w:val="0"/>
          <w:numId w:val="24"/>
        </w:numPr>
        <w:spacing w:after="200" w:line="276" w:lineRule="auto"/>
        <w:rPr>
          <w:rFonts w:ascii="Verdana" w:hAnsi="Verdana"/>
          <w:sz w:val="20"/>
        </w:rPr>
      </w:pPr>
      <w:r>
        <w:rPr>
          <w:rFonts w:ascii="Verdana" w:hAnsi="Verdana"/>
          <w:sz w:val="20"/>
        </w:rPr>
        <w:t>Støtteintensitet, støttekroner på årlig utslippsreduksjon</w:t>
      </w:r>
    </w:p>
    <w:p w:rsidR="008D099E" w:rsidRDefault="008D099E" w:rsidP="008D099E">
      <w:pPr>
        <w:pStyle w:val="ListParagraph"/>
        <w:numPr>
          <w:ilvl w:val="1"/>
          <w:numId w:val="24"/>
        </w:numPr>
        <w:spacing w:after="200" w:line="276" w:lineRule="auto"/>
        <w:rPr>
          <w:rFonts w:ascii="Verdana" w:hAnsi="Verdana"/>
          <w:sz w:val="20"/>
        </w:rPr>
      </w:pPr>
      <w:r>
        <w:rPr>
          <w:rFonts w:ascii="Verdana" w:hAnsi="Verdana"/>
          <w:sz w:val="20"/>
        </w:rPr>
        <w:t xml:space="preserve">Denne størrelsen beregnes av </w:t>
      </w:r>
      <w:proofErr w:type="spellStart"/>
      <w:r>
        <w:rPr>
          <w:rFonts w:ascii="Verdana" w:hAnsi="Verdana"/>
          <w:sz w:val="20"/>
        </w:rPr>
        <w:t>Enova</w:t>
      </w:r>
      <w:proofErr w:type="spellEnd"/>
      <w:r>
        <w:rPr>
          <w:rFonts w:ascii="Verdana" w:hAnsi="Verdana"/>
          <w:sz w:val="20"/>
        </w:rPr>
        <w:t xml:space="preserve"> i dag. </w:t>
      </w:r>
      <w:r w:rsidR="00526CAC">
        <w:rPr>
          <w:rFonts w:ascii="Verdana" w:hAnsi="Verdana"/>
          <w:sz w:val="20"/>
        </w:rPr>
        <w:t xml:space="preserve">Den tilsvarende størrelsen for energi (støtte per kWh) </w:t>
      </w:r>
      <w:r>
        <w:rPr>
          <w:rFonts w:ascii="Verdana" w:hAnsi="Verdana"/>
          <w:sz w:val="20"/>
        </w:rPr>
        <w:t>har vært benyttet til prioritering mellom energipro</w:t>
      </w:r>
      <w:r w:rsidR="00526CAC">
        <w:rPr>
          <w:rFonts w:ascii="Verdana" w:hAnsi="Verdana"/>
          <w:sz w:val="20"/>
        </w:rPr>
        <w:t xml:space="preserve">sjekter. Det er en størrelse som er enkel å beregne og ukomplisert å forstå. </w:t>
      </w:r>
      <w:r w:rsidR="005548BA">
        <w:rPr>
          <w:rFonts w:ascii="Verdana" w:hAnsi="Verdana"/>
          <w:sz w:val="20"/>
        </w:rPr>
        <w:t>Dette var en innarbeidet s</w:t>
      </w:r>
      <w:r w:rsidR="00526CAC">
        <w:rPr>
          <w:rFonts w:ascii="Verdana" w:hAnsi="Verdana"/>
          <w:sz w:val="20"/>
        </w:rPr>
        <w:t>tørrelse for vurdering av energiprosjekter</w:t>
      </w:r>
      <w:r w:rsidR="005548BA">
        <w:rPr>
          <w:rFonts w:ascii="Verdana" w:hAnsi="Verdana"/>
          <w:sz w:val="20"/>
        </w:rPr>
        <w:t xml:space="preserve"> da </w:t>
      </w:r>
      <w:proofErr w:type="spellStart"/>
      <w:r w:rsidR="005548BA">
        <w:rPr>
          <w:rFonts w:ascii="Verdana" w:hAnsi="Verdana"/>
          <w:sz w:val="20"/>
        </w:rPr>
        <w:t>Enova</w:t>
      </w:r>
      <w:proofErr w:type="spellEnd"/>
      <w:r w:rsidR="005548BA">
        <w:rPr>
          <w:rFonts w:ascii="Verdana" w:hAnsi="Verdana"/>
          <w:sz w:val="20"/>
        </w:rPr>
        <w:t xml:space="preserve"> ble etablert</w:t>
      </w:r>
      <w:r w:rsidR="00526CAC">
        <w:rPr>
          <w:rFonts w:ascii="Verdana" w:hAnsi="Verdana"/>
          <w:sz w:val="20"/>
        </w:rPr>
        <w:t xml:space="preserve">. </w:t>
      </w:r>
    </w:p>
    <w:p w:rsidR="00526CAC" w:rsidRDefault="00526CAC" w:rsidP="008D099E">
      <w:pPr>
        <w:pStyle w:val="ListParagraph"/>
        <w:numPr>
          <w:ilvl w:val="1"/>
          <w:numId w:val="24"/>
        </w:numPr>
        <w:spacing w:after="200" w:line="276" w:lineRule="auto"/>
        <w:rPr>
          <w:rFonts w:ascii="Verdana" w:hAnsi="Verdana"/>
          <w:sz w:val="20"/>
        </w:rPr>
      </w:pPr>
      <w:r>
        <w:rPr>
          <w:rFonts w:ascii="Verdana" w:hAnsi="Verdana"/>
          <w:sz w:val="20"/>
        </w:rPr>
        <w:t xml:space="preserve">Denne størrelsen </w:t>
      </w:r>
      <w:proofErr w:type="spellStart"/>
      <w:r>
        <w:rPr>
          <w:rFonts w:ascii="Verdana" w:hAnsi="Verdana"/>
          <w:sz w:val="20"/>
        </w:rPr>
        <w:t>hensyntar</w:t>
      </w:r>
      <w:proofErr w:type="spellEnd"/>
      <w:r>
        <w:rPr>
          <w:rFonts w:ascii="Verdana" w:hAnsi="Verdana"/>
          <w:sz w:val="20"/>
        </w:rPr>
        <w:t xml:space="preserve"> ikke levetiden på prosjektet. To prosjekter med samme støtteintensitet kan ha vidt forskjellig levetid, og derfor produsere svært forskjellige samlede resultater over tid. Denne ulempen kan tenkes å ha større betydning for klimaprosjekter enn for energiprosjekter, fordi variasjonen av tiltak er større.</w:t>
      </w:r>
    </w:p>
    <w:p w:rsidR="00886B13" w:rsidRDefault="00886B13" w:rsidP="008D099E">
      <w:pPr>
        <w:pStyle w:val="ListParagraph"/>
        <w:numPr>
          <w:ilvl w:val="1"/>
          <w:numId w:val="24"/>
        </w:numPr>
        <w:spacing w:after="200" w:line="276" w:lineRule="auto"/>
        <w:rPr>
          <w:rFonts w:ascii="Verdana" w:hAnsi="Verdana"/>
          <w:sz w:val="20"/>
        </w:rPr>
      </w:pPr>
      <w:r>
        <w:rPr>
          <w:rFonts w:ascii="Verdana" w:hAnsi="Verdana"/>
          <w:sz w:val="20"/>
        </w:rPr>
        <w:t xml:space="preserve">Støtteintensiteten er viktig fra </w:t>
      </w:r>
      <w:proofErr w:type="spellStart"/>
      <w:r w:rsidRPr="00886B13">
        <w:rPr>
          <w:rFonts w:ascii="Verdana" w:hAnsi="Verdana"/>
          <w:i/>
          <w:sz w:val="20"/>
        </w:rPr>
        <w:t>Enovas</w:t>
      </w:r>
      <w:proofErr w:type="spellEnd"/>
      <w:r>
        <w:rPr>
          <w:rFonts w:ascii="Verdana" w:hAnsi="Verdana"/>
          <w:sz w:val="20"/>
        </w:rPr>
        <w:t xml:space="preserve"> perspektiv, men fokuserer bare på støttebehovet og ikke på hvor kostnadseffektivt tiltaket er. </w:t>
      </w:r>
    </w:p>
    <w:p w:rsidR="008D099E" w:rsidRDefault="008D099E" w:rsidP="008D099E">
      <w:pPr>
        <w:pStyle w:val="ListParagraph"/>
        <w:numPr>
          <w:ilvl w:val="0"/>
          <w:numId w:val="24"/>
        </w:numPr>
        <w:spacing w:after="200" w:line="276" w:lineRule="auto"/>
        <w:rPr>
          <w:rFonts w:ascii="Verdana" w:hAnsi="Verdana"/>
          <w:sz w:val="20"/>
        </w:rPr>
      </w:pPr>
      <w:r>
        <w:rPr>
          <w:rFonts w:ascii="Verdana" w:hAnsi="Verdana"/>
          <w:sz w:val="20"/>
        </w:rPr>
        <w:t>Miljødirektoratets Metode 1, annuitetskostnad på årlig utslippsreduksjon</w:t>
      </w:r>
    </w:p>
    <w:p w:rsidR="00526CAC" w:rsidRDefault="00C44FF0" w:rsidP="00526CAC">
      <w:pPr>
        <w:pStyle w:val="ListParagraph"/>
        <w:numPr>
          <w:ilvl w:val="1"/>
          <w:numId w:val="24"/>
        </w:numPr>
        <w:spacing w:after="200" w:line="276" w:lineRule="auto"/>
        <w:rPr>
          <w:rFonts w:ascii="Verdana" w:hAnsi="Verdana"/>
          <w:sz w:val="20"/>
        </w:rPr>
      </w:pPr>
      <w:r>
        <w:rPr>
          <w:rFonts w:ascii="Verdana" w:hAnsi="Verdana"/>
          <w:sz w:val="20"/>
        </w:rPr>
        <w:t>Denne metoden tar hensyn til prosjektets levetid ved beregning av årlig kostnad (annuitet) i telleren. I nevneren benyttes en ujustert årlig utslippsreduksjon.</w:t>
      </w:r>
    </w:p>
    <w:p w:rsidR="00C44FF0" w:rsidRDefault="00C44FF0" w:rsidP="00C44FF0">
      <w:pPr>
        <w:pStyle w:val="ListParagraph"/>
        <w:numPr>
          <w:ilvl w:val="1"/>
          <w:numId w:val="24"/>
        </w:numPr>
        <w:spacing w:after="200" w:line="276" w:lineRule="auto"/>
        <w:rPr>
          <w:rFonts w:ascii="Verdana" w:hAnsi="Verdana"/>
          <w:sz w:val="20"/>
        </w:rPr>
      </w:pPr>
      <w:r>
        <w:rPr>
          <w:rFonts w:ascii="Verdana" w:hAnsi="Verdana"/>
          <w:sz w:val="20"/>
        </w:rPr>
        <w:t xml:space="preserve">Denne metoden er relativt enkel å implementere. </w:t>
      </w:r>
      <w:proofErr w:type="spellStart"/>
      <w:r>
        <w:rPr>
          <w:rFonts w:ascii="Verdana" w:hAnsi="Verdana"/>
          <w:sz w:val="20"/>
        </w:rPr>
        <w:t>Enova</w:t>
      </w:r>
      <w:proofErr w:type="spellEnd"/>
      <w:r>
        <w:rPr>
          <w:rFonts w:ascii="Verdana" w:hAnsi="Verdana"/>
          <w:sz w:val="20"/>
        </w:rPr>
        <w:t xml:space="preserve"> beregner nåverdi av prosjektet</w:t>
      </w:r>
      <w:r w:rsidRPr="00C44FF0">
        <w:rPr>
          <w:rFonts w:ascii="Verdana" w:hAnsi="Verdana"/>
          <w:sz w:val="20"/>
        </w:rPr>
        <w:t xml:space="preserve"> </w:t>
      </w:r>
      <w:r>
        <w:rPr>
          <w:rFonts w:ascii="Verdana" w:hAnsi="Verdana"/>
          <w:sz w:val="20"/>
        </w:rPr>
        <w:t>fra før, og denne kan enkelt regnes om til en årlig annuitet.</w:t>
      </w:r>
    </w:p>
    <w:p w:rsidR="00C44FF0" w:rsidRDefault="00C44FF0" w:rsidP="00C44FF0">
      <w:pPr>
        <w:pStyle w:val="ListParagraph"/>
        <w:numPr>
          <w:ilvl w:val="1"/>
          <w:numId w:val="24"/>
        </w:numPr>
        <w:spacing w:after="200" w:line="276" w:lineRule="auto"/>
        <w:rPr>
          <w:rFonts w:ascii="Verdana" w:hAnsi="Verdana"/>
          <w:sz w:val="20"/>
        </w:rPr>
      </w:pPr>
      <w:proofErr w:type="spellStart"/>
      <w:r>
        <w:rPr>
          <w:rFonts w:ascii="Verdana" w:hAnsi="Verdana"/>
          <w:sz w:val="20"/>
        </w:rPr>
        <w:t>Enova</w:t>
      </w:r>
      <w:proofErr w:type="spellEnd"/>
      <w:r>
        <w:rPr>
          <w:rFonts w:ascii="Verdana" w:hAnsi="Verdana"/>
          <w:sz w:val="20"/>
        </w:rPr>
        <w:t xml:space="preserve"> antar kun en årlig utslippsreduksjon, og opererer ikke med mer detaljerte data. Det er forenklende at prosjektdataene benyttes mest mulig direkte ved beregning av tiltakskostnader, fordi saksbehandler lettere både kan anslå og </w:t>
      </w:r>
      <w:proofErr w:type="spellStart"/>
      <w:r>
        <w:rPr>
          <w:rFonts w:ascii="Verdana" w:hAnsi="Verdana"/>
          <w:sz w:val="20"/>
        </w:rPr>
        <w:t>kontrollregne</w:t>
      </w:r>
      <w:proofErr w:type="spellEnd"/>
      <w:r>
        <w:rPr>
          <w:rFonts w:ascii="Verdana" w:hAnsi="Verdana"/>
          <w:sz w:val="20"/>
        </w:rPr>
        <w:t xml:space="preserve"> tiltakskostnadene. Dette reduserer risiko for feilvurderinger.</w:t>
      </w:r>
    </w:p>
    <w:p w:rsidR="00C44FF0" w:rsidRDefault="00C44FF0" w:rsidP="00C44FF0">
      <w:pPr>
        <w:pStyle w:val="ListParagraph"/>
        <w:numPr>
          <w:ilvl w:val="1"/>
          <w:numId w:val="24"/>
        </w:numPr>
        <w:spacing w:after="200" w:line="276" w:lineRule="auto"/>
        <w:rPr>
          <w:rFonts w:ascii="Verdana" w:hAnsi="Verdana"/>
          <w:sz w:val="20"/>
        </w:rPr>
      </w:pPr>
      <w:r>
        <w:rPr>
          <w:rFonts w:ascii="Verdana" w:hAnsi="Verdana"/>
          <w:sz w:val="20"/>
        </w:rPr>
        <w:t xml:space="preserve">Dette er den metoden som ligner mest på støtteintensiteten, som </w:t>
      </w:r>
      <w:proofErr w:type="spellStart"/>
      <w:r>
        <w:rPr>
          <w:rFonts w:ascii="Verdana" w:hAnsi="Verdana"/>
          <w:sz w:val="20"/>
        </w:rPr>
        <w:t>Enova</w:t>
      </w:r>
      <w:proofErr w:type="spellEnd"/>
      <w:r>
        <w:rPr>
          <w:rFonts w:ascii="Verdana" w:hAnsi="Verdana"/>
          <w:sz w:val="20"/>
        </w:rPr>
        <w:t xml:space="preserve"> har lang erfaring med fra før av.</w:t>
      </w:r>
    </w:p>
    <w:p w:rsidR="008D099E" w:rsidRDefault="008D099E" w:rsidP="008D099E">
      <w:pPr>
        <w:pStyle w:val="ListParagraph"/>
        <w:numPr>
          <w:ilvl w:val="0"/>
          <w:numId w:val="24"/>
        </w:numPr>
        <w:spacing w:after="200" w:line="276" w:lineRule="auto"/>
        <w:rPr>
          <w:rFonts w:ascii="Verdana" w:hAnsi="Verdana"/>
          <w:sz w:val="20"/>
        </w:rPr>
      </w:pPr>
      <w:r>
        <w:rPr>
          <w:rFonts w:ascii="Verdana" w:hAnsi="Verdana"/>
          <w:sz w:val="20"/>
        </w:rPr>
        <w:t>Miljødirektoratets Metode 3, annuitetskostnad på gjennomsnittlig årlig utslippsreduksjon (hensyntatt investeringsperiode)</w:t>
      </w:r>
    </w:p>
    <w:p w:rsidR="00C44FF0" w:rsidRDefault="00C44FF0" w:rsidP="00C44FF0">
      <w:pPr>
        <w:pStyle w:val="ListParagraph"/>
        <w:numPr>
          <w:ilvl w:val="1"/>
          <w:numId w:val="24"/>
        </w:numPr>
        <w:spacing w:after="200" w:line="276" w:lineRule="auto"/>
        <w:rPr>
          <w:rFonts w:ascii="Verdana" w:hAnsi="Verdana"/>
          <w:sz w:val="20"/>
        </w:rPr>
      </w:pPr>
      <w:r>
        <w:rPr>
          <w:rFonts w:ascii="Verdana" w:hAnsi="Verdana"/>
          <w:sz w:val="20"/>
        </w:rPr>
        <w:t xml:space="preserve">Forskjellen fra Metode 1 er at den årlige utslippsreduksjonen reduseres i nevneren, siden utslippsreduksjonene bare antas å oppnås i prosjektets driftsperiode og ikke i investeringsperioden. Effekten er at tiltakskostnadene blir høyere enn i Metode 1. Dersom </w:t>
      </w:r>
      <w:r>
        <w:rPr>
          <w:rFonts w:ascii="Verdana" w:hAnsi="Verdana"/>
          <w:sz w:val="20"/>
        </w:rPr>
        <w:lastRenderedPageBreak/>
        <w:t>investeringsperioden utgjør 20% av prosjektperioden, så blir tiltakskostnadene 25% høyere ved bruk av Metode 3 enn Metode 1 (</w:t>
      </w:r>
      <m:oMath>
        <m:f>
          <m:fPr>
            <m:ctrlPr>
              <w:rPr>
                <w:rFonts w:ascii="Cambria Math" w:hAnsi="Cambria Math"/>
                <w:i/>
                <w:sz w:val="20"/>
              </w:rPr>
            </m:ctrlPr>
          </m:fPr>
          <m:num>
            <m:r>
              <w:rPr>
                <w:rFonts w:ascii="Cambria Math" w:hAnsi="Cambria Math"/>
                <w:sz w:val="20"/>
              </w:rPr>
              <m:t>1</m:t>
            </m:r>
          </m:num>
          <m:den>
            <m:r>
              <w:rPr>
                <w:rFonts w:ascii="Cambria Math" w:hAnsi="Cambria Math"/>
                <w:sz w:val="20"/>
              </w:rPr>
              <m:t>0,8</m:t>
            </m:r>
          </m:den>
        </m:f>
        <m:r>
          <w:rPr>
            <w:rFonts w:ascii="Cambria Math" w:hAnsi="Cambria Math"/>
            <w:sz w:val="20"/>
          </w:rPr>
          <m:t>=1,25</m:t>
        </m:r>
      </m:oMath>
      <w:r>
        <w:rPr>
          <w:rFonts w:ascii="Verdana" w:hAnsi="Verdana"/>
          <w:sz w:val="20"/>
        </w:rPr>
        <w:t xml:space="preserve">). </w:t>
      </w:r>
    </w:p>
    <w:p w:rsidR="006D4079" w:rsidRDefault="006D4079" w:rsidP="00C44FF0">
      <w:pPr>
        <w:pStyle w:val="ListParagraph"/>
        <w:numPr>
          <w:ilvl w:val="1"/>
          <w:numId w:val="24"/>
        </w:numPr>
        <w:spacing w:after="200" w:line="276" w:lineRule="auto"/>
        <w:rPr>
          <w:rFonts w:ascii="Verdana" w:hAnsi="Verdana"/>
          <w:sz w:val="20"/>
        </w:rPr>
      </w:pPr>
      <w:r>
        <w:rPr>
          <w:rFonts w:ascii="Verdana" w:hAnsi="Verdana"/>
          <w:sz w:val="20"/>
        </w:rPr>
        <w:t>Metode 3 er bedre enn Metode 1 fordi den i større grad tar hensyn til totalt oppnådde utslippsreduksjoner.</w:t>
      </w:r>
    </w:p>
    <w:p w:rsidR="006D4079" w:rsidRDefault="006D4079" w:rsidP="00C44FF0">
      <w:pPr>
        <w:pStyle w:val="ListParagraph"/>
        <w:numPr>
          <w:ilvl w:val="1"/>
          <w:numId w:val="24"/>
        </w:numPr>
        <w:spacing w:after="200" w:line="276" w:lineRule="auto"/>
        <w:rPr>
          <w:rFonts w:ascii="Verdana" w:hAnsi="Verdana"/>
          <w:sz w:val="20"/>
        </w:rPr>
      </w:pPr>
      <w:r>
        <w:rPr>
          <w:rFonts w:ascii="Verdana" w:hAnsi="Verdana"/>
          <w:sz w:val="20"/>
        </w:rPr>
        <w:t>Metode 3 er dårligere enn Metode 1 i den forstand at den er litt mer komplisert, og derfor kan fortone seg som en «black-</w:t>
      </w:r>
      <w:proofErr w:type="spellStart"/>
      <w:r>
        <w:rPr>
          <w:rFonts w:ascii="Verdana" w:hAnsi="Verdana"/>
          <w:sz w:val="20"/>
        </w:rPr>
        <w:t>box</w:t>
      </w:r>
      <w:proofErr w:type="spellEnd"/>
      <w:r>
        <w:rPr>
          <w:rFonts w:ascii="Verdana" w:hAnsi="Verdana"/>
          <w:sz w:val="20"/>
        </w:rPr>
        <w:t xml:space="preserve"> metode» for flere saksbehandlere.</w:t>
      </w:r>
    </w:p>
    <w:p w:rsidR="008D099E" w:rsidRDefault="008D099E" w:rsidP="008D099E">
      <w:pPr>
        <w:pStyle w:val="ListParagraph"/>
        <w:numPr>
          <w:ilvl w:val="0"/>
          <w:numId w:val="24"/>
        </w:numPr>
        <w:spacing w:after="200" w:line="276" w:lineRule="auto"/>
        <w:rPr>
          <w:rFonts w:ascii="Verdana" w:hAnsi="Verdana"/>
          <w:sz w:val="20"/>
        </w:rPr>
      </w:pPr>
      <w:r>
        <w:rPr>
          <w:rFonts w:ascii="Verdana" w:hAnsi="Verdana"/>
          <w:sz w:val="20"/>
        </w:rPr>
        <w:t>Miljødirektoratets Metode 5, nåverdi på nåverdi</w:t>
      </w:r>
    </w:p>
    <w:p w:rsidR="00CD4C99" w:rsidRDefault="00CD4C99" w:rsidP="00CD4C99">
      <w:pPr>
        <w:pStyle w:val="ListParagraph"/>
        <w:numPr>
          <w:ilvl w:val="1"/>
          <w:numId w:val="24"/>
        </w:numPr>
        <w:spacing w:after="200" w:line="276" w:lineRule="auto"/>
        <w:rPr>
          <w:rFonts w:ascii="Verdana" w:hAnsi="Verdana"/>
          <w:sz w:val="20"/>
        </w:rPr>
      </w:pPr>
      <w:r>
        <w:rPr>
          <w:rFonts w:ascii="Verdana" w:hAnsi="Verdana"/>
          <w:sz w:val="20"/>
        </w:rPr>
        <w:t>Denne metoden er sannsynligvis den som er teoretisk mest riktig, men sannsynligvis fortoner den seg også som den mest kompliserte.</w:t>
      </w:r>
    </w:p>
    <w:p w:rsidR="00CD4C99" w:rsidRDefault="00CD4C99" w:rsidP="00CD4C99">
      <w:pPr>
        <w:pStyle w:val="ListParagraph"/>
        <w:numPr>
          <w:ilvl w:val="1"/>
          <w:numId w:val="24"/>
        </w:numPr>
        <w:spacing w:after="200" w:line="276" w:lineRule="auto"/>
        <w:rPr>
          <w:rFonts w:ascii="Verdana" w:hAnsi="Verdana"/>
          <w:sz w:val="20"/>
        </w:rPr>
      </w:pPr>
      <w:r>
        <w:rPr>
          <w:rFonts w:ascii="Verdana" w:hAnsi="Verdana"/>
          <w:sz w:val="20"/>
        </w:rPr>
        <w:t xml:space="preserve">Denne metoden tar hensyn til det tiltakets totale effekt over levetiden. </w:t>
      </w:r>
    </w:p>
    <w:p w:rsidR="00CD4C99" w:rsidRDefault="00CD4C99" w:rsidP="00CD4C99">
      <w:pPr>
        <w:pStyle w:val="ListParagraph"/>
        <w:numPr>
          <w:ilvl w:val="1"/>
          <w:numId w:val="24"/>
        </w:numPr>
        <w:spacing w:after="200" w:line="276" w:lineRule="auto"/>
        <w:rPr>
          <w:rFonts w:ascii="Verdana" w:hAnsi="Verdana"/>
          <w:sz w:val="20"/>
        </w:rPr>
      </w:pPr>
      <w:r>
        <w:rPr>
          <w:rFonts w:ascii="Verdana" w:hAnsi="Verdana"/>
          <w:sz w:val="20"/>
        </w:rPr>
        <w:t xml:space="preserve">Ved beregning av nåverdi av utslippsreduksjonene benyttes 0% diskonteringsrente. Det betyr at man summerer opp de aktuelle utslippsreduksjonene for alle årene. Siden </w:t>
      </w:r>
      <w:proofErr w:type="spellStart"/>
      <w:r>
        <w:rPr>
          <w:rFonts w:ascii="Verdana" w:hAnsi="Verdana"/>
          <w:sz w:val="20"/>
        </w:rPr>
        <w:t>Enova</w:t>
      </w:r>
      <w:proofErr w:type="spellEnd"/>
      <w:r>
        <w:rPr>
          <w:rFonts w:ascii="Verdana" w:hAnsi="Verdana"/>
          <w:sz w:val="20"/>
        </w:rPr>
        <w:t xml:space="preserve"> ikke opererer med mer detaljerte utslippsprofiler enn årlig reduksjon, så benytter ikke metoden mer informasjon enn Metode 3, men denne metoden vil i større grad honorere prosjekter med lang levetid.</w:t>
      </w:r>
    </w:p>
    <w:p w:rsidR="00CD4C99" w:rsidRDefault="00CD4C99" w:rsidP="009C70EB">
      <w:pPr>
        <w:pStyle w:val="ListParagraph"/>
        <w:numPr>
          <w:ilvl w:val="1"/>
          <w:numId w:val="24"/>
        </w:numPr>
        <w:spacing w:after="200" w:line="276" w:lineRule="auto"/>
        <w:rPr>
          <w:rFonts w:ascii="Verdana" w:hAnsi="Verdana"/>
          <w:sz w:val="20"/>
        </w:rPr>
      </w:pPr>
      <w:r>
        <w:rPr>
          <w:rFonts w:ascii="Verdana" w:hAnsi="Verdana"/>
          <w:sz w:val="20"/>
        </w:rPr>
        <w:t xml:space="preserve">Metode 5 vil som regel gi lavere tiltakskostnader enn metode 3, fordi </w:t>
      </w:r>
      <w:r w:rsidR="00902E67">
        <w:rPr>
          <w:rFonts w:ascii="Verdana" w:hAnsi="Verdana"/>
          <w:sz w:val="20"/>
        </w:rPr>
        <w:t>kostnaden i telleren diskonteres med en positiv rente, mens det benyttes 0% rente i nevneren.</w:t>
      </w:r>
      <w:r w:rsidR="009C70EB">
        <w:rPr>
          <w:rFonts w:ascii="Verdana" w:hAnsi="Verdana"/>
          <w:sz w:val="20"/>
        </w:rPr>
        <w:t xml:space="preserve"> Dette gir større utslag på nåverdien enn på annuiteten</w:t>
      </w:r>
      <w:r w:rsidR="009C70EB" w:rsidRPr="009C70EB">
        <w:rPr>
          <w:rFonts w:ascii="Verdana" w:hAnsi="Verdana"/>
          <w:sz w:val="20"/>
        </w:rPr>
        <w:t xml:space="preserve"> </w:t>
      </w:r>
      <w:r w:rsidR="009C70EB">
        <w:rPr>
          <w:rFonts w:ascii="Verdana" w:hAnsi="Verdana"/>
          <w:sz w:val="20"/>
        </w:rPr>
        <w:t>i telleren. Jo lengre levetid, jo større forskjell vil Metode 5 gi i forhold til de andre metodene.</w:t>
      </w:r>
    </w:p>
    <w:p w:rsidR="008D099E" w:rsidRDefault="008D099E" w:rsidP="00400F84">
      <w:pPr>
        <w:spacing w:line="276" w:lineRule="auto"/>
        <w:rPr>
          <w:rFonts w:ascii="Verdana" w:hAnsi="Verdana"/>
          <w:sz w:val="20"/>
        </w:rPr>
      </w:pPr>
    </w:p>
    <w:p w:rsidR="00285916" w:rsidRDefault="00285916" w:rsidP="00400F84">
      <w:pPr>
        <w:spacing w:line="276" w:lineRule="auto"/>
        <w:rPr>
          <w:rFonts w:ascii="Verdana" w:hAnsi="Verdana"/>
          <w:sz w:val="20"/>
        </w:rPr>
      </w:pPr>
      <w:r>
        <w:rPr>
          <w:rFonts w:ascii="Verdana" w:hAnsi="Verdana"/>
          <w:sz w:val="20"/>
        </w:rPr>
        <w:t xml:space="preserve">Miljødirektoratet beregner samfunnsøkonomiske tiltakskostnader, mens </w:t>
      </w:r>
      <w:proofErr w:type="spellStart"/>
      <w:r>
        <w:rPr>
          <w:rFonts w:ascii="Verdana" w:hAnsi="Verdana"/>
          <w:sz w:val="20"/>
        </w:rPr>
        <w:t>Enova</w:t>
      </w:r>
      <w:proofErr w:type="spellEnd"/>
      <w:r>
        <w:rPr>
          <w:rFonts w:ascii="Verdana" w:hAnsi="Verdana"/>
          <w:sz w:val="20"/>
        </w:rPr>
        <w:t xml:space="preserve"> beregner bedriftsøkonomiske tiltakskostnader. Det betyr at Miljødirektoratet ikke tar hensyn til skatter og avgifter, og at man også forsøker å beregne samfunnsøkonomiske kostnader </w:t>
      </w:r>
      <w:r w:rsidR="00C31698">
        <w:rPr>
          <w:rFonts w:ascii="Verdana" w:hAnsi="Verdana"/>
          <w:sz w:val="20"/>
        </w:rPr>
        <w:t xml:space="preserve">av eksterne virkninger. </w:t>
      </w:r>
      <w:r w:rsidR="00FE42FC">
        <w:rPr>
          <w:rFonts w:ascii="Verdana" w:hAnsi="Verdana"/>
          <w:sz w:val="20"/>
        </w:rPr>
        <w:t xml:space="preserve">Det vil også benyttes ulike diskonteringsrenter. </w:t>
      </w:r>
      <w:proofErr w:type="spellStart"/>
      <w:r w:rsidR="00FE42FC">
        <w:rPr>
          <w:rFonts w:ascii="Verdana" w:hAnsi="Verdana"/>
          <w:sz w:val="20"/>
        </w:rPr>
        <w:t>Enova</w:t>
      </w:r>
      <w:proofErr w:type="spellEnd"/>
      <w:r w:rsidR="00FE42FC">
        <w:rPr>
          <w:rFonts w:ascii="Verdana" w:hAnsi="Verdana"/>
          <w:sz w:val="20"/>
        </w:rPr>
        <w:t xml:space="preserve"> vil benytte bedriftens diskonteringsrente, mens </w:t>
      </w:r>
      <w:r w:rsidR="00C31698">
        <w:rPr>
          <w:rFonts w:ascii="Verdana" w:hAnsi="Verdana"/>
          <w:sz w:val="20"/>
        </w:rPr>
        <w:t xml:space="preserve">Miljødirektoratet </w:t>
      </w:r>
      <w:r w:rsidR="001542E5">
        <w:rPr>
          <w:rFonts w:ascii="Verdana" w:hAnsi="Verdana"/>
          <w:sz w:val="20"/>
        </w:rPr>
        <w:t>som regel</w:t>
      </w:r>
      <w:r w:rsidR="00C31698">
        <w:rPr>
          <w:rFonts w:ascii="Verdana" w:hAnsi="Verdana"/>
          <w:sz w:val="20"/>
        </w:rPr>
        <w:t xml:space="preserve"> </w:t>
      </w:r>
      <w:r w:rsidR="00FE42FC">
        <w:rPr>
          <w:rFonts w:ascii="Verdana" w:hAnsi="Verdana"/>
          <w:sz w:val="20"/>
        </w:rPr>
        <w:t xml:space="preserve">vil </w:t>
      </w:r>
      <w:r w:rsidR="00C31698">
        <w:rPr>
          <w:rFonts w:ascii="Verdana" w:hAnsi="Verdana"/>
          <w:sz w:val="20"/>
        </w:rPr>
        <w:t xml:space="preserve">benytte </w:t>
      </w:r>
      <w:r w:rsidR="001542E5">
        <w:rPr>
          <w:rFonts w:ascii="Verdana" w:hAnsi="Verdana"/>
          <w:sz w:val="20"/>
        </w:rPr>
        <w:t>d</w:t>
      </w:r>
      <w:r w:rsidR="00C31698">
        <w:rPr>
          <w:rFonts w:ascii="Verdana" w:hAnsi="Verdana"/>
          <w:sz w:val="20"/>
        </w:rPr>
        <w:t>en samfunnsøkonomiske kalkulasjonsrenten</w:t>
      </w:r>
      <w:r w:rsidR="001542E5">
        <w:rPr>
          <w:rFonts w:ascii="Verdana" w:hAnsi="Verdana"/>
          <w:sz w:val="20"/>
        </w:rPr>
        <w:t>, se nedenstående utdrag fra Veileder i samfunnsøkonomiske analyser</w:t>
      </w:r>
      <w:r w:rsidR="001542E5">
        <w:rPr>
          <w:rStyle w:val="FootnoteReference"/>
          <w:rFonts w:ascii="Verdana" w:hAnsi="Verdana"/>
          <w:sz w:val="20"/>
        </w:rPr>
        <w:footnoteReference w:id="2"/>
      </w:r>
      <w:r w:rsidR="001542E5">
        <w:rPr>
          <w:rFonts w:ascii="Verdana" w:hAnsi="Verdana"/>
          <w:sz w:val="20"/>
        </w:rPr>
        <w:t>:</w:t>
      </w:r>
    </w:p>
    <w:p w:rsidR="001542E5" w:rsidRDefault="00C31698" w:rsidP="001542E5">
      <w:pPr>
        <w:spacing w:line="276" w:lineRule="auto"/>
        <w:ind w:left="720"/>
      </w:pPr>
      <w:r w:rsidRPr="001542E5">
        <w:t>Ut fra analyseperioden dere har fastsatt, finner dere hvilken kalkulasjonsrente dere skal bruke i Finansdepartementets rundskriv R-109/2014. Ifølge rundskrivet skal dere for normale statlige tiltak benytte en kalkulasjonsrente på 4 prosent for virkninger de første 40 årene av analyseperioden. Dersom analyseperioden er lengre, brukes en kalkulasjonsrente på 3 prosent fra 40 til 75 år. Etter 75 år brukes en kalkulasjonsrente på 2 prosent.</w:t>
      </w:r>
    </w:p>
    <w:p w:rsidR="001542E5" w:rsidRDefault="001542E5" w:rsidP="001542E5">
      <w:pPr>
        <w:spacing w:line="276" w:lineRule="auto"/>
        <w:rPr>
          <w:rFonts w:ascii="Verdana" w:hAnsi="Verdana"/>
          <w:sz w:val="20"/>
        </w:rPr>
      </w:pPr>
    </w:p>
    <w:p w:rsidR="00A865E9" w:rsidRPr="00EA400E" w:rsidRDefault="00A865E9" w:rsidP="00EA400E">
      <w:pPr>
        <w:spacing w:line="276" w:lineRule="auto"/>
        <w:rPr>
          <w:rFonts w:ascii="Verdana" w:hAnsi="Verdana"/>
          <w:sz w:val="20"/>
        </w:rPr>
      </w:pPr>
      <w:r>
        <w:rPr>
          <w:rFonts w:ascii="Verdana" w:hAnsi="Verdana"/>
          <w:sz w:val="20"/>
        </w:rPr>
        <w:t xml:space="preserve">På direkte spørsmål svarer Miljødirektoratet at Metode 3 </w:t>
      </w:r>
      <w:r w:rsidR="00C0500C">
        <w:rPr>
          <w:rFonts w:ascii="Verdana" w:hAnsi="Verdana"/>
          <w:sz w:val="20"/>
        </w:rPr>
        <w:t xml:space="preserve">(vårt alternativ c) </w:t>
      </w:r>
      <w:r>
        <w:rPr>
          <w:rFonts w:ascii="Verdana" w:hAnsi="Verdana"/>
          <w:sz w:val="20"/>
        </w:rPr>
        <w:t>er standard hos dem, og at de vil fortsette å bruke denne i overskuelig framtid.</w:t>
      </w:r>
      <w:r w:rsidR="00EA400E">
        <w:rPr>
          <w:rFonts w:ascii="Verdana" w:hAnsi="Verdana"/>
          <w:sz w:val="20"/>
        </w:rPr>
        <w:t xml:space="preserve"> </w:t>
      </w:r>
      <w:r w:rsidR="00EA400E" w:rsidRPr="00EA400E">
        <w:rPr>
          <w:rFonts w:ascii="Verdana" w:hAnsi="Verdana"/>
          <w:sz w:val="20"/>
        </w:rPr>
        <w:t xml:space="preserve">Den viktigste grunnen til det er at denne </w:t>
      </w:r>
      <w:r w:rsidR="00EA400E">
        <w:rPr>
          <w:rFonts w:ascii="Verdana" w:hAnsi="Verdana"/>
          <w:sz w:val="20"/>
        </w:rPr>
        <w:t xml:space="preserve">metoden </w:t>
      </w:r>
      <w:r w:rsidR="00EA400E" w:rsidRPr="00EA400E">
        <w:rPr>
          <w:rFonts w:ascii="Verdana" w:hAnsi="Verdana"/>
          <w:sz w:val="20"/>
        </w:rPr>
        <w:t xml:space="preserve">er i god overenstemmelse med analyser </w:t>
      </w:r>
      <w:r w:rsidR="00EA400E">
        <w:rPr>
          <w:rFonts w:ascii="Verdana" w:hAnsi="Verdana"/>
          <w:sz w:val="20"/>
        </w:rPr>
        <w:t xml:space="preserve">Miljødirektoratet </w:t>
      </w:r>
      <w:r w:rsidR="00EA400E" w:rsidRPr="00EA400E">
        <w:rPr>
          <w:rFonts w:ascii="Verdana" w:hAnsi="Verdana"/>
          <w:sz w:val="20"/>
        </w:rPr>
        <w:t>har publisert i løpet av de siste 10 - 20 årene.</w:t>
      </w:r>
    </w:p>
    <w:p w:rsidR="00A865E9" w:rsidRDefault="00A865E9" w:rsidP="001542E5">
      <w:pPr>
        <w:spacing w:line="276" w:lineRule="auto"/>
        <w:rPr>
          <w:rFonts w:ascii="Verdana" w:hAnsi="Verdana"/>
          <w:sz w:val="20"/>
        </w:rPr>
      </w:pPr>
    </w:p>
    <w:p w:rsidR="00B07ED5" w:rsidRDefault="00565F08" w:rsidP="0022350D">
      <w:pPr>
        <w:spacing w:line="276" w:lineRule="auto"/>
        <w:rPr>
          <w:rFonts w:ascii="Verdana" w:hAnsi="Verdana"/>
          <w:sz w:val="20"/>
        </w:rPr>
      </w:pPr>
      <w:r>
        <w:rPr>
          <w:rFonts w:ascii="Verdana" w:hAnsi="Verdana"/>
          <w:sz w:val="20"/>
        </w:rPr>
        <w:t xml:space="preserve">Miljødirektoratet operer med tiltakskostnader i tråd med metode b) i </w:t>
      </w:r>
      <w:proofErr w:type="spellStart"/>
      <w:r>
        <w:rPr>
          <w:rFonts w:ascii="Verdana" w:hAnsi="Verdana"/>
          <w:sz w:val="20"/>
        </w:rPr>
        <w:t>Klimakur</w:t>
      </w:r>
      <w:proofErr w:type="spellEnd"/>
      <w:r>
        <w:rPr>
          <w:rFonts w:ascii="Verdana" w:hAnsi="Verdana"/>
          <w:sz w:val="20"/>
        </w:rPr>
        <w:t xml:space="preserve"> og </w:t>
      </w:r>
      <w:r w:rsidR="0022350D">
        <w:rPr>
          <w:rFonts w:ascii="Verdana" w:hAnsi="Verdana"/>
          <w:sz w:val="20"/>
        </w:rPr>
        <w:t xml:space="preserve">c) i </w:t>
      </w:r>
      <w:r w:rsidR="00B07ED5">
        <w:rPr>
          <w:rFonts w:ascii="Verdana" w:hAnsi="Verdana"/>
          <w:sz w:val="20"/>
        </w:rPr>
        <w:t xml:space="preserve">rapport M386 </w:t>
      </w:r>
      <w:r w:rsidR="00B07ED5" w:rsidRPr="00B07ED5">
        <w:rPr>
          <w:rFonts w:ascii="Verdana" w:hAnsi="Verdana"/>
          <w:sz w:val="20"/>
        </w:rPr>
        <w:t>Klimatiltak og utslippsbaner mot 2030</w:t>
      </w:r>
      <w:r w:rsidR="00B07ED5">
        <w:rPr>
          <w:rFonts w:ascii="Verdana" w:hAnsi="Verdana"/>
          <w:sz w:val="20"/>
        </w:rPr>
        <w:t>. I den siste rapporten har Miljø</w:t>
      </w:r>
      <w:r w:rsidR="00E523BC">
        <w:rPr>
          <w:rFonts w:ascii="Verdana" w:hAnsi="Verdana"/>
          <w:sz w:val="20"/>
        </w:rPr>
        <w:t>direktoratet gruppert tiltakene</w:t>
      </w:r>
      <w:r w:rsidR="009A5E2E">
        <w:rPr>
          <w:rFonts w:ascii="Verdana" w:hAnsi="Verdana"/>
          <w:sz w:val="20"/>
        </w:rPr>
        <w:t xml:space="preserve"> i tre: T</w:t>
      </w:r>
      <w:r w:rsidR="00E523BC">
        <w:rPr>
          <w:rFonts w:ascii="Verdana" w:hAnsi="Verdana"/>
          <w:sz w:val="20"/>
        </w:rPr>
        <w:t xml:space="preserve">iltak med antatt tiltakskostnad under 500 kroner per tonn </w:t>
      </w:r>
      <w:r w:rsidR="0050243C">
        <w:rPr>
          <w:rFonts w:ascii="Arial" w:hAnsi="Arial" w:cs="Arial"/>
          <w:sz w:val="20"/>
          <w:szCs w:val="20"/>
          <w:lang w:val="en-US"/>
        </w:rPr>
        <w:t>CO</w:t>
      </w:r>
      <w:r w:rsidR="0050243C" w:rsidRPr="00B95D86">
        <w:rPr>
          <w:rFonts w:ascii="Arial" w:hAnsi="Arial" w:cs="Arial"/>
          <w:sz w:val="20"/>
          <w:szCs w:val="20"/>
          <w:vertAlign w:val="subscript"/>
          <w:lang w:val="en-US"/>
        </w:rPr>
        <w:t>2</w:t>
      </w:r>
      <w:r w:rsidR="0022350D">
        <w:rPr>
          <w:rFonts w:ascii="Verdana" w:hAnsi="Verdana"/>
          <w:sz w:val="20"/>
        </w:rPr>
        <w:t>,</w:t>
      </w:r>
      <w:r w:rsidR="0050243C">
        <w:rPr>
          <w:rFonts w:ascii="Verdana" w:hAnsi="Verdana"/>
          <w:sz w:val="20"/>
        </w:rPr>
        <w:t xml:space="preserve"> </w:t>
      </w:r>
      <w:r w:rsidR="0022350D">
        <w:rPr>
          <w:rFonts w:ascii="Verdana" w:hAnsi="Verdana"/>
          <w:sz w:val="20"/>
        </w:rPr>
        <w:t xml:space="preserve">tiltak med antatt tiltakskostnad fra 500 </w:t>
      </w:r>
      <w:proofErr w:type="spellStart"/>
      <w:r w:rsidR="0022350D">
        <w:rPr>
          <w:rFonts w:ascii="Verdana" w:hAnsi="Verdana"/>
          <w:sz w:val="20"/>
        </w:rPr>
        <w:t>opp til</w:t>
      </w:r>
      <w:proofErr w:type="spellEnd"/>
      <w:r w:rsidR="0022350D">
        <w:rPr>
          <w:rFonts w:ascii="Verdana" w:hAnsi="Verdana"/>
          <w:sz w:val="20"/>
        </w:rPr>
        <w:t xml:space="preserve"> 1500 kroner per tonn </w:t>
      </w:r>
      <w:r w:rsidR="0022350D">
        <w:rPr>
          <w:rFonts w:ascii="Arial" w:hAnsi="Arial" w:cs="Arial"/>
          <w:sz w:val="20"/>
          <w:szCs w:val="20"/>
          <w:lang w:val="en-US"/>
        </w:rPr>
        <w:t>CO</w:t>
      </w:r>
      <w:r w:rsidR="0022350D" w:rsidRPr="00B95D86">
        <w:rPr>
          <w:rFonts w:ascii="Arial" w:hAnsi="Arial" w:cs="Arial"/>
          <w:sz w:val="20"/>
          <w:szCs w:val="20"/>
          <w:vertAlign w:val="subscript"/>
          <w:lang w:val="en-US"/>
        </w:rPr>
        <w:t>2</w:t>
      </w:r>
      <w:r w:rsidR="0022350D">
        <w:rPr>
          <w:rFonts w:ascii="Verdana" w:hAnsi="Verdana"/>
          <w:sz w:val="20"/>
        </w:rPr>
        <w:t xml:space="preserve"> og tiltak som har antatt tiltakskostnad på over 1500 kroner per tonn </w:t>
      </w:r>
      <w:r w:rsidR="0022350D">
        <w:rPr>
          <w:rFonts w:ascii="Arial" w:hAnsi="Arial" w:cs="Arial"/>
          <w:sz w:val="20"/>
          <w:szCs w:val="20"/>
          <w:lang w:val="en-US"/>
        </w:rPr>
        <w:t>CO</w:t>
      </w:r>
      <w:r w:rsidR="0022350D" w:rsidRPr="00B95D86">
        <w:rPr>
          <w:rFonts w:ascii="Arial" w:hAnsi="Arial" w:cs="Arial"/>
          <w:sz w:val="20"/>
          <w:szCs w:val="20"/>
          <w:vertAlign w:val="subscript"/>
          <w:lang w:val="en-US"/>
        </w:rPr>
        <w:t>2</w:t>
      </w:r>
      <w:r w:rsidR="0022350D">
        <w:rPr>
          <w:rFonts w:ascii="Verdana" w:hAnsi="Verdana"/>
          <w:sz w:val="20"/>
        </w:rPr>
        <w:t>.</w:t>
      </w:r>
    </w:p>
    <w:p w:rsidR="00B07ED5" w:rsidRDefault="00B07ED5" w:rsidP="001542E5">
      <w:pPr>
        <w:spacing w:line="276" w:lineRule="auto"/>
        <w:rPr>
          <w:rFonts w:ascii="Verdana" w:hAnsi="Verdana"/>
          <w:sz w:val="20"/>
        </w:rPr>
      </w:pPr>
    </w:p>
    <w:p w:rsidR="00565F08" w:rsidRDefault="00B07ED5" w:rsidP="001542E5">
      <w:pPr>
        <w:spacing w:line="276" w:lineRule="auto"/>
        <w:rPr>
          <w:rFonts w:ascii="Verdana" w:hAnsi="Verdana"/>
          <w:sz w:val="20"/>
        </w:rPr>
      </w:pPr>
      <w:r>
        <w:rPr>
          <w:rFonts w:ascii="Verdana" w:hAnsi="Verdana"/>
          <w:sz w:val="20"/>
        </w:rPr>
        <w:t>For å operere med tiltakskostnader som er sammenlignbare med tidligere tall</w:t>
      </w:r>
      <w:r w:rsidR="0022350D">
        <w:rPr>
          <w:rFonts w:ascii="Verdana" w:hAnsi="Verdana"/>
          <w:sz w:val="20"/>
        </w:rPr>
        <w:t>,</w:t>
      </w:r>
      <w:r>
        <w:rPr>
          <w:rFonts w:ascii="Verdana" w:hAnsi="Verdana"/>
          <w:sz w:val="20"/>
        </w:rPr>
        <w:t xml:space="preserve"> er </w:t>
      </w:r>
      <w:r w:rsidR="0050243C">
        <w:rPr>
          <w:rFonts w:ascii="Verdana" w:hAnsi="Verdana"/>
          <w:sz w:val="20"/>
        </w:rPr>
        <w:t xml:space="preserve">Metode 1 eller Metode 3 å foretrekke. </w:t>
      </w:r>
      <w:r w:rsidR="0022350D">
        <w:rPr>
          <w:rFonts w:ascii="Verdana" w:hAnsi="Verdana"/>
          <w:sz w:val="20"/>
        </w:rPr>
        <w:t>Siden Miljødirektoratet anser Metode 3 som sin standardmetode, er det naturlig å velge denne foran Metode 1.</w:t>
      </w:r>
    </w:p>
    <w:p w:rsidR="008A0397" w:rsidRDefault="008A0397" w:rsidP="001542E5">
      <w:pPr>
        <w:spacing w:line="276" w:lineRule="auto"/>
        <w:rPr>
          <w:rFonts w:ascii="Verdana" w:hAnsi="Verdana"/>
          <w:sz w:val="20"/>
        </w:rPr>
      </w:pPr>
    </w:p>
    <w:p w:rsidR="00AE483C" w:rsidRPr="00A7244B" w:rsidRDefault="00AE483C" w:rsidP="00AE483C">
      <w:pPr>
        <w:spacing w:line="276" w:lineRule="auto"/>
        <w:rPr>
          <w:rFonts w:ascii="Verdana" w:hAnsi="Verdana"/>
          <w:b/>
          <w:sz w:val="20"/>
        </w:rPr>
      </w:pPr>
      <w:proofErr w:type="spellStart"/>
      <w:r w:rsidRPr="00A7244B">
        <w:rPr>
          <w:rFonts w:ascii="Verdana" w:hAnsi="Verdana"/>
          <w:b/>
          <w:sz w:val="20"/>
        </w:rPr>
        <w:t>Aggregerbarhet</w:t>
      </w:r>
      <w:proofErr w:type="spellEnd"/>
      <w:r w:rsidR="00A7244B" w:rsidRPr="00A7244B">
        <w:rPr>
          <w:rFonts w:ascii="Verdana" w:hAnsi="Verdana"/>
          <w:b/>
          <w:sz w:val="20"/>
        </w:rPr>
        <w:t xml:space="preserve"> - porteføljerapportering</w:t>
      </w:r>
    </w:p>
    <w:p w:rsidR="003F7507" w:rsidRDefault="00CE1331" w:rsidP="00AE483C">
      <w:pPr>
        <w:spacing w:line="276" w:lineRule="auto"/>
        <w:rPr>
          <w:rFonts w:ascii="Verdana" w:hAnsi="Verdana"/>
          <w:sz w:val="20"/>
        </w:rPr>
      </w:pPr>
      <w:r>
        <w:rPr>
          <w:rFonts w:ascii="Verdana" w:hAnsi="Verdana"/>
          <w:sz w:val="20"/>
        </w:rPr>
        <w:t xml:space="preserve">Det kan være aktuelt å rapportere tiltakskostnader for grupper av prosjekter eller for den samlede porteføljen av prosjekter. </w:t>
      </w:r>
      <w:r w:rsidR="003F7507">
        <w:rPr>
          <w:rFonts w:ascii="Verdana" w:hAnsi="Verdana"/>
          <w:sz w:val="20"/>
        </w:rPr>
        <w:t xml:space="preserve">Prosjektbaserte tiltakskostnader kan ikke aggregeres direkte, fordi man må ta hensyn til ulike prosjektstørrelser og levetider. </w:t>
      </w:r>
    </w:p>
    <w:p w:rsidR="003F7507" w:rsidRDefault="003F7507" w:rsidP="00AE483C">
      <w:pPr>
        <w:spacing w:line="276" w:lineRule="auto"/>
        <w:rPr>
          <w:rFonts w:ascii="Verdana" w:hAnsi="Verdana"/>
          <w:sz w:val="20"/>
        </w:rPr>
      </w:pPr>
    </w:p>
    <w:p w:rsidR="00AE483C" w:rsidRDefault="003F7507" w:rsidP="00AE483C">
      <w:pPr>
        <w:spacing w:line="276" w:lineRule="auto"/>
        <w:rPr>
          <w:rFonts w:ascii="Verdana" w:hAnsi="Verdana"/>
          <w:sz w:val="20"/>
        </w:rPr>
      </w:pPr>
      <w:r>
        <w:rPr>
          <w:rFonts w:ascii="Verdana" w:hAnsi="Verdana"/>
          <w:sz w:val="20"/>
        </w:rPr>
        <w:t>Metode 5 er den som er enklest å anvende for aggregert rapportering. Teller og nevner per prosjekt kan enkelt aggregeres hver for seg. Man ivaretar da både ulike prosjektstørrelser og levetider, og kan oppgi en samlet tiltakskostnad for prosjektene. Metode 1 og 3 er litt verre å aggregere, siden disse opererer med årlige størrelser</w:t>
      </w:r>
      <w:r w:rsidR="00F011BA">
        <w:rPr>
          <w:rFonts w:ascii="Verdana" w:hAnsi="Verdana"/>
          <w:sz w:val="20"/>
        </w:rPr>
        <w:t>. Man ivaretar da ulike prosjektstørrelser, men ikke ulike levetider.</w:t>
      </w:r>
    </w:p>
    <w:p w:rsidR="00A12B9A" w:rsidRDefault="00A12B9A" w:rsidP="001542E5">
      <w:pPr>
        <w:spacing w:line="276" w:lineRule="auto"/>
        <w:rPr>
          <w:rFonts w:ascii="Verdana" w:hAnsi="Verdana"/>
          <w:b/>
          <w:sz w:val="20"/>
        </w:rPr>
      </w:pPr>
    </w:p>
    <w:p w:rsidR="00A7244B" w:rsidRPr="00A7244B" w:rsidRDefault="00A7244B" w:rsidP="001542E5">
      <w:pPr>
        <w:spacing w:line="276" w:lineRule="auto"/>
        <w:rPr>
          <w:rFonts w:ascii="Verdana" w:hAnsi="Verdana"/>
          <w:b/>
          <w:sz w:val="20"/>
        </w:rPr>
      </w:pPr>
      <w:r w:rsidRPr="00A7244B">
        <w:rPr>
          <w:rFonts w:ascii="Verdana" w:hAnsi="Verdana"/>
          <w:b/>
          <w:sz w:val="20"/>
        </w:rPr>
        <w:t>Grafiske fremstillinger</w:t>
      </w:r>
    </w:p>
    <w:p w:rsidR="00455E4E" w:rsidRDefault="009D10A6" w:rsidP="001542E5">
      <w:pPr>
        <w:spacing w:line="276" w:lineRule="auto"/>
        <w:rPr>
          <w:rFonts w:ascii="Verdana" w:hAnsi="Verdana"/>
          <w:sz w:val="20"/>
        </w:rPr>
      </w:pPr>
      <w:r>
        <w:rPr>
          <w:rFonts w:ascii="Verdana" w:hAnsi="Verdana"/>
          <w:sz w:val="20"/>
        </w:rPr>
        <w:t>Tiltakskostnader for ulike klimatiltak fremstilles gjerne i form av</w:t>
      </w:r>
      <w:r w:rsidR="00983274">
        <w:rPr>
          <w:rFonts w:ascii="Verdana" w:hAnsi="Verdana"/>
          <w:sz w:val="20"/>
        </w:rPr>
        <w:t xml:space="preserve"> en</w:t>
      </w:r>
      <w:r>
        <w:rPr>
          <w:rFonts w:ascii="Verdana" w:hAnsi="Verdana"/>
          <w:sz w:val="20"/>
        </w:rPr>
        <w:t xml:space="preserve"> </w:t>
      </w:r>
      <w:proofErr w:type="spellStart"/>
      <w:r>
        <w:rPr>
          <w:rFonts w:ascii="Verdana" w:hAnsi="Verdana"/>
          <w:sz w:val="20"/>
        </w:rPr>
        <w:t>a</w:t>
      </w:r>
      <w:r w:rsidR="008A0397">
        <w:rPr>
          <w:rFonts w:ascii="Verdana" w:hAnsi="Verdana"/>
          <w:sz w:val="20"/>
        </w:rPr>
        <w:t>batement</w:t>
      </w:r>
      <w:proofErr w:type="spellEnd"/>
      <w:r w:rsidR="008A0397">
        <w:rPr>
          <w:rFonts w:ascii="Verdana" w:hAnsi="Verdana"/>
          <w:sz w:val="20"/>
        </w:rPr>
        <w:t xml:space="preserve"> </w:t>
      </w:r>
      <w:proofErr w:type="spellStart"/>
      <w:r w:rsidR="008A0397">
        <w:rPr>
          <w:rFonts w:ascii="Verdana" w:hAnsi="Verdana"/>
          <w:sz w:val="20"/>
        </w:rPr>
        <w:t>cost</w:t>
      </w:r>
      <w:proofErr w:type="spellEnd"/>
      <w:r w:rsidR="008A0397">
        <w:rPr>
          <w:rFonts w:ascii="Verdana" w:hAnsi="Verdana"/>
          <w:sz w:val="20"/>
        </w:rPr>
        <w:t xml:space="preserve"> </w:t>
      </w:r>
      <w:proofErr w:type="spellStart"/>
      <w:r w:rsidR="008A0397">
        <w:rPr>
          <w:rFonts w:ascii="Verdana" w:hAnsi="Verdana"/>
          <w:sz w:val="20"/>
        </w:rPr>
        <w:t>curve</w:t>
      </w:r>
      <w:proofErr w:type="spellEnd"/>
      <w:r w:rsidR="00455E4E">
        <w:rPr>
          <w:rFonts w:ascii="Verdana" w:hAnsi="Verdana"/>
          <w:sz w:val="20"/>
        </w:rPr>
        <w:t xml:space="preserve">, </w:t>
      </w:r>
      <w:r w:rsidR="00455E4E">
        <w:rPr>
          <w:rFonts w:ascii="Verdana" w:hAnsi="Verdana"/>
          <w:sz w:val="20"/>
        </w:rPr>
        <w:fldChar w:fldCharType="begin"/>
      </w:r>
      <w:r w:rsidR="00455E4E">
        <w:rPr>
          <w:rFonts w:ascii="Verdana" w:hAnsi="Verdana"/>
          <w:sz w:val="20"/>
        </w:rPr>
        <w:instrText xml:space="preserve"> REF _Ref487032778 \h </w:instrText>
      </w:r>
      <w:r w:rsidR="00455E4E">
        <w:rPr>
          <w:rFonts w:ascii="Verdana" w:hAnsi="Verdana"/>
          <w:sz w:val="20"/>
        </w:rPr>
      </w:r>
      <w:r w:rsidR="00455E4E">
        <w:rPr>
          <w:rFonts w:ascii="Verdana" w:hAnsi="Verdana"/>
          <w:sz w:val="20"/>
        </w:rPr>
        <w:fldChar w:fldCharType="separate"/>
      </w:r>
      <w:r w:rsidR="002B6CE3">
        <w:t xml:space="preserve">Figur </w:t>
      </w:r>
      <w:r w:rsidR="002B6CE3">
        <w:rPr>
          <w:noProof/>
        </w:rPr>
        <w:t>1</w:t>
      </w:r>
      <w:r w:rsidR="00455E4E">
        <w:rPr>
          <w:rFonts w:ascii="Verdana" w:hAnsi="Verdana"/>
          <w:sz w:val="20"/>
        </w:rPr>
        <w:fldChar w:fldCharType="end"/>
      </w:r>
      <w:r w:rsidR="00983274">
        <w:rPr>
          <w:rFonts w:ascii="Verdana" w:hAnsi="Verdana"/>
          <w:sz w:val="20"/>
        </w:rPr>
        <w:t xml:space="preserve"> viser to eksempler</w:t>
      </w:r>
      <w:r>
        <w:rPr>
          <w:rFonts w:ascii="Verdana" w:hAnsi="Verdana"/>
          <w:sz w:val="20"/>
        </w:rPr>
        <w:t>.</w:t>
      </w:r>
      <w:r w:rsidR="005159E8">
        <w:rPr>
          <w:rFonts w:ascii="Verdana" w:hAnsi="Verdana"/>
          <w:sz w:val="20"/>
        </w:rPr>
        <w:t xml:space="preserve"> </w:t>
      </w:r>
    </w:p>
    <w:p w:rsidR="00455E4E" w:rsidRDefault="00455E4E" w:rsidP="001542E5">
      <w:pPr>
        <w:spacing w:line="276" w:lineRule="auto"/>
        <w:rPr>
          <w:rFonts w:ascii="Verdana" w:hAnsi="Verdana"/>
          <w:sz w:val="20"/>
        </w:rPr>
      </w:pPr>
    </w:p>
    <w:p w:rsidR="00455E4E" w:rsidRDefault="00455E4E" w:rsidP="00455E4E">
      <w:pPr>
        <w:keepNext/>
        <w:spacing w:line="276" w:lineRule="auto"/>
      </w:pPr>
      <w:r>
        <w:rPr>
          <w:rFonts w:ascii="Verdana" w:hAnsi="Verdana"/>
          <w:noProof/>
          <w:sz w:val="20"/>
        </w:rPr>
        <w:lastRenderedPageBreak/>
        <w:drawing>
          <wp:inline distT="0" distB="0" distL="0" distR="0" wp14:anchorId="0E692B23" wp14:editId="73A8856D">
            <wp:extent cx="2280409" cy="164401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rginal_abatement_cost_curve.jpg"/>
                    <pic:cNvPicPr/>
                  </pic:nvPicPr>
                  <pic:blipFill>
                    <a:blip r:embed="rId10">
                      <a:extLst>
                        <a:ext uri="{28A0092B-C50C-407E-A947-70E740481C1C}">
                          <a14:useLocalDpi xmlns:a14="http://schemas.microsoft.com/office/drawing/2010/main" val="0"/>
                        </a:ext>
                      </a:extLst>
                    </a:blip>
                    <a:stretch>
                      <a:fillRect/>
                    </a:stretch>
                  </pic:blipFill>
                  <pic:spPr>
                    <a:xfrm>
                      <a:off x="0" y="0"/>
                      <a:ext cx="2280409" cy="1644015"/>
                    </a:xfrm>
                    <a:prstGeom prst="rect">
                      <a:avLst/>
                    </a:prstGeom>
                  </pic:spPr>
                </pic:pic>
              </a:graphicData>
            </a:graphic>
          </wp:inline>
        </w:drawing>
      </w:r>
      <w:r w:rsidR="00983274">
        <w:t xml:space="preserve">   </w:t>
      </w:r>
      <w:r w:rsidR="00983274">
        <w:rPr>
          <w:noProof/>
        </w:rPr>
        <w:drawing>
          <wp:inline distT="0" distB="0" distL="0" distR="0">
            <wp:extent cx="2895600" cy="26671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atement cost curve.jpg"/>
                    <pic:cNvPicPr/>
                  </pic:nvPicPr>
                  <pic:blipFill>
                    <a:blip r:embed="rId11">
                      <a:extLst>
                        <a:ext uri="{28A0092B-C50C-407E-A947-70E740481C1C}">
                          <a14:useLocalDpi xmlns:a14="http://schemas.microsoft.com/office/drawing/2010/main" val="0"/>
                        </a:ext>
                      </a:extLst>
                    </a:blip>
                    <a:stretch>
                      <a:fillRect/>
                    </a:stretch>
                  </pic:blipFill>
                  <pic:spPr>
                    <a:xfrm>
                      <a:off x="0" y="0"/>
                      <a:ext cx="2958362" cy="2724950"/>
                    </a:xfrm>
                    <a:prstGeom prst="rect">
                      <a:avLst/>
                    </a:prstGeom>
                  </pic:spPr>
                </pic:pic>
              </a:graphicData>
            </a:graphic>
          </wp:inline>
        </w:drawing>
      </w:r>
    </w:p>
    <w:p w:rsidR="00455E4E" w:rsidRDefault="00455E4E" w:rsidP="00455E4E">
      <w:pPr>
        <w:pStyle w:val="Caption"/>
        <w:rPr>
          <w:rFonts w:ascii="Verdana" w:hAnsi="Verdana"/>
          <w:sz w:val="20"/>
        </w:rPr>
      </w:pPr>
      <w:bookmarkStart w:id="1" w:name="_Ref487032778"/>
      <w:r>
        <w:t xml:space="preserve">Figur </w:t>
      </w:r>
      <w:fldSimple w:instr=" SEQ Figur \* ARABIC ">
        <w:r w:rsidR="002B6CE3">
          <w:rPr>
            <w:noProof/>
          </w:rPr>
          <w:t>1</w:t>
        </w:r>
      </w:fldSimple>
      <w:bookmarkEnd w:id="1"/>
      <w:r>
        <w:rPr>
          <w:noProof/>
        </w:rPr>
        <w:t xml:space="preserve"> </w:t>
      </w:r>
      <w:r w:rsidR="00983274">
        <w:rPr>
          <w:noProof/>
        </w:rPr>
        <w:t>U</w:t>
      </w:r>
      <w:r w:rsidR="00FC02B3">
        <w:rPr>
          <w:noProof/>
        </w:rPr>
        <w:t>tslippskostnadskurve</w:t>
      </w:r>
      <w:r w:rsidR="00983274">
        <w:rPr>
          <w:noProof/>
        </w:rPr>
        <w:t xml:space="preserve">r – et stilisert eksempel og et eksempel hentet fra </w:t>
      </w:r>
      <w:hyperlink r:id="rId12" w:history="1">
        <w:r w:rsidR="00983274" w:rsidRPr="00983274">
          <w:rPr>
            <w:rStyle w:val="Hyperlink"/>
            <w:noProof/>
          </w:rPr>
          <w:t>McKinsey</w:t>
        </w:r>
      </w:hyperlink>
      <w:r w:rsidR="00983274">
        <w:rPr>
          <w:noProof/>
        </w:rPr>
        <w:t xml:space="preserve"> </w:t>
      </w:r>
    </w:p>
    <w:p w:rsidR="00983274" w:rsidRDefault="00983274" w:rsidP="001542E5">
      <w:pPr>
        <w:spacing w:line="276" w:lineRule="auto"/>
        <w:rPr>
          <w:rFonts w:ascii="Verdana" w:hAnsi="Verdana"/>
          <w:sz w:val="20"/>
        </w:rPr>
      </w:pPr>
    </w:p>
    <w:p w:rsidR="00F96DAF" w:rsidRDefault="00455E4E" w:rsidP="001542E5">
      <w:pPr>
        <w:spacing w:line="276" w:lineRule="auto"/>
        <w:rPr>
          <w:rFonts w:ascii="Verdana" w:hAnsi="Verdana"/>
          <w:sz w:val="20"/>
        </w:rPr>
      </w:pPr>
      <w:r>
        <w:rPr>
          <w:rFonts w:ascii="Verdana" w:hAnsi="Verdana"/>
          <w:sz w:val="20"/>
        </w:rPr>
        <w:t xml:space="preserve">Legg merke til at x-aksen viser aggregert årlig utslippsreduksjon. Internasjonale målsetninger og forpliktelser formuleres gjerne som en andel av utslipp i 1990 eller 2005, så målestokken for klimatiltak er påvirkningen i forhold til årlige utslipp. </w:t>
      </w:r>
      <w:r w:rsidR="005159E8">
        <w:rPr>
          <w:rFonts w:ascii="Verdana" w:hAnsi="Verdana"/>
          <w:sz w:val="20"/>
        </w:rPr>
        <w:t>Man kan plotte tiltakets antatte årlige utslippsreduksjon og tilhørende tiltakskostnad uansett valg av metode</w:t>
      </w:r>
      <w:r>
        <w:rPr>
          <w:rFonts w:ascii="Verdana" w:hAnsi="Verdana"/>
          <w:sz w:val="20"/>
        </w:rPr>
        <w:t>, men det kan være forvirrende dersom tiltakskostnaden er basert på andre utslippsstørrelser enn det som benyttes i fremstillingen</w:t>
      </w:r>
      <w:r w:rsidR="005159E8">
        <w:rPr>
          <w:rFonts w:ascii="Verdana" w:hAnsi="Verdana"/>
          <w:sz w:val="20"/>
        </w:rPr>
        <w:t xml:space="preserve">. Metode 1 benytter årlig utslippsreduksjon direkte, Metode 3 nedjusterer denne med investeringsperiodens andel av den totale prosjektperioden, mens Metode 5 kan </w:t>
      </w:r>
      <w:r>
        <w:rPr>
          <w:rFonts w:ascii="Verdana" w:hAnsi="Verdana"/>
          <w:sz w:val="20"/>
        </w:rPr>
        <w:t xml:space="preserve">bli </w:t>
      </w:r>
      <w:r w:rsidR="005159E8">
        <w:rPr>
          <w:rFonts w:ascii="Verdana" w:hAnsi="Verdana"/>
          <w:sz w:val="20"/>
        </w:rPr>
        <w:t xml:space="preserve">forvirrende siden den baserer seg på total utslippsreduksjon. </w:t>
      </w:r>
    </w:p>
    <w:p w:rsidR="00B00BC5" w:rsidRDefault="00B00BC5" w:rsidP="00B00BC5">
      <w:pPr>
        <w:spacing w:line="276" w:lineRule="auto"/>
        <w:rPr>
          <w:rFonts w:ascii="Verdana" w:hAnsi="Verdana"/>
          <w:sz w:val="20"/>
        </w:rPr>
      </w:pPr>
    </w:p>
    <w:p w:rsidR="00B00BC5" w:rsidRPr="00455E4E" w:rsidRDefault="00B00BC5" w:rsidP="00B00BC5">
      <w:pPr>
        <w:spacing w:line="276" w:lineRule="auto"/>
        <w:rPr>
          <w:rFonts w:ascii="Verdana" w:hAnsi="Verdana"/>
          <w:b/>
          <w:sz w:val="20"/>
        </w:rPr>
      </w:pPr>
      <w:r w:rsidRPr="00455E4E">
        <w:rPr>
          <w:rFonts w:ascii="Verdana" w:hAnsi="Verdana"/>
          <w:b/>
          <w:sz w:val="20"/>
        </w:rPr>
        <w:t>Internasjonal praksis</w:t>
      </w:r>
    </w:p>
    <w:p w:rsidR="00B00BC5" w:rsidRDefault="00B00BC5" w:rsidP="00B00BC5">
      <w:pPr>
        <w:spacing w:line="276" w:lineRule="auto"/>
        <w:rPr>
          <w:rFonts w:ascii="Verdana" w:hAnsi="Verdana"/>
          <w:sz w:val="20"/>
        </w:rPr>
      </w:pPr>
      <w:r>
        <w:rPr>
          <w:rFonts w:ascii="Verdana" w:hAnsi="Verdana"/>
          <w:sz w:val="20"/>
        </w:rPr>
        <w:t>Miljødirektoratets Metode 1, med annuitetskostnad dividert på årlig utslippsreduksjon</w:t>
      </w:r>
      <w:r w:rsidR="00EC6EEF">
        <w:rPr>
          <w:rFonts w:ascii="Verdana" w:hAnsi="Verdana"/>
          <w:sz w:val="20"/>
        </w:rPr>
        <w:t xml:space="preserve"> synes å være nokså utbredt.</w:t>
      </w:r>
      <w:r>
        <w:rPr>
          <w:rFonts w:ascii="Verdana" w:hAnsi="Verdana"/>
          <w:sz w:val="20"/>
        </w:rPr>
        <w:t xml:space="preserve"> </w:t>
      </w:r>
      <w:r>
        <w:rPr>
          <w:rFonts w:ascii="Verdana" w:hAnsi="Verdana"/>
          <w:sz w:val="20"/>
        </w:rPr>
        <w:fldChar w:fldCharType="begin"/>
      </w:r>
      <w:r>
        <w:rPr>
          <w:rFonts w:ascii="Verdana" w:hAnsi="Verdana"/>
          <w:sz w:val="20"/>
        </w:rPr>
        <w:instrText xml:space="preserve"> ADDIN EN.CITE &lt;EndNote&gt;&lt;Cite AuthorYear="1"&gt;&lt;Author&gt;Osmundsen&lt;/Author&gt;&lt;RecNum&gt;4&lt;/RecNum&gt;&lt;DisplayText&gt;Osmundsen and Emhjellen (2012)&lt;/DisplayText&gt;&lt;record&gt;&lt;rec-number&gt;4&lt;/rec-number&gt;&lt;foreign-keys&gt;&lt;key app="EN" db-id="9afexa52u9atvmer9xm5a25lwzpf0ppxsf50" timestamp="1499332949"&gt;4&lt;/key&gt;&lt;/foreign-keys&gt;&lt;ref-type name="Journal Article"&gt;17&lt;/ref-type&gt;&lt;contributors&gt;&lt;authors&gt;&lt;author&gt;Osmundsen, Petter&lt;/author&gt;&lt;author&gt;Emhjellen, Magne&lt;/author&gt;&lt;/authors&gt;&lt;/contributors&gt;&lt;titles&gt;&lt;title&gt;Decision Criteria for Climate Projects&lt;/title&gt;&lt;secondary-title&gt;SPE Economics &amp;amp; Management&lt;/secondary-title&gt;&lt;alt-title&gt;SPE-153117-PA&lt;/alt-title&gt;&lt;/titles&gt;&lt;alt-periodical&gt;&lt;abbr-1&gt;SPE-153117-PA&lt;/abbr-1&gt;&lt;/alt-periodical&gt;&lt;dates&gt;&lt;year&gt;2012&lt;/year&gt;&lt;pub-dates&gt;&lt;date&gt;2012/1/1/&lt;/date&gt;&lt;/pub-dates&gt;&lt;/dates&gt;&lt;publisher&gt;Society of Petroleum Engineers&lt;/publisher&gt;&lt;urls&gt;&lt;/urls&gt;&lt;custom1&gt;SPE&lt;/custom1&gt;&lt;electronic-resource-num&gt;10.2118/153117-PA&lt;/electronic-resource-num&gt;&lt;/record&gt;&lt;/Cite&gt;&lt;/EndNote&gt;</w:instrText>
      </w:r>
      <w:r>
        <w:rPr>
          <w:rFonts w:ascii="Verdana" w:hAnsi="Verdana"/>
          <w:sz w:val="20"/>
        </w:rPr>
        <w:fldChar w:fldCharType="separate"/>
      </w:r>
      <w:r>
        <w:rPr>
          <w:rFonts w:ascii="Verdana" w:hAnsi="Verdana"/>
          <w:noProof/>
          <w:sz w:val="20"/>
        </w:rPr>
        <w:t>Osmundsen and Emhjellen (2012)</w:t>
      </w:r>
      <w:r>
        <w:rPr>
          <w:rFonts w:ascii="Verdana" w:hAnsi="Verdana"/>
          <w:sz w:val="20"/>
        </w:rPr>
        <w:fldChar w:fldCharType="end"/>
      </w:r>
      <w:r>
        <w:rPr>
          <w:rFonts w:ascii="Verdana" w:hAnsi="Verdana"/>
          <w:sz w:val="20"/>
        </w:rPr>
        <w:t xml:space="preserve"> skriver: «</w:t>
      </w:r>
      <w:proofErr w:type="spellStart"/>
      <w:r w:rsidRPr="00B00BC5">
        <w:rPr>
          <w:rFonts w:ascii="Verdana" w:hAnsi="Verdana"/>
          <w:i/>
          <w:sz w:val="20"/>
        </w:rPr>
        <w:t>Annuities</w:t>
      </w:r>
      <w:proofErr w:type="spellEnd"/>
      <w:r w:rsidRPr="00B00BC5">
        <w:rPr>
          <w:rFonts w:ascii="Verdana" w:hAnsi="Verdana"/>
          <w:i/>
          <w:sz w:val="20"/>
        </w:rPr>
        <w:t xml:space="preserve"> </w:t>
      </w:r>
      <w:proofErr w:type="spellStart"/>
      <w:r w:rsidRPr="00B00BC5">
        <w:rPr>
          <w:rFonts w:ascii="Verdana" w:hAnsi="Verdana"/>
          <w:i/>
          <w:sz w:val="20"/>
        </w:rPr>
        <w:t>seem</w:t>
      </w:r>
      <w:proofErr w:type="spellEnd"/>
      <w:r w:rsidRPr="00B00BC5">
        <w:rPr>
          <w:rFonts w:ascii="Verdana" w:hAnsi="Verdana"/>
          <w:i/>
          <w:sz w:val="20"/>
        </w:rPr>
        <w:t xml:space="preserve"> to have </w:t>
      </w:r>
      <w:proofErr w:type="spellStart"/>
      <w:r w:rsidRPr="00B00BC5">
        <w:rPr>
          <w:rFonts w:ascii="Verdana" w:hAnsi="Verdana"/>
          <w:i/>
          <w:sz w:val="20"/>
        </w:rPr>
        <w:t>become</w:t>
      </w:r>
      <w:proofErr w:type="spellEnd"/>
      <w:r w:rsidRPr="00B00BC5">
        <w:rPr>
          <w:rFonts w:ascii="Verdana" w:hAnsi="Verdana"/>
          <w:i/>
          <w:sz w:val="20"/>
        </w:rPr>
        <w:t xml:space="preserve"> an </w:t>
      </w:r>
      <w:proofErr w:type="spellStart"/>
      <w:r w:rsidRPr="00B00BC5">
        <w:rPr>
          <w:rFonts w:ascii="Verdana" w:hAnsi="Verdana"/>
          <w:i/>
          <w:sz w:val="20"/>
        </w:rPr>
        <w:t>established</w:t>
      </w:r>
      <w:proofErr w:type="spellEnd"/>
      <w:r w:rsidRPr="00B00BC5">
        <w:rPr>
          <w:rFonts w:ascii="Verdana" w:hAnsi="Verdana"/>
          <w:i/>
          <w:sz w:val="20"/>
        </w:rPr>
        <w:t xml:space="preserve"> standard for </w:t>
      </w:r>
      <w:proofErr w:type="spellStart"/>
      <w:r w:rsidRPr="00B00BC5">
        <w:rPr>
          <w:rFonts w:ascii="Verdana" w:hAnsi="Verdana"/>
          <w:i/>
          <w:sz w:val="20"/>
        </w:rPr>
        <w:t>calculating</w:t>
      </w:r>
      <w:proofErr w:type="spellEnd"/>
      <w:r w:rsidRPr="00B00BC5">
        <w:rPr>
          <w:rFonts w:ascii="Verdana" w:hAnsi="Verdana"/>
          <w:i/>
          <w:sz w:val="20"/>
        </w:rPr>
        <w:t xml:space="preserve"> </w:t>
      </w:r>
      <w:proofErr w:type="spellStart"/>
      <w:r w:rsidRPr="00B00BC5">
        <w:rPr>
          <w:rFonts w:ascii="Verdana" w:hAnsi="Verdana"/>
          <w:i/>
          <w:sz w:val="20"/>
        </w:rPr>
        <w:t>environmental</w:t>
      </w:r>
      <w:proofErr w:type="spellEnd"/>
      <w:r w:rsidRPr="00B00BC5">
        <w:rPr>
          <w:rFonts w:ascii="Verdana" w:hAnsi="Verdana"/>
          <w:i/>
          <w:sz w:val="20"/>
        </w:rPr>
        <w:t xml:space="preserve"> </w:t>
      </w:r>
      <w:proofErr w:type="spellStart"/>
      <w:r w:rsidRPr="00B00BC5">
        <w:rPr>
          <w:rFonts w:ascii="Verdana" w:hAnsi="Verdana"/>
          <w:i/>
          <w:sz w:val="20"/>
        </w:rPr>
        <w:t>costs</w:t>
      </w:r>
      <w:proofErr w:type="spellEnd"/>
      <w:r w:rsidRPr="00B00BC5">
        <w:rPr>
          <w:rFonts w:ascii="Verdana" w:hAnsi="Verdana"/>
          <w:i/>
          <w:sz w:val="20"/>
        </w:rPr>
        <w:t>.</w:t>
      </w:r>
      <w:r>
        <w:rPr>
          <w:rFonts w:ascii="Verdana" w:hAnsi="Verdana"/>
          <w:sz w:val="20"/>
        </w:rPr>
        <w:t xml:space="preserve">» </w:t>
      </w:r>
    </w:p>
    <w:p w:rsidR="00F96DAF" w:rsidRDefault="00F96DAF" w:rsidP="001542E5">
      <w:pPr>
        <w:spacing w:line="276" w:lineRule="auto"/>
        <w:rPr>
          <w:rFonts w:ascii="Verdana" w:hAnsi="Verdana"/>
          <w:sz w:val="20"/>
        </w:rPr>
      </w:pPr>
    </w:p>
    <w:p w:rsidR="00987C1B" w:rsidRDefault="00E55BEA" w:rsidP="001542E5">
      <w:pPr>
        <w:spacing w:line="276" w:lineRule="auto"/>
        <w:rPr>
          <w:rFonts w:ascii="Verdana" w:hAnsi="Verdana"/>
          <w:sz w:val="20"/>
        </w:rPr>
      </w:pPr>
      <w:r>
        <w:rPr>
          <w:rFonts w:ascii="Verdana" w:hAnsi="Verdana"/>
          <w:sz w:val="20"/>
        </w:rPr>
        <w:t xml:space="preserve">Imidlertid er det også utbredt praksis for å benytte nåverdi dividert på utslippsreduksjon, slik som i Metode 5 </w:t>
      </w:r>
      <w:r>
        <w:rPr>
          <w:rFonts w:ascii="Verdana" w:hAnsi="Verdana"/>
          <w:sz w:val="20"/>
        </w:rPr>
        <w:fldChar w:fldCharType="begin"/>
      </w:r>
      <w:r>
        <w:rPr>
          <w:rFonts w:ascii="Verdana" w:hAnsi="Verdana"/>
          <w:sz w:val="20"/>
        </w:rPr>
        <w:instrText xml:space="preserve"> ADDIN EN.CITE &lt;EndNote&gt;&lt;Cite&gt;&lt;Author&gt;Valatin&lt;/Author&gt;&lt;Year&gt;2012&lt;/Year&gt;&lt;RecNum&gt;6&lt;/RecNum&gt;&lt;DisplayText&gt;(Valatin 2012)&lt;/DisplayText&gt;&lt;record&gt;&lt;rec-number&gt;6&lt;/rec-number&gt;&lt;foreign-keys&gt;&lt;key app="EN" db-id="9afexa52u9atvmer9xm5a25lwzpf0ppxsf50" timestamp="1499336529"&gt;6&lt;/key&gt;&lt;/foreign-keys&gt;&lt;ref-type name="Report"&gt;27&lt;/ref-type&gt;&lt;contributors&gt;&lt;authors&gt;&lt;author&gt;Valatin, Gregory&lt;/author&gt;&lt;/authors&gt;&lt;/contributors&gt;&lt;auth-address&gt;gregory.valatin@forestry.gsi.gov.uk&lt;/auth-address&gt;&lt;titles&gt;&lt;title&gt;Marginal abatement cost curves for UK forestry&lt;/title&gt;&lt;/titles&gt;&lt;dates&gt;&lt;year&gt;2012&lt;/year&gt;&lt;/dates&gt;&lt;publisher&gt;Forestry Commission&lt;/publisher&gt;&lt;urls&gt;&lt;related-urls&gt;&lt;url&gt;https://www.forestry.gov.uk/fr/infd-98ucmn&lt;/url&gt;&lt;/related-urls&gt;&lt;/urls&gt;&lt;/record&gt;&lt;/Cite&gt;&lt;/EndNote&gt;</w:instrText>
      </w:r>
      <w:r>
        <w:rPr>
          <w:rFonts w:ascii="Verdana" w:hAnsi="Verdana"/>
          <w:sz w:val="20"/>
        </w:rPr>
        <w:fldChar w:fldCharType="separate"/>
      </w:r>
      <w:r>
        <w:rPr>
          <w:rFonts w:ascii="Verdana" w:hAnsi="Verdana"/>
          <w:noProof/>
          <w:sz w:val="20"/>
        </w:rPr>
        <w:t>(Valatin 2012)</w:t>
      </w:r>
      <w:r>
        <w:rPr>
          <w:rFonts w:ascii="Verdana" w:hAnsi="Verdana"/>
          <w:sz w:val="20"/>
        </w:rPr>
        <w:fldChar w:fldCharType="end"/>
      </w:r>
      <w:r>
        <w:rPr>
          <w:rFonts w:ascii="Verdana" w:hAnsi="Verdana"/>
          <w:sz w:val="20"/>
        </w:rPr>
        <w:t xml:space="preserve">. I </w:t>
      </w:r>
      <w:r w:rsidR="004820C2">
        <w:rPr>
          <w:rFonts w:ascii="Verdana" w:hAnsi="Verdana"/>
          <w:sz w:val="20"/>
        </w:rPr>
        <w:t>Storbritannia</w:t>
      </w:r>
      <w:r w:rsidR="002B7D43">
        <w:rPr>
          <w:rFonts w:ascii="Verdana" w:hAnsi="Verdana"/>
          <w:sz w:val="20"/>
        </w:rPr>
        <w:t xml:space="preserve"> har man i offisielle retningslinjer angitt at det skal benyttes nåverdi dividert på utslippsreduksjon</w:t>
      </w:r>
      <w:r w:rsidR="004820C2">
        <w:rPr>
          <w:rFonts w:ascii="Verdana" w:hAnsi="Verdana"/>
          <w:sz w:val="20"/>
        </w:rPr>
        <w:t xml:space="preserve"> </w:t>
      </w:r>
      <w:r w:rsidR="004820C2">
        <w:rPr>
          <w:rFonts w:ascii="Verdana" w:hAnsi="Verdana"/>
          <w:sz w:val="20"/>
        </w:rPr>
        <w:fldChar w:fldCharType="begin"/>
      </w:r>
      <w:r w:rsidR="004820C2">
        <w:rPr>
          <w:rFonts w:ascii="Verdana" w:hAnsi="Verdana"/>
          <w:sz w:val="20"/>
        </w:rPr>
        <w:instrText xml:space="preserve"> ADDIN EN.CITE &lt;EndNote&gt;&lt;Cite&gt;&lt;Author&gt;DECC&lt;/Author&gt;&lt;Year&gt;2014&lt;/Year&gt;&lt;RecNum&gt;7&lt;/RecNum&gt;&lt;DisplayText&gt;(DECC 2014)&lt;/DisplayText&gt;&lt;record&gt;&lt;rec-number&gt;7&lt;/rec-number&gt;&lt;foreign-keys&gt;&lt;key app="EN" db-id="9afexa52u9atvmer9xm5a25lwzpf0ppxsf50" timestamp="1499340075"&gt;7&lt;/key&gt;&lt;/foreign-keys&gt;&lt;ref-type name="Report"&gt;27&lt;/ref-type&gt;&lt;contributors&gt;&lt;authors&gt;&lt;author&gt;DECC&lt;/author&gt;&lt;/authors&gt;&lt;/contributors&gt;&lt;titles&gt;&lt;title&gt;Valuation of energy use and greenhouse gas (GHG) emissions&lt;/title&gt;&lt;/titles&gt;&lt;dates&gt;&lt;year&gt;2014&lt;/year&gt;&lt;/dates&gt;&lt;publisher&gt;Department of Energy &amp;amp; Climate Change&lt;/publisher&gt;&lt;urls&gt;&lt;related-urls&gt;&lt;url&gt;https://www.gov.uk/government/publications/valuation-of-energy-use-and-greenhouse-gas-emissions-for-appraisal&lt;/url&gt;&lt;/related-urls&gt;&lt;/urls&gt;&lt;/record&gt;&lt;/Cite&gt;&lt;/EndNote&gt;</w:instrText>
      </w:r>
      <w:r w:rsidR="004820C2">
        <w:rPr>
          <w:rFonts w:ascii="Verdana" w:hAnsi="Verdana"/>
          <w:sz w:val="20"/>
        </w:rPr>
        <w:fldChar w:fldCharType="separate"/>
      </w:r>
      <w:r w:rsidR="004820C2">
        <w:rPr>
          <w:rFonts w:ascii="Verdana" w:hAnsi="Verdana"/>
          <w:noProof/>
          <w:sz w:val="20"/>
        </w:rPr>
        <w:t>(DECC 2014)</w:t>
      </w:r>
      <w:r w:rsidR="004820C2">
        <w:rPr>
          <w:rFonts w:ascii="Verdana" w:hAnsi="Verdana"/>
          <w:sz w:val="20"/>
        </w:rPr>
        <w:fldChar w:fldCharType="end"/>
      </w:r>
      <w:r w:rsidR="002B7D43">
        <w:rPr>
          <w:rFonts w:ascii="Verdana" w:hAnsi="Verdana"/>
          <w:sz w:val="20"/>
        </w:rPr>
        <w:t xml:space="preserve">. I den nyeste utgaven fra 2017 </w:t>
      </w:r>
      <w:r w:rsidR="004820C2">
        <w:rPr>
          <w:rFonts w:ascii="Verdana" w:hAnsi="Verdana"/>
          <w:sz w:val="20"/>
        </w:rPr>
        <w:fldChar w:fldCharType="begin"/>
      </w:r>
      <w:r w:rsidR="004820C2">
        <w:rPr>
          <w:rFonts w:ascii="Verdana" w:hAnsi="Verdana"/>
          <w:sz w:val="20"/>
        </w:rPr>
        <w:instrText xml:space="preserve"> ADDIN EN.CITE &lt;EndNote&gt;&lt;Cite&gt;&lt;Author&gt;BEIS&lt;/Author&gt;&lt;Year&gt;2017&lt;/Year&gt;&lt;RecNum&gt;8&lt;/RecNum&gt;&lt;DisplayText&gt;(BEIS 2017)&lt;/DisplayText&gt;&lt;record&gt;&lt;rec-number&gt;8&lt;/rec-number&gt;&lt;foreign-keys&gt;&lt;key app="EN" db-id="9afexa52u9atvmer9xm5a25lwzpf0ppxsf50" timestamp="1499341424"&gt;8&lt;/key&gt;&lt;/foreign-keys&gt;&lt;ref-type name="Report"&gt;27&lt;/ref-type&gt;&lt;contributors&gt;&lt;authors&gt;&lt;author&gt;BEIS&lt;/author&gt;&lt;/authors&gt;&lt;/contributors&gt;&lt;titles&gt;&lt;title&gt;Valuation of energy use and greenhouse gas&lt;/title&gt;&lt;/titles&gt;&lt;dates&gt;&lt;year&gt;2017&lt;/year&gt;&lt;/dates&gt;&lt;publisher&gt;Department for Business, Energy &amp;amp; Industrial Strategy&lt;/publisher&gt;&lt;urls&gt;&lt;related-urls&gt;&lt;url&gt;https://www.gov.uk/government/publications/valuation-of-energy-use-and-greenhouse-gas-emissions-for-appraisal&lt;/url&gt;&lt;/related-urls&gt;&lt;/urls&gt;&lt;/record&gt;&lt;/Cite&gt;&lt;/EndNote&gt;</w:instrText>
      </w:r>
      <w:r w:rsidR="004820C2">
        <w:rPr>
          <w:rFonts w:ascii="Verdana" w:hAnsi="Verdana"/>
          <w:sz w:val="20"/>
        </w:rPr>
        <w:fldChar w:fldCharType="separate"/>
      </w:r>
      <w:r w:rsidR="004820C2">
        <w:rPr>
          <w:rFonts w:ascii="Verdana" w:hAnsi="Verdana"/>
          <w:noProof/>
          <w:sz w:val="20"/>
        </w:rPr>
        <w:t>(BEIS 2017)</w:t>
      </w:r>
      <w:r w:rsidR="004820C2">
        <w:rPr>
          <w:rFonts w:ascii="Verdana" w:hAnsi="Verdana"/>
          <w:sz w:val="20"/>
        </w:rPr>
        <w:fldChar w:fldCharType="end"/>
      </w:r>
      <w:r w:rsidR="004820C2">
        <w:rPr>
          <w:rFonts w:ascii="Verdana" w:hAnsi="Verdana"/>
          <w:sz w:val="20"/>
        </w:rPr>
        <w:t xml:space="preserve"> </w:t>
      </w:r>
      <w:r w:rsidR="002B7D43">
        <w:rPr>
          <w:rFonts w:ascii="Verdana" w:hAnsi="Verdana"/>
          <w:sz w:val="20"/>
        </w:rPr>
        <w:t xml:space="preserve">har man også tatt inn en diskonteringsfaktor på utslippsreduksjonene, se </w:t>
      </w:r>
      <w:r w:rsidR="002B7D43">
        <w:rPr>
          <w:rFonts w:ascii="Verdana" w:hAnsi="Verdana"/>
          <w:sz w:val="20"/>
        </w:rPr>
        <w:fldChar w:fldCharType="begin"/>
      </w:r>
      <w:r w:rsidR="002B7D43">
        <w:rPr>
          <w:rFonts w:ascii="Verdana" w:hAnsi="Verdana"/>
          <w:sz w:val="20"/>
        </w:rPr>
        <w:instrText xml:space="preserve"> REF _Ref487112796 \h </w:instrText>
      </w:r>
      <w:r w:rsidR="002B7D43">
        <w:rPr>
          <w:rFonts w:ascii="Verdana" w:hAnsi="Verdana"/>
          <w:sz w:val="20"/>
        </w:rPr>
      </w:r>
      <w:r w:rsidR="002B7D43">
        <w:rPr>
          <w:rFonts w:ascii="Verdana" w:hAnsi="Verdana"/>
          <w:sz w:val="20"/>
        </w:rPr>
        <w:fldChar w:fldCharType="separate"/>
      </w:r>
      <w:r w:rsidR="002B6CE3">
        <w:t xml:space="preserve">Figur </w:t>
      </w:r>
      <w:r w:rsidR="002B6CE3">
        <w:rPr>
          <w:noProof/>
        </w:rPr>
        <w:t>2</w:t>
      </w:r>
      <w:r w:rsidR="002B7D43">
        <w:rPr>
          <w:rFonts w:ascii="Verdana" w:hAnsi="Verdana"/>
          <w:sz w:val="20"/>
        </w:rPr>
        <w:fldChar w:fldCharType="end"/>
      </w:r>
      <w:r w:rsidR="002B7D43">
        <w:rPr>
          <w:rFonts w:ascii="Verdana" w:hAnsi="Verdana"/>
          <w:sz w:val="20"/>
        </w:rPr>
        <w:t>.</w:t>
      </w:r>
    </w:p>
    <w:p w:rsidR="00EC6EEF" w:rsidRDefault="00EC6EEF" w:rsidP="001542E5">
      <w:pPr>
        <w:spacing w:line="276" w:lineRule="auto"/>
        <w:rPr>
          <w:rFonts w:ascii="Verdana" w:hAnsi="Verdana"/>
          <w:sz w:val="20"/>
        </w:rPr>
      </w:pPr>
    </w:p>
    <w:p w:rsidR="00E55BEA" w:rsidRDefault="00EC6EEF" w:rsidP="00E55BEA">
      <w:pPr>
        <w:keepNext/>
        <w:spacing w:line="276" w:lineRule="auto"/>
      </w:pPr>
      <w:r>
        <w:rPr>
          <w:noProof/>
        </w:rPr>
        <w:lastRenderedPageBreak/>
        <w:drawing>
          <wp:inline distT="0" distB="0" distL="0" distR="0" wp14:anchorId="1C177389" wp14:editId="436242FA">
            <wp:extent cx="2689762" cy="1605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19845" cy="1623474"/>
                    </a:xfrm>
                    <a:prstGeom prst="rect">
                      <a:avLst/>
                    </a:prstGeom>
                  </pic:spPr>
                </pic:pic>
              </a:graphicData>
            </a:graphic>
          </wp:inline>
        </w:drawing>
      </w:r>
      <w:r w:rsidR="00E55BEA" w:rsidRPr="00E55BEA">
        <w:rPr>
          <w:noProof/>
        </w:rPr>
        <w:t xml:space="preserve"> </w:t>
      </w:r>
      <w:r w:rsidR="00E55BEA">
        <w:rPr>
          <w:noProof/>
        </w:rPr>
        <w:drawing>
          <wp:inline distT="0" distB="0" distL="0" distR="0" wp14:anchorId="38D04F88" wp14:editId="2A87DD2A">
            <wp:extent cx="2546174" cy="1603147"/>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10172" cy="1643442"/>
                    </a:xfrm>
                    <a:prstGeom prst="rect">
                      <a:avLst/>
                    </a:prstGeom>
                  </pic:spPr>
                </pic:pic>
              </a:graphicData>
            </a:graphic>
          </wp:inline>
        </w:drawing>
      </w:r>
    </w:p>
    <w:p w:rsidR="00E55BEA" w:rsidRDefault="00E55BEA" w:rsidP="00E55BEA">
      <w:pPr>
        <w:pStyle w:val="Caption"/>
      </w:pPr>
      <w:bookmarkStart w:id="2" w:name="_Ref487112796"/>
      <w:r>
        <w:t xml:space="preserve">Figur </w:t>
      </w:r>
      <w:fldSimple w:instr=" SEQ Figur \* ARABIC ">
        <w:r w:rsidR="002B6CE3">
          <w:rPr>
            <w:noProof/>
          </w:rPr>
          <w:t>2</w:t>
        </w:r>
      </w:fldSimple>
      <w:bookmarkEnd w:id="2"/>
      <w:r>
        <w:rPr>
          <w:noProof/>
        </w:rPr>
        <w:t xml:space="preserve"> Indikator for kostnadseffektivitet i UK (2014</w:t>
      </w:r>
      <w:r w:rsidR="002B7D43">
        <w:rPr>
          <w:noProof/>
        </w:rPr>
        <w:t>-versjon</w:t>
      </w:r>
      <w:r>
        <w:rPr>
          <w:noProof/>
        </w:rPr>
        <w:t xml:space="preserve"> til venstre, 2017</w:t>
      </w:r>
      <w:r w:rsidR="002B7D43">
        <w:rPr>
          <w:noProof/>
        </w:rPr>
        <w:t>-versjon</w:t>
      </w:r>
      <w:r>
        <w:rPr>
          <w:noProof/>
        </w:rPr>
        <w:t xml:space="preserve"> til høyre)</w:t>
      </w:r>
    </w:p>
    <w:p w:rsidR="00EC6EEF" w:rsidRDefault="00EC6EEF" w:rsidP="001542E5">
      <w:pPr>
        <w:spacing w:line="276" w:lineRule="auto"/>
        <w:rPr>
          <w:rFonts w:ascii="Verdana" w:hAnsi="Verdana"/>
          <w:sz w:val="20"/>
        </w:rPr>
      </w:pPr>
    </w:p>
    <w:p w:rsidR="00EC6EEF" w:rsidRDefault="00EC6EEF" w:rsidP="001542E5">
      <w:pPr>
        <w:spacing w:line="276" w:lineRule="auto"/>
        <w:rPr>
          <w:rFonts w:ascii="Verdana" w:hAnsi="Verdana"/>
          <w:sz w:val="20"/>
        </w:rPr>
      </w:pPr>
    </w:p>
    <w:p w:rsidR="001542E5" w:rsidRPr="00A7244B" w:rsidRDefault="006B4BA5" w:rsidP="00A12B9A">
      <w:pPr>
        <w:keepNext/>
        <w:spacing w:after="200" w:line="276" w:lineRule="auto"/>
        <w:rPr>
          <w:rFonts w:ascii="Verdana" w:hAnsi="Verdana"/>
          <w:b/>
          <w:sz w:val="20"/>
        </w:rPr>
      </w:pPr>
      <w:r w:rsidRPr="00A7244B">
        <w:rPr>
          <w:rFonts w:ascii="Verdana" w:hAnsi="Verdana"/>
          <w:b/>
          <w:sz w:val="20"/>
        </w:rPr>
        <w:t>Oppsummering:</w:t>
      </w:r>
    </w:p>
    <w:tbl>
      <w:tblPr>
        <w:tblStyle w:val="TableGrid"/>
        <w:tblW w:w="0" w:type="auto"/>
        <w:tblLook w:val="04A0" w:firstRow="1" w:lastRow="0" w:firstColumn="1" w:lastColumn="0" w:noHBand="0" w:noVBand="1"/>
      </w:tblPr>
      <w:tblGrid>
        <w:gridCol w:w="2405"/>
        <w:gridCol w:w="2835"/>
        <w:gridCol w:w="3390"/>
      </w:tblGrid>
      <w:tr w:rsidR="00C75F5A" w:rsidTr="00565F08">
        <w:tc>
          <w:tcPr>
            <w:tcW w:w="2405" w:type="dxa"/>
            <w:shd w:val="clear" w:color="auto" w:fill="D9D9D9" w:themeFill="background1" w:themeFillShade="D9"/>
          </w:tcPr>
          <w:p w:rsidR="00450A05" w:rsidRPr="006B4BA5" w:rsidRDefault="00450A05" w:rsidP="00A12B9A">
            <w:pPr>
              <w:keepNext/>
              <w:spacing w:line="276" w:lineRule="auto"/>
              <w:rPr>
                <w:rFonts w:ascii="Verdana" w:hAnsi="Verdana"/>
                <w:b/>
                <w:sz w:val="20"/>
              </w:rPr>
            </w:pPr>
            <w:r w:rsidRPr="006B4BA5">
              <w:rPr>
                <w:rFonts w:ascii="Verdana" w:hAnsi="Verdana"/>
                <w:b/>
                <w:sz w:val="20"/>
              </w:rPr>
              <w:t>Metode</w:t>
            </w:r>
          </w:p>
        </w:tc>
        <w:tc>
          <w:tcPr>
            <w:tcW w:w="2835" w:type="dxa"/>
            <w:shd w:val="clear" w:color="auto" w:fill="C2D69B" w:themeFill="accent3" w:themeFillTint="99"/>
          </w:tcPr>
          <w:p w:rsidR="00450A05" w:rsidRPr="006B4BA5" w:rsidRDefault="006B4BA5" w:rsidP="00A12B9A">
            <w:pPr>
              <w:keepNext/>
              <w:spacing w:line="276" w:lineRule="auto"/>
              <w:rPr>
                <w:rFonts w:ascii="Verdana" w:hAnsi="Verdana"/>
                <w:b/>
                <w:sz w:val="20"/>
                <w:highlight w:val="green"/>
              </w:rPr>
            </w:pPr>
            <w:r w:rsidRPr="006B4BA5">
              <w:rPr>
                <w:rFonts w:ascii="Verdana" w:hAnsi="Verdana"/>
                <w:b/>
                <w:sz w:val="20"/>
              </w:rPr>
              <w:t>Fordeler</w:t>
            </w:r>
          </w:p>
        </w:tc>
        <w:tc>
          <w:tcPr>
            <w:tcW w:w="3390" w:type="dxa"/>
            <w:shd w:val="clear" w:color="auto" w:fill="E5B8B7" w:themeFill="accent2" w:themeFillTint="66"/>
          </w:tcPr>
          <w:p w:rsidR="00450A05" w:rsidRPr="006B4BA5" w:rsidRDefault="006B4BA5" w:rsidP="00A12B9A">
            <w:pPr>
              <w:keepNext/>
              <w:spacing w:line="276" w:lineRule="auto"/>
              <w:rPr>
                <w:rFonts w:ascii="Verdana" w:hAnsi="Verdana"/>
                <w:b/>
                <w:sz w:val="20"/>
              </w:rPr>
            </w:pPr>
            <w:r w:rsidRPr="006B4BA5">
              <w:rPr>
                <w:rFonts w:ascii="Verdana" w:hAnsi="Verdana"/>
                <w:b/>
                <w:sz w:val="20"/>
              </w:rPr>
              <w:t>Ulemper</w:t>
            </w:r>
          </w:p>
        </w:tc>
      </w:tr>
      <w:tr w:rsidR="00C75F5A" w:rsidTr="00565F08">
        <w:tc>
          <w:tcPr>
            <w:tcW w:w="2405" w:type="dxa"/>
          </w:tcPr>
          <w:p w:rsidR="00450A05" w:rsidRDefault="00CE14DC" w:rsidP="00A12B9A">
            <w:pPr>
              <w:keepNext/>
              <w:spacing w:line="276" w:lineRule="auto"/>
              <w:rPr>
                <w:rFonts w:ascii="Verdana" w:hAnsi="Verdana"/>
                <w:sz w:val="20"/>
              </w:rPr>
            </w:pPr>
            <w:r>
              <w:rPr>
                <w:rFonts w:ascii="Verdana" w:hAnsi="Verdana"/>
                <w:sz w:val="20"/>
              </w:rPr>
              <w:t xml:space="preserve">a) </w:t>
            </w:r>
            <w:r w:rsidR="00450A05">
              <w:rPr>
                <w:rFonts w:ascii="Verdana" w:hAnsi="Verdana"/>
                <w:sz w:val="20"/>
              </w:rPr>
              <w:t>Støtteintensitet</w:t>
            </w:r>
          </w:p>
        </w:tc>
        <w:tc>
          <w:tcPr>
            <w:tcW w:w="2835" w:type="dxa"/>
          </w:tcPr>
          <w:p w:rsidR="00450A05" w:rsidRDefault="006B4BA5" w:rsidP="00A12B9A">
            <w:pPr>
              <w:keepNext/>
              <w:spacing w:line="276" w:lineRule="auto"/>
              <w:rPr>
                <w:rFonts w:ascii="Verdana" w:hAnsi="Verdana"/>
                <w:sz w:val="20"/>
              </w:rPr>
            </w:pPr>
            <w:r>
              <w:rPr>
                <w:rFonts w:ascii="Verdana" w:hAnsi="Verdana"/>
                <w:sz w:val="20"/>
              </w:rPr>
              <w:t>- Enkel metode</w:t>
            </w:r>
          </w:p>
          <w:p w:rsidR="006B4BA5" w:rsidRDefault="006B4BA5" w:rsidP="00A12B9A">
            <w:pPr>
              <w:keepNext/>
              <w:spacing w:line="276" w:lineRule="auto"/>
              <w:rPr>
                <w:rFonts w:ascii="Verdana" w:hAnsi="Verdana"/>
                <w:sz w:val="20"/>
              </w:rPr>
            </w:pPr>
            <w:r>
              <w:rPr>
                <w:rFonts w:ascii="Verdana" w:hAnsi="Verdana"/>
                <w:sz w:val="20"/>
              </w:rPr>
              <w:t xml:space="preserve">- </w:t>
            </w:r>
            <w:proofErr w:type="spellStart"/>
            <w:r>
              <w:rPr>
                <w:rFonts w:ascii="Verdana" w:hAnsi="Verdana"/>
                <w:sz w:val="20"/>
              </w:rPr>
              <w:t>Enova</w:t>
            </w:r>
            <w:proofErr w:type="spellEnd"/>
            <w:r>
              <w:rPr>
                <w:rFonts w:ascii="Verdana" w:hAnsi="Verdana"/>
                <w:sz w:val="20"/>
              </w:rPr>
              <w:t xml:space="preserve"> har god erfaring med denne fra </w:t>
            </w:r>
            <w:r w:rsidR="00F96DAF">
              <w:rPr>
                <w:rFonts w:ascii="Verdana" w:hAnsi="Verdana"/>
                <w:sz w:val="20"/>
              </w:rPr>
              <w:t>e</w:t>
            </w:r>
            <w:r>
              <w:rPr>
                <w:rFonts w:ascii="Verdana" w:hAnsi="Verdana"/>
                <w:sz w:val="20"/>
              </w:rPr>
              <w:t>nergiprosjekter</w:t>
            </w:r>
          </w:p>
        </w:tc>
        <w:tc>
          <w:tcPr>
            <w:tcW w:w="3390" w:type="dxa"/>
          </w:tcPr>
          <w:p w:rsidR="00450A05" w:rsidRDefault="006B4BA5" w:rsidP="00A12B9A">
            <w:pPr>
              <w:keepNext/>
              <w:spacing w:line="276" w:lineRule="auto"/>
              <w:rPr>
                <w:rFonts w:ascii="Verdana" w:hAnsi="Verdana"/>
                <w:sz w:val="20"/>
              </w:rPr>
            </w:pPr>
            <w:r>
              <w:rPr>
                <w:rFonts w:ascii="Verdana" w:hAnsi="Verdana"/>
                <w:sz w:val="20"/>
              </w:rPr>
              <w:t>- Tar ikke hensyn til levetid</w:t>
            </w:r>
          </w:p>
          <w:p w:rsidR="006B4BA5" w:rsidRDefault="006B4BA5" w:rsidP="00A12B9A">
            <w:pPr>
              <w:keepNext/>
              <w:spacing w:line="276" w:lineRule="auto"/>
              <w:rPr>
                <w:rFonts w:ascii="Verdana" w:hAnsi="Verdana"/>
                <w:sz w:val="20"/>
              </w:rPr>
            </w:pPr>
            <w:r>
              <w:rPr>
                <w:rFonts w:ascii="Verdana" w:hAnsi="Verdana"/>
                <w:sz w:val="20"/>
              </w:rPr>
              <w:t>- Fokuserer på støttebehovet, ikke tiltakets lønnsomhet</w:t>
            </w:r>
          </w:p>
        </w:tc>
      </w:tr>
      <w:tr w:rsidR="00C75F5A" w:rsidTr="00565F08">
        <w:tc>
          <w:tcPr>
            <w:tcW w:w="2405" w:type="dxa"/>
          </w:tcPr>
          <w:p w:rsidR="00450A05" w:rsidRDefault="00CE14DC" w:rsidP="00A12B9A">
            <w:pPr>
              <w:keepNext/>
              <w:spacing w:line="276" w:lineRule="auto"/>
              <w:ind w:left="306" w:hanging="306"/>
              <w:rPr>
                <w:rFonts w:ascii="Verdana" w:hAnsi="Verdana"/>
                <w:sz w:val="20"/>
              </w:rPr>
            </w:pPr>
            <w:r>
              <w:rPr>
                <w:rFonts w:ascii="Verdana" w:hAnsi="Verdana"/>
                <w:sz w:val="20"/>
              </w:rPr>
              <w:t xml:space="preserve">b) </w:t>
            </w:r>
            <w:r w:rsidR="00450A05">
              <w:rPr>
                <w:rFonts w:ascii="Verdana" w:hAnsi="Verdana"/>
                <w:sz w:val="20"/>
              </w:rPr>
              <w:t>Annuitetskostnad på årlig utslippsreduksjon</w:t>
            </w:r>
          </w:p>
        </w:tc>
        <w:tc>
          <w:tcPr>
            <w:tcW w:w="2835" w:type="dxa"/>
          </w:tcPr>
          <w:p w:rsidR="00450A05" w:rsidRDefault="006B4BA5" w:rsidP="00A12B9A">
            <w:pPr>
              <w:keepNext/>
              <w:spacing w:line="276" w:lineRule="auto"/>
              <w:rPr>
                <w:rFonts w:ascii="Verdana" w:hAnsi="Verdana"/>
                <w:sz w:val="20"/>
              </w:rPr>
            </w:pPr>
            <w:r>
              <w:rPr>
                <w:rFonts w:ascii="Verdana" w:hAnsi="Verdana"/>
                <w:sz w:val="20"/>
              </w:rPr>
              <w:t>- Ligner på støtteintensitet</w:t>
            </w:r>
          </w:p>
          <w:p w:rsidR="006B4BA5" w:rsidRDefault="006B4BA5" w:rsidP="00A12B9A">
            <w:pPr>
              <w:keepNext/>
              <w:spacing w:line="276" w:lineRule="auto"/>
              <w:rPr>
                <w:rFonts w:ascii="Verdana" w:hAnsi="Verdana"/>
                <w:sz w:val="20"/>
              </w:rPr>
            </w:pPr>
            <w:r>
              <w:rPr>
                <w:rFonts w:ascii="Verdana" w:hAnsi="Verdana"/>
                <w:sz w:val="20"/>
              </w:rPr>
              <w:t>- Enkel og intuitiv</w:t>
            </w:r>
          </w:p>
        </w:tc>
        <w:tc>
          <w:tcPr>
            <w:tcW w:w="3390" w:type="dxa"/>
          </w:tcPr>
          <w:p w:rsidR="00450A05" w:rsidRDefault="006B4BA5" w:rsidP="00A12B9A">
            <w:pPr>
              <w:keepNext/>
              <w:spacing w:line="276" w:lineRule="auto"/>
              <w:rPr>
                <w:rFonts w:ascii="Verdana" w:hAnsi="Verdana"/>
                <w:sz w:val="20"/>
              </w:rPr>
            </w:pPr>
            <w:r>
              <w:rPr>
                <w:rFonts w:ascii="Verdana" w:hAnsi="Verdana"/>
                <w:sz w:val="20"/>
              </w:rPr>
              <w:t>- Tar i liten grad hensyn til levetid</w:t>
            </w:r>
          </w:p>
        </w:tc>
      </w:tr>
      <w:tr w:rsidR="00C75F5A" w:rsidTr="00565F08">
        <w:tc>
          <w:tcPr>
            <w:tcW w:w="2405" w:type="dxa"/>
          </w:tcPr>
          <w:p w:rsidR="00450A05" w:rsidRDefault="00CE14DC" w:rsidP="00A12B9A">
            <w:pPr>
              <w:keepNext/>
              <w:spacing w:line="276" w:lineRule="auto"/>
              <w:ind w:left="306" w:hanging="306"/>
              <w:rPr>
                <w:rFonts w:ascii="Verdana" w:hAnsi="Verdana"/>
                <w:sz w:val="20"/>
              </w:rPr>
            </w:pPr>
            <w:r>
              <w:rPr>
                <w:rFonts w:ascii="Verdana" w:hAnsi="Verdana"/>
                <w:sz w:val="20"/>
              </w:rPr>
              <w:t xml:space="preserve">c) </w:t>
            </w:r>
            <w:r w:rsidR="00450A05">
              <w:rPr>
                <w:rFonts w:ascii="Verdana" w:hAnsi="Verdana"/>
                <w:sz w:val="20"/>
              </w:rPr>
              <w:t>Annuitetskostnad på gjennomsnittlig utslippsreduksjon</w:t>
            </w:r>
          </w:p>
        </w:tc>
        <w:tc>
          <w:tcPr>
            <w:tcW w:w="2835" w:type="dxa"/>
          </w:tcPr>
          <w:p w:rsidR="00450A05" w:rsidRDefault="006B4BA5" w:rsidP="00A12B9A">
            <w:pPr>
              <w:keepNext/>
              <w:spacing w:line="276" w:lineRule="auto"/>
              <w:rPr>
                <w:rFonts w:ascii="Verdana" w:hAnsi="Verdana"/>
                <w:sz w:val="20"/>
              </w:rPr>
            </w:pPr>
            <w:r>
              <w:rPr>
                <w:rFonts w:ascii="Verdana" w:hAnsi="Verdana"/>
                <w:sz w:val="20"/>
              </w:rPr>
              <w:t>- Miljødirektoratets standardmetode</w:t>
            </w:r>
          </w:p>
          <w:p w:rsidR="004A1205" w:rsidRDefault="004A1205" w:rsidP="00A12B9A">
            <w:pPr>
              <w:keepNext/>
              <w:spacing w:line="276" w:lineRule="auto"/>
              <w:rPr>
                <w:rFonts w:ascii="Verdana" w:hAnsi="Verdana"/>
                <w:sz w:val="20"/>
              </w:rPr>
            </w:pPr>
            <w:r>
              <w:rPr>
                <w:rFonts w:ascii="Verdana" w:hAnsi="Verdana"/>
                <w:sz w:val="20"/>
              </w:rPr>
              <w:t>- Tar hensyn til driftsperiode versus investeringsperiode</w:t>
            </w:r>
          </w:p>
        </w:tc>
        <w:tc>
          <w:tcPr>
            <w:tcW w:w="3390" w:type="dxa"/>
          </w:tcPr>
          <w:p w:rsidR="00450A05" w:rsidRDefault="004A1205" w:rsidP="00A12B9A">
            <w:pPr>
              <w:keepNext/>
              <w:spacing w:line="276" w:lineRule="auto"/>
              <w:rPr>
                <w:rFonts w:ascii="Verdana" w:hAnsi="Verdana"/>
                <w:sz w:val="20"/>
              </w:rPr>
            </w:pPr>
            <w:r>
              <w:rPr>
                <w:rFonts w:ascii="Verdana" w:hAnsi="Verdana"/>
                <w:sz w:val="20"/>
              </w:rPr>
              <w:t>- Litt mer komplisert enn Metode 1</w:t>
            </w:r>
          </w:p>
          <w:p w:rsidR="002436E3" w:rsidRDefault="002436E3" w:rsidP="00A12B9A">
            <w:pPr>
              <w:keepNext/>
              <w:spacing w:line="276" w:lineRule="auto"/>
              <w:rPr>
                <w:rFonts w:ascii="Verdana" w:hAnsi="Verdana"/>
                <w:sz w:val="20"/>
              </w:rPr>
            </w:pPr>
            <w:r>
              <w:rPr>
                <w:rFonts w:ascii="Verdana" w:hAnsi="Verdana"/>
                <w:sz w:val="20"/>
              </w:rPr>
              <w:t>- Kan gi misvisende resultater ved rapportering på portefølje</w:t>
            </w:r>
          </w:p>
        </w:tc>
      </w:tr>
      <w:tr w:rsidR="00C75F5A" w:rsidTr="00565F08">
        <w:tc>
          <w:tcPr>
            <w:tcW w:w="2405" w:type="dxa"/>
          </w:tcPr>
          <w:p w:rsidR="00450A05" w:rsidRDefault="00CE14DC" w:rsidP="00A12B9A">
            <w:pPr>
              <w:keepNext/>
              <w:spacing w:line="276" w:lineRule="auto"/>
              <w:ind w:left="306" w:hanging="306"/>
              <w:rPr>
                <w:rFonts w:ascii="Verdana" w:hAnsi="Verdana"/>
                <w:sz w:val="20"/>
              </w:rPr>
            </w:pPr>
            <w:r>
              <w:rPr>
                <w:rFonts w:ascii="Verdana" w:hAnsi="Verdana"/>
                <w:sz w:val="20"/>
              </w:rPr>
              <w:t xml:space="preserve">d) </w:t>
            </w:r>
            <w:r w:rsidR="00450A05">
              <w:rPr>
                <w:rFonts w:ascii="Verdana" w:hAnsi="Verdana"/>
                <w:sz w:val="20"/>
              </w:rPr>
              <w:t>Nåverdi på nåverdi</w:t>
            </w:r>
          </w:p>
        </w:tc>
        <w:tc>
          <w:tcPr>
            <w:tcW w:w="2835" w:type="dxa"/>
          </w:tcPr>
          <w:p w:rsidR="00450A05" w:rsidRDefault="006B4BA5" w:rsidP="00A12B9A">
            <w:pPr>
              <w:keepNext/>
              <w:spacing w:line="276" w:lineRule="auto"/>
              <w:rPr>
                <w:rFonts w:ascii="Verdana" w:hAnsi="Verdana"/>
                <w:sz w:val="20"/>
              </w:rPr>
            </w:pPr>
            <w:r>
              <w:rPr>
                <w:rFonts w:ascii="Verdana" w:hAnsi="Verdana"/>
                <w:sz w:val="20"/>
              </w:rPr>
              <w:t>- Den riktigste metoden</w:t>
            </w:r>
          </w:p>
          <w:p w:rsidR="004A1205" w:rsidRDefault="004A1205" w:rsidP="00A12B9A">
            <w:pPr>
              <w:keepNext/>
              <w:spacing w:line="276" w:lineRule="auto"/>
              <w:rPr>
                <w:rFonts w:ascii="Verdana" w:hAnsi="Verdana"/>
                <w:sz w:val="20"/>
              </w:rPr>
            </w:pPr>
            <w:r>
              <w:rPr>
                <w:rFonts w:ascii="Verdana" w:hAnsi="Verdana"/>
                <w:sz w:val="20"/>
              </w:rPr>
              <w:t xml:space="preserve">- </w:t>
            </w:r>
            <w:proofErr w:type="spellStart"/>
            <w:r>
              <w:rPr>
                <w:rFonts w:ascii="Verdana" w:hAnsi="Verdana"/>
                <w:sz w:val="20"/>
              </w:rPr>
              <w:t>Hensyntar</w:t>
            </w:r>
            <w:proofErr w:type="spellEnd"/>
            <w:r>
              <w:rPr>
                <w:rFonts w:ascii="Verdana" w:hAnsi="Verdana"/>
                <w:sz w:val="20"/>
              </w:rPr>
              <w:t xml:space="preserve"> hele levetiden</w:t>
            </w:r>
          </w:p>
          <w:p w:rsidR="004A1205" w:rsidRDefault="004A1205" w:rsidP="00A12B9A">
            <w:pPr>
              <w:keepNext/>
              <w:spacing w:line="276" w:lineRule="auto"/>
              <w:rPr>
                <w:rFonts w:ascii="Verdana" w:hAnsi="Verdana"/>
                <w:sz w:val="20"/>
              </w:rPr>
            </w:pPr>
            <w:r>
              <w:rPr>
                <w:rFonts w:ascii="Verdana" w:hAnsi="Verdana"/>
                <w:sz w:val="20"/>
              </w:rPr>
              <w:t>- Honorerer tiltak med lang levetid foran de med kortere levetid</w:t>
            </w:r>
          </w:p>
          <w:p w:rsidR="00C75F5A" w:rsidRDefault="006E1287" w:rsidP="00A12B9A">
            <w:pPr>
              <w:keepNext/>
              <w:spacing w:line="276" w:lineRule="auto"/>
              <w:rPr>
                <w:rFonts w:ascii="Verdana" w:hAnsi="Verdana"/>
                <w:sz w:val="20"/>
              </w:rPr>
            </w:pPr>
            <w:r>
              <w:rPr>
                <w:rFonts w:ascii="Verdana" w:hAnsi="Verdana"/>
                <w:sz w:val="20"/>
              </w:rPr>
              <w:t>- Benytter alle opplysningene om et tiltak</w:t>
            </w:r>
          </w:p>
          <w:p w:rsidR="00565F08" w:rsidRDefault="00565F08" w:rsidP="00A12B9A">
            <w:pPr>
              <w:keepNext/>
              <w:spacing w:line="276" w:lineRule="auto"/>
              <w:rPr>
                <w:rFonts w:ascii="Verdana" w:hAnsi="Verdana"/>
                <w:sz w:val="20"/>
              </w:rPr>
            </w:pPr>
            <w:r>
              <w:rPr>
                <w:rFonts w:ascii="Verdana" w:hAnsi="Verdana"/>
                <w:sz w:val="20"/>
              </w:rPr>
              <w:t>- teller og nevner kan aggregeres for porteføljerapportering</w:t>
            </w:r>
          </w:p>
        </w:tc>
        <w:tc>
          <w:tcPr>
            <w:tcW w:w="3390" w:type="dxa"/>
          </w:tcPr>
          <w:p w:rsidR="004A1205" w:rsidRDefault="006B4BA5" w:rsidP="00A12B9A">
            <w:pPr>
              <w:keepNext/>
              <w:spacing w:line="276" w:lineRule="auto"/>
              <w:rPr>
                <w:rFonts w:ascii="Verdana" w:hAnsi="Verdana"/>
                <w:sz w:val="20"/>
              </w:rPr>
            </w:pPr>
            <w:r>
              <w:rPr>
                <w:rFonts w:ascii="Verdana" w:hAnsi="Verdana"/>
                <w:sz w:val="20"/>
              </w:rPr>
              <w:t>-</w:t>
            </w:r>
            <w:r w:rsidR="00565F08">
              <w:rPr>
                <w:rFonts w:ascii="Verdana" w:hAnsi="Verdana"/>
                <w:sz w:val="20"/>
              </w:rPr>
              <w:t xml:space="preserve"> Den mest kompliserte metoden</w:t>
            </w:r>
          </w:p>
          <w:p w:rsidR="00C75F5A" w:rsidRDefault="00C75F5A" w:rsidP="00A12B9A">
            <w:pPr>
              <w:keepNext/>
              <w:spacing w:line="276" w:lineRule="auto"/>
              <w:rPr>
                <w:rFonts w:ascii="Verdana" w:hAnsi="Verdana"/>
                <w:sz w:val="20"/>
              </w:rPr>
            </w:pPr>
            <w:r>
              <w:rPr>
                <w:rFonts w:ascii="Verdana" w:hAnsi="Verdana"/>
                <w:sz w:val="20"/>
              </w:rPr>
              <w:t>- Avviker mest fra tiltakskostnader rapportert i tidligere analyser fra Miljødirektoratet</w:t>
            </w:r>
          </w:p>
          <w:p w:rsidR="00565F08" w:rsidRDefault="004A1205" w:rsidP="00A12B9A">
            <w:pPr>
              <w:keepNext/>
              <w:spacing w:line="276" w:lineRule="auto"/>
              <w:rPr>
                <w:rFonts w:ascii="Verdana" w:hAnsi="Verdana"/>
                <w:sz w:val="20"/>
              </w:rPr>
            </w:pPr>
            <w:r>
              <w:rPr>
                <w:rFonts w:ascii="Verdana" w:hAnsi="Verdana"/>
                <w:sz w:val="20"/>
              </w:rPr>
              <w:t xml:space="preserve">- </w:t>
            </w:r>
            <w:proofErr w:type="spellStart"/>
            <w:r>
              <w:rPr>
                <w:rFonts w:ascii="Verdana" w:hAnsi="Verdana"/>
                <w:sz w:val="20"/>
              </w:rPr>
              <w:t>Enova</w:t>
            </w:r>
            <w:proofErr w:type="spellEnd"/>
            <w:r>
              <w:rPr>
                <w:rFonts w:ascii="Verdana" w:hAnsi="Verdana"/>
                <w:sz w:val="20"/>
              </w:rPr>
              <w:t xml:space="preserve"> har ikke så detaljert datagrunnlag at metoden sier </w:t>
            </w:r>
            <w:r w:rsidR="006E1287">
              <w:rPr>
                <w:rFonts w:ascii="Verdana" w:hAnsi="Verdana"/>
                <w:sz w:val="20"/>
              </w:rPr>
              <w:t xml:space="preserve">særlig mye </w:t>
            </w:r>
            <w:r>
              <w:rPr>
                <w:rFonts w:ascii="Verdana" w:hAnsi="Verdana"/>
                <w:sz w:val="20"/>
              </w:rPr>
              <w:t>mer enn Metode 3</w:t>
            </w:r>
          </w:p>
          <w:p w:rsidR="00565F08" w:rsidRDefault="00565F08" w:rsidP="00A12B9A">
            <w:pPr>
              <w:keepNext/>
              <w:spacing w:line="276" w:lineRule="auto"/>
              <w:rPr>
                <w:rFonts w:ascii="Verdana" w:hAnsi="Verdana"/>
                <w:sz w:val="20"/>
              </w:rPr>
            </w:pPr>
            <w:r>
              <w:rPr>
                <w:rFonts w:ascii="Verdana" w:hAnsi="Verdana"/>
                <w:sz w:val="20"/>
              </w:rPr>
              <w:t xml:space="preserve">- målestokken </w:t>
            </w:r>
            <w:r w:rsidR="004820C2">
              <w:rPr>
                <w:rFonts w:ascii="Verdana" w:hAnsi="Verdana"/>
                <w:sz w:val="20"/>
              </w:rPr>
              <w:t xml:space="preserve">for klimatiltak </w:t>
            </w:r>
            <w:r>
              <w:rPr>
                <w:rFonts w:ascii="Verdana" w:hAnsi="Verdana"/>
                <w:sz w:val="20"/>
              </w:rPr>
              <w:t>er årlige utslippsreduksjoner</w:t>
            </w:r>
          </w:p>
        </w:tc>
      </w:tr>
    </w:tbl>
    <w:p w:rsidR="00450A05" w:rsidRDefault="00450A05" w:rsidP="00453B97">
      <w:pPr>
        <w:spacing w:after="200" w:line="276" w:lineRule="auto"/>
        <w:rPr>
          <w:color w:val="1F497D"/>
        </w:rPr>
      </w:pPr>
    </w:p>
    <w:p w:rsidR="00B27190" w:rsidRPr="00B27190" w:rsidRDefault="00400F84" w:rsidP="00A12B9A">
      <w:pPr>
        <w:pStyle w:val="Heading1"/>
      </w:pPr>
      <w:r>
        <w:lastRenderedPageBreak/>
        <w:t>Anbefaling</w:t>
      </w:r>
    </w:p>
    <w:p w:rsidR="004820C2" w:rsidRDefault="004820C2" w:rsidP="004820C2">
      <w:pPr>
        <w:keepNext/>
        <w:spacing w:line="276" w:lineRule="auto"/>
        <w:rPr>
          <w:rFonts w:ascii="Verdana" w:hAnsi="Verdana"/>
          <w:sz w:val="20"/>
        </w:rPr>
      </w:pPr>
      <w:r>
        <w:rPr>
          <w:rFonts w:ascii="Verdana" w:hAnsi="Verdana"/>
          <w:sz w:val="20"/>
        </w:rPr>
        <w:t xml:space="preserve">Miljødirektoratets tiltakskostnader er utgangspunktet for å vurdere hva som er riktig </w:t>
      </w:r>
      <w:r w:rsidRPr="004820C2">
        <w:rPr>
          <w:rFonts w:ascii="Verdana" w:hAnsi="Verdana"/>
          <w:i/>
          <w:sz w:val="20"/>
        </w:rPr>
        <w:t>nivå</w:t>
      </w:r>
      <w:r>
        <w:rPr>
          <w:rFonts w:ascii="Verdana" w:hAnsi="Verdana"/>
          <w:sz w:val="20"/>
        </w:rPr>
        <w:t xml:space="preserve"> på tiltakskostnadene. </w:t>
      </w:r>
      <w:r w:rsidR="005941F9">
        <w:rPr>
          <w:rFonts w:ascii="Verdana" w:hAnsi="Verdana"/>
          <w:sz w:val="20"/>
        </w:rPr>
        <w:t xml:space="preserve">På kort sikt er </w:t>
      </w:r>
      <w:r>
        <w:rPr>
          <w:rFonts w:ascii="Verdana" w:hAnsi="Verdana"/>
          <w:sz w:val="20"/>
        </w:rPr>
        <w:t xml:space="preserve">derfor </w:t>
      </w:r>
      <w:r w:rsidR="005941F9">
        <w:rPr>
          <w:rFonts w:ascii="Verdana" w:hAnsi="Verdana"/>
          <w:sz w:val="20"/>
        </w:rPr>
        <w:t xml:space="preserve">Metode 3 enklest å anbefale, fordi den </w:t>
      </w:r>
      <w:r w:rsidR="00987C1B">
        <w:rPr>
          <w:rFonts w:ascii="Verdana" w:hAnsi="Verdana"/>
          <w:sz w:val="20"/>
        </w:rPr>
        <w:t>gir</w:t>
      </w:r>
      <w:r w:rsidR="005941F9">
        <w:rPr>
          <w:rFonts w:ascii="Verdana" w:hAnsi="Verdana"/>
          <w:sz w:val="20"/>
        </w:rPr>
        <w:t xml:space="preserve"> tiltakskostnader som er sammenlignbare med de som er r</w:t>
      </w:r>
      <w:r>
        <w:rPr>
          <w:rFonts w:ascii="Verdana" w:hAnsi="Verdana"/>
          <w:sz w:val="20"/>
        </w:rPr>
        <w:t>apportert fra Miljødirektoratet</w:t>
      </w:r>
      <w:r w:rsidR="00D5330F">
        <w:rPr>
          <w:rFonts w:ascii="Verdana" w:hAnsi="Verdana"/>
          <w:sz w:val="20"/>
        </w:rPr>
        <w:t xml:space="preserve"> over lang tid</w:t>
      </w:r>
      <w:r>
        <w:rPr>
          <w:rFonts w:ascii="Verdana" w:hAnsi="Verdana"/>
          <w:sz w:val="20"/>
        </w:rPr>
        <w:t xml:space="preserve">. </w:t>
      </w:r>
      <w:r w:rsidR="00D5330F">
        <w:rPr>
          <w:rFonts w:ascii="Verdana" w:hAnsi="Verdana"/>
          <w:sz w:val="20"/>
        </w:rPr>
        <w:t xml:space="preserve">Tiltakskostnadene vil imidlertid ikke være direkte sammenlignbare, siden </w:t>
      </w:r>
      <w:proofErr w:type="spellStart"/>
      <w:r>
        <w:rPr>
          <w:rFonts w:ascii="Verdana" w:hAnsi="Verdana"/>
          <w:sz w:val="20"/>
        </w:rPr>
        <w:t>Enova</w:t>
      </w:r>
      <w:proofErr w:type="spellEnd"/>
      <w:r>
        <w:rPr>
          <w:rFonts w:ascii="Verdana" w:hAnsi="Verdana"/>
          <w:sz w:val="20"/>
        </w:rPr>
        <w:t xml:space="preserve"> beregner bedriftsøkonomiske tiltakskostnader, i motsetning til Miljødirektoratets samfunnsøkonomiske tiltakskostnader.</w:t>
      </w:r>
    </w:p>
    <w:p w:rsidR="00987C1B" w:rsidRDefault="00987C1B" w:rsidP="00A12B9A">
      <w:pPr>
        <w:keepNext/>
        <w:spacing w:line="276" w:lineRule="auto"/>
        <w:rPr>
          <w:rFonts w:ascii="Verdana" w:hAnsi="Verdana"/>
          <w:sz w:val="20"/>
        </w:rPr>
      </w:pPr>
    </w:p>
    <w:p w:rsidR="00D515BB" w:rsidRDefault="00D515BB" w:rsidP="00A12B9A">
      <w:pPr>
        <w:keepNext/>
        <w:spacing w:line="276" w:lineRule="auto"/>
        <w:rPr>
          <w:rFonts w:ascii="Verdana" w:hAnsi="Verdana"/>
          <w:sz w:val="20"/>
        </w:rPr>
      </w:pPr>
      <w:r>
        <w:rPr>
          <w:rFonts w:ascii="Verdana" w:hAnsi="Verdana"/>
          <w:sz w:val="20"/>
        </w:rPr>
        <w:t xml:space="preserve">Den pragmatiske tilnærmingen er at vi beregner alle variantene. </w:t>
      </w:r>
      <w:proofErr w:type="spellStart"/>
      <w:r w:rsidR="004820C2">
        <w:rPr>
          <w:rFonts w:ascii="Verdana" w:hAnsi="Verdana"/>
          <w:sz w:val="20"/>
        </w:rPr>
        <w:t>Enova</w:t>
      </w:r>
      <w:proofErr w:type="spellEnd"/>
      <w:r w:rsidR="004820C2">
        <w:rPr>
          <w:rFonts w:ascii="Verdana" w:hAnsi="Verdana"/>
          <w:sz w:val="20"/>
        </w:rPr>
        <w:t xml:space="preserve"> kan </w:t>
      </w:r>
      <w:r w:rsidR="00D5330F">
        <w:rPr>
          <w:rFonts w:ascii="Verdana" w:hAnsi="Verdana"/>
          <w:sz w:val="20"/>
        </w:rPr>
        <w:t xml:space="preserve">da </w:t>
      </w:r>
      <w:r w:rsidR="004820C2">
        <w:rPr>
          <w:rFonts w:ascii="Verdana" w:hAnsi="Verdana"/>
          <w:sz w:val="20"/>
        </w:rPr>
        <w:t>benytte M</w:t>
      </w:r>
      <w:r>
        <w:rPr>
          <w:rFonts w:ascii="Verdana" w:hAnsi="Verdana"/>
          <w:sz w:val="20"/>
        </w:rPr>
        <w:t xml:space="preserve">etode 3 på kort sikt, men etablerer </w:t>
      </w:r>
      <w:r w:rsidR="004820C2">
        <w:rPr>
          <w:rFonts w:ascii="Verdana" w:hAnsi="Verdana"/>
          <w:sz w:val="20"/>
        </w:rPr>
        <w:t xml:space="preserve">også </w:t>
      </w:r>
      <w:r>
        <w:rPr>
          <w:rFonts w:ascii="Verdana" w:hAnsi="Verdana"/>
          <w:sz w:val="20"/>
        </w:rPr>
        <w:t>datagrunnlag for Metode 5 slik at vi er forberedt på en framtidig endring.</w:t>
      </w:r>
    </w:p>
    <w:p w:rsidR="005941F9" w:rsidRDefault="005941F9" w:rsidP="00A12B9A">
      <w:pPr>
        <w:keepNext/>
        <w:spacing w:line="276" w:lineRule="auto"/>
        <w:rPr>
          <w:rFonts w:ascii="Verdana" w:hAnsi="Verdana"/>
          <w:sz w:val="20"/>
        </w:rPr>
      </w:pPr>
    </w:p>
    <w:p w:rsidR="00A04EDB" w:rsidRDefault="004820C2" w:rsidP="00A12B9A">
      <w:pPr>
        <w:keepNext/>
        <w:spacing w:line="276" w:lineRule="auto"/>
        <w:rPr>
          <w:rFonts w:ascii="Verdana" w:hAnsi="Verdana"/>
          <w:sz w:val="20"/>
        </w:rPr>
      </w:pPr>
      <w:r>
        <w:rPr>
          <w:rFonts w:ascii="Verdana" w:hAnsi="Verdana"/>
          <w:sz w:val="20"/>
        </w:rPr>
        <w:t>På lengre sikt vurderes Metode 5 som den beste, fordi den gir et bedre grunnlag for å prioritere mellom prosjekter enn Metode 3. Se</w:t>
      </w:r>
      <w:r w:rsidR="00D5330F">
        <w:rPr>
          <w:rFonts w:ascii="Verdana" w:hAnsi="Verdana"/>
          <w:sz w:val="20"/>
        </w:rPr>
        <w:t xml:space="preserve"> vedlegg</w:t>
      </w:r>
      <w:r w:rsidR="00DA342D">
        <w:rPr>
          <w:rFonts w:ascii="Verdana" w:hAnsi="Verdana"/>
          <w:sz w:val="20"/>
        </w:rPr>
        <w:t xml:space="preserve"> i del</w:t>
      </w:r>
      <w:r>
        <w:rPr>
          <w:rFonts w:ascii="Verdana" w:hAnsi="Verdana"/>
          <w:sz w:val="20"/>
        </w:rPr>
        <w:t xml:space="preserve"> </w:t>
      </w:r>
      <w:r w:rsidR="00D5330F">
        <w:rPr>
          <w:rFonts w:ascii="Verdana" w:hAnsi="Verdana"/>
          <w:sz w:val="20"/>
        </w:rPr>
        <w:fldChar w:fldCharType="begin"/>
      </w:r>
      <w:r w:rsidR="00D5330F">
        <w:rPr>
          <w:rFonts w:ascii="Verdana" w:hAnsi="Verdana"/>
          <w:sz w:val="20"/>
        </w:rPr>
        <w:instrText xml:space="preserve"> REF _Ref487113719 \r \h </w:instrText>
      </w:r>
      <w:r w:rsidR="00D5330F">
        <w:rPr>
          <w:rFonts w:ascii="Verdana" w:hAnsi="Verdana"/>
          <w:sz w:val="20"/>
        </w:rPr>
      </w:r>
      <w:r w:rsidR="00D5330F">
        <w:rPr>
          <w:rFonts w:ascii="Verdana" w:hAnsi="Verdana"/>
          <w:sz w:val="20"/>
        </w:rPr>
        <w:fldChar w:fldCharType="separate"/>
      </w:r>
      <w:r w:rsidR="002B6CE3">
        <w:rPr>
          <w:rFonts w:ascii="Verdana" w:hAnsi="Verdana"/>
          <w:sz w:val="20"/>
        </w:rPr>
        <w:t>7</w:t>
      </w:r>
      <w:r w:rsidR="00D5330F">
        <w:rPr>
          <w:rFonts w:ascii="Verdana" w:hAnsi="Verdana"/>
          <w:sz w:val="20"/>
        </w:rPr>
        <w:fldChar w:fldCharType="end"/>
      </w:r>
      <w:r>
        <w:rPr>
          <w:rFonts w:ascii="Verdana" w:hAnsi="Verdana"/>
          <w:sz w:val="20"/>
        </w:rPr>
        <w:t xml:space="preserve"> </w:t>
      </w:r>
      <w:r w:rsidR="00D5330F">
        <w:rPr>
          <w:rFonts w:ascii="Verdana" w:hAnsi="Verdana"/>
          <w:sz w:val="20"/>
        </w:rPr>
        <w:t xml:space="preserve">med </w:t>
      </w:r>
      <w:r>
        <w:rPr>
          <w:rFonts w:ascii="Verdana" w:hAnsi="Verdana"/>
          <w:sz w:val="20"/>
        </w:rPr>
        <w:t xml:space="preserve">prosjekteksempler. Vi kan lett konstruere to prosjekter hvor </w:t>
      </w:r>
      <w:r w:rsidR="00A04EDB">
        <w:rPr>
          <w:rFonts w:ascii="Verdana" w:hAnsi="Verdana"/>
          <w:sz w:val="20"/>
        </w:rPr>
        <w:t xml:space="preserve">Metode 3 og 5 gir motsatt </w:t>
      </w:r>
      <w:r w:rsidR="00D0676C">
        <w:rPr>
          <w:rFonts w:ascii="Verdana" w:hAnsi="Verdana"/>
          <w:sz w:val="20"/>
        </w:rPr>
        <w:t>rangering</w:t>
      </w:r>
      <w:r>
        <w:rPr>
          <w:rFonts w:ascii="Verdana" w:hAnsi="Verdana"/>
          <w:sz w:val="20"/>
        </w:rPr>
        <w:t>.</w:t>
      </w:r>
      <w:r w:rsidR="0016066C">
        <w:rPr>
          <w:rFonts w:ascii="Verdana" w:hAnsi="Verdana"/>
          <w:sz w:val="20"/>
        </w:rPr>
        <w:t xml:space="preserve"> </w:t>
      </w:r>
    </w:p>
    <w:p w:rsidR="00EA400E" w:rsidRDefault="00EA400E" w:rsidP="00A12B9A">
      <w:pPr>
        <w:keepNext/>
        <w:spacing w:line="276" w:lineRule="auto"/>
        <w:rPr>
          <w:rFonts w:ascii="Verdana" w:hAnsi="Verdana"/>
          <w:sz w:val="20"/>
        </w:rPr>
      </w:pPr>
    </w:p>
    <w:p w:rsidR="004820C2" w:rsidRDefault="00EA400E" w:rsidP="00A12B9A">
      <w:pPr>
        <w:keepNext/>
        <w:spacing w:line="276" w:lineRule="auto"/>
        <w:rPr>
          <w:rFonts w:ascii="Verdana" w:hAnsi="Verdana"/>
          <w:sz w:val="20"/>
        </w:rPr>
      </w:pPr>
      <w:proofErr w:type="spellStart"/>
      <w:r>
        <w:rPr>
          <w:rFonts w:ascii="Verdana" w:hAnsi="Verdana"/>
          <w:sz w:val="20"/>
        </w:rPr>
        <w:t>Enova</w:t>
      </w:r>
      <w:proofErr w:type="spellEnd"/>
      <w:r>
        <w:rPr>
          <w:rFonts w:ascii="Verdana" w:hAnsi="Verdana"/>
          <w:sz w:val="20"/>
        </w:rPr>
        <w:t xml:space="preserve"> vil over tid etablere et godt erfaringsgrunnlag uansett valg av metode. </w:t>
      </w:r>
      <w:r w:rsidR="00D5330F">
        <w:rPr>
          <w:rFonts w:ascii="Verdana" w:hAnsi="Verdana"/>
          <w:sz w:val="20"/>
        </w:rPr>
        <w:t xml:space="preserve">Riktigst mulig </w:t>
      </w:r>
      <w:r w:rsidR="004820C2">
        <w:rPr>
          <w:rFonts w:ascii="Verdana" w:hAnsi="Verdana"/>
          <w:sz w:val="20"/>
        </w:rPr>
        <w:t xml:space="preserve">rangering </w:t>
      </w:r>
      <w:r>
        <w:rPr>
          <w:rFonts w:ascii="Verdana" w:hAnsi="Verdana"/>
          <w:sz w:val="20"/>
        </w:rPr>
        <w:t xml:space="preserve">mellom prosjekter </w:t>
      </w:r>
      <w:r w:rsidR="00D5330F">
        <w:rPr>
          <w:rFonts w:ascii="Verdana" w:hAnsi="Verdana"/>
          <w:sz w:val="20"/>
        </w:rPr>
        <w:t xml:space="preserve">står da som </w:t>
      </w:r>
      <w:r>
        <w:rPr>
          <w:rFonts w:ascii="Verdana" w:hAnsi="Verdana"/>
          <w:sz w:val="20"/>
        </w:rPr>
        <w:t xml:space="preserve">det </w:t>
      </w:r>
      <w:r w:rsidR="004820C2">
        <w:rPr>
          <w:rFonts w:ascii="Verdana" w:hAnsi="Verdana"/>
          <w:sz w:val="20"/>
        </w:rPr>
        <w:t>viktigst</w:t>
      </w:r>
      <w:r>
        <w:rPr>
          <w:rFonts w:ascii="Verdana" w:hAnsi="Verdana"/>
          <w:sz w:val="20"/>
        </w:rPr>
        <w:t>e kriteriet for valg av metode</w:t>
      </w:r>
      <w:r w:rsidR="004820C2">
        <w:rPr>
          <w:rFonts w:ascii="Verdana" w:hAnsi="Verdana"/>
          <w:sz w:val="20"/>
        </w:rPr>
        <w:t>.</w:t>
      </w:r>
    </w:p>
    <w:p w:rsidR="00A04EDB" w:rsidRPr="005F6009" w:rsidRDefault="00A04EDB" w:rsidP="00A12B9A">
      <w:pPr>
        <w:keepNext/>
        <w:spacing w:line="276" w:lineRule="auto"/>
        <w:rPr>
          <w:rFonts w:ascii="Verdana" w:hAnsi="Verdana"/>
          <w:sz w:val="20"/>
        </w:rPr>
      </w:pPr>
    </w:p>
    <w:p w:rsidR="004C7420" w:rsidRDefault="004C7420" w:rsidP="00A12B9A">
      <w:pPr>
        <w:keepNext/>
        <w:spacing w:after="200" w:line="276" w:lineRule="auto"/>
        <w:rPr>
          <w:rFonts w:ascii="Verdana" w:hAnsi="Verdana"/>
          <w:sz w:val="20"/>
        </w:rPr>
      </w:pPr>
      <w:r w:rsidRPr="000049AD">
        <w:rPr>
          <w:rFonts w:ascii="Verdana" w:hAnsi="Verdana"/>
          <w:b/>
          <w:sz w:val="20"/>
        </w:rPr>
        <w:t>Vi anbefaler</w:t>
      </w:r>
      <w:r w:rsidR="00A12B9A">
        <w:rPr>
          <w:rFonts w:ascii="Verdana" w:hAnsi="Verdana"/>
          <w:b/>
          <w:sz w:val="20"/>
        </w:rPr>
        <w:t xml:space="preserve"> </w:t>
      </w:r>
      <w:r w:rsidR="00EA400E">
        <w:rPr>
          <w:rFonts w:ascii="Verdana" w:hAnsi="Verdana"/>
          <w:b/>
          <w:sz w:val="20"/>
        </w:rPr>
        <w:t xml:space="preserve">Miljødirektoratets </w:t>
      </w:r>
      <w:r w:rsidR="00983274">
        <w:rPr>
          <w:rFonts w:ascii="Verdana" w:hAnsi="Verdana"/>
          <w:b/>
          <w:sz w:val="20"/>
        </w:rPr>
        <w:t xml:space="preserve">Metode </w:t>
      </w:r>
      <w:r w:rsidR="0016066C">
        <w:rPr>
          <w:rFonts w:ascii="Verdana" w:hAnsi="Verdana"/>
          <w:b/>
          <w:sz w:val="20"/>
        </w:rPr>
        <w:t>5</w:t>
      </w:r>
      <w:r>
        <w:rPr>
          <w:rFonts w:ascii="Verdana" w:hAnsi="Verdana"/>
          <w:sz w:val="20"/>
        </w:rPr>
        <w:t xml:space="preserve">, siden denne gir tiltakskostnader som </w:t>
      </w:r>
      <w:r w:rsidR="00D5330F">
        <w:rPr>
          <w:rFonts w:ascii="Verdana" w:hAnsi="Verdana"/>
          <w:sz w:val="20"/>
        </w:rPr>
        <w:t>gir det beste grunnlaget for prioritering mellom prosjekter av de foreslåtte alternativene</w:t>
      </w:r>
      <w:r>
        <w:rPr>
          <w:rFonts w:ascii="Verdana" w:hAnsi="Verdana"/>
          <w:sz w:val="20"/>
        </w:rPr>
        <w:t>.</w:t>
      </w:r>
    </w:p>
    <w:p w:rsidR="00DC0DDA" w:rsidRDefault="00DC0DDA" w:rsidP="00DC0DDA">
      <w:pPr>
        <w:spacing w:after="200" w:line="276" w:lineRule="auto"/>
        <w:rPr>
          <w:rFonts w:ascii="Verdana" w:hAnsi="Verdana"/>
          <w:sz w:val="20"/>
        </w:rPr>
      </w:pPr>
      <w:r>
        <w:rPr>
          <w:rFonts w:ascii="Verdana" w:hAnsi="Verdana"/>
          <w:sz w:val="20"/>
        </w:rPr>
        <w:t xml:space="preserve">I tillegg beregner </w:t>
      </w:r>
      <w:proofErr w:type="spellStart"/>
      <w:r>
        <w:rPr>
          <w:rFonts w:ascii="Verdana" w:hAnsi="Verdana"/>
          <w:sz w:val="20"/>
        </w:rPr>
        <w:t>Enova</w:t>
      </w:r>
      <w:proofErr w:type="spellEnd"/>
      <w:r>
        <w:rPr>
          <w:rFonts w:ascii="Verdana" w:hAnsi="Verdana"/>
          <w:sz w:val="20"/>
        </w:rPr>
        <w:t xml:space="preserve"> støtteintensitet fra før av, og har erfaringsgrunnlag med å vurdere denne størrelsen. Vi anbefaler at </w:t>
      </w:r>
      <w:proofErr w:type="spellStart"/>
      <w:r>
        <w:rPr>
          <w:rFonts w:ascii="Verdana" w:hAnsi="Verdana"/>
          <w:sz w:val="20"/>
        </w:rPr>
        <w:t>Enova</w:t>
      </w:r>
      <w:proofErr w:type="spellEnd"/>
      <w:r>
        <w:rPr>
          <w:rFonts w:ascii="Verdana" w:hAnsi="Verdana"/>
          <w:sz w:val="20"/>
        </w:rPr>
        <w:t xml:space="preserve"> viderefører bruk av støtteintensitet, som et supplement til tiltakskostnad.</w:t>
      </w:r>
    </w:p>
    <w:p w:rsidR="00C16BE9" w:rsidRDefault="00C16BE9" w:rsidP="005F6009">
      <w:pPr>
        <w:spacing w:after="200" w:line="276" w:lineRule="auto"/>
        <w:rPr>
          <w:rFonts w:ascii="Verdana" w:hAnsi="Verdana"/>
          <w:sz w:val="20"/>
        </w:rPr>
      </w:pPr>
      <w:r>
        <w:rPr>
          <w:rFonts w:ascii="Verdana" w:hAnsi="Verdana"/>
          <w:sz w:val="20"/>
        </w:rPr>
        <w:t xml:space="preserve">Trondheim </w:t>
      </w:r>
      <w:r w:rsidRPr="00D5330F">
        <w:rPr>
          <w:rFonts w:ascii="Verdana" w:hAnsi="Verdana"/>
          <w:sz w:val="20"/>
        </w:rPr>
        <w:t>0</w:t>
      </w:r>
      <w:r w:rsidR="00D5330F" w:rsidRPr="00D5330F">
        <w:rPr>
          <w:rFonts w:ascii="Verdana" w:hAnsi="Verdana"/>
          <w:sz w:val="20"/>
        </w:rPr>
        <w:t>6</w:t>
      </w:r>
      <w:r w:rsidRPr="00D5330F">
        <w:rPr>
          <w:rFonts w:ascii="Verdana" w:hAnsi="Verdana"/>
          <w:sz w:val="20"/>
        </w:rPr>
        <w:t>.0</w:t>
      </w:r>
      <w:r w:rsidR="00361C61" w:rsidRPr="00D5330F">
        <w:rPr>
          <w:rFonts w:ascii="Verdana" w:hAnsi="Verdana"/>
          <w:sz w:val="20"/>
        </w:rPr>
        <w:t>7</w:t>
      </w:r>
      <w:r w:rsidRPr="00D5330F">
        <w:rPr>
          <w:rFonts w:ascii="Verdana" w:hAnsi="Verdana"/>
          <w:sz w:val="20"/>
        </w:rPr>
        <w:t>.2017</w:t>
      </w:r>
    </w:p>
    <w:p w:rsidR="00C16BE9" w:rsidRDefault="00C16BE9" w:rsidP="005F6009">
      <w:pPr>
        <w:spacing w:after="200" w:line="276" w:lineRule="auto"/>
        <w:rPr>
          <w:rFonts w:ascii="Verdana" w:hAnsi="Verdana"/>
          <w:sz w:val="20"/>
        </w:rPr>
      </w:pPr>
      <w:r>
        <w:rPr>
          <w:rFonts w:ascii="Verdana" w:hAnsi="Verdana"/>
          <w:sz w:val="20"/>
        </w:rPr>
        <w:t>Per Ivar Helgesen</w:t>
      </w:r>
    </w:p>
    <w:p w:rsidR="00870030" w:rsidRDefault="00870030">
      <w:pPr>
        <w:spacing w:after="200" w:line="276" w:lineRule="auto"/>
        <w:rPr>
          <w:rFonts w:ascii="Verdana" w:hAnsi="Verdana"/>
          <w:sz w:val="20"/>
        </w:rPr>
      </w:pPr>
    </w:p>
    <w:p w:rsidR="00C21E45" w:rsidRPr="007F7258" w:rsidRDefault="00C21E45" w:rsidP="00C21E45">
      <w:pPr>
        <w:pStyle w:val="Heading1"/>
      </w:pPr>
      <w:r>
        <w:t>Referanser</w:t>
      </w:r>
    </w:p>
    <w:p w:rsidR="004820C2" w:rsidRPr="004820C2" w:rsidRDefault="00C21E45" w:rsidP="00D5330F">
      <w:pPr>
        <w:pStyle w:val="EndNoteBibliography"/>
        <w:ind w:left="284" w:hanging="284"/>
      </w:pPr>
      <w:r>
        <w:rPr>
          <w:rFonts w:ascii="Verdana" w:hAnsi="Verdana"/>
          <w:sz w:val="20"/>
        </w:rPr>
        <w:fldChar w:fldCharType="begin"/>
      </w:r>
      <w:r>
        <w:rPr>
          <w:rFonts w:ascii="Verdana" w:hAnsi="Verdana"/>
          <w:sz w:val="20"/>
        </w:rPr>
        <w:instrText xml:space="preserve"> ADDIN EN.REFLIST </w:instrText>
      </w:r>
      <w:r>
        <w:rPr>
          <w:rFonts w:ascii="Verdana" w:hAnsi="Verdana"/>
          <w:sz w:val="20"/>
        </w:rPr>
        <w:fldChar w:fldCharType="separate"/>
      </w:r>
      <w:r w:rsidR="004820C2" w:rsidRPr="004820C2">
        <w:t>BEIS (2017). Valuation of energy use and greenhouse gas, Department for Business, Energy &amp; Industrial Strategy.</w:t>
      </w:r>
    </w:p>
    <w:p w:rsidR="004820C2" w:rsidRPr="004820C2" w:rsidRDefault="004820C2" w:rsidP="00D5330F">
      <w:pPr>
        <w:pStyle w:val="EndNoteBibliography"/>
        <w:ind w:left="284" w:hanging="284"/>
      </w:pPr>
      <w:r w:rsidRPr="004820C2">
        <w:t>DECC (2014). Valuation of energy use and greenhouse gas (GHG) emissions, Department of Energy &amp; Climate Change.</w:t>
      </w:r>
    </w:p>
    <w:p w:rsidR="004820C2" w:rsidRPr="004820C2" w:rsidRDefault="004820C2" w:rsidP="00D5330F">
      <w:pPr>
        <w:pStyle w:val="EndNoteBibliography"/>
        <w:ind w:left="284" w:hanging="284"/>
      </w:pPr>
      <w:r w:rsidRPr="004820C2">
        <w:t>Direktoratet for økonomistyring (2014). Veileder i samfunnsøkonomiske analyser.</w:t>
      </w:r>
    </w:p>
    <w:p w:rsidR="004820C2" w:rsidRPr="004820C2" w:rsidRDefault="004820C2" w:rsidP="00D5330F">
      <w:pPr>
        <w:pStyle w:val="EndNoteBibliography"/>
        <w:ind w:left="284" w:hanging="284"/>
      </w:pPr>
      <w:r w:rsidRPr="004820C2">
        <w:t>Miljødirektoratet (2015). Klimatiltak og utslippsbaner mot 2030. Kunnskapsgrunnlag for lavutslippsutvikling., Miljødirektoratet</w:t>
      </w:r>
      <w:r w:rsidRPr="004820C2">
        <w:rPr>
          <w:b/>
        </w:rPr>
        <w:t xml:space="preserve">: </w:t>
      </w:r>
      <w:r w:rsidRPr="004820C2">
        <w:t>322.</w:t>
      </w:r>
    </w:p>
    <w:p w:rsidR="004820C2" w:rsidRPr="004820C2" w:rsidRDefault="004820C2" w:rsidP="00D5330F">
      <w:pPr>
        <w:pStyle w:val="EndNoteBibliography"/>
        <w:ind w:left="284" w:hanging="284"/>
      </w:pPr>
      <w:r w:rsidRPr="004820C2">
        <w:t xml:space="preserve">Osmundsen, P. and M. Emhjellen (2012). "Decision Criteria for Climate Projects." </w:t>
      </w:r>
      <w:r w:rsidRPr="004820C2">
        <w:rPr>
          <w:u w:val="single"/>
        </w:rPr>
        <w:t>SPE Economics &amp; Management</w:t>
      </w:r>
      <w:r w:rsidRPr="004820C2">
        <w:t>.</w:t>
      </w:r>
    </w:p>
    <w:p w:rsidR="004820C2" w:rsidRPr="004820C2" w:rsidRDefault="004820C2" w:rsidP="00D5330F">
      <w:pPr>
        <w:pStyle w:val="EndNoteBibliography"/>
        <w:ind w:left="284" w:hanging="284"/>
      </w:pPr>
      <w:r w:rsidRPr="004820C2">
        <w:t>Valatin, G. (2012). Marginal abatement cost curves for UK forestry, Forestry Commission.</w:t>
      </w:r>
    </w:p>
    <w:p w:rsidR="004820C2" w:rsidRPr="004820C2" w:rsidRDefault="004820C2" w:rsidP="00D5330F">
      <w:pPr>
        <w:pStyle w:val="EndNoteBibliography"/>
        <w:ind w:left="284" w:hanging="284"/>
      </w:pPr>
      <w:r w:rsidRPr="004820C2">
        <w:t xml:space="preserve">Vogt-Schilb, A. and S. Hallegatte (2014). "Marginal abatement cost curves and the optimal timing of mitigation measures." </w:t>
      </w:r>
      <w:r w:rsidRPr="004820C2">
        <w:rPr>
          <w:u w:val="single"/>
        </w:rPr>
        <w:t>Energy Policy</w:t>
      </w:r>
      <w:r w:rsidRPr="004820C2">
        <w:t xml:space="preserve"> </w:t>
      </w:r>
      <w:r w:rsidRPr="004820C2">
        <w:rPr>
          <w:b/>
        </w:rPr>
        <w:t>66</w:t>
      </w:r>
      <w:r w:rsidRPr="004820C2">
        <w:t>: 645-653.</w:t>
      </w:r>
    </w:p>
    <w:p w:rsidR="00C21E45" w:rsidRDefault="00C21E45" w:rsidP="00D5330F">
      <w:pPr>
        <w:spacing w:line="276" w:lineRule="auto"/>
        <w:ind w:left="284" w:hanging="284"/>
        <w:rPr>
          <w:rFonts w:ascii="Verdana" w:hAnsi="Verdana"/>
          <w:sz w:val="20"/>
        </w:rPr>
      </w:pPr>
      <w:r>
        <w:rPr>
          <w:rFonts w:ascii="Verdana" w:hAnsi="Verdana"/>
          <w:sz w:val="20"/>
        </w:rPr>
        <w:lastRenderedPageBreak/>
        <w:fldChar w:fldCharType="end"/>
      </w:r>
    </w:p>
    <w:p w:rsidR="007F7258" w:rsidRPr="007F7258" w:rsidRDefault="007F7258" w:rsidP="00C8104F">
      <w:pPr>
        <w:pStyle w:val="Heading1"/>
      </w:pPr>
      <w:r w:rsidRPr="007F7258">
        <w:t>Vedlegg</w:t>
      </w:r>
      <w:r>
        <w:t xml:space="preserve"> – formler for de ulike metodene</w:t>
      </w:r>
    </w:p>
    <w:p w:rsidR="007F7258" w:rsidRDefault="0072484A" w:rsidP="005F6009">
      <w:pPr>
        <w:spacing w:after="200" w:line="276" w:lineRule="auto"/>
        <w:rPr>
          <w:rFonts w:ascii="Verdana" w:hAnsi="Verdana"/>
          <w:sz w:val="20"/>
        </w:rPr>
      </w:pPr>
      <w:r>
        <w:rPr>
          <w:rFonts w:ascii="Verdana" w:hAnsi="Verdana"/>
          <w:sz w:val="20"/>
        </w:rPr>
        <w:t>Vi forutsetter at et prosjekt først må gjennom en investeringsperiode, for deretter å gå over i en driftsperiode med årlige utslippsreduksjoner.</w:t>
      </w:r>
      <w:r w:rsidR="00870030">
        <w:rPr>
          <w:rFonts w:ascii="Verdana" w:hAnsi="Verdana"/>
          <w:sz w:val="20"/>
        </w:rPr>
        <w:t xml:space="preserve"> </w:t>
      </w:r>
      <w:r w:rsidR="00DA1A26">
        <w:rPr>
          <w:rFonts w:ascii="Verdana" w:hAnsi="Verdana"/>
          <w:sz w:val="20"/>
        </w:rPr>
        <w:t>Benevning av d</w:t>
      </w:r>
      <w:r>
        <w:rPr>
          <w:rFonts w:ascii="Verdana" w:hAnsi="Verdana"/>
          <w:sz w:val="20"/>
        </w:rPr>
        <w:t>ata til beregningene</w:t>
      </w:r>
      <w:r w:rsidR="00DA1A26">
        <w:rPr>
          <w:rFonts w:ascii="Verdana" w:hAnsi="Verdana"/>
          <w:sz w:val="20"/>
        </w:rPr>
        <w:t>:</w:t>
      </w:r>
    </w:p>
    <w:p w:rsidR="0055676A" w:rsidRDefault="004D6452" w:rsidP="0055676A">
      <w:pPr>
        <w:spacing w:line="276" w:lineRule="auto"/>
        <w:rPr>
          <w:sz w:val="20"/>
        </w:rPr>
      </w:pPr>
      <m:oMath>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m:rPr>
                <m:sty m:val="p"/>
              </m:rPr>
              <w:rPr>
                <w:rFonts w:ascii="Cambria Math" w:eastAsiaTheme="minorEastAsia" w:hAnsi="Cambria Math"/>
                <w:sz w:val="22"/>
                <w:lang w:val="en-GB"/>
              </w:rPr>
              <m:t>0</m:t>
            </m:r>
          </m:sub>
        </m:sSub>
      </m:oMath>
      <w:r w:rsidR="0072484A">
        <w:rPr>
          <w:rFonts w:eastAsiaTheme="minorEastAsia"/>
          <w:lang w:val="en-GB"/>
        </w:rPr>
        <w:tab/>
      </w:r>
      <w:r w:rsidR="0055676A">
        <w:rPr>
          <w:sz w:val="20"/>
          <w:lang w:val="en-GB"/>
        </w:rPr>
        <w:t>Start</w:t>
      </w:r>
      <w:r w:rsidR="0055676A">
        <w:rPr>
          <w:sz w:val="20"/>
        </w:rPr>
        <w:t>år</w:t>
      </w:r>
      <w:r w:rsidR="0072484A">
        <w:rPr>
          <w:sz w:val="20"/>
        </w:rPr>
        <w:t xml:space="preserve"> (</w:t>
      </w:r>
      <w:proofErr w:type="spellStart"/>
      <w:r w:rsidR="0072484A">
        <w:rPr>
          <w:sz w:val="20"/>
        </w:rPr>
        <w:t>f.eks</w:t>
      </w:r>
      <w:proofErr w:type="spellEnd"/>
      <w:r w:rsidR="0072484A">
        <w:rPr>
          <w:sz w:val="20"/>
        </w:rPr>
        <w:t xml:space="preserve"> 2018)</w:t>
      </w:r>
    </w:p>
    <w:p w:rsidR="0072484A" w:rsidRDefault="004D6452" w:rsidP="0072484A">
      <w:pPr>
        <w:spacing w:line="276" w:lineRule="auto"/>
        <w:rPr>
          <w:sz w:val="20"/>
        </w:rPr>
      </w:pPr>
      <m:oMath>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N</m:t>
            </m:r>
          </m:sub>
        </m:sSub>
      </m:oMath>
      <w:r w:rsidR="0072484A">
        <w:rPr>
          <w:rFonts w:eastAsiaTheme="minorEastAsia"/>
          <w:lang w:val="en-GB"/>
        </w:rPr>
        <w:tab/>
      </w:r>
      <w:r w:rsidR="0055676A">
        <w:rPr>
          <w:sz w:val="20"/>
        </w:rPr>
        <w:t>Sluttår</w:t>
      </w:r>
      <w:r w:rsidR="0072484A">
        <w:rPr>
          <w:sz w:val="20"/>
        </w:rPr>
        <w:t xml:space="preserve"> (</w:t>
      </w:r>
      <w:proofErr w:type="spellStart"/>
      <w:r w:rsidR="0072484A">
        <w:rPr>
          <w:sz w:val="20"/>
        </w:rPr>
        <w:t>f.eks</w:t>
      </w:r>
      <w:proofErr w:type="spellEnd"/>
      <w:r w:rsidR="0072484A">
        <w:rPr>
          <w:sz w:val="20"/>
        </w:rPr>
        <w:t xml:space="preserve"> 2029)</w:t>
      </w:r>
    </w:p>
    <w:p w:rsidR="0055676A" w:rsidRDefault="004D6452" w:rsidP="0055676A">
      <w:pPr>
        <w:spacing w:line="276" w:lineRule="auto"/>
        <w:rPr>
          <w:sz w:val="20"/>
        </w:rPr>
      </w:pPr>
      <m:oMath>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d</m:t>
            </m:r>
          </m:sub>
        </m:sSub>
      </m:oMath>
      <w:r w:rsidR="0072484A">
        <w:rPr>
          <w:rFonts w:eastAsiaTheme="minorEastAsia"/>
          <w:lang w:val="en-GB"/>
        </w:rPr>
        <w:tab/>
      </w:r>
      <w:r w:rsidR="0055676A">
        <w:rPr>
          <w:sz w:val="20"/>
        </w:rPr>
        <w:t>Første driftsår</w:t>
      </w:r>
      <w:r w:rsidR="0072484A">
        <w:rPr>
          <w:sz w:val="20"/>
        </w:rPr>
        <w:t xml:space="preserve"> (</w:t>
      </w:r>
      <w:proofErr w:type="spellStart"/>
      <w:r w:rsidR="0072484A">
        <w:rPr>
          <w:sz w:val="20"/>
        </w:rPr>
        <w:t>f.eks</w:t>
      </w:r>
      <w:proofErr w:type="spellEnd"/>
      <w:r w:rsidR="0072484A">
        <w:rPr>
          <w:sz w:val="20"/>
        </w:rPr>
        <w:t xml:space="preserve"> 2020)</w:t>
      </w:r>
    </w:p>
    <w:p w:rsidR="0055676A" w:rsidRDefault="004D6452" w:rsidP="0055676A">
      <w:pPr>
        <w:spacing w:line="276" w:lineRule="auto"/>
        <w:rPr>
          <w:sz w:val="20"/>
        </w:rPr>
      </w:pPr>
      <m:oMath>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i</m:t>
            </m:r>
          </m:sub>
        </m:sSub>
      </m:oMath>
      <w:r w:rsidR="0072484A">
        <w:rPr>
          <w:rFonts w:eastAsiaTheme="minorEastAsia"/>
          <w:lang w:val="en-GB"/>
        </w:rPr>
        <w:tab/>
      </w:r>
      <w:r w:rsidR="0055676A">
        <w:rPr>
          <w:sz w:val="20"/>
        </w:rPr>
        <w:t>Antall år med investeringer</w:t>
      </w:r>
      <w:r w:rsidR="0072484A">
        <w:rPr>
          <w:sz w:val="20"/>
        </w:rPr>
        <w:t xml:space="preserve"> (</w:t>
      </w:r>
      <w:proofErr w:type="spellStart"/>
      <w:r w:rsidR="0072484A">
        <w:rPr>
          <w:sz w:val="20"/>
        </w:rPr>
        <w:t>f.eks</w:t>
      </w:r>
      <w:proofErr w:type="spellEnd"/>
      <w:r w:rsidR="0072484A">
        <w:rPr>
          <w:sz w:val="20"/>
        </w:rPr>
        <w:t xml:space="preserve"> 2)</w:t>
      </w:r>
    </w:p>
    <w:p w:rsidR="00786522" w:rsidRDefault="00786522" w:rsidP="00786522">
      <w:pPr>
        <w:spacing w:line="276" w:lineRule="auto"/>
        <w:rPr>
          <w:sz w:val="20"/>
        </w:rPr>
      </w:pPr>
      <m:oMath>
        <m:r>
          <w:rPr>
            <w:rFonts w:ascii="Cambria Math" w:hAnsi="Cambria Math"/>
            <w:sz w:val="22"/>
            <w:lang w:val="en-GB"/>
          </w:rPr>
          <m:t>r</m:t>
        </m:r>
      </m:oMath>
      <w:r w:rsidRPr="0055676A">
        <w:rPr>
          <w:rFonts w:ascii="Verdana" w:eastAsiaTheme="minorEastAsia" w:hAnsi="Verdana"/>
          <w:sz w:val="22"/>
          <w:lang w:val="en-GB"/>
        </w:rPr>
        <w:t xml:space="preserve"> </w:t>
      </w:r>
      <w:r>
        <w:rPr>
          <w:rFonts w:ascii="Verdana" w:eastAsiaTheme="minorEastAsia" w:hAnsi="Verdana"/>
          <w:sz w:val="22"/>
          <w:lang w:val="en-GB"/>
        </w:rPr>
        <w:tab/>
      </w:r>
      <w:r>
        <w:rPr>
          <w:sz w:val="20"/>
        </w:rPr>
        <w:t>Diskonteringsrente</w:t>
      </w:r>
    </w:p>
    <w:p w:rsidR="0055676A" w:rsidRPr="0055676A" w:rsidRDefault="0055676A" w:rsidP="0055676A">
      <w:pPr>
        <w:spacing w:line="276" w:lineRule="auto"/>
        <w:rPr>
          <w:sz w:val="20"/>
        </w:rPr>
      </w:pPr>
    </w:p>
    <w:p w:rsidR="0072484A" w:rsidRDefault="0072484A" w:rsidP="0072484A">
      <w:pPr>
        <w:spacing w:line="276" w:lineRule="auto"/>
        <w:rPr>
          <w:sz w:val="20"/>
        </w:rPr>
      </w:pPr>
      <m:oMath>
        <m:r>
          <w:rPr>
            <w:rFonts w:ascii="Cambria Math" w:hAnsi="Cambria Math"/>
            <w:sz w:val="22"/>
            <w:lang w:val="en-GB"/>
          </w:rPr>
          <m:t>a</m:t>
        </m:r>
      </m:oMath>
      <w:r w:rsidR="0055676A" w:rsidRPr="0055676A">
        <w:rPr>
          <w:rFonts w:ascii="Verdana" w:eastAsiaTheme="minorEastAsia" w:hAnsi="Verdana"/>
          <w:sz w:val="22"/>
          <w:lang w:val="en-GB"/>
        </w:rPr>
        <w:t xml:space="preserve"> </w:t>
      </w:r>
      <w:r w:rsidR="0055676A">
        <w:rPr>
          <w:rFonts w:ascii="Verdana" w:eastAsiaTheme="minorEastAsia" w:hAnsi="Verdana"/>
          <w:sz w:val="22"/>
          <w:lang w:val="en-GB"/>
        </w:rPr>
        <w:tab/>
      </w:r>
      <w:proofErr w:type="spellStart"/>
      <w:r w:rsidRPr="0072484A">
        <w:rPr>
          <w:sz w:val="20"/>
        </w:rPr>
        <w:t>Enovas</w:t>
      </w:r>
      <w:proofErr w:type="spellEnd"/>
      <w:r w:rsidRPr="0072484A">
        <w:rPr>
          <w:sz w:val="20"/>
        </w:rPr>
        <w:t xml:space="preserve"> støtteandel</w:t>
      </w:r>
    </w:p>
    <w:p w:rsidR="0072484A" w:rsidRDefault="004D6452" w:rsidP="0072484A">
      <w:pPr>
        <w:spacing w:line="276" w:lineRule="auto"/>
        <w:rPr>
          <w:sz w:val="22"/>
        </w:rPr>
      </w:pPr>
      <m:oMath>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t</m:t>
            </m:r>
          </m:sub>
        </m:sSub>
      </m:oMath>
      <w:r w:rsidR="0072484A" w:rsidRPr="0055676A">
        <w:rPr>
          <w:rFonts w:ascii="Verdana" w:eastAsiaTheme="minorEastAsia" w:hAnsi="Verdana"/>
          <w:sz w:val="22"/>
          <w:lang w:val="en-GB"/>
        </w:rPr>
        <w:t xml:space="preserve"> </w:t>
      </w:r>
      <w:r w:rsidR="0072484A">
        <w:rPr>
          <w:rFonts w:ascii="Verdana" w:eastAsiaTheme="minorEastAsia" w:hAnsi="Verdana"/>
          <w:sz w:val="22"/>
          <w:lang w:val="en-GB"/>
        </w:rPr>
        <w:tab/>
      </w:r>
      <w:r w:rsidR="0072484A" w:rsidRPr="0072484A">
        <w:rPr>
          <w:sz w:val="20"/>
        </w:rPr>
        <w:t>Investeringskostnader</w:t>
      </w:r>
    </w:p>
    <w:p w:rsidR="0055676A" w:rsidRPr="0055676A" w:rsidRDefault="004D6452" w:rsidP="0055676A">
      <w:pPr>
        <w:spacing w:line="276" w:lineRule="auto"/>
        <w:rPr>
          <w:sz w:val="22"/>
        </w:rPr>
      </w:pPr>
      <m:oMath>
        <m:sSub>
          <m:sSubPr>
            <m:ctrlPr>
              <w:rPr>
                <w:rFonts w:ascii="Cambria Math" w:hAnsi="Cambria Math"/>
                <w:i/>
                <w:sz w:val="22"/>
                <w:lang w:val="en-GB"/>
              </w:rPr>
            </m:ctrlPr>
          </m:sSubPr>
          <m:e>
            <m:r>
              <w:rPr>
                <w:rFonts w:ascii="Cambria Math" w:hAnsi="Cambria Math"/>
                <w:sz w:val="22"/>
                <w:lang w:val="en-GB"/>
              </w:rPr>
              <m:t>c</m:t>
            </m:r>
          </m:e>
          <m:sub>
            <m:r>
              <w:rPr>
                <w:rFonts w:ascii="Cambria Math" w:hAnsi="Cambria Math"/>
                <w:sz w:val="22"/>
                <w:lang w:val="en-GB"/>
              </w:rPr>
              <m:t>t</m:t>
            </m:r>
          </m:sub>
        </m:sSub>
      </m:oMath>
      <w:r w:rsidR="0055676A" w:rsidRPr="0055676A">
        <w:rPr>
          <w:rFonts w:ascii="Verdana" w:eastAsiaTheme="minorEastAsia" w:hAnsi="Verdana"/>
          <w:sz w:val="22"/>
          <w:lang w:val="en-GB"/>
        </w:rPr>
        <w:t xml:space="preserve"> </w:t>
      </w:r>
      <w:r w:rsidR="0055676A">
        <w:rPr>
          <w:rFonts w:ascii="Verdana" w:eastAsiaTheme="minorEastAsia" w:hAnsi="Verdana"/>
          <w:sz w:val="22"/>
          <w:lang w:val="en-GB"/>
        </w:rPr>
        <w:tab/>
      </w:r>
      <w:r w:rsidR="0055676A" w:rsidRPr="0072484A">
        <w:rPr>
          <w:sz w:val="20"/>
        </w:rPr>
        <w:t>Driftskostnader</w:t>
      </w:r>
    </w:p>
    <w:p w:rsidR="0055676A" w:rsidRPr="00786522" w:rsidRDefault="004D6452" w:rsidP="00786522">
      <w:pPr>
        <w:spacing w:line="276" w:lineRule="auto"/>
        <w:rPr>
          <w:sz w:val="20"/>
        </w:rPr>
      </w:pPr>
      <m:oMath>
        <m:sSub>
          <m:sSubPr>
            <m:ctrlPr>
              <w:rPr>
                <w:rFonts w:ascii="Cambria Math" w:hAnsi="Cambria Math"/>
                <w:i/>
                <w:sz w:val="22"/>
                <w:lang w:val="en-GB"/>
              </w:rPr>
            </m:ctrlPr>
          </m:sSubPr>
          <m:e>
            <m:r>
              <w:rPr>
                <w:rFonts w:ascii="Cambria Math" w:hAnsi="Cambria Math"/>
                <w:sz w:val="22"/>
                <w:lang w:val="en-GB"/>
              </w:rPr>
              <m:t>d</m:t>
            </m:r>
          </m:e>
          <m:sub>
            <m:r>
              <w:rPr>
                <w:rFonts w:ascii="Cambria Math" w:hAnsi="Cambria Math"/>
                <w:sz w:val="22"/>
                <w:lang w:val="en-GB"/>
              </w:rPr>
              <m:t>t</m:t>
            </m:r>
          </m:sub>
        </m:sSub>
      </m:oMath>
      <w:r w:rsidR="0055676A" w:rsidRPr="00786522">
        <w:rPr>
          <w:rFonts w:ascii="Cambria Math" w:hAnsi="Cambria Math"/>
          <w:i/>
          <w:sz w:val="22"/>
          <w:lang w:val="en-GB"/>
        </w:rPr>
        <w:t xml:space="preserve"> </w:t>
      </w:r>
      <w:r w:rsidR="0055676A" w:rsidRPr="00786522">
        <w:rPr>
          <w:rFonts w:ascii="Cambria Math" w:hAnsi="Cambria Math"/>
          <w:i/>
          <w:sz w:val="22"/>
          <w:lang w:val="en-GB"/>
        </w:rPr>
        <w:tab/>
      </w:r>
      <w:r w:rsidR="0055676A" w:rsidRPr="00786522">
        <w:rPr>
          <w:sz w:val="20"/>
        </w:rPr>
        <w:t>Driftsinntekter</w:t>
      </w:r>
    </w:p>
    <w:p w:rsidR="0072484A" w:rsidRPr="00786522" w:rsidRDefault="0072484A" w:rsidP="0072484A">
      <w:pPr>
        <w:spacing w:line="276" w:lineRule="auto"/>
        <w:rPr>
          <w:rFonts w:ascii="Cambria Math" w:hAnsi="Cambria Math"/>
          <w:i/>
          <w:sz w:val="22"/>
          <w:lang w:val="en-GB"/>
        </w:rPr>
      </w:pPr>
      <m:oMath>
        <m:r>
          <w:rPr>
            <w:rFonts w:ascii="Cambria Math" w:hAnsi="Cambria Math"/>
            <w:sz w:val="22"/>
            <w:lang w:val="en-GB"/>
          </w:rPr>
          <m:t>x</m:t>
        </m:r>
      </m:oMath>
      <w:r w:rsidRPr="00786522">
        <w:rPr>
          <w:rFonts w:ascii="Cambria Math" w:hAnsi="Cambria Math"/>
          <w:i/>
          <w:sz w:val="22"/>
          <w:lang w:val="en-GB"/>
        </w:rPr>
        <w:t xml:space="preserve"> </w:t>
      </w:r>
      <w:r w:rsidRPr="00786522">
        <w:rPr>
          <w:rFonts w:ascii="Cambria Math" w:hAnsi="Cambria Math"/>
          <w:i/>
          <w:sz w:val="22"/>
          <w:lang w:val="en-GB"/>
        </w:rPr>
        <w:tab/>
      </w:r>
      <w:r w:rsidRPr="00786522">
        <w:rPr>
          <w:sz w:val="20"/>
        </w:rPr>
        <w:t>Årlig utslippsreduksjon</w:t>
      </w:r>
    </w:p>
    <w:p w:rsidR="0072484A" w:rsidRDefault="0072484A" w:rsidP="005F6009">
      <w:pPr>
        <w:spacing w:after="200" w:line="276" w:lineRule="auto"/>
        <w:rPr>
          <w:rFonts w:ascii="Verdana" w:hAnsi="Verdana"/>
          <w:sz w:val="20"/>
        </w:rPr>
      </w:pPr>
    </w:p>
    <w:p w:rsidR="0072484A" w:rsidRDefault="0072484A" w:rsidP="0072484A">
      <w:pPr>
        <w:pStyle w:val="ListParagraph"/>
        <w:numPr>
          <w:ilvl w:val="0"/>
          <w:numId w:val="23"/>
        </w:numPr>
        <w:spacing w:after="200" w:line="276" w:lineRule="auto"/>
        <w:ind w:left="426" w:hanging="426"/>
        <w:rPr>
          <w:rFonts w:ascii="Verdana" w:hAnsi="Verdana"/>
          <w:sz w:val="20"/>
        </w:rPr>
      </w:pPr>
      <w:r>
        <w:rPr>
          <w:rFonts w:ascii="Verdana" w:hAnsi="Verdana"/>
          <w:sz w:val="20"/>
        </w:rPr>
        <w:t>Støtteintensitet, støttekroner på årlig utslippsreduksjon</w:t>
      </w:r>
    </w:p>
    <w:p w:rsidR="0072484A" w:rsidRDefault="004D6452" w:rsidP="0072484A">
      <w:pPr>
        <w:spacing w:after="200" w:line="276" w:lineRule="auto"/>
        <w:rPr>
          <w:rFonts w:ascii="Verdana" w:hAnsi="Verdana"/>
          <w:sz w:val="20"/>
        </w:rPr>
      </w:pPr>
      <m:oMathPara>
        <m:oMath>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a)</m:t>
              </m:r>
            </m:sub>
          </m:sSub>
          <m:r>
            <w:rPr>
              <w:rFonts w:ascii="Cambria Math" w:eastAsiaTheme="minorEastAsia" w:hAnsi="Cambria Math"/>
              <w:sz w:val="22"/>
              <w:lang w:val="en-GB"/>
            </w:rPr>
            <m:t>=</m:t>
          </m:r>
          <m:f>
            <m:fPr>
              <m:ctrlPr>
                <w:rPr>
                  <w:rFonts w:ascii="Cambria Math" w:eastAsiaTheme="minorEastAsia" w:hAnsi="Cambria Math"/>
                  <w:i/>
                  <w:sz w:val="22"/>
                  <w:lang w:val="en-GB"/>
                </w:rPr>
              </m:ctrlPr>
            </m:fPr>
            <m:num>
              <m:nary>
                <m:naryPr>
                  <m:chr m:val="∑"/>
                  <m:limLoc m:val="undOvr"/>
                  <m:ctrlPr>
                    <w:rPr>
                      <w:rFonts w:ascii="Cambria Math" w:eastAsiaTheme="minorEastAsia" w:hAnsi="Cambria Math"/>
                      <w:i/>
                      <w:sz w:val="22"/>
                      <w:lang w:val="en-GB"/>
                    </w:rPr>
                  </m:ctrlPr>
                </m:naryPr>
                <m:sub>
                  <m:r>
                    <w:rPr>
                      <w:rFonts w:ascii="Cambria Math" w:eastAsiaTheme="minorEastAsia" w:hAnsi="Cambria Math"/>
                      <w:sz w:val="22"/>
                      <w:lang w:val="en-GB"/>
                    </w:rPr>
                    <m:t>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m:rPr>
                          <m:sty m:val="p"/>
                        </m:rPr>
                        <w:rPr>
                          <w:rFonts w:ascii="Cambria Math" w:eastAsiaTheme="minorEastAsia" w:hAnsi="Cambria Math"/>
                          <w:sz w:val="22"/>
                          <w:lang w:val="en-GB"/>
                        </w:rPr>
                        <m:t>0</m:t>
                      </m:r>
                    </m:sub>
                  </m:sSub>
                </m:sub>
                <m:sup>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m:rPr>
                          <m:sty m:val="p"/>
                        </m:rPr>
                        <w:rPr>
                          <w:rFonts w:ascii="Cambria Math" w:eastAsiaTheme="minorEastAsia" w:hAnsi="Cambria Math"/>
                          <w:sz w:val="22"/>
                          <w:lang w:val="en-GB"/>
                        </w:rPr>
                        <m:t>0</m:t>
                      </m:r>
                    </m:sub>
                  </m:sSub>
                  <m:r>
                    <w:rPr>
                      <w:rFonts w:ascii="Cambria Math" w:eastAsiaTheme="minorEastAsia" w:hAnsi="Cambria Math"/>
                      <w:sz w:val="22"/>
                      <w:lang w:val="en-GB"/>
                    </w:rPr>
                    <m: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m:rPr>
                          <m:sty m:val="p"/>
                        </m:rPr>
                        <w:rPr>
                          <w:rFonts w:ascii="Cambria Math" w:eastAsiaTheme="minorEastAsia" w:hAnsi="Cambria Math"/>
                          <w:sz w:val="22"/>
                          <w:lang w:val="en-GB"/>
                        </w:rPr>
                        <m:t>i</m:t>
                      </m:r>
                    </m:sub>
                  </m:sSub>
                </m:sup>
                <m:e>
                  <m:sSub>
                    <m:sSubPr>
                      <m:ctrlPr>
                        <w:rPr>
                          <w:rFonts w:ascii="Cambria Math" w:eastAsiaTheme="minorEastAsia" w:hAnsi="Cambria Math"/>
                          <w:sz w:val="22"/>
                          <w:lang w:val="en-GB"/>
                        </w:rPr>
                      </m:ctrlPr>
                    </m:sSubPr>
                    <m:e>
                      <m:r>
                        <w:rPr>
                          <w:rFonts w:ascii="Cambria Math" w:eastAsiaTheme="minorEastAsia" w:hAnsi="Cambria Math"/>
                          <w:sz w:val="22"/>
                          <w:lang w:val="en-GB"/>
                        </w:rPr>
                        <m:t>i</m:t>
                      </m:r>
                    </m:e>
                    <m:sub>
                      <m:r>
                        <m:rPr>
                          <m:sty m:val="p"/>
                        </m:rPr>
                        <w:rPr>
                          <w:rFonts w:ascii="Cambria Math" w:eastAsiaTheme="minorEastAsia" w:hAnsi="Cambria Math"/>
                          <w:sz w:val="22"/>
                          <w:lang w:val="en-GB"/>
                        </w:rPr>
                        <m:t>t</m:t>
                      </m:r>
                    </m:sub>
                  </m:sSub>
                  <m:r>
                    <w:rPr>
                      <w:rFonts w:ascii="Cambria Math" w:eastAsiaTheme="minorEastAsia" w:hAnsi="Cambria Math"/>
                      <w:sz w:val="22"/>
                      <w:lang w:val="en-GB"/>
                    </w:rPr>
                    <m:t>∙a</m:t>
                  </m:r>
                </m:e>
              </m:nary>
            </m:num>
            <m:den>
              <m:r>
                <w:rPr>
                  <w:rFonts w:ascii="Cambria Math" w:eastAsiaTheme="minorEastAsia" w:hAnsi="Cambria Math"/>
                  <w:sz w:val="22"/>
                  <w:lang w:val="en-GB"/>
                </w:rPr>
                <m:t>x</m:t>
              </m:r>
            </m:den>
          </m:f>
        </m:oMath>
      </m:oMathPara>
    </w:p>
    <w:p w:rsidR="0072484A" w:rsidRPr="0072484A" w:rsidRDefault="0072484A" w:rsidP="0072484A">
      <w:pPr>
        <w:spacing w:after="200" w:line="276" w:lineRule="auto"/>
        <w:rPr>
          <w:rFonts w:ascii="Verdana" w:hAnsi="Verdana"/>
          <w:sz w:val="20"/>
        </w:rPr>
      </w:pPr>
    </w:p>
    <w:p w:rsidR="0072484A" w:rsidRDefault="0072484A" w:rsidP="0072484A">
      <w:pPr>
        <w:pStyle w:val="ListParagraph"/>
        <w:numPr>
          <w:ilvl w:val="0"/>
          <w:numId w:val="23"/>
        </w:numPr>
        <w:spacing w:after="200" w:line="276" w:lineRule="auto"/>
        <w:ind w:left="426" w:hanging="426"/>
        <w:rPr>
          <w:rFonts w:ascii="Verdana" w:hAnsi="Verdana"/>
          <w:sz w:val="20"/>
        </w:rPr>
      </w:pPr>
      <w:r>
        <w:rPr>
          <w:rFonts w:ascii="Verdana" w:hAnsi="Verdana"/>
          <w:sz w:val="20"/>
        </w:rPr>
        <w:t>Miljødirektoratets Metode 1, annuitetskostnad på årlig utslippsreduksjon</w:t>
      </w:r>
    </w:p>
    <w:p w:rsidR="00786522" w:rsidRPr="00786522" w:rsidRDefault="004D6452" w:rsidP="00786522">
      <w:pPr>
        <w:spacing w:after="200" w:line="276" w:lineRule="auto"/>
        <w:rPr>
          <w:rFonts w:ascii="Verdana" w:hAnsi="Verdana"/>
          <w:sz w:val="20"/>
        </w:rPr>
      </w:pPr>
      <m:oMathPara>
        <m:oMath>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b)</m:t>
              </m:r>
            </m:sub>
          </m:sSub>
          <m:r>
            <w:rPr>
              <w:rFonts w:ascii="Cambria Math" w:eastAsiaTheme="minorEastAsia" w:hAnsi="Cambria Math"/>
              <w:sz w:val="22"/>
              <w:lang w:val="en-GB"/>
            </w:rPr>
            <m:t>=</m:t>
          </m:r>
          <m:f>
            <m:fPr>
              <m:ctrlPr>
                <w:rPr>
                  <w:rFonts w:ascii="Cambria Math" w:eastAsiaTheme="minorEastAsia" w:hAnsi="Cambria Math"/>
                  <w:i/>
                  <w:sz w:val="22"/>
                  <w:lang w:val="en-GB"/>
                </w:rPr>
              </m:ctrlPr>
            </m:fPr>
            <m:num>
              <m:d>
                <m:dPr>
                  <m:ctrlPr>
                    <w:rPr>
                      <w:rFonts w:ascii="Cambria Math" w:eastAsiaTheme="minorEastAsia" w:hAnsi="Cambria Math"/>
                      <w:i/>
                      <w:sz w:val="22"/>
                      <w:lang w:val="en-GB"/>
                    </w:rPr>
                  </m:ctrlPr>
                </m:dPr>
                <m:e>
                  <m:nary>
                    <m:naryPr>
                      <m:chr m:val="∑"/>
                      <m:limLoc m:val="undOvr"/>
                      <m:ctrlPr>
                        <w:rPr>
                          <w:rFonts w:ascii="Cambria Math" w:eastAsiaTheme="minorEastAsia" w:hAnsi="Cambria Math"/>
                          <w:i/>
                          <w:sz w:val="22"/>
                          <w:lang w:val="en-GB"/>
                        </w:rPr>
                      </m:ctrlPr>
                    </m:naryPr>
                    <m:sub>
                      <m:r>
                        <w:rPr>
                          <w:rFonts w:ascii="Cambria Math" w:eastAsiaTheme="minorEastAsia" w:hAnsi="Cambria Math"/>
                          <w:sz w:val="22"/>
                          <w:lang w:val="en-GB"/>
                        </w:rPr>
                        <m:t>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m:rPr>
                              <m:sty m:val="p"/>
                            </m:rPr>
                            <w:rPr>
                              <w:rFonts w:ascii="Cambria Math" w:eastAsiaTheme="minorEastAsia" w:hAnsi="Cambria Math"/>
                              <w:sz w:val="22"/>
                              <w:lang w:val="en-GB"/>
                            </w:rPr>
                            <m:t>0</m:t>
                          </m:r>
                        </m:sub>
                      </m:sSub>
                    </m:sub>
                    <m:sup>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m:rPr>
                              <m:sty m:val="p"/>
                            </m:rPr>
                            <w:rPr>
                              <w:rFonts w:ascii="Cambria Math" w:eastAsiaTheme="minorEastAsia" w:hAnsi="Cambria Math"/>
                              <w:sz w:val="22"/>
                              <w:lang w:val="en-GB"/>
                            </w:rPr>
                            <m:t>N</m:t>
                          </m:r>
                        </m:sub>
                      </m:sSub>
                    </m:sup>
                    <m:e>
                      <m:f>
                        <m:fPr>
                          <m:ctrlPr>
                            <w:rPr>
                              <w:rFonts w:ascii="Cambria Math" w:eastAsiaTheme="minorEastAsia" w:hAnsi="Cambria Math"/>
                              <w:i/>
                              <w:sz w:val="22"/>
                              <w:lang w:val="en-GB"/>
                            </w:rPr>
                          </m:ctrlPr>
                        </m:fPr>
                        <m:num>
                          <m:sSub>
                            <m:sSubPr>
                              <m:ctrlPr>
                                <w:rPr>
                                  <w:rFonts w:ascii="Cambria Math" w:eastAsiaTheme="minorEastAsia" w:hAnsi="Cambria Math"/>
                                  <w:sz w:val="22"/>
                                  <w:lang w:val="en-GB"/>
                                </w:rPr>
                              </m:ctrlPr>
                            </m:sSubPr>
                            <m:e>
                              <m:r>
                                <w:rPr>
                                  <w:rFonts w:ascii="Cambria Math" w:eastAsiaTheme="minorEastAsia" w:hAnsi="Cambria Math"/>
                                  <w:sz w:val="22"/>
                                  <w:lang w:val="en-GB"/>
                                </w:rPr>
                                <m:t>-i</m:t>
                              </m:r>
                            </m:e>
                            <m:sub>
                              <m:r>
                                <m:rPr>
                                  <m:sty m:val="p"/>
                                </m:rPr>
                                <w:rPr>
                                  <w:rFonts w:ascii="Cambria Math" w:eastAsiaTheme="minorEastAsia" w:hAnsi="Cambria Math"/>
                                  <w:sz w:val="22"/>
                                  <w:lang w:val="en-GB"/>
                                </w:rPr>
                                <m:t>t</m:t>
                              </m:r>
                            </m:sub>
                          </m:sSub>
                          <m:r>
                            <w:rPr>
                              <w:rFonts w:ascii="Cambria Math" w:eastAsiaTheme="minorEastAsia" w:hAnsi="Cambria Math"/>
                              <w:sz w:val="22"/>
                              <w:lang w:val="en-GB"/>
                            </w:rPr>
                            <m:t>+</m:t>
                          </m:r>
                          <m:sSub>
                            <m:sSubPr>
                              <m:ctrlPr>
                                <w:rPr>
                                  <w:rFonts w:ascii="Cambria Math" w:eastAsiaTheme="minorEastAsia" w:hAnsi="Cambria Math"/>
                                  <w:sz w:val="22"/>
                                  <w:lang w:val="en-GB"/>
                                </w:rPr>
                              </m:ctrlPr>
                            </m:sSubPr>
                            <m:e>
                              <m:r>
                                <w:rPr>
                                  <w:rFonts w:ascii="Cambria Math" w:eastAsiaTheme="minorEastAsia" w:hAnsi="Cambria Math"/>
                                  <w:sz w:val="22"/>
                                  <w:lang w:val="en-GB"/>
                                </w:rPr>
                                <m:t>d</m:t>
                              </m:r>
                            </m:e>
                            <m:sub>
                              <m:r>
                                <m:rPr>
                                  <m:sty m:val="p"/>
                                </m:rPr>
                                <w:rPr>
                                  <w:rFonts w:ascii="Cambria Math" w:eastAsiaTheme="minorEastAsia" w:hAnsi="Cambria Math"/>
                                  <w:sz w:val="22"/>
                                  <w:lang w:val="en-GB"/>
                                </w:rPr>
                                <m:t>t</m:t>
                              </m:r>
                            </m:sub>
                          </m:sSub>
                          <m:r>
                            <w:rPr>
                              <w:rFonts w:ascii="Cambria Math" w:eastAsiaTheme="minorEastAsia" w:hAnsi="Cambria Math"/>
                              <w:sz w:val="22"/>
                              <w:lang w:val="en-GB"/>
                            </w:rPr>
                            <m:t>-</m:t>
                          </m:r>
                          <m:sSub>
                            <m:sSubPr>
                              <m:ctrlPr>
                                <w:rPr>
                                  <w:rFonts w:ascii="Cambria Math" w:eastAsiaTheme="minorEastAsia" w:hAnsi="Cambria Math"/>
                                  <w:sz w:val="22"/>
                                  <w:lang w:val="en-GB"/>
                                </w:rPr>
                              </m:ctrlPr>
                            </m:sSubPr>
                            <m:e>
                              <m:r>
                                <w:rPr>
                                  <w:rFonts w:ascii="Cambria Math" w:eastAsiaTheme="minorEastAsia" w:hAnsi="Cambria Math"/>
                                  <w:sz w:val="22"/>
                                  <w:lang w:val="en-GB"/>
                                </w:rPr>
                                <m:t>c</m:t>
                              </m:r>
                            </m:e>
                            <m:sub>
                              <m:r>
                                <m:rPr>
                                  <m:sty m:val="p"/>
                                </m:rPr>
                                <w:rPr>
                                  <w:rFonts w:ascii="Cambria Math" w:eastAsiaTheme="minorEastAsia" w:hAnsi="Cambria Math"/>
                                  <w:sz w:val="22"/>
                                  <w:lang w:val="en-GB"/>
                                </w:rPr>
                                <m:t>t</m:t>
                              </m:r>
                            </m:sub>
                          </m:sSub>
                        </m:num>
                        <m:den>
                          <m:sSup>
                            <m:sSupPr>
                              <m:ctrlPr>
                                <w:rPr>
                                  <w:rFonts w:ascii="Cambria Math" w:eastAsiaTheme="minorEastAsia" w:hAnsi="Cambria Math"/>
                                  <w:i/>
                                  <w:sz w:val="22"/>
                                  <w:lang w:val="en-GB"/>
                                </w:rPr>
                              </m:ctrlPr>
                            </m:sSupPr>
                            <m:e>
                              <m:d>
                                <m:dPr>
                                  <m:ctrlPr>
                                    <w:rPr>
                                      <w:rFonts w:ascii="Cambria Math" w:eastAsiaTheme="minorEastAsia" w:hAnsi="Cambria Math"/>
                                      <w:i/>
                                      <w:sz w:val="22"/>
                                      <w:lang w:val="en-GB"/>
                                    </w:rPr>
                                  </m:ctrlPr>
                                </m:dPr>
                                <m:e>
                                  <m:r>
                                    <w:rPr>
                                      <w:rFonts w:ascii="Cambria Math" w:eastAsiaTheme="minorEastAsia" w:hAnsi="Cambria Math"/>
                                      <w:sz w:val="22"/>
                                      <w:lang w:val="en-GB"/>
                                    </w:rPr>
                                    <m:t>1+r</m:t>
                                  </m:r>
                                </m:e>
                              </m:d>
                            </m:e>
                            <m:sup>
                              <m:d>
                                <m:dPr>
                                  <m:ctrlPr>
                                    <w:rPr>
                                      <w:rFonts w:ascii="Cambria Math" w:eastAsiaTheme="minorEastAsia" w:hAnsi="Cambria Math"/>
                                      <w:i/>
                                      <w:sz w:val="22"/>
                                      <w:lang w:val="en-GB"/>
                                    </w:rPr>
                                  </m:ctrlPr>
                                </m:dPr>
                                <m:e>
                                  <m:r>
                                    <w:rPr>
                                      <w:rFonts w:ascii="Cambria Math" w:eastAsiaTheme="minorEastAsia" w:hAnsi="Cambria Math"/>
                                      <w:sz w:val="22"/>
                                      <w:lang w:val="en-GB"/>
                                    </w:rPr>
                                    <m:t>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m:rPr>
                                          <m:sty m:val="p"/>
                                        </m:rPr>
                                        <w:rPr>
                                          <w:rFonts w:ascii="Cambria Math" w:eastAsiaTheme="minorEastAsia" w:hAnsi="Cambria Math"/>
                                          <w:sz w:val="22"/>
                                          <w:lang w:val="en-GB"/>
                                        </w:rPr>
                                        <m:t>0</m:t>
                                      </m:r>
                                    </m:sub>
                                  </m:sSub>
                                </m:e>
                              </m:d>
                            </m:sup>
                          </m:sSup>
                        </m:den>
                      </m:f>
                    </m:e>
                  </m:nary>
                </m:e>
              </m:d>
              <m:r>
                <w:rPr>
                  <w:rFonts w:ascii="Cambria Math" w:eastAsiaTheme="minorEastAsia" w:hAnsi="Cambria Math"/>
                  <w:sz w:val="22"/>
                  <w:lang w:val="en-GB"/>
                </w:rPr>
                <m:t>∙</m:t>
              </m:r>
              <m:f>
                <m:fPr>
                  <m:ctrlPr>
                    <w:rPr>
                      <w:rFonts w:ascii="Cambria Math" w:eastAsiaTheme="minorEastAsia" w:hAnsi="Cambria Math"/>
                      <w:i/>
                      <w:sz w:val="22"/>
                      <w:lang w:val="en-GB"/>
                    </w:rPr>
                  </m:ctrlPr>
                </m:fPr>
                <m:num>
                  <m:d>
                    <m:dPr>
                      <m:ctrlPr>
                        <w:rPr>
                          <w:rFonts w:ascii="Cambria Math" w:eastAsiaTheme="minorEastAsia" w:hAnsi="Cambria Math"/>
                          <w:i/>
                          <w:sz w:val="22"/>
                          <w:lang w:val="en-GB"/>
                        </w:rPr>
                      </m:ctrlPr>
                    </m:dPr>
                    <m:e>
                      <m:r>
                        <w:rPr>
                          <w:rFonts w:ascii="Cambria Math" w:eastAsiaTheme="minorEastAsia" w:hAnsi="Cambria Math"/>
                          <w:sz w:val="22"/>
                          <w:lang w:val="en-GB"/>
                        </w:rPr>
                        <m:t>1+r</m:t>
                      </m:r>
                    </m:e>
                  </m:d>
                  <m:r>
                    <w:rPr>
                      <w:rFonts w:ascii="Cambria Math" w:eastAsiaTheme="minorEastAsia" w:hAnsi="Cambria Math"/>
                      <w:sz w:val="22"/>
                      <w:lang w:val="en-GB"/>
                    </w:rPr>
                    <m:t>∙</m:t>
                  </m:r>
                  <m:d>
                    <m:dPr>
                      <m:ctrlPr>
                        <w:rPr>
                          <w:rFonts w:ascii="Cambria Math" w:eastAsiaTheme="minorEastAsia" w:hAnsi="Cambria Math"/>
                          <w:i/>
                          <w:sz w:val="22"/>
                          <w:lang w:val="en-GB"/>
                        </w:rPr>
                      </m:ctrlPr>
                    </m:dPr>
                    <m:e>
                      <m:r>
                        <w:rPr>
                          <w:rFonts w:ascii="Cambria Math" w:eastAsiaTheme="minorEastAsia" w:hAnsi="Cambria Math"/>
                          <w:sz w:val="22"/>
                          <w:lang w:val="en-GB"/>
                        </w:rPr>
                        <m:t>1-</m:t>
                      </m:r>
                      <m:sSup>
                        <m:sSupPr>
                          <m:ctrlPr>
                            <w:rPr>
                              <w:rFonts w:ascii="Cambria Math" w:eastAsiaTheme="minorEastAsia" w:hAnsi="Cambria Math"/>
                              <w:i/>
                              <w:sz w:val="22"/>
                              <w:lang w:val="en-GB"/>
                            </w:rPr>
                          </m:ctrlPr>
                        </m:sSupPr>
                        <m:e>
                          <m:d>
                            <m:dPr>
                              <m:ctrlPr>
                                <w:rPr>
                                  <w:rFonts w:ascii="Cambria Math" w:eastAsiaTheme="minorEastAsia" w:hAnsi="Cambria Math"/>
                                  <w:i/>
                                  <w:sz w:val="22"/>
                                  <w:lang w:val="en-GB"/>
                                </w:rPr>
                              </m:ctrlPr>
                            </m:dPr>
                            <m:e>
                              <m:r>
                                <w:rPr>
                                  <w:rFonts w:ascii="Cambria Math" w:eastAsiaTheme="minorEastAsia" w:hAnsi="Cambria Math"/>
                                  <w:sz w:val="22"/>
                                  <w:lang w:val="en-GB"/>
                                </w:rPr>
                                <m:t>1+r</m:t>
                              </m:r>
                            </m:e>
                          </m:d>
                        </m:e>
                        <m:sup>
                          <m:r>
                            <w:rPr>
                              <w:rFonts w:ascii="Cambria Math" w:eastAsiaTheme="minorEastAsia" w:hAnsi="Cambria Math"/>
                              <w:sz w:val="22"/>
                              <w:lang w:val="en-GB"/>
                            </w:rPr>
                            <m:t>-</m:t>
                          </m:r>
                          <m:d>
                            <m:dPr>
                              <m:ctrlPr>
                                <w:rPr>
                                  <w:rFonts w:ascii="Cambria Math" w:eastAsiaTheme="minorEastAsia" w:hAnsi="Cambria Math"/>
                                  <w:i/>
                                  <w:sz w:val="22"/>
                                  <w:lang w:val="en-GB"/>
                                </w:rPr>
                              </m:ctrlPr>
                            </m:dPr>
                            <m:e>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N</m:t>
                                  </m:r>
                                </m:sub>
                              </m:sSub>
                              <m:r>
                                <w:rPr>
                                  <w:rFonts w:ascii="Cambria Math" w:eastAsiaTheme="minorEastAsia" w:hAnsi="Cambria Math"/>
                                  <w:sz w:val="22"/>
                                  <w:lang w:val="en-GB"/>
                                </w:rPr>
                                <m: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0</m:t>
                                  </m:r>
                                </m:sub>
                              </m:sSub>
                              <m:r>
                                <w:rPr>
                                  <w:rFonts w:ascii="Cambria Math" w:eastAsiaTheme="minorEastAsia" w:hAnsi="Cambria Math"/>
                                  <w:sz w:val="22"/>
                                  <w:lang w:val="en-GB"/>
                                </w:rPr>
                                <m:t>+1</m:t>
                              </m:r>
                            </m:e>
                          </m:d>
                        </m:sup>
                      </m:sSup>
                    </m:e>
                  </m:d>
                </m:num>
                <m:den>
                  <m:r>
                    <w:rPr>
                      <w:rFonts w:ascii="Cambria Math" w:eastAsiaTheme="minorEastAsia" w:hAnsi="Cambria Math"/>
                      <w:sz w:val="22"/>
                      <w:lang w:val="en-GB"/>
                    </w:rPr>
                    <m:t>r</m:t>
                  </m:r>
                </m:den>
              </m:f>
            </m:num>
            <m:den>
              <m:r>
                <w:rPr>
                  <w:rFonts w:ascii="Cambria Math" w:eastAsiaTheme="minorEastAsia" w:hAnsi="Cambria Math"/>
                  <w:sz w:val="22"/>
                  <w:lang w:val="en-GB"/>
                </w:rPr>
                <m:t>x</m:t>
              </m:r>
            </m:den>
          </m:f>
        </m:oMath>
      </m:oMathPara>
    </w:p>
    <w:p w:rsidR="008E1C35" w:rsidRPr="008E1C35" w:rsidRDefault="008E1C35" w:rsidP="008E1C35">
      <w:pPr>
        <w:spacing w:after="200" w:line="276" w:lineRule="auto"/>
        <w:rPr>
          <w:rFonts w:ascii="Verdana" w:hAnsi="Verdana"/>
          <w:sz w:val="20"/>
        </w:rPr>
      </w:pPr>
    </w:p>
    <w:p w:rsidR="0072484A" w:rsidRDefault="0072484A" w:rsidP="0072484A">
      <w:pPr>
        <w:pStyle w:val="ListParagraph"/>
        <w:numPr>
          <w:ilvl w:val="0"/>
          <w:numId w:val="23"/>
        </w:numPr>
        <w:spacing w:after="200" w:line="276" w:lineRule="auto"/>
        <w:ind w:left="426" w:hanging="426"/>
        <w:rPr>
          <w:rFonts w:ascii="Verdana" w:hAnsi="Verdana"/>
          <w:sz w:val="20"/>
        </w:rPr>
      </w:pPr>
      <w:r>
        <w:rPr>
          <w:rFonts w:ascii="Verdana" w:hAnsi="Verdana"/>
          <w:sz w:val="20"/>
        </w:rPr>
        <w:t>Miljødirektoratets Metode 3, annuitetskostnad på gjennomsnittlig årlig utslippsreduksjon (hensyntatt investeringsperiode)</w:t>
      </w:r>
    </w:p>
    <w:p w:rsidR="008E1C35" w:rsidRPr="00786522" w:rsidRDefault="004D6452" w:rsidP="008E1C35">
      <w:pPr>
        <w:spacing w:after="200" w:line="276" w:lineRule="auto"/>
        <w:rPr>
          <w:rFonts w:ascii="Verdana" w:hAnsi="Verdana"/>
          <w:sz w:val="20"/>
        </w:rPr>
      </w:pPr>
      <m:oMathPara>
        <m:oMath>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c)</m:t>
              </m:r>
            </m:sub>
          </m:sSub>
          <m:r>
            <w:rPr>
              <w:rFonts w:ascii="Cambria Math" w:eastAsiaTheme="minorEastAsia" w:hAnsi="Cambria Math"/>
              <w:sz w:val="22"/>
              <w:lang w:val="en-GB"/>
            </w:rPr>
            <m:t>=</m:t>
          </m:r>
          <m:f>
            <m:fPr>
              <m:ctrlPr>
                <w:rPr>
                  <w:rFonts w:ascii="Cambria Math" w:eastAsiaTheme="minorEastAsia" w:hAnsi="Cambria Math"/>
                  <w:i/>
                  <w:sz w:val="22"/>
                  <w:lang w:val="en-GB"/>
                </w:rPr>
              </m:ctrlPr>
            </m:fPr>
            <m:num>
              <m:d>
                <m:dPr>
                  <m:ctrlPr>
                    <w:rPr>
                      <w:rFonts w:ascii="Cambria Math" w:eastAsiaTheme="minorEastAsia" w:hAnsi="Cambria Math"/>
                      <w:i/>
                      <w:sz w:val="22"/>
                      <w:lang w:val="en-GB"/>
                    </w:rPr>
                  </m:ctrlPr>
                </m:dPr>
                <m:e>
                  <m:nary>
                    <m:naryPr>
                      <m:chr m:val="∑"/>
                      <m:limLoc m:val="undOvr"/>
                      <m:ctrlPr>
                        <w:rPr>
                          <w:rFonts w:ascii="Cambria Math" w:eastAsiaTheme="minorEastAsia" w:hAnsi="Cambria Math"/>
                          <w:i/>
                          <w:sz w:val="22"/>
                          <w:lang w:val="en-GB"/>
                        </w:rPr>
                      </m:ctrlPr>
                    </m:naryPr>
                    <m:sub>
                      <m:r>
                        <w:rPr>
                          <w:rFonts w:ascii="Cambria Math" w:eastAsiaTheme="minorEastAsia" w:hAnsi="Cambria Math"/>
                          <w:sz w:val="22"/>
                          <w:lang w:val="en-GB"/>
                        </w:rPr>
                        <m:t>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m:rPr>
                              <m:sty m:val="p"/>
                            </m:rPr>
                            <w:rPr>
                              <w:rFonts w:ascii="Cambria Math" w:eastAsiaTheme="minorEastAsia" w:hAnsi="Cambria Math"/>
                              <w:sz w:val="22"/>
                              <w:lang w:val="en-GB"/>
                            </w:rPr>
                            <m:t>0</m:t>
                          </m:r>
                        </m:sub>
                      </m:sSub>
                    </m:sub>
                    <m:sup>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m:rPr>
                              <m:sty m:val="p"/>
                            </m:rPr>
                            <w:rPr>
                              <w:rFonts w:ascii="Cambria Math" w:eastAsiaTheme="minorEastAsia" w:hAnsi="Cambria Math"/>
                              <w:sz w:val="22"/>
                              <w:lang w:val="en-GB"/>
                            </w:rPr>
                            <m:t>N</m:t>
                          </m:r>
                        </m:sub>
                      </m:sSub>
                    </m:sup>
                    <m:e>
                      <m:f>
                        <m:fPr>
                          <m:ctrlPr>
                            <w:rPr>
                              <w:rFonts w:ascii="Cambria Math" w:eastAsiaTheme="minorEastAsia" w:hAnsi="Cambria Math"/>
                              <w:i/>
                              <w:sz w:val="22"/>
                              <w:lang w:val="en-GB"/>
                            </w:rPr>
                          </m:ctrlPr>
                        </m:fPr>
                        <m:num>
                          <m:sSub>
                            <m:sSubPr>
                              <m:ctrlPr>
                                <w:rPr>
                                  <w:rFonts w:ascii="Cambria Math" w:eastAsiaTheme="minorEastAsia" w:hAnsi="Cambria Math"/>
                                  <w:sz w:val="22"/>
                                  <w:lang w:val="en-GB"/>
                                </w:rPr>
                              </m:ctrlPr>
                            </m:sSubPr>
                            <m:e>
                              <m:r>
                                <w:rPr>
                                  <w:rFonts w:ascii="Cambria Math" w:eastAsiaTheme="minorEastAsia" w:hAnsi="Cambria Math"/>
                                  <w:sz w:val="22"/>
                                  <w:lang w:val="en-GB"/>
                                </w:rPr>
                                <m:t>-i</m:t>
                              </m:r>
                            </m:e>
                            <m:sub>
                              <m:r>
                                <m:rPr>
                                  <m:sty m:val="p"/>
                                </m:rPr>
                                <w:rPr>
                                  <w:rFonts w:ascii="Cambria Math" w:eastAsiaTheme="minorEastAsia" w:hAnsi="Cambria Math"/>
                                  <w:sz w:val="22"/>
                                  <w:lang w:val="en-GB"/>
                                </w:rPr>
                                <m:t>t</m:t>
                              </m:r>
                            </m:sub>
                          </m:sSub>
                          <m:r>
                            <w:rPr>
                              <w:rFonts w:ascii="Cambria Math" w:eastAsiaTheme="minorEastAsia" w:hAnsi="Cambria Math"/>
                              <w:sz w:val="22"/>
                              <w:lang w:val="en-GB"/>
                            </w:rPr>
                            <m:t>+</m:t>
                          </m:r>
                          <m:sSub>
                            <m:sSubPr>
                              <m:ctrlPr>
                                <w:rPr>
                                  <w:rFonts w:ascii="Cambria Math" w:eastAsiaTheme="minorEastAsia" w:hAnsi="Cambria Math"/>
                                  <w:sz w:val="22"/>
                                  <w:lang w:val="en-GB"/>
                                </w:rPr>
                              </m:ctrlPr>
                            </m:sSubPr>
                            <m:e>
                              <m:r>
                                <w:rPr>
                                  <w:rFonts w:ascii="Cambria Math" w:eastAsiaTheme="minorEastAsia" w:hAnsi="Cambria Math"/>
                                  <w:sz w:val="22"/>
                                  <w:lang w:val="en-GB"/>
                                </w:rPr>
                                <m:t>d</m:t>
                              </m:r>
                            </m:e>
                            <m:sub>
                              <m:r>
                                <m:rPr>
                                  <m:sty m:val="p"/>
                                </m:rPr>
                                <w:rPr>
                                  <w:rFonts w:ascii="Cambria Math" w:eastAsiaTheme="minorEastAsia" w:hAnsi="Cambria Math"/>
                                  <w:sz w:val="22"/>
                                  <w:lang w:val="en-GB"/>
                                </w:rPr>
                                <m:t>t</m:t>
                              </m:r>
                            </m:sub>
                          </m:sSub>
                          <m:r>
                            <w:rPr>
                              <w:rFonts w:ascii="Cambria Math" w:eastAsiaTheme="minorEastAsia" w:hAnsi="Cambria Math"/>
                              <w:sz w:val="22"/>
                              <w:lang w:val="en-GB"/>
                            </w:rPr>
                            <m:t>-</m:t>
                          </m:r>
                          <m:sSub>
                            <m:sSubPr>
                              <m:ctrlPr>
                                <w:rPr>
                                  <w:rFonts w:ascii="Cambria Math" w:eastAsiaTheme="minorEastAsia" w:hAnsi="Cambria Math"/>
                                  <w:sz w:val="22"/>
                                  <w:lang w:val="en-GB"/>
                                </w:rPr>
                              </m:ctrlPr>
                            </m:sSubPr>
                            <m:e>
                              <m:r>
                                <w:rPr>
                                  <w:rFonts w:ascii="Cambria Math" w:eastAsiaTheme="minorEastAsia" w:hAnsi="Cambria Math"/>
                                  <w:sz w:val="22"/>
                                  <w:lang w:val="en-GB"/>
                                </w:rPr>
                                <m:t>c</m:t>
                              </m:r>
                            </m:e>
                            <m:sub>
                              <m:r>
                                <m:rPr>
                                  <m:sty m:val="p"/>
                                </m:rPr>
                                <w:rPr>
                                  <w:rFonts w:ascii="Cambria Math" w:eastAsiaTheme="minorEastAsia" w:hAnsi="Cambria Math"/>
                                  <w:sz w:val="22"/>
                                  <w:lang w:val="en-GB"/>
                                </w:rPr>
                                <m:t>t</m:t>
                              </m:r>
                            </m:sub>
                          </m:sSub>
                        </m:num>
                        <m:den>
                          <m:sSup>
                            <m:sSupPr>
                              <m:ctrlPr>
                                <w:rPr>
                                  <w:rFonts w:ascii="Cambria Math" w:eastAsiaTheme="minorEastAsia" w:hAnsi="Cambria Math"/>
                                  <w:i/>
                                  <w:sz w:val="22"/>
                                  <w:lang w:val="en-GB"/>
                                </w:rPr>
                              </m:ctrlPr>
                            </m:sSupPr>
                            <m:e>
                              <m:d>
                                <m:dPr>
                                  <m:ctrlPr>
                                    <w:rPr>
                                      <w:rFonts w:ascii="Cambria Math" w:eastAsiaTheme="minorEastAsia" w:hAnsi="Cambria Math"/>
                                      <w:i/>
                                      <w:sz w:val="22"/>
                                      <w:lang w:val="en-GB"/>
                                    </w:rPr>
                                  </m:ctrlPr>
                                </m:dPr>
                                <m:e>
                                  <m:r>
                                    <w:rPr>
                                      <w:rFonts w:ascii="Cambria Math" w:eastAsiaTheme="minorEastAsia" w:hAnsi="Cambria Math"/>
                                      <w:sz w:val="22"/>
                                      <w:lang w:val="en-GB"/>
                                    </w:rPr>
                                    <m:t>1+r</m:t>
                                  </m:r>
                                </m:e>
                              </m:d>
                            </m:e>
                            <m:sup>
                              <m:d>
                                <m:dPr>
                                  <m:ctrlPr>
                                    <w:rPr>
                                      <w:rFonts w:ascii="Cambria Math" w:eastAsiaTheme="minorEastAsia" w:hAnsi="Cambria Math"/>
                                      <w:i/>
                                      <w:sz w:val="22"/>
                                      <w:lang w:val="en-GB"/>
                                    </w:rPr>
                                  </m:ctrlPr>
                                </m:dPr>
                                <m:e>
                                  <m:r>
                                    <w:rPr>
                                      <w:rFonts w:ascii="Cambria Math" w:eastAsiaTheme="minorEastAsia" w:hAnsi="Cambria Math"/>
                                      <w:sz w:val="22"/>
                                      <w:lang w:val="en-GB"/>
                                    </w:rPr>
                                    <m:t>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m:rPr>
                                          <m:sty m:val="p"/>
                                        </m:rPr>
                                        <w:rPr>
                                          <w:rFonts w:ascii="Cambria Math" w:eastAsiaTheme="minorEastAsia" w:hAnsi="Cambria Math"/>
                                          <w:sz w:val="22"/>
                                          <w:lang w:val="en-GB"/>
                                        </w:rPr>
                                        <m:t>0</m:t>
                                      </m:r>
                                    </m:sub>
                                  </m:sSub>
                                </m:e>
                              </m:d>
                            </m:sup>
                          </m:sSup>
                        </m:den>
                      </m:f>
                    </m:e>
                  </m:nary>
                </m:e>
              </m:d>
              <m:r>
                <w:rPr>
                  <w:rFonts w:ascii="Cambria Math" w:eastAsiaTheme="minorEastAsia" w:hAnsi="Cambria Math"/>
                  <w:sz w:val="22"/>
                  <w:lang w:val="en-GB"/>
                </w:rPr>
                <m:t>∙</m:t>
              </m:r>
              <m:f>
                <m:fPr>
                  <m:ctrlPr>
                    <w:rPr>
                      <w:rFonts w:ascii="Cambria Math" w:eastAsiaTheme="minorEastAsia" w:hAnsi="Cambria Math"/>
                      <w:i/>
                      <w:sz w:val="22"/>
                      <w:lang w:val="en-GB"/>
                    </w:rPr>
                  </m:ctrlPr>
                </m:fPr>
                <m:num>
                  <m:d>
                    <m:dPr>
                      <m:ctrlPr>
                        <w:rPr>
                          <w:rFonts w:ascii="Cambria Math" w:eastAsiaTheme="minorEastAsia" w:hAnsi="Cambria Math"/>
                          <w:i/>
                          <w:sz w:val="22"/>
                          <w:lang w:val="en-GB"/>
                        </w:rPr>
                      </m:ctrlPr>
                    </m:dPr>
                    <m:e>
                      <m:r>
                        <w:rPr>
                          <w:rFonts w:ascii="Cambria Math" w:eastAsiaTheme="minorEastAsia" w:hAnsi="Cambria Math"/>
                          <w:sz w:val="22"/>
                          <w:lang w:val="en-GB"/>
                        </w:rPr>
                        <m:t>1+r</m:t>
                      </m:r>
                    </m:e>
                  </m:d>
                  <m:r>
                    <w:rPr>
                      <w:rFonts w:ascii="Cambria Math" w:eastAsiaTheme="minorEastAsia" w:hAnsi="Cambria Math"/>
                      <w:sz w:val="22"/>
                      <w:lang w:val="en-GB"/>
                    </w:rPr>
                    <m:t>∙</m:t>
                  </m:r>
                  <m:d>
                    <m:dPr>
                      <m:ctrlPr>
                        <w:rPr>
                          <w:rFonts w:ascii="Cambria Math" w:eastAsiaTheme="minorEastAsia" w:hAnsi="Cambria Math"/>
                          <w:i/>
                          <w:sz w:val="22"/>
                          <w:lang w:val="en-GB"/>
                        </w:rPr>
                      </m:ctrlPr>
                    </m:dPr>
                    <m:e>
                      <m:r>
                        <w:rPr>
                          <w:rFonts w:ascii="Cambria Math" w:eastAsiaTheme="minorEastAsia" w:hAnsi="Cambria Math"/>
                          <w:sz w:val="22"/>
                          <w:lang w:val="en-GB"/>
                        </w:rPr>
                        <m:t>1-</m:t>
                      </m:r>
                      <m:sSup>
                        <m:sSupPr>
                          <m:ctrlPr>
                            <w:rPr>
                              <w:rFonts w:ascii="Cambria Math" w:eastAsiaTheme="minorEastAsia" w:hAnsi="Cambria Math"/>
                              <w:i/>
                              <w:sz w:val="22"/>
                              <w:lang w:val="en-GB"/>
                            </w:rPr>
                          </m:ctrlPr>
                        </m:sSupPr>
                        <m:e>
                          <m:d>
                            <m:dPr>
                              <m:ctrlPr>
                                <w:rPr>
                                  <w:rFonts w:ascii="Cambria Math" w:eastAsiaTheme="minorEastAsia" w:hAnsi="Cambria Math"/>
                                  <w:i/>
                                  <w:sz w:val="22"/>
                                  <w:lang w:val="en-GB"/>
                                </w:rPr>
                              </m:ctrlPr>
                            </m:dPr>
                            <m:e>
                              <m:r>
                                <w:rPr>
                                  <w:rFonts w:ascii="Cambria Math" w:eastAsiaTheme="minorEastAsia" w:hAnsi="Cambria Math"/>
                                  <w:sz w:val="22"/>
                                  <w:lang w:val="en-GB"/>
                                </w:rPr>
                                <m:t>1+r</m:t>
                              </m:r>
                            </m:e>
                          </m:d>
                        </m:e>
                        <m:sup>
                          <m:r>
                            <w:rPr>
                              <w:rFonts w:ascii="Cambria Math" w:eastAsiaTheme="minorEastAsia" w:hAnsi="Cambria Math"/>
                              <w:sz w:val="22"/>
                              <w:lang w:val="en-GB"/>
                            </w:rPr>
                            <m:t>-</m:t>
                          </m:r>
                          <m:d>
                            <m:dPr>
                              <m:ctrlPr>
                                <w:rPr>
                                  <w:rFonts w:ascii="Cambria Math" w:eastAsiaTheme="minorEastAsia" w:hAnsi="Cambria Math"/>
                                  <w:i/>
                                  <w:sz w:val="22"/>
                                  <w:lang w:val="en-GB"/>
                                </w:rPr>
                              </m:ctrlPr>
                            </m:dPr>
                            <m:e>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N</m:t>
                                  </m:r>
                                </m:sub>
                              </m:sSub>
                              <m:r>
                                <w:rPr>
                                  <w:rFonts w:ascii="Cambria Math" w:eastAsiaTheme="minorEastAsia" w:hAnsi="Cambria Math"/>
                                  <w:sz w:val="22"/>
                                  <w:lang w:val="en-GB"/>
                                </w:rPr>
                                <m: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0</m:t>
                                  </m:r>
                                </m:sub>
                              </m:sSub>
                              <m:r>
                                <w:rPr>
                                  <w:rFonts w:ascii="Cambria Math" w:eastAsiaTheme="minorEastAsia" w:hAnsi="Cambria Math"/>
                                  <w:sz w:val="22"/>
                                  <w:lang w:val="en-GB"/>
                                </w:rPr>
                                <m:t>+1</m:t>
                              </m:r>
                            </m:e>
                          </m:d>
                        </m:sup>
                      </m:sSup>
                    </m:e>
                  </m:d>
                </m:num>
                <m:den>
                  <m:r>
                    <w:rPr>
                      <w:rFonts w:ascii="Cambria Math" w:eastAsiaTheme="minorEastAsia" w:hAnsi="Cambria Math"/>
                      <w:sz w:val="22"/>
                      <w:lang w:val="en-GB"/>
                    </w:rPr>
                    <m:t>r</m:t>
                  </m:r>
                </m:den>
              </m:f>
            </m:num>
            <m:den>
              <m:r>
                <w:rPr>
                  <w:rFonts w:ascii="Cambria Math" w:eastAsiaTheme="minorEastAsia" w:hAnsi="Cambria Math"/>
                  <w:sz w:val="22"/>
                  <w:lang w:val="en-GB"/>
                </w:rPr>
                <m:t>x∙</m:t>
              </m:r>
              <m:f>
                <m:fPr>
                  <m:ctrlPr>
                    <w:rPr>
                      <w:rFonts w:ascii="Cambria Math" w:eastAsiaTheme="minorEastAsia" w:hAnsi="Cambria Math"/>
                      <w:i/>
                      <w:sz w:val="22"/>
                      <w:lang w:val="en-GB"/>
                    </w:rPr>
                  </m:ctrlPr>
                </m:fPr>
                <m:num>
                  <m:d>
                    <m:dPr>
                      <m:ctrlPr>
                        <w:rPr>
                          <w:rFonts w:ascii="Cambria Math" w:eastAsiaTheme="minorEastAsia" w:hAnsi="Cambria Math"/>
                          <w:sz w:val="22"/>
                          <w:lang w:val="en-GB"/>
                        </w:rPr>
                      </m:ctrlPr>
                    </m:dPr>
                    <m:e>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N</m:t>
                          </m:r>
                        </m:sub>
                      </m:sSub>
                      <m:r>
                        <w:rPr>
                          <w:rFonts w:ascii="Cambria Math" w:eastAsiaTheme="minorEastAsia" w:hAnsi="Cambria Math"/>
                          <w:sz w:val="22"/>
                          <w:lang w:val="en-GB"/>
                        </w:rPr>
                        <m: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0</m:t>
                          </m:r>
                        </m:sub>
                      </m:sSub>
                      <m:r>
                        <w:rPr>
                          <w:rFonts w:ascii="Cambria Math" w:eastAsiaTheme="minorEastAsia" w:hAnsi="Cambria Math"/>
                          <w:sz w:val="22"/>
                          <w:lang w:val="en-GB"/>
                        </w:rPr>
                        <m:t>+1</m:t>
                      </m:r>
                    </m:e>
                  </m:d>
                  <m:r>
                    <w:rPr>
                      <w:rFonts w:ascii="Cambria Math" w:eastAsiaTheme="minorEastAsia" w:hAnsi="Cambria Math"/>
                      <w:sz w:val="22"/>
                      <w:lang w:val="en-GB"/>
                    </w:rPr>
                    <m: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i</m:t>
                      </m:r>
                    </m:sub>
                  </m:sSub>
                </m:num>
                <m:den>
                  <m:d>
                    <m:dPr>
                      <m:ctrlPr>
                        <w:rPr>
                          <w:rFonts w:ascii="Cambria Math" w:eastAsiaTheme="minorEastAsia" w:hAnsi="Cambria Math"/>
                          <w:sz w:val="22"/>
                          <w:lang w:val="en-GB"/>
                        </w:rPr>
                      </m:ctrlPr>
                    </m:dPr>
                    <m:e>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N</m:t>
                          </m:r>
                        </m:sub>
                      </m:sSub>
                      <m:r>
                        <w:rPr>
                          <w:rFonts w:ascii="Cambria Math" w:eastAsiaTheme="minorEastAsia" w:hAnsi="Cambria Math"/>
                          <w:sz w:val="22"/>
                          <w:lang w:val="en-GB"/>
                        </w:rPr>
                        <m: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0</m:t>
                          </m:r>
                        </m:sub>
                      </m:sSub>
                      <m:r>
                        <w:rPr>
                          <w:rFonts w:ascii="Cambria Math" w:eastAsiaTheme="minorEastAsia" w:hAnsi="Cambria Math"/>
                          <w:sz w:val="22"/>
                          <w:lang w:val="en-GB"/>
                        </w:rPr>
                        <m:t>+1</m:t>
                      </m:r>
                    </m:e>
                  </m:d>
                </m:den>
              </m:f>
            </m:den>
          </m:f>
        </m:oMath>
      </m:oMathPara>
    </w:p>
    <w:p w:rsidR="008E1C35" w:rsidRPr="008E1C35" w:rsidRDefault="008E1C35" w:rsidP="008E1C35">
      <w:pPr>
        <w:spacing w:after="200" w:line="276" w:lineRule="auto"/>
        <w:rPr>
          <w:rFonts w:ascii="Verdana" w:hAnsi="Verdana"/>
          <w:sz w:val="20"/>
        </w:rPr>
      </w:pPr>
    </w:p>
    <w:p w:rsidR="007F7258" w:rsidRPr="00FD2EA2" w:rsidRDefault="0072484A" w:rsidP="0072484A">
      <w:pPr>
        <w:pStyle w:val="ListParagraph"/>
        <w:numPr>
          <w:ilvl w:val="0"/>
          <w:numId w:val="23"/>
        </w:numPr>
        <w:spacing w:after="200" w:line="276" w:lineRule="auto"/>
        <w:ind w:left="426" w:hanging="426"/>
        <w:rPr>
          <w:rFonts w:ascii="Verdana" w:hAnsi="Verdana"/>
          <w:sz w:val="20"/>
        </w:rPr>
      </w:pPr>
      <w:r w:rsidRPr="0072484A">
        <w:rPr>
          <w:rFonts w:ascii="Verdana" w:hAnsi="Verdana"/>
          <w:sz w:val="20"/>
        </w:rPr>
        <w:lastRenderedPageBreak/>
        <w:t>Miljødirektoratets Metode 5, nåverdi på nåverdi</w:t>
      </w:r>
    </w:p>
    <w:p w:rsidR="00FD2EA2" w:rsidRPr="00786522" w:rsidRDefault="004D6452" w:rsidP="00FD2EA2">
      <w:pPr>
        <w:spacing w:after="200" w:line="276" w:lineRule="auto"/>
        <w:rPr>
          <w:rFonts w:ascii="Verdana" w:hAnsi="Verdana"/>
          <w:sz w:val="20"/>
        </w:rPr>
      </w:pPr>
      <m:oMathPara>
        <m:oMath>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d)</m:t>
              </m:r>
            </m:sub>
          </m:sSub>
          <m:r>
            <w:rPr>
              <w:rFonts w:ascii="Cambria Math" w:eastAsiaTheme="minorEastAsia" w:hAnsi="Cambria Math"/>
              <w:sz w:val="22"/>
              <w:lang w:val="en-GB"/>
            </w:rPr>
            <m:t>=</m:t>
          </m:r>
          <m:f>
            <m:fPr>
              <m:ctrlPr>
                <w:rPr>
                  <w:rFonts w:ascii="Cambria Math" w:eastAsiaTheme="minorEastAsia" w:hAnsi="Cambria Math"/>
                  <w:i/>
                  <w:sz w:val="22"/>
                  <w:lang w:val="en-GB"/>
                </w:rPr>
              </m:ctrlPr>
            </m:fPr>
            <m:num>
              <m:nary>
                <m:naryPr>
                  <m:chr m:val="∑"/>
                  <m:limLoc m:val="undOvr"/>
                  <m:ctrlPr>
                    <w:rPr>
                      <w:rFonts w:ascii="Cambria Math" w:eastAsiaTheme="minorEastAsia" w:hAnsi="Cambria Math"/>
                      <w:i/>
                      <w:sz w:val="22"/>
                      <w:lang w:val="en-GB"/>
                    </w:rPr>
                  </m:ctrlPr>
                </m:naryPr>
                <m:sub>
                  <m:r>
                    <w:rPr>
                      <w:rFonts w:ascii="Cambria Math" w:eastAsiaTheme="minorEastAsia" w:hAnsi="Cambria Math"/>
                      <w:sz w:val="22"/>
                      <w:lang w:val="en-GB"/>
                    </w:rPr>
                    <m:t>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m:rPr>
                          <m:sty m:val="p"/>
                        </m:rPr>
                        <w:rPr>
                          <w:rFonts w:ascii="Cambria Math" w:eastAsiaTheme="minorEastAsia" w:hAnsi="Cambria Math"/>
                          <w:sz w:val="22"/>
                          <w:lang w:val="en-GB"/>
                        </w:rPr>
                        <m:t>0</m:t>
                      </m:r>
                    </m:sub>
                  </m:sSub>
                </m:sub>
                <m:sup>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m:rPr>
                          <m:sty m:val="p"/>
                        </m:rPr>
                        <w:rPr>
                          <w:rFonts w:ascii="Cambria Math" w:eastAsiaTheme="minorEastAsia" w:hAnsi="Cambria Math"/>
                          <w:sz w:val="22"/>
                          <w:lang w:val="en-GB"/>
                        </w:rPr>
                        <m:t>N</m:t>
                      </m:r>
                    </m:sub>
                  </m:sSub>
                </m:sup>
                <m:e>
                  <m:f>
                    <m:fPr>
                      <m:ctrlPr>
                        <w:rPr>
                          <w:rFonts w:ascii="Cambria Math" w:eastAsiaTheme="minorEastAsia" w:hAnsi="Cambria Math"/>
                          <w:i/>
                          <w:sz w:val="22"/>
                          <w:lang w:val="en-GB"/>
                        </w:rPr>
                      </m:ctrlPr>
                    </m:fPr>
                    <m:num>
                      <m:sSub>
                        <m:sSubPr>
                          <m:ctrlPr>
                            <w:rPr>
                              <w:rFonts w:ascii="Cambria Math" w:eastAsiaTheme="minorEastAsia" w:hAnsi="Cambria Math"/>
                              <w:sz w:val="22"/>
                              <w:lang w:val="en-GB"/>
                            </w:rPr>
                          </m:ctrlPr>
                        </m:sSubPr>
                        <m:e>
                          <m:r>
                            <w:rPr>
                              <w:rFonts w:ascii="Cambria Math" w:eastAsiaTheme="minorEastAsia" w:hAnsi="Cambria Math"/>
                              <w:sz w:val="22"/>
                              <w:lang w:val="en-GB"/>
                            </w:rPr>
                            <m:t>-i</m:t>
                          </m:r>
                        </m:e>
                        <m:sub>
                          <m:r>
                            <m:rPr>
                              <m:sty m:val="p"/>
                            </m:rPr>
                            <w:rPr>
                              <w:rFonts w:ascii="Cambria Math" w:eastAsiaTheme="minorEastAsia" w:hAnsi="Cambria Math"/>
                              <w:sz w:val="22"/>
                              <w:lang w:val="en-GB"/>
                            </w:rPr>
                            <m:t>t</m:t>
                          </m:r>
                        </m:sub>
                      </m:sSub>
                      <m:r>
                        <w:rPr>
                          <w:rFonts w:ascii="Cambria Math" w:eastAsiaTheme="minorEastAsia" w:hAnsi="Cambria Math"/>
                          <w:sz w:val="22"/>
                          <w:lang w:val="en-GB"/>
                        </w:rPr>
                        <m:t>+</m:t>
                      </m:r>
                      <m:sSub>
                        <m:sSubPr>
                          <m:ctrlPr>
                            <w:rPr>
                              <w:rFonts w:ascii="Cambria Math" w:eastAsiaTheme="minorEastAsia" w:hAnsi="Cambria Math"/>
                              <w:sz w:val="22"/>
                              <w:lang w:val="en-GB"/>
                            </w:rPr>
                          </m:ctrlPr>
                        </m:sSubPr>
                        <m:e>
                          <m:r>
                            <w:rPr>
                              <w:rFonts w:ascii="Cambria Math" w:eastAsiaTheme="minorEastAsia" w:hAnsi="Cambria Math"/>
                              <w:sz w:val="22"/>
                              <w:lang w:val="en-GB"/>
                            </w:rPr>
                            <m:t>d</m:t>
                          </m:r>
                        </m:e>
                        <m:sub>
                          <m:r>
                            <m:rPr>
                              <m:sty m:val="p"/>
                            </m:rPr>
                            <w:rPr>
                              <w:rFonts w:ascii="Cambria Math" w:eastAsiaTheme="minorEastAsia" w:hAnsi="Cambria Math"/>
                              <w:sz w:val="22"/>
                              <w:lang w:val="en-GB"/>
                            </w:rPr>
                            <m:t>t</m:t>
                          </m:r>
                        </m:sub>
                      </m:sSub>
                      <m:r>
                        <w:rPr>
                          <w:rFonts w:ascii="Cambria Math" w:eastAsiaTheme="minorEastAsia" w:hAnsi="Cambria Math"/>
                          <w:sz w:val="22"/>
                          <w:lang w:val="en-GB"/>
                        </w:rPr>
                        <m:t>-</m:t>
                      </m:r>
                      <m:sSub>
                        <m:sSubPr>
                          <m:ctrlPr>
                            <w:rPr>
                              <w:rFonts w:ascii="Cambria Math" w:eastAsiaTheme="minorEastAsia" w:hAnsi="Cambria Math"/>
                              <w:sz w:val="22"/>
                              <w:lang w:val="en-GB"/>
                            </w:rPr>
                          </m:ctrlPr>
                        </m:sSubPr>
                        <m:e>
                          <m:r>
                            <w:rPr>
                              <w:rFonts w:ascii="Cambria Math" w:eastAsiaTheme="minorEastAsia" w:hAnsi="Cambria Math"/>
                              <w:sz w:val="22"/>
                              <w:lang w:val="en-GB"/>
                            </w:rPr>
                            <m:t>c</m:t>
                          </m:r>
                        </m:e>
                        <m:sub>
                          <m:r>
                            <m:rPr>
                              <m:sty m:val="p"/>
                            </m:rPr>
                            <w:rPr>
                              <w:rFonts w:ascii="Cambria Math" w:eastAsiaTheme="minorEastAsia" w:hAnsi="Cambria Math"/>
                              <w:sz w:val="22"/>
                              <w:lang w:val="en-GB"/>
                            </w:rPr>
                            <m:t>t</m:t>
                          </m:r>
                        </m:sub>
                      </m:sSub>
                    </m:num>
                    <m:den>
                      <m:sSup>
                        <m:sSupPr>
                          <m:ctrlPr>
                            <w:rPr>
                              <w:rFonts w:ascii="Cambria Math" w:eastAsiaTheme="minorEastAsia" w:hAnsi="Cambria Math"/>
                              <w:i/>
                              <w:sz w:val="22"/>
                              <w:lang w:val="en-GB"/>
                            </w:rPr>
                          </m:ctrlPr>
                        </m:sSupPr>
                        <m:e>
                          <m:d>
                            <m:dPr>
                              <m:ctrlPr>
                                <w:rPr>
                                  <w:rFonts w:ascii="Cambria Math" w:eastAsiaTheme="minorEastAsia" w:hAnsi="Cambria Math"/>
                                  <w:i/>
                                  <w:sz w:val="22"/>
                                  <w:lang w:val="en-GB"/>
                                </w:rPr>
                              </m:ctrlPr>
                            </m:dPr>
                            <m:e>
                              <m:r>
                                <w:rPr>
                                  <w:rFonts w:ascii="Cambria Math" w:eastAsiaTheme="minorEastAsia" w:hAnsi="Cambria Math"/>
                                  <w:sz w:val="22"/>
                                  <w:lang w:val="en-GB"/>
                                </w:rPr>
                                <m:t>1+r</m:t>
                              </m:r>
                            </m:e>
                          </m:d>
                        </m:e>
                        <m:sup>
                          <m:d>
                            <m:dPr>
                              <m:ctrlPr>
                                <w:rPr>
                                  <w:rFonts w:ascii="Cambria Math" w:eastAsiaTheme="minorEastAsia" w:hAnsi="Cambria Math"/>
                                  <w:i/>
                                  <w:sz w:val="22"/>
                                  <w:lang w:val="en-GB"/>
                                </w:rPr>
                              </m:ctrlPr>
                            </m:dPr>
                            <m:e>
                              <m:r>
                                <w:rPr>
                                  <w:rFonts w:ascii="Cambria Math" w:eastAsiaTheme="minorEastAsia" w:hAnsi="Cambria Math"/>
                                  <w:sz w:val="22"/>
                                  <w:lang w:val="en-GB"/>
                                </w:rPr>
                                <m:t>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m:rPr>
                                      <m:sty m:val="p"/>
                                    </m:rPr>
                                    <w:rPr>
                                      <w:rFonts w:ascii="Cambria Math" w:eastAsiaTheme="minorEastAsia" w:hAnsi="Cambria Math"/>
                                      <w:sz w:val="22"/>
                                      <w:lang w:val="en-GB"/>
                                    </w:rPr>
                                    <m:t>0</m:t>
                                  </m:r>
                                </m:sub>
                              </m:sSub>
                            </m:e>
                          </m:d>
                        </m:sup>
                      </m:sSup>
                    </m:den>
                  </m:f>
                </m:e>
              </m:nary>
            </m:num>
            <m:den>
              <m:r>
                <w:rPr>
                  <w:rFonts w:ascii="Cambria Math" w:eastAsiaTheme="minorEastAsia" w:hAnsi="Cambria Math"/>
                  <w:sz w:val="22"/>
                  <w:lang w:val="en-GB"/>
                </w:rPr>
                <m:t>x∙</m:t>
              </m:r>
              <m:d>
                <m:dPr>
                  <m:ctrlPr>
                    <w:rPr>
                      <w:rFonts w:ascii="Cambria Math" w:eastAsiaTheme="minorEastAsia" w:hAnsi="Cambria Math"/>
                      <w:sz w:val="22"/>
                      <w:lang w:val="en-GB"/>
                    </w:rPr>
                  </m:ctrlPr>
                </m:dPr>
                <m:e>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N</m:t>
                      </m:r>
                    </m:sub>
                  </m:sSub>
                  <m:r>
                    <w:rPr>
                      <w:rFonts w:ascii="Cambria Math" w:eastAsiaTheme="minorEastAsia" w:hAnsi="Cambria Math"/>
                      <w:sz w:val="22"/>
                      <w:lang w:val="en-GB"/>
                    </w:rPr>
                    <m:t>-</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0</m:t>
                      </m:r>
                    </m:sub>
                  </m:sSub>
                  <m:r>
                    <w:rPr>
                      <w:rFonts w:ascii="Cambria Math" w:eastAsiaTheme="minorEastAsia" w:hAnsi="Cambria Math"/>
                      <w:sz w:val="22"/>
                      <w:lang w:val="en-GB"/>
                    </w:rPr>
                    <m:t>+1-</m:t>
                  </m:r>
                  <m:sSub>
                    <m:sSubPr>
                      <m:ctrlPr>
                        <w:rPr>
                          <w:rFonts w:ascii="Cambria Math" w:eastAsiaTheme="minorEastAsia" w:hAnsi="Cambria Math"/>
                          <w:sz w:val="22"/>
                          <w:lang w:val="en-GB"/>
                        </w:rPr>
                      </m:ctrlPr>
                    </m:sSubPr>
                    <m:e>
                      <m:r>
                        <w:rPr>
                          <w:rFonts w:ascii="Cambria Math" w:eastAsiaTheme="minorEastAsia" w:hAnsi="Cambria Math"/>
                          <w:sz w:val="22"/>
                          <w:lang w:val="en-GB"/>
                        </w:rPr>
                        <m:t>T</m:t>
                      </m:r>
                    </m:e>
                    <m:sub>
                      <m:r>
                        <w:rPr>
                          <w:rFonts w:ascii="Cambria Math" w:eastAsiaTheme="minorEastAsia" w:hAnsi="Cambria Math"/>
                          <w:sz w:val="22"/>
                          <w:lang w:val="en-GB"/>
                        </w:rPr>
                        <m:t>i</m:t>
                      </m:r>
                    </m:sub>
                  </m:sSub>
                </m:e>
              </m:d>
            </m:den>
          </m:f>
        </m:oMath>
      </m:oMathPara>
    </w:p>
    <w:p w:rsidR="00FD2EA2" w:rsidRDefault="00FD2EA2" w:rsidP="0072484A">
      <w:pPr>
        <w:spacing w:line="276" w:lineRule="auto"/>
        <w:rPr>
          <w:rFonts w:ascii="Verdana" w:hAnsi="Verdana"/>
          <w:sz w:val="20"/>
        </w:rPr>
      </w:pPr>
    </w:p>
    <w:p w:rsidR="00A66BD6" w:rsidRPr="007F7258" w:rsidRDefault="00A66BD6" w:rsidP="00A66BD6">
      <w:pPr>
        <w:pStyle w:val="Heading1"/>
      </w:pPr>
      <w:bookmarkStart w:id="3" w:name="_Ref487113719"/>
      <w:r w:rsidRPr="007F7258">
        <w:t>Vedlegg</w:t>
      </w:r>
      <w:r>
        <w:t xml:space="preserve"> – regneeksempler som viser forskjeller mellom de ulike metodene</w:t>
      </w:r>
      <w:bookmarkEnd w:id="3"/>
    </w:p>
    <w:p w:rsidR="00C0304C" w:rsidRDefault="00C0304C" w:rsidP="00A66BD6">
      <w:pPr>
        <w:spacing w:line="276" w:lineRule="auto"/>
        <w:rPr>
          <w:rFonts w:ascii="Verdana" w:hAnsi="Verdana"/>
          <w:sz w:val="20"/>
        </w:rPr>
      </w:pPr>
    </w:p>
    <w:p w:rsidR="00A66BD6" w:rsidRDefault="00A66BD6" w:rsidP="00A66BD6">
      <w:pPr>
        <w:spacing w:line="276" w:lineRule="auto"/>
        <w:rPr>
          <w:rFonts w:ascii="Verdana" w:hAnsi="Verdana"/>
          <w:sz w:val="20"/>
        </w:rPr>
      </w:pPr>
      <w:r>
        <w:rPr>
          <w:rFonts w:ascii="Verdana" w:hAnsi="Verdana"/>
          <w:sz w:val="20"/>
        </w:rPr>
        <w:t xml:space="preserve">Vi </w:t>
      </w:r>
      <w:r w:rsidR="00C0304C">
        <w:rPr>
          <w:rFonts w:ascii="Verdana" w:hAnsi="Verdana"/>
          <w:sz w:val="20"/>
        </w:rPr>
        <w:t>sammenligner tre ulike prosjekter. Alle prosjektene har samme annuitet</w:t>
      </w:r>
      <w:r w:rsidR="000233C9">
        <w:rPr>
          <w:rFonts w:ascii="Verdana" w:hAnsi="Verdana"/>
          <w:sz w:val="20"/>
        </w:rPr>
        <w:t>, men oppnår svært ulike utslippsreduksjoner</w:t>
      </w:r>
      <w:r w:rsidR="00C0304C">
        <w:rPr>
          <w:rFonts w:ascii="Verdana" w:hAnsi="Verdana"/>
          <w:sz w:val="20"/>
        </w:rPr>
        <w:t>. Metode 1 gir samme tiltakskostnad på alle tre prosjektene.</w:t>
      </w:r>
      <w:r w:rsidR="000233C9">
        <w:rPr>
          <w:rFonts w:ascii="Verdana" w:hAnsi="Verdana"/>
          <w:sz w:val="20"/>
        </w:rPr>
        <w:t xml:space="preserve"> Metode 3 gir samme tiltakskostnad på de to mest gunstige prosjektene. Metode 5 gir unik tiltakskostnad på hvert av prosjektene.</w:t>
      </w:r>
    </w:p>
    <w:p w:rsidR="002651D2" w:rsidRDefault="002651D2" w:rsidP="00A66BD6">
      <w:pPr>
        <w:spacing w:line="276" w:lineRule="auto"/>
        <w:rPr>
          <w:rFonts w:ascii="Verdana" w:hAnsi="Verdana"/>
          <w:sz w:val="20"/>
        </w:rPr>
      </w:pPr>
    </w:p>
    <w:tbl>
      <w:tblPr>
        <w:tblStyle w:val="TableGrid"/>
        <w:tblW w:w="5171" w:type="pct"/>
        <w:tblLook w:val="04A0" w:firstRow="1" w:lastRow="0" w:firstColumn="1" w:lastColumn="0" w:noHBand="0" w:noVBand="1"/>
      </w:tblPr>
      <w:tblGrid>
        <w:gridCol w:w="6337"/>
        <w:gridCol w:w="1453"/>
        <w:gridCol w:w="1135"/>
      </w:tblGrid>
      <w:tr w:rsidR="00FC02B3" w:rsidTr="001B3926">
        <w:tc>
          <w:tcPr>
            <w:tcW w:w="3550" w:type="pct"/>
          </w:tcPr>
          <w:p w:rsidR="002651D2" w:rsidRDefault="00AF0FFC" w:rsidP="00A66BD6">
            <w:pPr>
              <w:spacing w:line="276" w:lineRule="auto"/>
              <w:rPr>
                <w:rFonts w:ascii="Verdana" w:hAnsi="Verdana"/>
                <w:sz w:val="20"/>
              </w:rPr>
            </w:pPr>
            <w:r>
              <w:rPr>
                <w:rFonts w:ascii="Verdana" w:hAnsi="Verdana"/>
                <w:noProof/>
                <w:sz w:val="20"/>
              </w:rPr>
              <w:drawing>
                <wp:inline distT="0" distB="0" distL="0" distR="0" wp14:anchorId="20C526E7">
                  <wp:extent cx="3871595" cy="20847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1595" cy="2084705"/>
                          </a:xfrm>
                          <a:prstGeom prst="rect">
                            <a:avLst/>
                          </a:prstGeom>
                          <a:noFill/>
                        </pic:spPr>
                      </pic:pic>
                    </a:graphicData>
                  </a:graphic>
                </wp:inline>
              </w:drawing>
            </w:r>
          </w:p>
          <w:p w:rsidR="00373DA6" w:rsidRDefault="00373DA6" w:rsidP="00373DA6">
            <w:pPr>
              <w:keepNext/>
              <w:spacing w:line="276" w:lineRule="auto"/>
            </w:pPr>
          </w:p>
          <w:p w:rsidR="00373DA6" w:rsidRDefault="00373DA6" w:rsidP="00373DA6">
            <w:pPr>
              <w:pStyle w:val="Caption"/>
              <w:rPr>
                <w:rFonts w:ascii="Verdana" w:hAnsi="Verdana"/>
                <w:sz w:val="20"/>
              </w:rPr>
            </w:pPr>
            <w:r>
              <w:t xml:space="preserve">Figur </w:t>
            </w:r>
            <w:fldSimple w:instr=" SEQ Figur \* ARABIC ">
              <w:r w:rsidR="002B6CE3">
                <w:rPr>
                  <w:noProof/>
                </w:rPr>
                <w:t>3</w:t>
              </w:r>
            </w:fldSimple>
            <w:r>
              <w:rPr>
                <w:noProof/>
              </w:rPr>
              <w:t xml:space="preserve"> Basisprosjekt</w:t>
            </w:r>
          </w:p>
        </w:tc>
        <w:tc>
          <w:tcPr>
            <w:tcW w:w="814" w:type="pct"/>
          </w:tcPr>
          <w:p w:rsidR="00FC02B3" w:rsidRDefault="00FC02B3" w:rsidP="00FC02B3">
            <w:pPr>
              <w:spacing w:line="276" w:lineRule="auto"/>
              <w:rPr>
                <w:rFonts w:ascii="Verdana" w:hAnsi="Verdana"/>
                <w:sz w:val="20"/>
              </w:rPr>
            </w:pPr>
            <w:r>
              <w:rPr>
                <w:rFonts w:ascii="Verdana" w:hAnsi="Verdana"/>
                <w:sz w:val="20"/>
              </w:rPr>
              <w:t>Utslipps-reduksjon</w:t>
            </w:r>
          </w:p>
          <w:p w:rsidR="00FC02B3" w:rsidRDefault="00FC02B3" w:rsidP="00A66BD6">
            <w:pPr>
              <w:spacing w:line="276" w:lineRule="auto"/>
              <w:rPr>
                <w:rFonts w:ascii="Verdana" w:hAnsi="Verdana"/>
                <w:sz w:val="20"/>
              </w:rPr>
            </w:pPr>
          </w:p>
          <w:p w:rsidR="00373DA6" w:rsidRDefault="00FC02B3" w:rsidP="00A66BD6">
            <w:pPr>
              <w:spacing w:line="276" w:lineRule="auto"/>
              <w:rPr>
                <w:rFonts w:ascii="Verdana" w:hAnsi="Verdana"/>
                <w:sz w:val="20"/>
              </w:rPr>
            </w:pPr>
            <w:r>
              <w:rPr>
                <w:rFonts w:ascii="Verdana" w:hAnsi="Verdana"/>
                <w:sz w:val="20"/>
              </w:rPr>
              <w:t>Nåverdi</w:t>
            </w:r>
          </w:p>
          <w:p w:rsidR="00FC02B3" w:rsidRDefault="00FC02B3" w:rsidP="00A66BD6">
            <w:pPr>
              <w:spacing w:line="276" w:lineRule="auto"/>
              <w:rPr>
                <w:rFonts w:ascii="Verdana" w:hAnsi="Verdana"/>
                <w:sz w:val="20"/>
              </w:rPr>
            </w:pPr>
            <w:r w:rsidRPr="00FC02B3">
              <w:rPr>
                <w:rFonts w:ascii="Verdana" w:hAnsi="Verdana"/>
                <w:color w:val="BFBFBF" w:themeColor="background1" w:themeShade="BF"/>
                <w:sz w:val="20"/>
              </w:rPr>
              <w:t>Annuitet</w:t>
            </w:r>
          </w:p>
          <w:p w:rsidR="00FC02B3" w:rsidRDefault="00FC02B3" w:rsidP="00A66BD6">
            <w:pPr>
              <w:spacing w:line="276" w:lineRule="auto"/>
              <w:rPr>
                <w:rFonts w:ascii="Verdana" w:hAnsi="Verdana"/>
                <w:sz w:val="20"/>
              </w:rPr>
            </w:pPr>
          </w:p>
          <w:p w:rsidR="00373DA6" w:rsidRPr="00373DA6" w:rsidRDefault="00D74C5E" w:rsidP="00A66BD6">
            <w:pPr>
              <w:spacing w:line="276" w:lineRule="auto"/>
              <w:rPr>
                <w:rFonts w:ascii="Verdana" w:hAnsi="Verdana"/>
                <w:color w:val="BFBFBF" w:themeColor="background1" w:themeShade="BF"/>
                <w:sz w:val="20"/>
              </w:rPr>
            </w:pPr>
            <w:r w:rsidRPr="00373DA6">
              <w:rPr>
                <w:rFonts w:ascii="Verdana" w:hAnsi="Verdana"/>
                <w:color w:val="BFBFBF" w:themeColor="background1" w:themeShade="BF"/>
                <w:sz w:val="20"/>
              </w:rPr>
              <w:t>Støtte-intensitet</w:t>
            </w:r>
            <w:r>
              <w:rPr>
                <w:rFonts w:ascii="Verdana" w:hAnsi="Verdana"/>
                <w:color w:val="BFBFBF" w:themeColor="background1" w:themeShade="BF"/>
                <w:sz w:val="20"/>
              </w:rPr>
              <w:t xml:space="preserve"> a)</w:t>
            </w:r>
            <w:r w:rsidRPr="00373DA6">
              <w:rPr>
                <w:rFonts w:ascii="Verdana" w:hAnsi="Verdana"/>
                <w:color w:val="BFBFBF" w:themeColor="background1" w:themeShade="BF"/>
                <w:sz w:val="20"/>
              </w:rPr>
              <w:t xml:space="preserve"> </w:t>
            </w:r>
            <w:r w:rsidR="00373DA6" w:rsidRPr="00373DA6">
              <w:rPr>
                <w:rFonts w:ascii="Verdana" w:hAnsi="Verdana"/>
                <w:color w:val="BFBFBF" w:themeColor="background1" w:themeShade="BF"/>
                <w:sz w:val="20"/>
              </w:rPr>
              <w:t>Metode 1</w:t>
            </w:r>
            <w:r>
              <w:rPr>
                <w:rFonts w:ascii="Verdana" w:hAnsi="Verdana"/>
                <w:color w:val="BFBFBF" w:themeColor="background1" w:themeShade="BF"/>
                <w:sz w:val="20"/>
              </w:rPr>
              <w:t xml:space="preserve"> b)</w:t>
            </w:r>
          </w:p>
          <w:p w:rsidR="00373DA6" w:rsidRDefault="00373DA6" w:rsidP="00A66BD6">
            <w:pPr>
              <w:spacing w:line="276" w:lineRule="auto"/>
              <w:rPr>
                <w:rFonts w:ascii="Verdana" w:hAnsi="Verdana"/>
                <w:sz w:val="20"/>
              </w:rPr>
            </w:pPr>
            <w:r>
              <w:rPr>
                <w:rFonts w:ascii="Verdana" w:hAnsi="Verdana"/>
                <w:sz w:val="20"/>
              </w:rPr>
              <w:t>Metode 3</w:t>
            </w:r>
            <w:r w:rsidR="00D74C5E">
              <w:rPr>
                <w:rFonts w:ascii="Verdana" w:hAnsi="Verdana"/>
                <w:sz w:val="20"/>
              </w:rPr>
              <w:t xml:space="preserve"> c)</w:t>
            </w:r>
          </w:p>
          <w:p w:rsidR="00373DA6" w:rsidRDefault="00373DA6" w:rsidP="00A66BD6">
            <w:pPr>
              <w:spacing w:line="276" w:lineRule="auto"/>
              <w:rPr>
                <w:rFonts w:ascii="Verdana" w:hAnsi="Verdana"/>
                <w:sz w:val="20"/>
              </w:rPr>
            </w:pPr>
            <w:r>
              <w:rPr>
                <w:rFonts w:ascii="Verdana" w:hAnsi="Verdana"/>
                <w:sz w:val="20"/>
              </w:rPr>
              <w:t>Metode 5</w:t>
            </w:r>
            <w:r w:rsidR="00D74C5E">
              <w:rPr>
                <w:rFonts w:ascii="Verdana" w:hAnsi="Verdana"/>
                <w:sz w:val="20"/>
              </w:rPr>
              <w:t xml:space="preserve"> d)</w:t>
            </w:r>
          </w:p>
          <w:p w:rsidR="00373DA6" w:rsidRDefault="00373DA6" w:rsidP="00A66BD6">
            <w:pPr>
              <w:spacing w:line="276" w:lineRule="auto"/>
              <w:rPr>
                <w:rFonts w:ascii="Verdana" w:hAnsi="Verdana"/>
                <w:sz w:val="20"/>
              </w:rPr>
            </w:pPr>
          </w:p>
        </w:tc>
        <w:tc>
          <w:tcPr>
            <w:tcW w:w="636" w:type="pct"/>
          </w:tcPr>
          <w:p w:rsidR="00FC02B3" w:rsidRDefault="00FC02B3" w:rsidP="00FC02B3">
            <w:pPr>
              <w:spacing w:line="276" w:lineRule="auto"/>
              <w:jc w:val="right"/>
              <w:rPr>
                <w:rFonts w:ascii="Verdana" w:hAnsi="Verdana"/>
                <w:sz w:val="20"/>
              </w:rPr>
            </w:pPr>
            <w:r>
              <w:rPr>
                <w:rFonts w:ascii="Verdana" w:hAnsi="Verdana"/>
                <w:sz w:val="20"/>
              </w:rPr>
              <w:t>40</w:t>
            </w:r>
          </w:p>
          <w:p w:rsidR="00FC02B3" w:rsidRDefault="00FC02B3" w:rsidP="00373DA6">
            <w:pPr>
              <w:spacing w:line="276" w:lineRule="auto"/>
              <w:jc w:val="right"/>
              <w:rPr>
                <w:rFonts w:ascii="Verdana" w:hAnsi="Verdana"/>
                <w:sz w:val="20"/>
              </w:rPr>
            </w:pPr>
          </w:p>
          <w:p w:rsidR="00FC02B3" w:rsidRDefault="00FC02B3" w:rsidP="00373DA6">
            <w:pPr>
              <w:spacing w:line="276" w:lineRule="auto"/>
              <w:jc w:val="right"/>
              <w:rPr>
                <w:rFonts w:ascii="Verdana" w:hAnsi="Verdana"/>
                <w:sz w:val="20"/>
              </w:rPr>
            </w:pPr>
          </w:p>
          <w:p w:rsidR="00373DA6" w:rsidRDefault="00FC02B3" w:rsidP="00373DA6">
            <w:pPr>
              <w:spacing w:line="276" w:lineRule="auto"/>
              <w:jc w:val="right"/>
              <w:rPr>
                <w:rFonts w:ascii="Verdana" w:hAnsi="Verdana"/>
                <w:sz w:val="20"/>
              </w:rPr>
            </w:pPr>
            <w:r>
              <w:rPr>
                <w:rFonts w:ascii="Verdana" w:hAnsi="Verdana"/>
                <w:sz w:val="20"/>
              </w:rPr>
              <w:t>-6 370</w:t>
            </w:r>
          </w:p>
          <w:p w:rsidR="00FC02B3" w:rsidRPr="00FC02B3" w:rsidRDefault="00FC02B3" w:rsidP="00373DA6">
            <w:pPr>
              <w:spacing w:line="276" w:lineRule="auto"/>
              <w:jc w:val="right"/>
              <w:rPr>
                <w:rFonts w:ascii="Verdana" w:hAnsi="Verdana"/>
                <w:color w:val="BFBFBF" w:themeColor="background1" w:themeShade="BF"/>
                <w:sz w:val="20"/>
              </w:rPr>
            </w:pPr>
            <w:r w:rsidRPr="00FC02B3">
              <w:rPr>
                <w:rFonts w:ascii="Verdana" w:hAnsi="Verdana"/>
                <w:color w:val="BFBFBF" w:themeColor="background1" w:themeShade="BF"/>
                <w:sz w:val="20"/>
              </w:rPr>
              <w:t>1</w:t>
            </w:r>
            <w:r>
              <w:rPr>
                <w:rFonts w:ascii="Verdana" w:hAnsi="Verdana"/>
                <w:color w:val="BFBFBF" w:themeColor="background1" w:themeShade="BF"/>
                <w:sz w:val="20"/>
              </w:rPr>
              <w:t> </w:t>
            </w:r>
            <w:r w:rsidRPr="00FC02B3">
              <w:rPr>
                <w:rFonts w:ascii="Verdana" w:hAnsi="Verdana"/>
                <w:color w:val="BFBFBF" w:themeColor="background1" w:themeShade="BF"/>
                <w:sz w:val="20"/>
              </w:rPr>
              <w:t>376</w:t>
            </w:r>
          </w:p>
          <w:p w:rsidR="00FC02B3" w:rsidRDefault="00FC02B3" w:rsidP="00373DA6">
            <w:pPr>
              <w:spacing w:line="276" w:lineRule="auto"/>
              <w:jc w:val="right"/>
              <w:rPr>
                <w:rFonts w:ascii="Verdana" w:hAnsi="Verdana"/>
                <w:sz w:val="20"/>
              </w:rPr>
            </w:pPr>
          </w:p>
          <w:p w:rsidR="00D74C5E" w:rsidRDefault="00D74C5E" w:rsidP="00373DA6">
            <w:pPr>
              <w:spacing w:line="276" w:lineRule="auto"/>
              <w:jc w:val="right"/>
              <w:rPr>
                <w:rFonts w:ascii="Verdana" w:hAnsi="Verdana"/>
                <w:color w:val="BFBFBF" w:themeColor="background1" w:themeShade="BF"/>
                <w:sz w:val="20"/>
              </w:rPr>
            </w:pPr>
          </w:p>
          <w:p w:rsidR="00484BF9" w:rsidRDefault="00484BF9" w:rsidP="00373DA6">
            <w:pPr>
              <w:spacing w:line="276" w:lineRule="auto"/>
              <w:jc w:val="right"/>
              <w:rPr>
                <w:rFonts w:ascii="Verdana" w:hAnsi="Verdana"/>
                <w:color w:val="BFBFBF" w:themeColor="background1" w:themeShade="BF"/>
                <w:sz w:val="20"/>
              </w:rPr>
            </w:pPr>
            <w:r w:rsidRPr="00373DA6">
              <w:rPr>
                <w:rFonts w:ascii="Verdana" w:hAnsi="Verdana"/>
                <w:color w:val="BFBFBF" w:themeColor="background1" w:themeShade="BF"/>
                <w:sz w:val="20"/>
              </w:rPr>
              <w:t>400,0</w:t>
            </w:r>
          </w:p>
          <w:p w:rsidR="00373DA6" w:rsidRPr="00373DA6" w:rsidRDefault="00373DA6" w:rsidP="00373DA6">
            <w:pPr>
              <w:spacing w:line="276" w:lineRule="auto"/>
              <w:jc w:val="right"/>
              <w:rPr>
                <w:rFonts w:ascii="Verdana" w:hAnsi="Verdana"/>
                <w:color w:val="BFBFBF" w:themeColor="background1" w:themeShade="BF"/>
                <w:sz w:val="20"/>
              </w:rPr>
            </w:pPr>
            <w:r w:rsidRPr="00373DA6">
              <w:rPr>
                <w:rFonts w:ascii="Verdana" w:hAnsi="Verdana"/>
                <w:color w:val="BFBFBF" w:themeColor="background1" w:themeShade="BF"/>
                <w:sz w:val="20"/>
              </w:rPr>
              <w:t>137,6</w:t>
            </w:r>
          </w:p>
          <w:p w:rsidR="00373DA6" w:rsidRPr="00484BF9" w:rsidRDefault="00D74C5E" w:rsidP="00D74C5E">
            <w:pPr>
              <w:spacing w:line="276" w:lineRule="auto"/>
              <w:jc w:val="right"/>
              <w:rPr>
                <w:rFonts w:ascii="Verdana" w:hAnsi="Verdana"/>
                <w:b/>
                <w:sz w:val="20"/>
              </w:rPr>
            </w:pPr>
            <w:r>
              <w:rPr>
                <w:rFonts w:ascii="Verdana" w:hAnsi="Verdana"/>
                <w:sz w:val="20"/>
              </w:rPr>
              <w:t xml:space="preserve">  </w:t>
            </w:r>
            <w:r w:rsidR="00373DA6" w:rsidRPr="00484BF9">
              <w:rPr>
                <w:rFonts w:ascii="Verdana" w:hAnsi="Verdana"/>
                <w:b/>
                <w:sz w:val="20"/>
              </w:rPr>
              <w:t>172,0</w:t>
            </w:r>
          </w:p>
          <w:p w:rsidR="00373DA6" w:rsidRDefault="00373DA6" w:rsidP="00373DA6">
            <w:pPr>
              <w:spacing w:line="276" w:lineRule="auto"/>
              <w:jc w:val="right"/>
              <w:rPr>
                <w:rFonts w:ascii="Verdana" w:hAnsi="Verdana"/>
                <w:sz w:val="20"/>
              </w:rPr>
            </w:pPr>
            <w:r>
              <w:rPr>
                <w:rFonts w:ascii="Verdana" w:hAnsi="Verdana"/>
                <w:sz w:val="20"/>
              </w:rPr>
              <w:t>159,3</w:t>
            </w:r>
          </w:p>
          <w:p w:rsidR="00373DA6" w:rsidRDefault="00373DA6" w:rsidP="00373DA6">
            <w:pPr>
              <w:spacing w:line="276" w:lineRule="auto"/>
              <w:jc w:val="right"/>
              <w:rPr>
                <w:rFonts w:ascii="Verdana" w:hAnsi="Verdana"/>
                <w:sz w:val="20"/>
              </w:rPr>
            </w:pPr>
          </w:p>
        </w:tc>
      </w:tr>
      <w:tr w:rsidR="00FC02B3" w:rsidTr="001B3926">
        <w:tc>
          <w:tcPr>
            <w:tcW w:w="3550" w:type="pct"/>
          </w:tcPr>
          <w:p w:rsidR="00373DA6" w:rsidRDefault="00AF0FFC" w:rsidP="00373DA6">
            <w:pPr>
              <w:keepNext/>
              <w:spacing w:line="276" w:lineRule="auto"/>
            </w:pPr>
            <w:r>
              <w:rPr>
                <w:noProof/>
              </w:rPr>
              <w:lastRenderedPageBreak/>
              <w:drawing>
                <wp:inline distT="0" distB="0" distL="0" distR="0" wp14:anchorId="68C32807">
                  <wp:extent cx="3877310" cy="207899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7310" cy="2078990"/>
                          </a:xfrm>
                          <a:prstGeom prst="rect">
                            <a:avLst/>
                          </a:prstGeom>
                          <a:noFill/>
                        </pic:spPr>
                      </pic:pic>
                    </a:graphicData>
                  </a:graphic>
                </wp:inline>
              </w:drawing>
            </w:r>
          </w:p>
          <w:p w:rsidR="00373DA6" w:rsidRDefault="00373DA6" w:rsidP="00373DA6">
            <w:pPr>
              <w:pStyle w:val="Caption"/>
              <w:rPr>
                <w:rFonts w:ascii="Verdana" w:hAnsi="Verdana"/>
                <w:sz w:val="20"/>
              </w:rPr>
            </w:pPr>
            <w:r>
              <w:t xml:space="preserve">Figur </w:t>
            </w:r>
            <w:fldSimple w:instr=" SEQ Figur \* ARABIC ">
              <w:r w:rsidR="002B6CE3">
                <w:rPr>
                  <w:noProof/>
                </w:rPr>
                <w:t>4</w:t>
              </w:r>
            </w:fldSimple>
            <w:r>
              <w:rPr>
                <w:noProof/>
              </w:rPr>
              <w:t xml:space="preserve"> Dyrt prosjekt</w:t>
            </w:r>
          </w:p>
        </w:tc>
        <w:tc>
          <w:tcPr>
            <w:tcW w:w="814" w:type="pct"/>
          </w:tcPr>
          <w:p w:rsidR="00FC02B3" w:rsidRDefault="00FC02B3" w:rsidP="00373DA6">
            <w:pPr>
              <w:spacing w:line="276" w:lineRule="auto"/>
              <w:rPr>
                <w:rFonts w:ascii="Verdana" w:hAnsi="Verdana"/>
                <w:sz w:val="20"/>
              </w:rPr>
            </w:pPr>
            <w:r>
              <w:rPr>
                <w:rFonts w:ascii="Verdana" w:hAnsi="Verdana"/>
                <w:sz w:val="20"/>
              </w:rPr>
              <w:t>Utslipps-reduksjon</w:t>
            </w:r>
          </w:p>
          <w:p w:rsidR="00FC02B3" w:rsidRDefault="00FC02B3" w:rsidP="00373DA6">
            <w:pPr>
              <w:spacing w:line="276" w:lineRule="auto"/>
              <w:rPr>
                <w:rFonts w:ascii="Verdana" w:hAnsi="Verdana"/>
                <w:sz w:val="20"/>
              </w:rPr>
            </w:pPr>
          </w:p>
          <w:p w:rsidR="00FC02B3" w:rsidRDefault="00FC02B3" w:rsidP="00FC02B3">
            <w:pPr>
              <w:spacing w:line="276" w:lineRule="auto"/>
              <w:rPr>
                <w:rFonts w:ascii="Verdana" w:hAnsi="Verdana"/>
                <w:sz w:val="20"/>
              </w:rPr>
            </w:pPr>
            <w:r>
              <w:rPr>
                <w:rFonts w:ascii="Verdana" w:hAnsi="Verdana"/>
                <w:sz w:val="20"/>
              </w:rPr>
              <w:t>Nåverdi</w:t>
            </w:r>
          </w:p>
          <w:p w:rsidR="00FC02B3" w:rsidRDefault="00FC02B3" w:rsidP="00FC02B3">
            <w:pPr>
              <w:spacing w:line="276" w:lineRule="auto"/>
              <w:rPr>
                <w:rFonts w:ascii="Verdana" w:hAnsi="Verdana"/>
                <w:sz w:val="20"/>
              </w:rPr>
            </w:pPr>
            <w:r w:rsidRPr="00FC02B3">
              <w:rPr>
                <w:rFonts w:ascii="Verdana" w:hAnsi="Verdana"/>
                <w:color w:val="BFBFBF" w:themeColor="background1" w:themeShade="BF"/>
                <w:sz w:val="20"/>
              </w:rPr>
              <w:t>Annuitet</w:t>
            </w:r>
          </w:p>
          <w:p w:rsidR="00FC02B3" w:rsidRDefault="00FC02B3" w:rsidP="00373DA6">
            <w:pPr>
              <w:spacing w:line="276" w:lineRule="auto"/>
              <w:rPr>
                <w:rFonts w:ascii="Verdana" w:hAnsi="Verdana"/>
                <w:sz w:val="20"/>
              </w:rPr>
            </w:pPr>
          </w:p>
          <w:p w:rsidR="00373DA6" w:rsidRPr="00373DA6" w:rsidRDefault="00D74C5E" w:rsidP="00373DA6">
            <w:pPr>
              <w:spacing w:line="276" w:lineRule="auto"/>
              <w:rPr>
                <w:rFonts w:ascii="Verdana" w:hAnsi="Verdana"/>
                <w:color w:val="BFBFBF" w:themeColor="background1" w:themeShade="BF"/>
                <w:sz w:val="20"/>
              </w:rPr>
            </w:pPr>
            <w:r w:rsidRPr="00373DA6">
              <w:rPr>
                <w:rFonts w:ascii="Verdana" w:hAnsi="Verdana"/>
                <w:color w:val="BFBFBF" w:themeColor="background1" w:themeShade="BF"/>
                <w:sz w:val="20"/>
              </w:rPr>
              <w:t xml:space="preserve">Støtte-intensitet </w:t>
            </w:r>
            <w:r>
              <w:rPr>
                <w:rFonts w:ascii="Verdana" w:hAnsi="Verdana"/>
                <w:color w:val="BFBFBF" w:themeColor="background1" w:themeShade="BF"/>
                <w:sz w:val="20"/>
              </w:rPr>
              <w:t xml:space="preserve">a) </w:t>
            </w:r>
            <w:r w:rsidR="00373DA6" w:rsidRPr="00373DA6">
              <w:rPr>
                <w:rFonts w:ascii="Verdana" w:hAnsi="Verdana"/>
                <w:color w:val="BFBFBF" w:themeColor="background1" w:themeShade="BF"/>
                <w:sz w:val="20"/>
              </w:rPr>
              <w:t>Metode 1</w:t>
            </w:r>
            <w:r>
              <w:rPr>
                <w:rFonts w:ascii="Verdana" w:hAnsi="Verdana"/>
                <w:color w:val="BFBFBF" w:themeColor="background1" w:themeShade="BF"/>
                <w:sz w:val="20"/>
              </w:rPr>
              <w:t xml:space="preserve"> b)</w:t>
            </w:r>
          </w:p>
          <w:p w:rsidR="00373DA6" w:rsidRDefault="00373DA6" w:rsidP="00373DA6">
            <w:pPr>
              <w:spacing w:line="276" w:lineRule="auto"/>
              <w:rPr>
                <w:rFonts w:ascii="Verdana" w:hAnsi="Verdana"/>
                <w:sz w:val="20"/>
              </w:rPr>
            </w:pPr>
            <w:r>
              <w:rPr>
                <w:rFonts w:ascii="Verdana" w:hAnsi="Verdana"/>
                <w:sz w:val="20"/>
              </w:rPr>
              <w:t>Metode 3</w:t>
            </w:r>
            <w:r w:rsidR="00D74C5E">
              <w:rPr>
                <w:rFonts w:ascii="Verdana" w:hAnsi="Verdana"/>
                <w:sz w:val="20"/>
              </w:rPr>
              <w:t xml:space="preserve"> c)</w:t>
            </w:r>
          </w:p>
          <w:p w:rsidR="00373DA6" w:rsidRDefault="00373DA6" w:rsidP="00373DA6">
            <w:pPr>
              <w:spacing w:line="276" w:lineRule="auto"/>
              <w:rPr>
                <w:rFonts w:ascii="Verdana" w:hAnsi="Verdana"/>
                <w:sz w:val="20"/>
              </w:rPr>
            </w:pPr>
            <w:r>
              <w:rPr>
                <w:rFonts w:ascii="Verdana" w:hAnsi="Verdana"/>
                <w:sz w:val="20"/>
              </w:rPr>
              <w:t>Metode 5</w:t>
            </w:r>
            <w:r w:rsidR="00D74C5E">
              <w:rPr>
                <w:rFonts w:ascii="Verdana" w:hAnsi="Verdana"/>
                <w:sz w:val="20"/>
              </w:rPr>
              <w:t xml:space="preserve"> d)</w:t>
            </w:r>
          </w:p>
          <w:p w:rsidR="00373DA6" w:rsidRDefault="00373DA6" w:rsidP="00373DA6">
            <w:pPr>
              <w:spacing w:line="276" w:lineRule="auto"/>
              <w:rPr>
                <w:rFonts w:ascii="Verdana" w:hAnsi="Verdana"/>
                <w:sz w:val="20"/>
              </w:rPr>
            </w:pPr>
          </w:p>
        </w:tc>
        <w:tc>
          <w:tcPr>
            <w:tcW w:w="636" w:type="pct"/>
          </w:tcPr>
          <w:p w:rsidR="00FC02B3" w:rsidRDefault="00FC02B3" w:rsidP="00FC02B3">
            <w:pPr>
              <w:spacing w:line="276" w:lineRule="auto"/>
              <w:jc w:val="right"/>
              <w:rPr>
                <w:rFonts w:ascii="Verdana" w:hAnsi="Verdana"/>
                <w:sz w:val="20"/>
              </w:rPr>
            </w:pPr>
            <w:r>
              <w:rPr>
                <w:rFonts w:ascii="Verdana" w:hAnsi="Verdana"/>
                <w:sz w:val="20"/>
              </w:rPr>
              <w:t>20</w:t>
            </w:r>
          </w:p>
          <w:p w:rsidR="00FC02B3" w:rsidRDefault="00FC02B3" w:rsidP="00FC02B3">
            <w:pPr>
              <w:spacing w:line="276" w:lineRule="auto"/>
              <w:jc w:val="right"/>
              <w:rPr>
                <w:rFonts w:ascii="Verdana" w:hAnsi="Verdana"/>
                <w:sz w:val="20"/>
              </w:rPr>
            </w:pPr>
          </w:p>
          <w:p w:rsidR="00FC02B3" w:rsidRDefault="00FC02B3" w:rsidP="00373DA6">
            <w:pPr>
              <w:spacing w:line="276" w:lineRule="auto"/>
              <w:jc w:val="right"/>
              <w:rPr>
                <w:rFonts w:ascii="Verdana" w:hAnsi="Verdana"/>
                <w:sz w:val="20"/>
              </w:rPr>
            </w:pPr>
          </w:p>
          <w:p w:rsidR="00373DA6" w:rsidRDefault="00FC02B3" w:rsidP="00373DA6">
            <w:pPr>
              <w:spacing w:line="276" w:lineRule="auto"/>
              <w:jc w:val="right"/>
              <w:rPr>
                <w:rFonts w:ascii="Verdana" w:hAnsi="Verdana"/>
                <w:sz w:val="20"/>
              </w:rPr>
            </w:pPr>
            <w:r>
              <w:rPr>
                <w:rFonts w:ascii="Verdana" w:hAnsi="Verdana"/>
                <w:sz w:val="20"/>
              </w:rPr>
              <w:t>-11 606</w:t>
            </w:r>
          </w:p>
          <w:p w:rsidR="00FC02B3" w:rsidRPr="00FC02B3" w:rsidRDefault="00FC02B3" w:rsidP="00FC02B3">
            <w:pPr>
              <w:spacing w:line="276" w:lineRule="auto"/>
              <w:jc w:val="right"/>
              <w:rPr>
                <w:rFonts w:ascii="Verdana" w:hAnsi="Verdana"/>
                <w:color w:val="BFBFBF" w:themeColor="background1" w:themeShade="BF"/>
                <w:sz w:val="20"/>
              </w:rPr>
            </w:pPr>
            <w:r w:rsidRPr="00FC02B3">
              <w:rPr>
                <w:rFonts w:ascii="Verdana" w:hAnsi="Verdana"/>
                <w:color w:val="BFBFBF" w:themeColor="background1" w:themeShade="BF"/>
                <w:sz w:val="20"/>
              </w:rPr>
              <w:t>1</w:t>
            </w:r>
            <w:r>
              <w:rPr>
                <w:rFonts w:ascii="Verdana" w:hAnsi="Verdana"/>
                <w:color w:val="BFBFBF" w:themeColor="background1" w:themeShade="BF"/>
                <w:sz w:val="20"/>
              </w:rPr>
              <w:t> </w:t>
            </w:r>
            <w:r w:rsidRPr="00FC02B3">
              <w:rPr>
                <w:rFonts w:ascii="Verdana" w:hAnsi="Verdana"/>
                <w:color w:val="BFBFBF" w:themeColor="background1" w:themeShade="BF"/>
                <w:sz w:val="20"/>
              </w:rPr>
              <w:t>376</w:t>
            </w:r>
          </w:p>
          <w:p w:rsidR="00FC02B3" w:rsidRDefault="00FC02B3" w:rsidP="00373DA6">
            <w:pPr>
              <w:spacing w:line="276" w:lineRule="auto"/>
              <w:jc w:val="right"/>
              <w:rPr>
                <w:rFonts w:ascii="Verdana" w:hAnsi="Verdana"/>
                <w:sz w:val="20"/>
              </w:rPr>
            </w:pPr>
          </w:p>
          <w:p w:rsidR="001B3926" w:rsidRDefault="001B3926" w:rsidP="00373DA6">
            <w:pPr>
              <w:spacing w:line="276" w:lineRule="auto"/>
              <w:jc w:val="right"/>
              <w:rPr>
                <w:rFonts w:ascii="Verdana" w:hAnsi="Verdana"/>
                <w:color w:val="BFBFBF" w:themeColor="background1" w:themeShade="BF"/>
                <w:sz w:val="20"/>
              </w:rPr>
            </w:pPr>
          </w:p>
          <w:p w:rsidR="00D74C5E" w:rsidRDefault="00D74C5E" w:rsidP="00373DA6">
            <w:pPr>
              <w:spacing w:line="276" w:lineRule="auto"/>
              <w:jc w:val="right"/>
              <w:rPr>
                <w:rFonts w:ascii="Verdana" w:hAnsi="Verdana"/>
                <w:color w:val="BFBFBF" w:themeColor="background1" w:themeShade="BF"/>
                <w:sz w:val="20"/>
              </w:rPr>
            </w:pPr>
            <w:r w:rsidRPr="00373DA6">
              <w:rPr>
                <w:rFonts w:ascii="Verdana" w:hAnsi="Verdana"/>
                <w:color w:val="BFBFBF" w:themeColor="background1" w:themeShade="BF"/>
                <w:sz w:val="20"/>
              </w:rPr>
              <w:t>474,9</w:t>
            </w:r>
          </w:p>
          <w:p w:rsidR="00373DA6" w:rsidRPr="00373DA6" w:rsidRDefault="00373DA6" w:rsidP="00373DA6">
            <w:pPr>
              <w:spacing w:line="276" w:lineRule="auto"/>
              <w:jc w:val="right"/>
              <w:rPr>
                <w:rFonts w:ascii="Verdana" w:hAnsi="Verdana"/>
                <w:color w:val="BFBFBF" w:themeColor="background1" w:themeShade="BF"/>
                <w:sz w:val="20"/>
              </w:rPr>
            </w:pPr>
            <w:r w:rsidRPr="00373DA6">
              <w:rPr>
                <w:rFonts w:ascii="Verdana" w:hAnsi="Verdana"/>
                <w:color w:val="BFBFBF" w:themeColor="background1" w:themeShade="BF"/>
                <w:sz w:val="20"/>
              </w:rPr>
              <w:t>137,6</w:t>
            </w:r>
          </w:p>
          <w:p w:rsidR="00373DA6" w:rsidRDefault="00373DA6" w:rsidP="00373DA6">
            <w:pPr>
              <w:spacing w:line="276" w:lineRule="auto"/>
              <w:jc w:val="right"/>
              <w:rPr>
                <w:rFonts w:ascii="Verdana" w:hAnsi="Verdana"/>
                <w:sz w:val="20"/>
              </w:rPr>
            </w:pPr>
            <w:r>
              <w:rPr>
                <w:rFonts w:ascii="Verdana" w:hAnsi="Verdana"/>
                <w:sz w:val="20"/>
              </w:rPr>
              <w:t>687,9</w:t>
            </w:r>
          </w:p>
          <w:p w:rsidR="00373DA6" w:rsidRDefault="00373DA6" w:rsidP="00373DA6">
            <w:pPr>
              <w:spacing w:line="276" w:lineRule="auto"/>
              <w:jc w:val="right"/>
              <w:rPr>
                <w:rFonts w:ascii="Verdana" w:hAnsi="Verdana"/>
                <w:sz w:val="20"/>
              </w:rPr>
            </w:pPr>
            <w:r>
              <w:rPr>
                <w:rFonts w:ascii="Verdana" w:hAnsi="Verdana"/>
                <w:sz w:val="20"/>
              </w:rPr>
              <w:t>580,3</w:t>
            </w:r>
          </w:p>
          <w:p w:rsidR="00373DA6" w:rsidRDefault="00373DA6" w:rsidP="00373DA6">
            <w:pPr>
              <w:spacing w:line="276" w:lineRule="auto"/>
              <w:jc w:val="right"/>
              <w:rPr>
                <w:rFonts w:ascii="Verdana" w:hAnsi="Verdana"/>
                <w:sz w:val="20"/>
              </w:rPr>
            </w:pPr>
          </w:p>
        </w:tc>
      </w:tr>
      <w:tr w:rsidR="00FC02B3" w:rsidTr="001B3926">
        <w:tc>
          <w:tcPr>
            <w:tcW w:w="3550" w:type="pct"/>
          </w:tcPr>
          <w:p w:rsidR="00373DA6" w:rsidRDefault="00AF0FFC" w:rsidP="00373DA6">
            <w:pPr>
              <w:keepNext/>
              <w:spacing w:line="276" w:lineRule="auto"/>
            </w:pPr>
            <w:r>
              <w:rPr>
                <w:noProof/>
              </w:rPr>
              <w:drawing>
                <wp:inline distT="0" distB="0" distL="0" distR="0" wp14:anchorId="554C3F35">
                  <wp:extent cx="3877310" cy="208470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7310" cy="2084705"/>
                          </a:xfrm>
                          <a:prstGeom prst="rect">
                            <a:avLst/>
                          </a:prstGeom>
                          <a:noFill/>
                        </pic:spPr>
                      </pic:pic>
                    </a:graphicData>
                  </a:graphic>
                </wp:inline>
              </w:drawing>
            </w:r>
          </w:p>
          <w:p w:rsidR="00373DA6" w:rsidRPr="00373DA6" w:rsidRDefault="00373DA6" w:rsidP="00373DA6">
            <w:pPr>
              <w:pStyle w:val="Caption"/>
              <w:rPr>
                <w:noProof/>
              </w:rPr>
            </w:pPr>
            <w:r>
              <w:t xml:space="preserve">Figur </w:t>
            </w:r>
            <w:fldSimple w:instr=" SEQ Figur \* ARABIC ">
              <w:r w:rsidR="002B6CE3">
                <w:rPr>
                  <w:noProof/>
                </w:rPr>
                <w:t>5</w:t>
              </w:r>
            </w:fldSimple>
            <w:r>
              <w:rPr>
                <w:noProof/>
              </w:rPr>
              <w:t xml:space="preserve"> Gunstig prosjekt</w:t>
            </w:r>
          </w:p>
        </w:tc>
        <w:tc>
          <w:tcPr>
            <w:tcW w:w="814" w:type="pct"/>
          </w:tcPr>
          <w:p w:rsidR="00FC02B3" w:rsidRDefault="00FC02B3" w:rsidP="00FC02B3">
            <w:pPr>
              <w:spacing w:line="276" w:lineRule="auto"/>
              <w:rPr>
                <w:rFonts w:ascii="Verdana" w:hAnsi="Verdana"/>
                <w:sz w:val="20"/>
              </w:rPr>
            </w:pPr>
            <w:r>
              <w:rPr>
                <w:rFonts w:ascii="Verdana" w:hAnsi="Verdana"/>
                <w:sz w:val="20"/>
              </w:rPr>
              <w:t>Utslipps-reduksjon</w:t>
            </w:r>
          </w:p>
          <w:p w:rsidR="00FC02B3" w:rsidRDefault="00FC02B3" w:rsidP="00FC02B3">
            <w:pPr>
              <w:spacing w:line="276" w:lineRule="auto"/>
              <w:rPr>
                <w:rFonts w:ascii="Verdana" w:hAnsi="Verdana"/>
                <w:color w:val="BFBFBF" w:themeColor="background1" w:themeShade="BF"/>
                <w:sz w:val="20"/>
              </w:rPr>
            </w:pPr>
          </w:p>
          <w:p w:rsidR="00373DA6" w:rsidRDefault="00FC02B3" w:rsidP="00373DA6">
            <w:pPr>
              <w:spacing w:line="276" w:lineRule="auto"/>
              <w:rPr>
                <w:rFonts w:ascii="Verdana" w:hAnsi="Verdana"/>
                <w:sz w:val="20"/>
              </w:rPr>
            </w:pPr>
            <w:r>
              <w:rPr>
                <w:rFonts w:ascii="Verdana" w:hAnsi="Verdana"/>
                <w:sz w:val="20"/>
              </w:rPr>
              <w:t>Nåverdi</w:t>
            </w:r>
          </w:p>
          <w:p w:rsidR="00FC02B3" w:rsidRDefault="00FC02B3" w:rsidP="00FC02B3">
            <w:pPr>
              <w:spacing w:line="276" w:lineRule="auto"/>
              <w:rPr>
                <w:rFonts w:ascii="Verdana" w:hAnsi="Verdana"/>
                <w:sz w:val="20"/>
              </w:rPr>
            </w:pPr>
            <w:r w:rsidRPr="00FC02B3">
              <w:rPr>
                <w:rFonts w:ascii="Verdana" w:hAnsi="Verdana"/>
                <w:color w:val="BFBFBF" w:themeColor="background1" w:themeShade="BF"/>
                <w:sz w:val="20"/>
              </w:rPr>
              <w:t>Annuitet</w:t>
            </w:r>
          </w:p>
          <w:p w:rsidR="00FC02B3" w:rsidRDefault="00FC02B3" w:rsidP="00373DA6">
            <w:pPr>
              <w:spacing w:line="276" w:lineRule="auto"/>
              <w:rPr>
                <w:rFonts w:ascii="Verdana" w:hAnsi="Verdana"/>
                <w:sz w:val="20"/>
              </w:rPr>
            </w:pPr>
          </w:p>
          <w:p w:rsidR="00373DA6" w:rsidRPr="00373DA6" w:rsidRDefault="001B3926" w:rsidP="00373DA6">
            <w:pPr>
              <w:spacing w:line="276" w:lineRule="auto"/>
              <w:rPr>
                <w:rFonts w:ascii="Verdana" w:hAnsi="Verdana"/>
                <w:color w:val="BFBFBF" w:themeColor="background1" w:themeShade="BF"/>
                <w:sz w:val="20"/>
              </w:rPr>
            </w:pPr>
            <w:r w:rsidRPr="00373DA6">
              <w:rPr>
                <w:rFonts w:ascii="Verdana" w:hAnsi="Verdana"/>
                <w:color w:val="BFBFBF" w:themeColor="background1" w:themeShade="BF"/>
                <w:sz w:val="20"/>
              </w:rPr>
              <w:t xml:space="preserve">Støtte-intensitet </w:t>
            </w:r>
            <w:r>
              <w:rPr>
                <w:rFonts w:ascii="Verdana" w:hAnsi="Verdana"/>
                <w:color w:val="BFBFBF" w:themeColor="background1" w:themeShade="BF"/>
                <w:sz w:val="20"/>
              </w:rPr>
              <w:t xml:space="preserve">a) </w:t>
            </w:r>
            <w:r w:rsidR="00373DA6" w:rsidRPr="00373DA6">
              <w:rPr>
                <w:rFonts w:ascii="Verdana" w:hAnsi="Verdana"/>
                <w:color w:val="BFBFBF" w:themeColor="background1" w:themeShade="BF"/>
                <w:sz w:val="20"/>
              </w:rPr>
              <w:t>Metode 1</w:t>
            </w:r>
            <w:r>
              <w:rPr>
                <w:rFonts w:ascii="Verdana" w:hAnsi="Verdana"/>
                <w:color w:val="BFBFBF" w:themeColor="background1" w:themeShade="BF"/>
                <w:sz w:val="20"/>
              </w:rPr>
              <w:t xml:space="preserve"> b)</w:t>
            </w:r>
          </w:p>
          <w:p w:rsidR="00373DA6" w:rsidRDefault="00373DA6" w:rsidP="00373DA6">
            <w:pPr>
              <w:spacing w:line="276" w:lineRule="auto"/>
              <w:rPr>
                <w:rFonts w:ascii="Verdana" w:hAnsi="Verdana"/>
                <w:sz w:val="20"/>
              </w:rPr>
            </w:pPr>
            <w:r>
              <w:rPr>
                <w:rFonts w:ascii="Verdana" w:hAnsi="Verdana"/>
                <w:sz w:val="20"/>
              </w:rPr>
              <w:t>Metode 3</w:t>
            </w:r>
            <w:r w:rsidR="001B3926">
              <w:rPr>
                <w:rFonts w:ascii="Verdana" w:hAnsi="Verdana"/>
                <w:sz w:val="20"/>
              </w:rPr>
              <w:t xml:space="preserve"> c)</w:t>
            </w:r>
          </w:p>
          <w:p w:rsidR="00373DA6" w:rsidRDefault="00373DA6" w:rsidP="00373DA6">
            <w:pPr>
              <w:spacing w:line="276" w:lineRule="auto"/>
              <w:rPr>
                <w:rFonts w:ascii="Verdana" w:hAnsi="Verdana"/>
                <w:sz w:val="20"/>
              </w:rPr>
            </w:pPr>
            <w:r>
              <w:rPr>
                <w:rFonts w:ascii="Verdana" w:hAnsi="Verdana"/>
                <w:sz w:val="20"/>
              </w:rPr>
              <w:t>Metode 5</w:t>
            </w:r>
            <w:r w:rsidR="001B3926">
              <w:rPr>
                <w:rFonts w:ascii="Verdana" w:hAnsi="Verdana"/>
                <w:sz w:val="20"/>
              </w:rPr>
              <w:t xml:space="preserve"> d)</w:t>
            </w:r>
          </w:p>
          <w:p w:rsidR="00373DA6" w:rsidRDefault="00373DA6" w:rsidP="00373DA6">
            <w:pPr>
              <w:spacing w:line="276" w:lineRule="auto"/>
              <w:rPr>
                <w:rFonts w:ascii="Verdana" w:hAnsi="Verdana"/>
                <w:sz w:val="20"/>
              </w:rPr>
            </w:pPr>
          </w:p>
        </w:tc>
        <w:tc>
          <w:tcPr>
            <w:tcW w:w="636" w:type="pct"/>
          </w:tcPr>
          <w:p w:rsidR="00FC02B3" w:rsidRDefault="00FC02B3" w:rsidP="00FC02B3">
            <w:pPr>
              <w:spacing w:line="276" w:lineRule="auto"/>
              <w:jc w:val="right"/>
              <w:rPr>
                <w:rFonts w:ascii="Verdana" w:hAnsi="Verdana"/>
                <w:sz w:val="20"/>
              </w:rPr>
            </w:pPr>
            <w:r>
              <w:rPr>
                <w:rFonts w:ascii="Verdana" w:hAnsi="Verdana"/>
                <w:sz w:val="20"/>
              </w:rPr>
              <w:t>80</w:t>
            </w:r>
          </w:p>
          <w:p w:rsidR="00FC02B3" w:rsidRDefault="00FC02B3" w:rsidP="00FC02B3">
            <w:pPr>
              <w:spacing w:line="276" w:lineRule="auto"/>
              <w:jc w:val="right"/>
              <w:rPr>
                <w:rFonts w:ascii="Verdana" w:hAnsi="Verdana"/>
                <w:sz w:val="20"/>
              </w:rPr>
            </w:pPr>
          </w:p>
          <w:p w:rsidR="00FC02B3" w:rsidRDefault="00FC02B3" w:rsidP="00373DA6">
            <w:pPr>
              <w:spacing w:line="276" w:lineRule="auto"/>
              <w:jc w:val="right"/>
              <w:rPr>
                <w:rFonts w:ascii="Verdana" w:hAnsi="Verdana"/>
                <w:sz w:val="20"/>
              </w:rPr>
            </w:pPr>
          </w:p>
          <w:p w:rsidR="00373DA6" w:rsidRDefault="00FC02B3" w:rsidP="00373DA6">
            <w:pPr>
              <w:spacing w:line="276" w:lineRule="auto"/>
              <w:jc w:val="right"/>
              <w:rPr>
                <w:rFonts w:ascii="Verdana" w:hAnsi="Verdana"/>
                <w:sz w:val="20"/>
              </w:rPr>
            </w:pPr>
            <w:r>
              <w:rPr>
                <w:rFonts w:ascii="Verdana" w:hAnsi="Verdana"/>
                <w:sz w:val="20"/>
              </w:rPr>
              <w:t>-11 606</w:t>
            </w:r>
          </w:p>
          <w:p w:rsidR="00FC02B3" w:rsidRPr="00FC02B3" w:rsidRDefault="00FC02B3" w:rsidP="00FC02B3">
            <w:pPr>
              <w:spacing w:line="276" w:lineRule="auto"/>
              <w:jc w:val="right"/>
              <w:rPr>
                <w:rFonts w:ascii="Verdana" w:hAnsi="Verdana"/>
                <w:color w:val="BFBFBF" w:themeColor="background1" w:themeShade="BF"/>
                <w:sz w:val="20"/>
              </w:rPr>
            </w:pPr>
            <w:r w:rsidRPr="00FC02B3">
              <w:rPr>
                <w:rFonts w:ascii="Verdana" w:hAnsi="Verdana"/>
                <w:color w:val="BFBFBF" w:themeColor="background1" w:themeShade="BF"/>
                <w:sz w:val="20"/>
              </w:rPr>
              <w:t>1</w:t>
            </w:r>
            <w:r w:rsidR="001B3926">
              <w:rPr>
                <w:rFonts w:ascii="Verdana" w:hAnsi="Verdana"/>
                <w:color w:val="BFBFBF" w:themeColor="background1" w:themeShade="BF"/>
                <w:sz w:val="20"/>
              </w:rPr>
              <w:t> </w:t>
            </w:r>
            <w:r w:rsidRPr="00FC02B3">
              <w:rPr>
                <w:rFonts w:ascii="Verdana" w:hAnsi="Verdana"/>
                <w:color w:val="BFBFBF" w:themeColor="background1" w:themeShade="BF"/>
                <w:sz w:val="20"/>
              </w:rPr>
              <w:t>376</w:t>
            </w:r>
          </w:p>
          <w:p w:rsidR="001B3926" w:rsidRDefault="001B3926" w:rsidP="00373DA6">
            <w:pPr>
              <w:spacing w:line="276" w:lineRule="auto"/>
              <w:jc w:val="right"/>
              <w:rPr>
                <w:rFonts w:ascii="Verdana" w:hAnsi="Verdana"/>
                <w:color w:val="BFBFBF" w:themeColor="background1" w:themeShade="BF"/>
                <w:sz w:val="20"/>
              </w:rPr>
            </w:pPr>
          </w:p>
          <w:p w:rsidR="001B3926" w:rsidRDefault="001B3926" w:rsidP="00373DA6">
            <w:pPr>
              <w:spacing w:line="276" w:lineRule="auto"/>
              <w:jc w:val="right"/>
              <w:rPr>
                <w:rFonts w:ascii="Verdana" w:hAnsi="Verdana"/>
                <w:color w:val="BFBFBF" w:themeColor="background1" w:themeShade="BF"/>
                <w:sz w:val="20"/>
              </w:rPr>
            </w:pPr>
          </w:p>
          <w:p w:rsidR="00FC02B3" w:rsidRDefault="001B3926" w:rsidP="00373DA6">
            <w:pPr>
              <w:spacing w:line="276" w:lineRule="auto"/>
              <w:jc w:val="right"/>
              <w:rPr>
                <w:rFonts w:ascii="Verdana" w:hAnsi="Verdana"/>
                <w:sz w:val="20"/>
              </w:rPr>
            </w:pPr>
            <w:r w:rsidRPr="00373DA6">
              <w:rPr>
                <w:rFonts w:ascii="Verdana" w:hAnsi="Verdana"/>
                <w:color w:val="BFBFBF" w:themeColor="background1" w:themeShade="BF"/>
                <w:sz w:val="20"/>
              </w:rPr>
              <w:t>466,8</w:t>
            </w:r>
          </w:p>
          <w:p w:rsidR="00373DA6" w:rsidRPr="00FC02B3" w:rsidRDefault="00373DA6" w:rsidP="00373DA6">
            <w:pPr>
              <w:spacing w:line="276" w:lineRule="auto"/>
              <w:jc w:val="right"/>
              <w:rPr>
                <w:rFonts w:ascii="Verdana" w:hAnsi="Verdana"/>
                <w:color w:val="BFBFBF" w:themeColor="background1" w:themeShade="BF"/>
                <w:sz w:val="20"/>
              </w:rPr>
            </w:pPr>
            <w:r w:rsidRPr="00FC02B3">
              <w:rPr>
                <w:rFonts w:ascii="Verdana" w:hAnsi="Verdana"/>
                <w:color w:val="BFBFBF" w:themeColor="background1" w:themeShade="BF"/>
                <w:sz w:val="20"/>
              </w:rPr>
              <w:t>137,6</w:t>
            </w:r>
          </w:p>
          <w:p w:rsidR="00373DA6" w:rsidRPr="00484BF9" w:rsidRDefault="00373DA6" w:rsidP="00373DA6">
            <w:pPr>
              <w:spacing w:line="276" w:lineRule="auto"/>
              <w:jc w:val="right"/>
              <w:rPr>
                <w:rFonts w:ascii="Verdana" w:hAnsi="Verdana"/>
                <w:b/>
                <w:sz w:val="20"/>
              </w:rPr>
            </w:pPr>
            <w:r w:rsidRPr="00484BF9">
              <w:rPr>
                <w:rFonts w:ascii="Verdana" w:hAnsi="Verdana"/>
                <w:b/>
                <w:sz w:val="20"/>
              </w:rPr>
              <w:t>172,0</w:t>
            </w:r>
          </w:p>
          <w:p w:rsidR="00373DA6" w:rsidRDefault="00373DA6" w:rsidP="001B3926">
            <w:pPr>
              <w:spacing w:line="276" w:lineRule="auto"/>
              <w:jc w:val="right"/>
              <w:rPr>
                <w:rFonts w:ascii="Verdana" w:hAnsi="Verdana"/>
                <w:sz w:val="20"/>
              </w:rPr>
            </w:pPr>
            <w:r>
              <w:rPr>
                <w:rFonts w:ascii="Verdana" w:hAnsi="Verdana"/>
                <w:sz w:val="20"/>
              </w:rPr>
              <w:t>145,1</w:t>
            </w:r>
          </w:p>
        </w:tc>
      </w:tr>
    </w:tbl>
    <w:p w:rsidR="00373DA6" w:rsidRDefault="00373DA6" w:rsidP="00A66BD6">
      <w:pPr>
        <w:spacing w:line="276" w:lineRule="auto"/>
        <w:rPr>
          <w:rFonts w:ascii="Verdana" w:hAnsi="Verdana"/>
          <w:sz w:val="20"/>
        </w:rPr>
      </w:pPr>
    </w:p>
    <w:sectPr w:rsidR="00373DA6" w:rsidSect="00DA342D">
      <w:headerReference w:type="default" r:id="rId18"/>
      <w:pgSz w:w="12240" w:h="15840"/>
      <w:pgMar w:top="355" w:right="1800" w:bottom="70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1B" w:rsidRDefault="00987C1B">
      <w:r>
        <w:separator/>
      </w:r>
    </w:p>
  </w:endnote>
  <w:endnote w:type="continuationSeparator" w:id="0">
    <w:p w:rsidR="00987C1B" w:rsidRDefault="0098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1B" w:rsidRDefault="00987C1B">
      <w:r>
        <w:separator/>
      </w:r>
    </w:p>
  </w:footnote>
  <w:footnote w:type="continuationSeparator" w:id="0">
    <w:p w:rsidR="00987C1B" w:rsidRDefault="00987C1B">
      <w:r>
        <w:continuationSeparator/>
      </w:r>
    </w:p>
  </w:footnote>
  <w:footnote w:id="1">
    <w:p w:rsidR="00987C1B" w:rsidRDefault="00987C1B">
      <w:pPr>
        <w:pStyle w:val="FootnoteText"/>
      </w:pPr>
      <w:r>
        <w:rPr>
          <w:rStyle w:val="FootnoteReference"/>
        </w:rPr>
        <w:footnoteRef/>
      </w:r>
      <w:r>
        <w:t xml:space="preserve"> Miljødirektoratet (2015): Klimatiltak og utslippsbaner mot 2030. Kunnskapsgrunnlag for lavutslippsutvikling. Rapport M-386, 322 sider.</w:t>
      </w:r>
    </w:p>
  </w:footnote>
  <w:footnote w:id="2">
    <w:p w:rsidR="00987C1B" w:rsidRDefault="00987C1B">
      <w:pPr>
        <w:pStyle w:val="FootnoteText"/>
      </w:pPr>
      <w:r>
        <w:rPr>
          <w:rStyle w:val="FootnoteReference"/>
        </w:rPr>
        <w:footnoteRef/>
      </w:r>
      <w:r>
        <w:t xml:space="preserve"> </w:t>
      </w:r>
      <w:r>
        <w:fldChar w:fldCharType="begin"/>
      </w:r>
      <w:r>
        <w:instrText xml:space="preserve"> ADDIN EN.CITE &lt;EndNote&gt;&lt;Cite&gt;&lt;Author&gt;økonomistyring&lt;/Author&gt;&lt;Year&gt;2014&lt;/Year&gt;&lt;RecNum&gt;3&lt;/RecNum&gt;&lt;DisplayText&gt;Direktoratet for økonomistyring (2014). Veileder i samfunnsøkonomiske analyser.&lt;/DisplayText&gt;&lt;record&gt;&lt;rec-number&gt;3&lt;/rec-number&gt;&lt;foreign-keys&gt;&lt;key app="EN" db-id="9afexa52u9atvmer9xm5a25lwzpf0ppxsf50" timestamp="1499260379"&gt;3&lt;/key&gt;&lt;/foreign-keys&gt;&lt;ref-type name="Report"&gt;27&lt;/ref-type&gt;&lt;contributors&gt;&lt;authors&gt;&lt;author&gt;Direktoratet for økonomistyring,&lt;/author&gt;&lt;/authors&gt;&lt;/contributors&gt;&lt;titles&gt;&lt;title&gt;Veileder i samfunnsøkonomiske analyser&lt;/title&gt;&lt;/titles&gt;&lt;dates&gt;&lt;year&gt;2014&lt;/year&gt;&lt;/dates&gt;&lt;urls&gt;&lt;related-urls&gt;&lt;url&gt;https://dfo.no/Documents/FOA/publikasjoner/veiledere/Veileder_i_samfunns%c3%b8konomiske_analyser_1409.pdf&lt;/url&gt;&lt;/related-urls&gt;&lt;/urls&gt;&lt;/record&gt;&lt;/Cite&gt;&lt;/EndNote&gt;</w:instrText>
      </w:r>
      <w:r>
        <w:fldChar w:fldCharType="separate"/>
      </w:r>
      <w:r>
        <w:rPr>
          <w:noProof/>
        </w:rPr>
        <w:t>Direktoratet for økonomistyring (2014). Veileder i samfunnsøkonomiske analyser.</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1B" w:rsidRDefault="00987C1B">
    <w:pPr>
      <w:pStyle w:val="Overskriftforfaks"/>
    </w:pPr>
    <w:r>
      <w:rPr>
        <w:noProof/>
      </w:rPr>
      <w:drawing>
        <wp:anchor distT="0" distB="0" distL="114300" distR="114300" simplePos="0" relativeHeight="251659264" behindDoc="0" locked="0" layoutInCell="1" allowOverlap="1" wp14:anchorId="0EC130A4" wp14:editId="2473B389">
          <wp:simplePos x="0" y="0"/>
          <wp:positionH relativeFrom="page">
            <wp:posOffset>5791200</wp:posOffset>
          </wp:positionH>
          <wp:positionV relativeFrom="page">
            <wp:posOffset>-133350</wp:posOffset>
          </wp:positionV>
          <wp:extent cx="2447925" cy="1195070"/>
          <wp:effectExtent l="0" t="0" r="0" b="5080"/>
          <wp:wrapNone/>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_enova_ver2-1.png"/>
                  <pic:cNvPicPr/>
                </pic:nvPicPr>
                <pic:blipFill>
                  <a:blip r:embed="rId1"/>
                  <a:stretch>
                    <a:fillRect/>
                  </a:stretch>
                </pic:blipFill>
                <pic:spPr>
                  <a:xfrm>
                    <a:off x="0" y="0"/>
                    <a:ext cx="2447925" cy="1195070"/>
                  </a:xfrm>
                  <a:prstGeom prst="rect">
                    <a:avLst/>
                  </a:prstGeom>
                </pic:spPr>
              </pic:pic>
            </a:graphicData>
          </a:graphic>
          <wp14:sizeRelH relativeFrom="page">
            <wp14:pctWidth>0</wp14:pctWidth>
          </wp14:sizeRelH>
          <wp14:sizeRelV relativeFrom="page">
            <wp14:pctHeight>0</wp14:pctHeight>
          </wp14:sizeRelV>
        </wp:anchor>
      </w:drawing>
    </w:r>
    <w:r>
      <w:t>notat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924EF52"/>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F2682B3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89004AA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9FC52A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16707B"/>
    <w:multiLevelType w:val="hybridMultilevel"/>
    <w:tmpl w:val="F8045D32"/>
    <w:lvl w:ilvl="0" w:tplc="A76C7DFE">
      <w:start w:val="19"/>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654D89"/>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0720E5D"/>
    <w:multiLevelType w:val="hybridMultilevel"/>
    <w:tmpl w:val="7462739E"/>
    <w:lvl w:ilvl="0" w:tplc="1768547C">
      <w:start w:val="1"/>
      <w:numFmt w:val="lowerRoman"/>
      <w:lvlText w:val="%1."/>
      <w:lvlJc w:val="right"/>
      <w:pPr>
        <w:tabs>
          <w:tab w:val="num" w:pos="720"/>
        </w:tabs>
        <w:ind w:left="720" w:hanging="360"/>
      </w:pPr>
    </w:lvl>
    <w:lvl w:ilvl="1" w:tplc="7C3230A2" w:tentative="1">
      <w:start w:val="1"/>
      <w:numFmt w:val="lowerRoman"/>
      <w:lvlText w:val="%2."/>
      <w:lvlJc w:val="right"/>
      <w:pPr>
        <w:tabs>
          <w:tab w:val="num" w:pos="1440"/>
        </w:tabs>
        <w:ind w:left="1440" w:hanging="360"/>
      </w:pPr>
    </w:lvl>
    <w:lvl w:ilvl="2" w:tplc="42F408AC" w:tentative="1">
      <w:start w:val="1"/>
      <w:numFmt w:val="lowerRoman"/>
      <w:lvlText w:val="%3."/>
      <w:lvlJc w:val="right"/>
      <w:pPr>
        <w:tabs>
          <w:tab w:val="num" w:pos="2160"/>
        </w:tabs>
        <w:ind w:left="2160" w:hanging="360"/>
      </w:pPr>
    </w:lvl>
    <w:lvl w:ilvl="3" w:tplc="ED4626F0" w:tentative="1">
      <w:start w:val="1"/>
      <w:numFmt w:val="lowerRoman"/>
      <w:lvlText w:val="%4."/>
      <w:lvlJc w:val="right"/>
      <w:pPr>
        <w:tabs>
          <w:tab w:val="num" w:pos="2880"/>
        </w:tabs>
        <w:ind w:left="2880" w:hanging="360"/>
      </w:pPr>
    </w:lvl>
    <w:lvl w:ilvl="4" w:tplc="40206F82" w:tentative="1">
      <w:start w:val="1"/>
      <w:numFmt w:val="lowerRoman"/>
      <w:lvlText w:val="%5."/>
      <w:lvlJc w:val="right"/>
      <w:pPr>
        <w:tabs>
          <w:tab w:val="num" w:pos="3600"/>
        </w:tabs>
        <w:ind w:left="3600" w:hanging="360"/>
      </w:pPr>
    </w:lvl>
    <w:lvl w:ilvl="5" w:tplc="57CE11F0" w:tentative="1">
      <w:start w:val="1"/>
      <w:numFmt w:val="lowerRoman"/>
      <w:lvlText w:val="%6."/>
      <w:lvlJc w:val="right"/>
      <w:pPr>
        <w:tabs>
          <w:tab w:val="num" w:pos="4320"/>
        </w:tabs>
        <w:ind w:left="4320" w:hanging="360"/>
      </w:pPr>
    </w:lvl>
    <w:lvl w:ilvl="6" w:tplc="65AAB4FC" w:tentative="1">
      <w:start w:val="1"/>
      <w:numFmt w:val="lowerRoman"/>
      <w:lvlText w:val="%7."/>
      <w:lvlJc w:val="right"/>
      <w:pPr>
        <w:tabs>
          <w:tab w:val="num" w:pos="5040"/>
        </w:tabs>
        <w:ind w:left="5040" w:hanging="360"/>
      </w:pPr>
    </w:lvl>
    <w:lvl w:ilvl="7" w:tplc="CAACACA8" w:tentative="1">
      <w:start w:val="1"/>
      <w:numFmt w:val="lowerRoman"/>
      <w:lvlText w:val="%8."/>
      <w:lvlJc w:val="right"/>
      <w:pPr>
        <w:tabs>
          <w:tab w:val="num" w:pos="5760"/>
        </w:tabs>
        <w:ind w:left="5760" w:hanging="360"/>
      </w:pPr>
    </w:lvl>
    <w:lvl w:ilvl="8" w:tplc="32E62302" w:tentative="1">
      <w:start w:val="1"/>
      <w:numFmt w:val="lowerRoman"/>
      <w:lvlText w:val="%9."/>
      <w:lvlJc w:val="right"/>
      <w:pPr>
        <w:tabs>
          <w:tab w:val="num" w:pos="6480"/>
        </w:tabs>
        <w:ind w:left="6480" w:hanging="360"/>
      </w:pPr>
    </w:lvl>
  </w:abstractNum>
  <w:abstractNum w:abstractNumId="7" w15:restartNumberingAfterBreak="0">
    <w:nsid w:val="157E2EF1"/>
    <w:multiLevelType w:val="hybridMultilevel"/>
    <w:tmpl w:val="2A1A816C"/>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D6D19C4"/>
    <w:multiLevelType w:val="hybridMultilevel"/>
    <w:tmpl w:val="58A89836"/>
    <w:lvl w:ilvl="0" w:tplc="0414001B">
      <w:start w:val="1"/>
      <w:numFmt w:val="lowerRoman"/>
      <w:lvlText w:val="%1."/>
      <w:lvlJc w:val="right"/>
      <w:pPr>
        <w:tabs>
          <w:tab w:val="num" w:pos="720"/>
        </w:tabs>
        <w:ind w:left="720" w:hanging="360"/>
      </w:pPr>
    </w:lvl>
    <w:lvl w:ilvl="1" w:tplc="77E407B6" w:tentative="1">
      <w:start w:val="1"/>
      <w:numFmt w:val="lowerLetter"/>
      <w:lvlText w:val="%2)"/>
      <w:lvlJc w:val="left"/>
      <w:pPr>
        <w:tabs>
          <w:tab w:val="num" w:pos="1440"/>
        </w:tabs>
        <w:ind w:left="1440" w:hanging="360"/>
      </w:pPr>
    </w:lvl>
    <w:lvl w:ilvl="2" w:tplc="3D9CFDBE" w:tentative="1">
      <w:start w:val="1"/>
      <w:numFmt w:val="lowerLetter"/>
      <w:lvlText w:val="%3)"/>
      <w:lvlJc w:val="left"/>
      <w:pPr>
        <w:tabs>
          <w:tab w:val="num" w:pos="2160"/>
        </w:tabs>
        <w:ind w:left="2160" w:hanging="360"/>
      </w:pPr>
    </w:lvl>
    <w:lvl w:ilvl="3" w:tplc="1BA4E9F4" w:tentative="1">
      <w:start w:val="1"/>
      <w:numFmt w:val="lowerLetter"/>
      <w:lvlText w:val="%4)"/>
      <w:lvlJc w:val="left"/>
      <w:pPr>
        <w:tabs>
          <w:tab w:val="num" w:pos="2880"/>
        </w:tabs>
        <w:ind w:left="2880" w:hanging="360"/>
      </w:pPr>
    </w:lvl>
    <w:lvl w:ilvl="4" w:tplc="B8D660FE" w:tentative="1">
      <w:start w:val="1"/>
      <w:numFmt w:val="lowerLetter"/>
      <w:lvlText w:val="%5)"/>
      <w:lvlJc w:val="left"/>
      <w:pPr>
        <w:tabs>
          <w:tab w:val="num" w:pos="3600"/>
        </w:tabs>
        <w:ind w:left="3600" w:hanging="360"/>
      </w:pPr>
    </w:lvl>
    <w:lvl w:ilvl="5" w:tplc="7EAE399E" w:tentative="1">
      <w:start w:val="1"/>
      <w:numFmt w:val="lowerLetter"/>
      <w:lvlText w:val="%6)"/>
      <w:lvlJc w:val="left"/>
      <w:pPr>
        <w:tabs>
          <w:tab w:val="num" w:pos="4320"/>
        </w:tabs>
        <w:ind w:left="4320" w:hanging="360"/>
      </w:pPr>
    </w:lvl>
    <w:lvl w:ilvl="6" w:tplc="B432896E" w:tentative="1">
      <w:start w:val="1"/>
      <w:numFmt w:val="lowerLetter"/>
      <w:lvlText w:val="%7)"/>
      <w:lvlJc w:val="left"/>
      <w:pPr>
        <w:tabs>
          <w:tab w:val="num" w:pos="5040"/>
        </w:tabs>
        <w:ind w:left="5040" w:hanging="360"/>
      </w:pPr>
    </w:lvl>
    <w:lvl w:ilvl="7" w:tplc="B3925492" w:tentative="1">
      <w:start w:val="1"/>
      <w:numFmt w:val="lowerLetter"/>
      <w:lvlText w:val="%8)"/>
      <w:lvlJc w:val="left"/>
      <w:pPr>
        <w:tabs>
          <w:tab w:val="num" w:pos="5760"/>
        </w:tabs>
        <w:ind w:left="5760" w:hanging="360"/>
      </w:pPr>
    </w:lvl>
    <w:lvl w:ilvl="8" w:tplc="CF466776" w:tentative="1">
      <w:start w:val="1"/>
      <w:numFmt w:val="lowerLetter"/>
      <w:lvlText w:val="%9)"/>
      <w:lvlJc w:val="left"/>
      <w:pPr>
        <w:tabs>
          <w:tab w:val="num" w:pos="6480"/>
        </w:tabs>
        <w:ind w:left="6480" w:hanging="360"/>
      </w:pPr>
    </w:lvl>
  </w:abstractNum>
  <w:abstractNum w:abstractNumId="9" w15:restartNumberingAfterBreak="0">
    <w:nsid w:val="1E41643B"/>
    <w:multiLevelType w:val="hybridMultilevel"/>
    <w:tmpl w:val="3AAC29B6"/>
    <w:lvl w:ilvl="0" w:tplc="04140011">
      <w:start w:val="1"/>
      <w:numFmt w:val="decimal"/>
      <w:lvlText w:val="%1)"/>
      <w:lvlJc w:val="left"/>
      <w:pPr>
        <w:ind w:left="720" w:hanging="360"/>
      </w:pPr>
      <w:rPr>
        <w:rFonts w:cs="Times New Roman"/>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start w:val="1"/>
      <w:numFmt w:val="decimal"/>
      <w:lvlText w:val="%4."/>
      <w:lvlJc w:val="left"/>
      <w:pPr>
        <w:ind w:left="2880" w:hanging="360"/>
      </w:pPr>
      <w:rPr>
        <w:rFonts w:cs="Times New Roman"/>
      </w:rPr>
    </w:lvl>
    <w:lvl w:ilvl="4" w:tplc="04140019">
      <w:start w:val="1"/>
      <w:numFmt w:val="lowerLetter"/>
      <w:lvlText w:val="%5."/>
      <w:lvlJc w:val="left"/>
      <w:pPr>
        <w:ind w:left="3600" w:hanging="360"/>
      </w:pPr>
      <w:rPr>
        <w:rFonts w:cs="Times New Roman"/>
      </w:rPr>
    </w:lvl>
    <w:lvl w:ilvl="5" w:tplc="0414001B">
      <w:start w:val="1"/>
      <w:numFmt w:val="lowerRoman"/>
      <w:lvlText w:val="%6."/>
      <w:lvlJc w:val="right"/>
      <w:pPr>
        <w:ind w:left="4320" w:hanging="180"/>
      </w:pPr>
      <w:rPr>
        <w:rFonts w:cs="Times New Roman"/>
      </w:rPr>
    </w:lvl>
    <w:lvl w:ilvl="6" w:tplc="0414000F">
      <w:start w:val="1"/>
      <w:numFmt w:val="decimal"/>
      <w:lvlText w:val="%7."/>
      <w:lvlJc w:val="left"/>
      <w:pPr>
        <w:ind w:left="5040" w:hanging="360"/>
      </w:pPr>
      <w:rPr>
        <w:rFonts w:cs="Times New Roman"/>
      </w:rPr>
    </w:lvl>
    <w:lvl w:ilvl="7" w:tplc="04140019">
      <w:start w:val="1"/>
      <w:numFmt w:val="lowerLetter"/>
      <w:lvlText w:val="%8."/>
      <w:lvlJc w:val="left"/>
      <w:pPr>
        <w:ind w:left="5760" w:hanging="360"/>
      </w:pPr>
      <w:rPr>
        <w:rFonts w:cs="Times New Roman"/>
      </w:rPr>
    </w:lvl>
    <w:lvl w:ilvl="8" w:tplc="0414001B">
      <w:start w:val="1"/>
      <w:numFmt w:val="lowerRoman"/>
      <w:lvlText w:val="%9."/>
      <w:lvlJc w:val="right"/>
      <w:pPr>
        <w:ind w:left="6480" w:hanging="180"/>
      </w:pPr>
      <w:rPr>
        <w:rFonts w:cs="Times New Roman"/>
      </w:rPr>
    </w:lvl>
  </w:abstractNum>
  <w:abstractNum w:abstractNumId="10" w15:restartNumberingAfterBreak="0">
    <w:nsid w:val="274F38A3"/>
    <w:multiLevelType w:val="hybridMultilevel"/>
    <w:tmpl w:val="C1BA8E3C"/>
    <w:lvl w:ilvl="0" w:tplc="ED740AC6">
      <w:start w:val="23"/>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07C3650"/>
    <w:multiLevelType w:val="hybridMultilevel"/>
    <w:tmpl w:val="B15A5212"/>
    <w:lvl w:ilvl="0" w:tplc="DB54E128">
      <w:start w:val="1"/>
      <w:numFmt w:val="lowerLetter"/>
      <w:lvlText w:val="%1)"/>
      <w:lvlJc w:val="left"/>
      <w:pPr>
        <w:tabs>
          <w:tab w:val="num" w:pos="720"/>
        </w:tabs>
        <w:ind w:left="720" w:hanging="360"/>
      </w:pPr>
    </w:lvl>
    <w:lvl w:ilvl="1" w:tplc="77E407B6" w:tentative="1">
      <w:start w:val="1"/>
      <w:numFmt w:val="lowerLetter"/>
      <w:lvlText w:val="%2)"/>
      <w:lvlJc w:val="left"/>
      <w:pPr>
        <w:tabs>
          <w:tab w:val="num" w:pos="1440"/>
        </w:tabs>
        <w:ind w:left="1440" w:hanging="360"/>
      </w:pPr>
    </w:lvl>
    <w:lvl w:ilvl="2" w:tplc="3D9CFDBE" w:tentative="1">
      <w:start w:val="1"/>
      <w:numFmt w:val="lowerLetter"/>
      <w:lvlText w:val="%3)"/>
      <w:lvlJc w:val="left"/>
      <w:pPr>
        <w:tabs>
          <w:tab w:val="num" w:pos="2160"/>
        </w:tabs>
        <w:ind w:left="2160" w:hanging="360"/>
      </w:pPr>
    </w:lvl>
    <w:lvl w:ilvl="3" w:tplc="1BA4E9F4" w:tentative="1">
      <w:start w:val="1"/>
      <w:numFmt w:val="lowerLetter"/>
      <w:lvlText w:val="%4)"/>
      <w:lvlJc w:val="left"/>
      <w:pPr>
        <w:tabs>
          <w:tab w:val="num" w:pos="2880"/>
        </w:tabs>
        <w:ind w:left="2880" w:hanging="360"/>
      </w:pPr>
    </w:lvl>
    <w:lvl w:ilvl="4" w:tplc="B8D660FE" w:tentative="1">
      <w:start w:val="1"/>
      <w:numFmt w:val="lowerLetter"/>
      <w:lvlText w:val="%5)"/>
      <w:lvlJc w:val="left"/>
      <w:pPr>
        <w:tabs>
          <w:tab w:val="num" w:pos="3600"/>
        </w:tabs>
        <w:ind w:left="3600" w:hanging="360"/>
      </w:pPr>
    </w:lvl>
    <w:lvl w:ilvl="5" w:tplc="7EAE399E" w:tentative="1">
      <w:start w:val="1"/>
      <w:numFmt w:val="lowerLetter"/>
      <w:lvlText w:val="%6)"/>
      <w:lvlJc w:val="left"/>
      <w:pPr>
        <w:tabs>
          <w:tab w:val="num" w:pos="4320"/>
        </w:tabs>
        <w:ind w:left="4320" w:hanging="360"/>
      </w:pPr>
    </w:lvl>
    <w:lvl w:ilvl="6" w:tplc="B432896E" w:tentative="1">
      <w:start w:val="1"/>
      <w:numFmt w:val="lowerLetter"/>
      <w:lvlText w:val="%7)"/>
      <w:lvlJc w:val="left"/>
      <w:pPr>
        <w:tabs>
          <w:tab w:val="num" w:pos="5040"/>
        </w:tabs>
        <w:ind w:left="5040" w:hanging="360"/>
      </w:pPr>
    </w:lvl>
    <w:lvl w:ilvl="7" w:tplc="B3925492" w:tentative="1">
      <w:start w:val="1"/>
      <w:numFmt w:val="lowerLetter"/>
      <w:lvlText w:val="%8)"/>
      <w:lvlJc w:val="left"/>
      <w:pPr>
        <w:tabs>
          <w:tab w:val="num" w:pos="5760"/>
        </w:tabs>
        <w:ind w:left="5760" w:hanging="360"/>
      </w:pPr>
    </w:lvl>
    <w:lvl w:ilvl="8" w:tplc="CF466776" w:tentative="1">
      <w:start w:val="1"/>
      <w:numFmt w:val="lowerLetter"/>
      <w:lvlText w:val="%9)"/>
      <w:lvlJc w:val="left"/>
      <w:pPr>
        <w:tabs>
          <w:tab w:val="num" w:pos="6480"/>
        </w:tabs>
        <w:ind w:left="6480" w:hanging="360"/>
      </w:pPr>
    </w:lvl>
  </w:abstractNum>
  <w:abstractNum w:abstractNumId="12" w15:restartNumberingAfterBreak="0">
    <w:nsid w:val="338073F3"/>
    <w:multiLevelType w:val="hybridMultilevel"/>
    <w:tmpl w:val="29F4EED8"/>
    <w:lvl w:ilvl="0" w:tplc="642C7098">
      <w:start w:val="1"/>
      <w:numFmt w:val="decimal"/>
      <w:lvlText w:val="%1."/>
      <w:lvlJc w:val="left"/>
      <w:pPr>
        <w:tabs>
          <w:tab w:val="num" w:pos="720"/>
        </w:tabs>
        <w:ind w:left="720" w:hanging="360"/>
      </w:pPr>
    </w:lvl>
    <w:lvl w:ilvl="1" w:tplc="FC7CE19E">
      <w:start w:val="1"/>
      <w:numFmt w:val="decimal"/>
      <w:lvlText w:val="%2."/>
      <w:lvlJc w:val="left"/>
      <w:pPr>
        <w:tabs>
          <w:tab w:val="num" w:pos="1440"/>
        </w:tabs>
        <w:ind w:left="1440" w:hanging="360"/>
      </w:pPr>
    </w:lvl>
    <w:lvl w:ilvl="2" w:tplc="F5D467B8">
      <w:start w:val="186"/>
      <w:numFmt w:val="bullet"/>
      <w:lvlText w:val="o"/>
      <w:lvlJc w:val="left"/>
      <w:pPr>
        <w:tabs>
          <w:tab w:val="num" w:pos="2160"/>
        </w:tabs>
        <w:ind w:left="2160" w:hanging="360"/>
      </w:pPr>
      <w:rPr>
        <w:rFonts w:ascii="Courier New" w:hAnsi="Courier New" w:hint="default"/>
      </w:rPr>
    </w:lvl>
    <w:lvl w:ilvl="3" w:tplc="63A4F30E" w:tentative="1">
      <w:start w:val="1"/>
      <w:numFmt w:val="decimal"/>
      <w:lvlText w:val="%4."/>
      <w:lvlJc w:val="left"/>
      <w:pPr>
        <w:tabs>
          <w:tab w:val="num" w:pos="2880"/>
        </w:tabs>
        <w:ind w:left="2880" w:hanging="360"/>
      </w:pPr>
    </w:lvl>
    <w:lvl w:ilvl="4" w:tplc="E510194C" w:tentative="1">
      <w:start w:val="1"/>
      <w:numFmt w:val="decimal"/>
      <w:lvlText w:val="%5."/>
      <w:lvlJc w:val="left"/>
      <w:pPr>
        <w:tabs>
          <w:tab w:val="num" w:pos="3600"/>
        </w:tabs>
        <w:ind w:left="3600" w:hanging="360"/>
      </w:pPr>
    </w:lvl>
    <w:lvl w:ilvl="5" w:tplc="E7F2C664" w:tentative="1">
      <w:start w:val="1"/>
      <w:numFmt w:val="decimal"/>
      <w:lvlText w:val="%6."/>
      <w:lvlJc w:val="left"/>
      <w:pPr>
        <w:tabs>
          <w:tab w:val="num" w:pos="4320"/>
        </w:tabs>
        <w:ind w:left="4320" w:hanging="360"/>
      </w:pPr>
    </w:lvl>
    <w:lvl w:ilvl="6" w:tplc="82AC6E08" w:tentative="1">
      <w:start w:val="1"/>
      <w:numFmt w:val="decimal"/>
      <w:lvlText w:val="%7."/>
      <w:lvlJc w:val="left"/>
      <w:pPr>
        <w:tabs>
          <w:tab w:val="num" w:pos="5040"/>
        </w:tabs>
        <w:ind w:left="5040" w:hanging="360"/>
      </w:pPr>
    </w:lvl>
    <w:lvl w:ilvl="7" w:tplc="A9C20724" w:tentative="1">
      <w:start w:val="1"/>
      <w:numFmt w:val="decimal"/>
      <w:lvlText w:val="%8."/>
      <w:lvlJc w:val="left"/>
      <w:pPr>
        <w:tabs>
          <w:tab w:val="num" w:pos="5760"/>
        </w:tabs>
        <w:ind w:left="5760" w:hanging="360"/>
      </w:pPr>
    </w:lvl>
    <w:lvl w:ilvl="8" w:tplc="74CC584C" w:tentative="1">
      <w:start w:val="1"/>
      <w:numFmt w:val="decimal"/>
      <w:lvlText w:val="%9."/>
      <w:lvlJc w:val="left"/>
      <w:pPr>
        <w:tabs>
          <w:tab w:val="num" w:pos="6480"/>
        </w:tabs>
        <w:ind w:left="6480" w:hanging="360"/>
      </w:pPr>
    </w:lvl>
  </w:abstractNum>
  <w:abstractNum w:abstractNumId="13" w15:restartNumberingAfterBreak="0">
    <w:nsid w:val="400F3E59"/>
    <w:multiLevelType w:val="hybridMultilevel"/>
    <w:tmpl w:val="14265B40"/>
    <w:lvl w:ilvl="0" w:tplc="206069CC">
      <w:start w:val="14"/>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811710F"/>
    <w:multiLevelType w:val="hybridMultilevel"/>
    <w:tmpl w:val="B9FC6E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4CC4B80"/>
    <w:multiLevelType w:val="hybridMultilevel"/>
    <w:tmpl w:val="581800B2"/>
    <w:lvl w:ilvl="0" w:tplc="0414001B">
      <w:start w:val="1"/>
      <w:numFmt w:val="lowerRoman"/>
      <w:lvlText w:val="%1."/>
      <w:lvlJc w:val="righ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FB094D"/>
    <w:multiLevelType w:val="hybridMultilevel"/>
    <w:tmpl w:val="0A363DD4"/>
    <w:lvl w:ilvl="0" w:tplc="5FF81450">
      <w:start w:val="1"/>
      <w:numFmt w:val="bullet"/>
      <w:lvlText w:val="•"/>
      <w:lvlJc w:val="left"/>
      <w:pPr>
        <w:tabs>
          <w:tab w:val="num" w:pos="720"/>
        </w:tabs>
        <w:ind w:left="720" w:hanging="360"/>
      </w:pPr>
      <w:rPr>
        <w:rFonts w:ascii="Arial" w:hAnsi="Arial" w:hint="default"/>
      </w:rPr>
    </w:lvl>
    <w:lvl w:ilvl="1" w:tplc="A9A0D04E" w:tentative="1">
      <w:start w:val="1"/>
      <w:numFmt w:val="bullet"/>
      <w:lvlText w:val="•"/>
      <w:lvlJc w:val="left"/>
      <w:pPr>
        <w:tabs>
          <w:tab w:val="num" w:pos="1440"/>
        </w:tabs>
        <w:ind w:left="1440" w:hanging="360"/>
      </w:pPr>
      <w:rPr>
        <w:rFonts w:ascii="Arial" w:hAnsi="Arial" w:hint="default"/>
      </w:rPr>
    </w:lvl>
    <w:lvl w:ilvl="2" w:tplc="B61CFF64" w:tentative="1">
      <w:start w:val="1"/>
      <w:numFmt w:val="bullet"/>
      <w:lvlText w:val="•"/>
      <w:lvlJc w:val="left"/>
      <w:pPr>
        <w:tabs>
          <w:tab w:val="num" w:pos="2160"/>
        </w:tabs>
        <w:ind w:left="2160" w:hanging="360"/>
      </w:pPr>
      <w:rPr>
        <w:rFonts w:ascii="Arial" w:hAnsi="Arial" w:hint="default"/>
      </w:rPr>
    </w:lvl>
    <w:lvl w:ilvl="3" w:tplc="4A86795E" w:tentative="1">
      <w:start w:val="1"/>
      <w:numFmt w:val="bullet"/>
      <w:lvlText w:val="•"/>
      <w:lvlJc w:val="left"/>
      <w:pPr>
        <w:tabs>
          <w:tab w:val="num" w:pos="2880"/>
        </w:tabs>
        <w:ind w:left="2880" w:hanging="360"/>
      </w:pPr>
      <w:rPr>
        <w:rFonts w:ascii="Arial" w:hAnsi="Arial" w:hint="default"/>
      </w:rPr>
    </w:lvl>
    <w:lvl w:ilvl="4" w:tplc="880477E8" w:tentative="1">
      <w:start w:val="1"/>
      <w:numFmt w:val="bullet"/>
      <w:lvlText w:val="•"/>
      <w:lvlJc w:val="left"/>
      <w:pPr>
        <w:tabs>
          <w:tab w:val="num" w:pos="3600"/>
        </w:tabs>
        <w:ind w:left="3600" w:hanging="360"/>
      </w:pPr>
      <w:rPr>
        <w:rFonts w:ascii="Arial" w:hAnsi="Arial" w:hint="default"/>
      </w:rPr>
    </w:lvl>
    <w:lvl w:ilvl="5" w:tplc="59CA31F2" w:tentative="1">
      <w:start w:val="1"/>
      <w:numFmt w:val="bullet"/>
      <w:lvlText w:val="•"/>
      <w:lvlJc w:val="left"/>
      <w:pPr>
        <w:tabs>
          <w:tab w:val="num" w:pos="4320"/>
        </w:tabs>
        <w:ind w:left="4320" w:hanging="360"/>
      </w:pPr>
      <w:rPr>
        <w:rFonts w:ascii="Arial" w:hAnsi="Arial" w:hint="default"/>
      </w:rPr>
    </w:lvl>
    <w:lvl w:ilvl="6" w:tplc="66404458" w:tentative="1">
      <w:start w:val="1"/>
      <w:numFmt w:val="bullet"/>
      <w:lvlText w:val="•"/>
      <w:lvlJc w:val="left"/>
      <w:pPr>
        <w:tabs>
          <w:tab w:val="num" w:pos="5040"/>
        </w:tabs>
        <w:ind w:left="5040" w:hanging="360"/>
      </w:pPr>
      <w:rPr>
        <w:rFonts w:ascii="Arial" w:hAnsi="Arial" w:hint="default"/>
      </w:rPr>
    </w:lvl>
    <w:lvl w:ilvl="7" w:tplc="47D8A712" w:tentative="1">
      <w:start w:val="1"/>
      <w:numFmt w:val="bullet"/>
      <w:lvlText w:val="•"/>
      <w:lvlJc w:val="left"/>
      <w:pPr>
        <w:tabs>
          <w:tab w:val="num" w:pos="5760"/>
        </w:tabs>
        <w:ind w:left="5760" w:hanging="360"/>
      </w:pPr>
      <w:rPr>
        <w:rFonts w:ascii="Arial" w:hAnsi="Arial" w:hint="default"/>
      </w:rPr>
    </w:lvl>
    <w:lvl w:ilvl="8" w:tplc="E21A98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581BD7"/>
    <w:multiLevelType w:val="hybridMultilevel"/>
    <w:tmpl w:val="C16AB99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25C237F"/>
    <w:multiLevelType w:val="hybridMultilevel"/>
    <w:tmpl w:val="076887B4"/>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6FD51A0"/>
    <w:multiLevelType w:val="hybridMultilevel"/>
    <w:tmpl w:val="E08AA80C"/>
    <w:lvl w:ilvl="0" w:tplc="04140017">
      <w:start w:val="1"/>
      <w:numFmt w:val="lowerLetter"/>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4181EF9"/>
    <w:multiLevelType w:val="hybridMultilevel"/>
    <w:tmpl w:val="E9AAD7C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4D56D4C"/>
    <w:multiLevelType w:val="hybridMultilevel"/>
    <w:tmpl w:val="E9AAD7C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E7D530C"/>
    <w:multiLevelType w:val="hybridMultilevel"/>
    <w:tmpl w:val="E758B03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0"/>
  </w:num>
  <w:num w:numId="9">
    <w:abstractNumId w:val="13"/>
  </w:num>
  <w:num w:numId="10">
    <w:abstractNumId w:val="22"/>
  </w:num>
  <w:num w:numId="11">
    <w:abstractNumId w:val="17"/>
  </w:num>
  <w:num w:numId="12">
    <w:abstractNumId w:val="16"/>
  </w:num>
  <w:num w:numId="13">
    <w:abstractNumId w:val="11"/>
  </w:num>
  <w:num w:numId="14">
    <w:abstractNumId w:val="6"/>
  </w:num>
  <w:num w:numId="15">
    <w:abstractNumId w:val="8"/>
  </w:num>
  <w:num w:numId="16">
    <w:abstractNumId w:val="12"/>
  </w:num>
  <w:num w:numId="17">
    <w:abstractNumId w:val="4"/>
  </w:num>
  <w:num w:numId="18">
    <w:abstractNumId w:val="15"/>
  </w:num>
  <w:num w:numId="19">
    <w:abstractNumId w:val="18"/>
  </w:num>
  <w:num w:numId="20">
    <w:abstractNumId w:val="7"/>
  </w:num>
  <w:num w:numId="21">
    <w:abstractNumId w:val="20"/>
  </w:num>
  <w:num w:numId="22">
    <w:abstractNumId w:val="5"/>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Copy1etal&lt;/Style&gt;&lt;LeftDelim&gt;{&lt;/LeftDelim&gt;&lt;RightDelim&gt;}&lt;/RightDelim&gt;&lt;FontName&gt;Calibri&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fexa52u9atvmer9xm5a25lwzpf0ppxsf50&quot;&gt;Enova_pih&lt;record-ids&gt;&lt;item&gt;1&lt;/item&gt;&lt;item&gt;2&lt;/item&gt;&lt;item&gt;3&lt;/item&gt;&lt;item&gt;4&lt;/item&gt;&lt;item&gt;6&lt;/item&gt;&lt;item&gt;7&lt;/item&gt;&lt;item&gt;8&lt;/item&gt;&lt;/record-ids&gt;&lt;/item&gt;&lt;/Libraries&gt;"/>
  </w:docVars>
  <w:rsids>
    <w:rsidRoot w:val="00610DFF"/>
    <w:rsid w:val="000049AD"/>
    <w:rsid w:val="000233C9"/>
    <w:rsid w:val="0002350E"/>
    <w:rsid w:val="00045F77"/>
    <w:rsid w:val="00063931"/>
    <w:rsid w:val="00063C6E"/>
    <w:rsid w:val="00092D25"/>
    <w:rsid w:val="000D4159"/>
    <w:rsid w:val="001045FA"/>
    <w:rsid w:val="00104D67"/>
    <w:rsid w:val="001170EB"/>
    <w:rsid w:val="0012110B"/>
    <w:rsid w:val="00144359"/>
    <w:rsid w:val="001542E5"/>
    <w:rsid w:val="00155366"/>
    <w:rsid w:val="0016066C"/>
    <w:rsid w:val="00182974"/>
    <w:rsid w:val="00183677"/>
    <w:rsid w:val="001A4A5E"/>
    <w:rsid w:val="001B3926"/>
    <w:rsid w:val="001B4748"/>
    <w:rsid w:val="001E0C31"/>
    <w:rsid w:val="0021166D"/>
    <w:rsid w:val="002159DC"/>
    <w:rsid w:val="0022350D"/>
    <w:rsid w:val="00224C5B"/>
    <w:rsid w:val="00233C5F"/>
    <w:rsid w:val="002353EB"/>
    <w:rsid w:val="002408E9"/>
    <w:rsid w:val="002436E3"/>
    <w:rsid w:val="00247AD1"/>
    <w:rsid w:val="002651D2"/>
    <w:rsid w:val="00285916"/>
    <w:rsid w:val="002B6CE3"/>
    <w:rsid w:val="002B7D43"/>
    <w:rsid w:val="002F27D7"/>
    <w:rsid w:val="00322C91"/>
    <w:rsid w:val="00334644"/>
    <w:rsid w:val="00341DE2"/>
    <w:rsid w:val="00361C61"/>
    <w:rsid w:val="00373DA6"/>
    <w:rsid w:val="003A66EF"/>
    <w:rsid w:val="003D32D0"/>
    <w:rsid w:val="003E59F3"/>
    <w:rsid w:val="003F3D47"/>
    <w:rsid w:val="003F7507"/>
    <w:rsid w:val="00400F84"/>
    <w:rsid w:val="00450A05"/>
    <w:rsid w:val="00453B97"/>
    <w:rsid w:val="0045445A"/>
    <w:rsid w:val="00455E4E"/>
    <w:rsid w:val="004820C2"/>
    <w:rsid w:val="00484BF9"/>
    <w:rsid w:val="004A1205"/>
    <w:rsid w:val="004C40EB"/>
    <w:rsid w:val="004C7420"/>
    <w:rsid w:val="004D6452"/>
    <w:rsid w:val="004F31A6"/>
    <w:rsid w:val="004F53AA"/>
    <w:rsid w:val="0050243C"/>
    <w:rsid w:val="005159E8"/>
    <w:rsid w:val="00521D8E"/>
    <w:rsid w:val="00526CAC"/>
    <w:rsid w:val="00534972"/>
    <w:rsid w:val="005548BA"/>
    <w:rsid w:val="0055676A"/>
    <w:rsid w:val="00565F08"/>
    <w:rsid w:val="0059122F"/>
    <w:rsid w:val="005941F9"/>
    <w:rsid w:val="005A4A9A"/>
    <w:rsid w:val="005E0074"/>
    <w:rsid w:val="005E70A3"/>
    <w:rsid w:val="005F6009"/>
    <w:rsid w:val="005F6FCC"/>
    <w:rsid w:val="00610DFF"/>
    <w:rsid w:val="00622208"/>
    <w:rsid w:val="00634689"/>
    <w:rsid w:val="00634C16"/>
    <w:rsid w:val="00672A14"/>
    <w:rsid w:val="00680708"/>
    <w:rsid w:val="006811E1"/>
    <w:rsid w:val="00685BFF"/>
    <w:rsid w:val="006875C4"/>
    <w:rsid w:val="006B1E5C"/>
    <w:rsid w:val="006B48B6"/>
    <w:rsid w:val="006B4BA5"/>
    <w:rsid w:val="006C1D89"/>
    <w:rsid w:val="006D4079"/>
    <w:rsid w:val="006E1287"/>
    <w:rsid w:val="006E14F5"/>
    <w:rsid w:val="0070438B"/>
    <w:rsid w:val="00706094"/>
    <w:rsid w:val="0072484A"/>
    <w:rsid w:val="00725F84"/>
    <w:rsid w:val="00740F59"/>
    <w:rsid w:val="00777095"/>
    <w:rsid w:val="00786522"/>
    <w:rsid w:val="007953F1"/>
    <w:rsid w:val="007A0D72"/>
    <w:rsid w:val="007B6DAB"/>
    <w:rsid w:val="007E5975"/>
    <w:rsid w:val="007F5F54"/>
    <w:rsid w:val="007F7258"/>
    <w:rsid w:val="00816EF9"/>
    <w:rsid w:val="00854B8D"/>
    <w:rsid w:val="00854F77"/>
    <w:rsid w:val="008644F2"/>
    <w:rsid w:val="00865891"/>
    <w:rsid w:val="00870030"/>
    <w:rsid w:val="00884885"/>
    <w:rsid w:val="00886B13"/>
    <w:rsid w:val="008A0397"/>
    <w:rsid w:val="008D099E"/>
    <w:rsid w:val="008E1C35"/>
    <w:rsid w:val="00902E67"/>
    <w:rsid w:val="00912F99"/>
    <w:rsid w:val="00915C95"/>
    <w:rsid w:val="00922232"/>
    <w:rsid w:val="00936BAB"/>
    <w:rsid w:val="009432DD"/>
    <w:rsid w:val="009460BD"/>
    <w:rsid w:val="00967D7E"/>
    <w:rsid w:val="00983274"/>
    <w:rsid w:val="00987C1B"/>
    <w:rsid w:val="009A5E2E"/>
    <w:rsid w:val="009C70EB"/>
    <w:rsid w:val="009D10A6"/>
    <w:rsid w:val="009E1D25"/>
    <w:rsid w:val="009E35D3"/>
    <w:rsid w:val="009F35D5"/>
    <w:rsid w:val="00A0463D"/>
    <w:rsid w:val="00A04EDB"/>
    <w:rsid w:val="00A12B9A"/>
    <w:rsid w:val="00A5637C"/>
    <w:rsid w:val="00A66BD6"/>
    <w:rsid w:val="00A7244B"/>
    <w:rsid w:val="00A865E9"/>
    <w:rsid w:val="00A97D32"/>
    <w:rsid w:val="00AC3927"/>
    <w:rsid w:val="00AE220C"/>
    <w:rsid w:val="00AE483C"/>
    <w:rsid w:val="00AF0FFC"/>
    <w:rsid w:val="00B00BC5"/>
    <w:rsid w:val="00B07ED5"/>
    <w:rsid w:val="00B16114"/>
    <w:rsid w:val="00B27190"/>
    <w:rsid w:val="00B47CF0"/>
    <w:rsid w:val="00B63C70"/>
    <w:rsid w:val="00BA30BC"/>
    <w:rsid w:val="00BA5ED7"/>
    <w:rsid w:val="00BA7083"/>
    <w:rsid w:val="00BB5233"/>
    <w:rsid w:val="00BC1958"/>
    <w:rsid w:val="00C0304C"/>
    <w:rsid w:val="00C0500C"/>
    <w:rsid w:val="00C05858"/>
    <w:rsid w:val="00C16BE9"/>
    <w:rsid w:val="00C17FCA"/>
    <w:rsid w:val="00C21E45"/>
    <w:rsid w:val="00C31698"/>
    <w:rsid w:val="00C44FF0"/>
    <w:rsid w:val="00C45B83"/>
    <w:rsid w:val="00C55950"/>
    <w:rsid w:val="00C73C99"/>
    <w:rsid w:val="00C75F5A"/>
    <w:rsid w:val="00C8104F"/>
    <w:rsid w:val="00CC3614"/>
    <w:rsid w:val="00CD2D3B"/>
    <w:rsid w:val="00CD4C99"/>
    <w:rsid w:val="00CE1331"/>
    <w:rsid w:val="00CE14DC"/>
    <w:rsid w:val="00D0676C"/>
    <w:rsid w:val="00D07975"/>
    <w:rsid w:val="00D3462E"/>
    <w:rsid w:val="00D451EE"/>
    <w:rsid w:val="00D50237"/>
    <w:rsid w:val="00D515BB"/>
    <w:rsid w:val="00D5330F"/>
    <w:rsid w:val="00D74C5E"/>
    <w:rsid w:val="00D75648"/>
    <w:rsid w:val="00D85412"/>
    <w:rsid w:val="00DA1A26"/>
    <w:rsid w:val="00DA342D"/>
    <w:rsid w:val="00DC0DDA"/>
    <w:rsid w:val="00DC1A62"/>
    <w:rsid w:val="00DC1BA0"/>
    <w:rsid w:val="00DE0C65"/>
    <w:rsid w:val="00DE1370"/>
    <w:rsid w:val="00E06640"/>
    <w:rsid w:val="00E1503D"/>
    <w:rsid w:val="00E51E02"/>
    <w:rsid w:val="00E523BC"/>
    <w:rsid w:val="00E55BEA"/>
    <w:rsid w:val="00E96C53"/>
    <w:rsid w:val="00EA400E"/>
    <w:rsid w:val="00EB477D"/>
    <w:rsid w:val="00EC6EEF"/>
    <w:rsid w:val="00EF17DE"/>
    <w:rsid w:val="00EF5803"/>
    <w:rsid w:val="00EF6ED5"/>
    <w:rsid w:val="00F011BA"/>
    <w:rsid w:val="00F133E3"/>
    <w:rsid w:val="00F302B7"/>
    <w:rsid w:val="00F37259"/>
    <w:rsid w:val="00F50148"/>
    <w:rsid w:val="00F96DAF"/>
    <w:rsid w:val="00FC02B3"/>
    <w:rsid w:val="00FC0329"/>
    <w:rsid w:val="00FD2EA2"/>
    <w:rsid w:val="00FE216B"/>
    <w:rsid w:val="00FE2B6D"/>
    <w:rsid w:val="00FE42FC"/>
    <w:rsid w:val="00FE6B54"/>
    <w:rsid w:val="00FF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5D44365B"/>
  <w15:docId w15:val="{17DB257F-3219-4678-9AD1-5C6F9F5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045FA"/>
    <w:pPr>
      <w:spacing w:after="0" w:line="240" w:lineRule="auto"/>
    </w:pPr>
    <w:rPr>
      <w:sz w:val="18"/>
    </w:rPr>
  </w:style>
  <w:style w:type="paragraph" w:styleId="Heading1">
    <w:name w:val="heading 1"/>
    <w:basedOn w:val="Normal"/>
    <w:next w:val="Normal"/>
    <w:link w:val="Heading1Char"/>
    <w:uiPriority w:val="1"/>
    <w:qFormat/>
    <w:rsid w:val="00C8104F"/>
    <w:pPr>
      <w:keepNext/>
      <w:keepLines/>
      <w:numPr>
        <w:numId w:val="22"/>
      </w:numPr>
      <w:spacing w:before="240" w:after="120"/>
      <w:ind w:left="431" w:hanging="431"/>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C8104F"/>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semiHidden/>
    <w:qFormat/>
    <w:rsid w:val="00C8104F"/>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1"/>
    <w:semiHidden/>
    <w:unhideWhenUsed/>
    <w:qFormat/>
    <w:rsid w:val="00C8104F"/>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00C8104F"/>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semiHidden/>
    <w:unhideWhenUsed/>
    <w:qFormat/>
    <w:rsid w:val="00C8104F"/>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C8104F"/>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C8104F"/>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C8104F"/>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
    <w:name w:val="overskrift 1"/>
    <w:basedOn w:val="Normal"/>
    <w:next w:val="Normal"/>
    <w:link w:val="Overskrift1Tegn"/>
    <w:uiPriority w:val="1"/>
    <w:semiHidden/>
    <w:qFormat/>
    <w:rsid w:val="001045FA"/>
    <w:pPr>
      <w:spacing w:after="400" w:line="360" w:lineRule="auto"/>
      <w:ind w:left="-86"/>
      <w:outlineLvl w:val="0"/>
    </w:pPr>
    <w:rPr>
      <w:color w:val="D9D9D9" w:themeColor="background1" w:themeShade="D9"/>
      <w:sz w:val="96"/>
    </w:rPr>
  </w:style>
  <w:style w:type="paragraph" w:customStyle="1" w:styleId="overskrift2">
    <w:name w:val="overskrift 2"/>
    <w:basedOn w:val="Normal"/>
    <w:next w:val="Normal"/>
    <w:link w:val="Overskrift2Tegn"/>
    <w:uiPriority w:val="1"/>
    <w:semiHidden/>
    <w:qFormat/>
    <w:rsid w:val="001045FA"/>
    <w:pPr>
      <w:framePr w:hSpace="180" w:wrap="around" w:vAnchor="text" w:hAnchor="text" w:y="55"/>
      <w:spacing w:after="200"/>
      <w:outlineLvl w:val="1"/>
    </w:pPr>
    <w:rPr>
      <w:b/>
    </w:rPr>
  </w:style>
  <w:style w:type="character" w:styleId="PlaceholderText">
    <w:name w:val="Placeholder Text"/>
    <w:basedOn w:val="DefaultParagraphFont"/>
    <w:uiPriority w:val="99"/>
    <w:semiHidden/>
    <w:rsid w:val="001045FA"/>
    <w:rPr>
      <w:color w:val="808080"/>
    </w:rPr>
  </w:style>
  <w:style w:type="paragraph" w:styleId="BalloonText">
    <w:name w:val="Balloon Text"/>
    <w:basedOn w:val="Normal"/>
    <w:link w:val="BalloonTextChar"/>
    <w:uiPriority w:val="99"/>
    <w:semiHidden/>
    <w:unhideWhenUsed/>
    <w:rsid w:val="001045FA"/>
    <w:rPr>
      <w:rFonts w:ascii="Tahoma" w:hAnsi="Tahoma" w:cs="Tahoma"/>
      <w:sz w:val="16"/>
      <w:szCs w:val="16"/>
    </w:rPr>
  </w:style>
  <w:style w:type="character" w:customStyle="1" w:styleId="BalloonTextChar">
    <w:name w:val="Balloon Text Char"/>
    <w:basedOn w:val="DefaultParagraphFont"/>
    <w:link w:val="BalloonText"/>
    <w:uiPriority w:val="99"/>
    <w:semiHidden/>
    <w:rsid w:val="001045FA"/>
    <w:rPr>
      <w:rFonts w:ascii="Tahoma" w:hAnsi="Tahoma" w:cs="Tahoma"/>
      <w:sz w:val="16"/>
      <w:szCs w:val="16"/>
    </w:rPr>
  </w:style>
  <w:style w:type="character" w:customStyle="1" w:styleId="Overskrift1Tegn">
    <w:name w:val="Overskrift 1 Tegn"/>
    <w:basedOn w:val="DefaultParagraphFont"/>
    <w:link w:val="overskrift1"/>
    <w:uiPriority w:val="1"/>
    <w:semiHidden/>
    <w:rsid w:val="001045FA"/>
    <w:rPr>
      <w:color w:val="D9D9D9" w:themeColor="background1" w:themeShade="D9"/>
      <w:sz w:val="96"/>
    </w:rPr>
  </w:style>
  <w:style w:type="table" w:styleId="TableGrid">
    <w:name w:val="Table Grid"/>
    <w:basedOn w:val="TableNormal"/>
    <w:uiPriority w:val="1"/>
    <w:rsid w:val="001045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pptekst">
    <w:name w:val="topptekst"/>
    <w:basedOn w:val="Normal"/>
    <w:link w:val="Tegnitopptekst"/>
    <w:uiPriority w:val="99"/>
    <w:semiHidden/>
    <w:unhideWhenUsed/>
    <w:rsid w:val="001045FA"/>
    <w:pPr>
      <w:tabs>
        <w:tab w:val="center" w:pos="4680"/>
        <w:tab w:val="right" w:pos="9360"/>
      </w:tabs>
    </w:pPr>
  </w:style>
  <w:style w:type="character" w:customStyle="1" w:styleId="Overskrift2Tegn">
    <w:name w:val="Overskrift 2 Tegn"/>
    <w:basedOn w:val="DefaultParagraphFont"/>
    <w:link w:val="overskrift2"/>
    <w:uiPriority w:val="1"/>
    <w:semiHidden/>
    <w:rsid w:val="001045FA"/>
    <w:rPr>
      <w:b/>
      <w:sz w:val="18"/>
    </w:rPr>
  </w:style>
  <w:style w:type="paragraph" w:customStyle="1" w:styleId="Overskriftforfaks">
    <w:name w:val="Overskrift for faks"/>
    <w:basedOn w:val="Normal"/>
    <w:qFormat/>
    <w:rsid w:val="001045FA"/>
    <w:pPr>
      <w:spacing w:after="400" w:line="360" w:lineRule="auto"/>
      <w:ind w:left="-86"/>
      <w:outlineLvl w:val="0"/>
    </w:pPr>
    <w:rPr>
      <w:color w:val="D9D9D9" w:themeColor="background1" w:themeShade="D9"/>
      <w:sz w:val="96"/>
    </w:rPr>
  </w:style>
  <w:style w:type="paragraph" w:customStyle="1" w:styleId="Deloverskriftforfaks">
    <w:name w:val="Deloverskrift for faks"/>
    <w:basedOn w:val="Normal"/>
    <w:qFormat/>
    <w:rsid w:val="001045FA"/>
    <w:pPr>
      <w:framePr w:hSpace="180" w:wrap="around" w:vAnchor="text" w:hAnchor="text" w:y="55"/>
      <w:spacing w:after="200"/>
    </w:pPr>
    <w:rPr>
      <w:b/>
    </w:rPr>
  </w:style>
  <w:style w:type="paragraph" w:customStyle="1" w:styleId="Brdtekstifaks">
    <w:name w:val="Brødtekst i faks"/>
    <w:basedOn w:val="Normal"/>
    <w:qFormat/>
    <w:rsid w:val="001045FA"/>
    <w:pPr>
      <w:framePr w:hSpace="180" w:wrap="around" w:vAnchor="text" w:hAnchor="text" w:y="55"/>
    </w:pPr>
  </w:style>
  <w:style w:type="character" w:customStyle="1" w:styleId="Tegnitopptekst">
    <w:name w:val="Tegn i topptekst"/>
    <w:basedOn w:val="DefaultParagraphFont"/>
    <w:link w:val="topptekst"/>
    <w:uiPriority w:val="99"/>
    <w:semiHidden/>
    <w:rsid w:val="001045FA"/>
    <w:rPr>
      <w:sz w:val="18"/>
    </w:rPr>
  </w:style>
  <w:style w:type="paragraph" w:customStyle="1" w:styleId="bunntekst">
    <w:name w:val="bunntekst"/>
    <w:basedOn w:val="Normal"/>
    <w:link w:val="Tegnibunntekst"/>
    <w:uiPriority w:val="99"/>
    <w:semiHidden/>
    <w:unhideWhenUsed/>
    <w:rsid w:val="001045FA"/>
    <w:pPr>
      <w:tabs>
        <w:tab w:val="center" w:pos="4680"/>
        <w:tab w:val="right" w:pos="9360"/>
      </w:tabs>
    </w:pPr>
  </w:style>
  <w:style w:type="character" w:customStyle="1" w:styleId="Tegnibunntekst">
    <w:name w:val="Tegn i bunntekst"/>
    <w:basedOn w:val="DefaultParagraphFont"/>
    <w:link w:val="bunntekst"/>
    <w:uiPriority w:val="99"/>
    <w:semiHidden/>
    <w:rsid w:val="001045FA"/>
    <w:rPr>
      <w:sz w:val="18"/>
    </w:rPr>
  </w:style>
  <w:style w:type="paragraph" w:styleId="Header">
    <w:name w:val="header"/>
    <w:basedOn w:val="Normal"/>
    <w:link w:val="HeaderChar"/>
    <w:uiPriority w:val="99"/>
    <w:unhideWhenUsed/>
    <w:rsid w:val="00610DFF"/>
    <w:pPr>
      <w:tabs>
        <w:tab w:val="center" w:pos="4536"/>
        <w:tab w:val="right" w:pos="9072"/>
      </w:tabs>
    </w:pPr>
  </w:style>
  <w:style w:type="character" w:customStyle="1" w:styleId="HeaderChar">
    <w:name w:val="Header Char"/>
    <w:basedOn w:val="DefaultParagraphFont"/>
    <w:link w:val="Header"/>
    <w:uiPriority w:val="99"/>
    <w:rsid w:val="00610DFF"/>
    <w:rPr>
      <w:sz w:val="18"/>
    </w:rPr>
  </w:style>
  <w:style w:type="paragraph" w:styleId="Footer">
    <w:name w:val="footer"/>
    <w:basedOn w:val="Normal"/>
    <w:link w:val="FooterChar"/>
    <w:uiPriority w:val="99"/>
    <w:unhideWhenUsed/>
    <w:rsid w:val="00610DFF"/>
    <w:pPr>
      <w:tabs>
        <w:tab w:val="center" w:pos="4536"/>
        <w:tab w:val="right" w:pos="9072"/>
      </w:tabs>
    </w:pPr>
  </w:style>
  <w:style w:type="character" w:customStyle="1" w:styleId="FooterChar">
    <w:name w:val="Footer Char"/>
    <w:basedOn w:val="DefaultParagraphFont"/>
    <w:link w:val="Footer"/>
    <w:uiPriority w:val="99"/>
    <w:rsid w:val="00610DFF"/>
    <w:rPr>
      <w:sz w:val="18"/>
    </w:rPr>
  </w:style>
  <w:style w:type="paragraph" w:styleId="ListParagraph">
    <w:name w:val="List Paragraph"/>
    <w:basedOn w:val="Normal"/>
    <w:uiPriority w:val="34"/>
    <w:qFormat/>
    <w:rsid w:val="009432DD"/>
    <w:pPr>
      <w:ind w:left="720"/>
    </w:pPr>
    <w:rPr>
      <w:rFonts w:ascii="Calibri" w:eastAsia="Times New Roman" w:hAnsi="Calibri" w:cs="Times New Roman"/>
      <w:sz w:val="22"/>
      <w:lang w:eastAsia="en-US"/>
    </w:rPr>
  </w:style>
  <w:style w:type="character" w:styleId="Hyperlink">
    <w:name w:val="Hyperlink"/>
    <w:basedOn w:val="DefaultParagraphFont"/>
    <w:uiPriority w:val="99"/>
    <w:unhideWhenUsed/>
    <w:rsid w:val="00CC3614"/>
    <w:rPr>
      <w:color w:val="0000FF" w:themeColor="hyperlink"/>
      <w:u w:val="single"/>
    </w:rPr>
  </w:style>
  <w:style w:type="character" w:styleId="CommentReference">
    <w:name w:val="annotation reference"/>
    <w:basedOn w:val="DefaultParagraphFont"/>
    <w:uiPriority w:val="99"/>
    <w:semiHidden/>
    <w:unhideWhenUsed/>
    <w:rsid w:val="00915C95"/>
    <w:rPr>
      <w:sz w:val="16"/>
      <w:szCs w:val="16"/>
    </w:rPr>
  </w:style>
  <w:style w:type="paragraph" w:styleId="CommentText">
    <w:name w:val="annotation text"/>
    <w:basedOn w:val="Normal"/>
    <w:link w:val="CommentTextChar"/>
    <w:uiPriority w:val="99"/>
    <w:semiHidden/>
    <w:unhideWhenUsed/>
    <w:rsid w:val="00915C95"/>
    <w:rPr>
      <w:sz w:val="20"/>
      <w:szCs w:val="20"/>
    </w:rPr>
  </w:style>
  <w:style w:type="character" w:customStyle="1" w:styleId="CommentTextChar">
    <w:name w:val="Comment Text Char"/>
    <w:basedOn w:val="DefaultParagraphFont"/>
    <w:link w:val="CommentText"/>
    <w:uiPriority w:val="99"/>
    <w:semiHidden/>
    <w:rsid w:val="00915C95"/>
    <w:rPr>
      <w:sz w:val="20"/>
      <w:szCs w:val="20"/>
    </w:rPr>
  </w:style>
  <w:style w:type="paragraph" w:styleId="CommentSubject">
    <w:name w:val="annotation subject"/>
    <w:basedOn w:val="CommentText"/>
    <w:next w:val="CommentText"/>
    <w:link w:val="CommentSubjectChar"/>
    <w:uiPriority w:val="99"/>
    <w:semiHidden/>
    <w:unhideWhenUsed/>
    <w:rsid w:val="00915C95"/>
    <w:rPr>
      <w:b/>
      <w:bCs/>
    </w:rPr>
  </w:style>
  <w:style w:type="character" w:customStyle="1" w:styleId="CommentSubjectChar">
    <w:name w:val="Comment Subject Char"/>
    <w:basedOn w:val="CommentTextChar"/>
    <w:link w:val="CommentSubject"/>
    <w:uiPriority w:val="99"/>
    <w:semiHidden/>
    <w:rsid w:val="00915C95"/>
    <w:rPr>
      <w:b/>
      <w:bCs/>
      <w:sz w:val="20"/>
      <w:szCs w:val="20"/>
    </w:rPr>
  </w:style>
  <w:style w:type="character" w:customStyle="1" w:styleId="Heading1Char">
    <w:name w:val="Heading 1 Char"/>
    <w:basedOn w:val="DefaultParagraphFont"/>
    <w:link w:val="Heading1"/>
    <w:uiPriority w:val="1"/>
    <w:rsid w:val="00C8104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rsid w:val="00C8104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semiHidden/>
    <w:rsid w:val="00C8104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semiHidden/>
    <w:rsid w:val="00C8104F"/>
    <w:rPr>
      <w:rFonts w:asciiTheme="majorHAnsi" w:eastAsiaTheme="majorEastAsia" w:hAnsiTheme="majorHAnsi" w:cstheme="majorBidi"/>
      <w:i/>
      <w:iCs/>
      <w:color w:val="365F91" w:themeColor="accent1" w:themeShade="BF"/>
      <w:sz w:val="18"/>
    </w:rPr>
  </w:style>
  <w:style w:type="character" w:customStyle="1" w:styleId="Heading5Char">
    <w:name w:val="Heading 5 Char"/>
    <w:basedOn w:val="DefaultParagraphFont"/>
    <w:link w:val="Heading5"/>
    <w:uiPriority w:val="1"/>
    <w:semiHidden/>
    <w:rsid w:val="00C8104F"/>
    <w:rPr>
      <w:rFonts w:asciiTheme="majorHAnsi" w:eastAsiaTheme="majorEastAsia" w:hAnsiTheme="majorHAnsi" w:cstheme="majorBidi"/>
      <w:color w:val="365F91" w:themeColor="accent1" w:themeShade="BF"/>
      <w:sz w:val="18"/>
    </w:rPr>
  </w:style>
  <w:style w:type="character" w:customStyle="1" w:styleId="Heading6Char">
    <w:name w:val="Heading 6 Char"/>
    <w:basedOn w:val="DefaultParagraphFont"/>
    <w:link w:val="Heading6"/>
    <w:uiPriority w:val="1"/>
    <w:semiHidden/>
    <w:rsid w:val="00C8104F"/>
    <w:rPr>
      <w:rFonts w:asciiTheme="majorHAnsi" w:eastAsiaTheme="majorEastAsia" w:hAnsiTheme="majorHAnsi" w:cstheme="majorBidi"/>
      <w:color w:val="243F60" w:themeColor="accent1" w:themeShade="7F"/>
      <w:sz w:val="18"/>
    </w:rPr>
  </w:style>
  <w:style w:type="character" w:customStyle="1" w:styleId="Heading7Char">
    <w:name w:val="Heading 7 Char"/>
    <w:basedOn w:val="DefaultParagraphFont"/>
    <w:link w:val="Heading7"/>
    <w:uiPriority w:val="1"/>
    <w:semiHidden/>
    <w:rsid w:val="00C8104F"/>
    <w:rPr>
      <w:rFonts w:asciiTheme="majorHAnsi" w:eastAsiaTheme="majorEastAsia" w:hAnsiTheme="majorHAnsi" w:cstheme="majorBidi"/>
      <w:i/>
      <w:iCs/>
      <w:color w:val="243F60" w:themeColor="accent1" w:themeShade="7F"/>
      <w:sz w:val="18"/>
    </w:rPr>
  </w:style>
  <w:style w:type="character" w:customStyle="1" w:styleId="Heading8Char">
    <w:name w:val="Heading 8 Char"/>
    <w:basedOn w:val="DefaultParagraphFont"/>
    <w:link w:val="Heading8"/>
    <w:uiPriority w:val="1"/>
    <w:semiHidden/>
    <w:rsid w:val="00C810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C8104F"/>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1542E5"/>
    <w:rPr>
      <w:sz w:val="20"/>
      <w:szCs w:val="20"/>
    </w:rPr>
  </w:style>
  <w:style w:type="character" w:customStyle="1" w:styleId="FootnoteTextChar">
    <w:name w:val="Footnote Text Char"/>
    <w:basedOn w:val="DefaultParagraphFont"/>
    <w:link w:val="FootnoteText"/>
    <w:uiPriority w:val="99"/>
    <w:semiHidden/>
    <w:rsid w:val="001542E5"/>
    <w:rPr>
      <w:sz w:val="20"/>
      <w:szCs w:val="20"/>
    </w:rPr>
  </w:style>
  <w:style w:type="character" w:styleId="FootnoteReference">
    <w:name w:val="footnote reference"/>
    <w:basedOn w:val="DefaultParagraphFont"/>
    <w:uiPriority w:val="99"/>
    <w:semiHidden/>
    <w:unhideWhenUsed/>
    <w:rsid w:val="001542E5"/>
    <w:rPr>
      <w:vertAlign w:val="superscript"/>
    </w:rPr>
  </w:style>
  <w:style w:type="character" w:customStyle="1" w:styleId="A2">
    <w:name w:val="A2"/>
    <w:uiPriority w:val="99"/>
    <w:rsid w:val="001542E5"/>
    <w:rPr>
      <w:color w:val="000000"/>
      <w:sz w:val="20"/>
      <w:szCs w:val="20"/>
    </w:rPr>
  </w:style>
  <w:style w:type="paragraph" w:customStyle="1" w:styleId="EndNoteBibliographyTitle">
    <w:name w:val="EndNote Bibliography Title"/>
    <w:basedOn w:val="Normal"/>
    <w:link w:val="EndNoteBibliographyTitleChar"/>
    <w:rsid w:val="00F133E3"/>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133E3"/>
    <w:rPr>
      <w:rFonts w:ascii="Calibri" w:hAnsi="Calibri"/>
      <w:noProof/>
      <w:sz w:val="18"/>
    </w:rPr>
  </w:style>
  <w:style w:type="paragraph" w:customStyle="1" w:styleId="EndNoteBibliography">
    <w:name w:val="EndNote Bibliography"/>
    <w:basedOn w:val="Normal"/>
    <w:link w:val="EndNoteBibliographyChar"/>
    <w:rsid w:val="00F133E3"/>
    <w:rPr>
      <w:rFonts w:ascii="Calibri" w:hAnsi="Calibri"/>
      <w:noProof/>
    </w:rPr>
  </w:style>
  <w:style w:type="character" w:customStyle="1" w:styleId="EndNoteBibliographyChar">
    <w:name w:val="EndNote Bibliography Char"/>
    <w:basedOn w:val="DefaultParagraphFont"/>
    <w:link w:val="EndNoteBibliography"/>
    <w:rsid w:val="00F133E3"/>
    <w:rPr>
      <w:rFonts w:ascii="Calibri" w:hAnsi="Calibri"/>
      <w:noProof/>
      <w:sz w:val="18"/>
    </w:rPr>
  </w:style>
  <w:style w:type="paragraph" w:styleId="Caption">
    <w:name w:val="caption"/>
    <w:basedOn w:val="Normal"/>
    <w:next w:val="Normal"/>
    <w:uiPriority w:val="99"/>
    <w:unhideWhenUsed/>
    <w:rsid w:val="00455E4E"/>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8216">
      <w:bodyDiv w:val="1"/>
      <w:marLeft w:val="0"/>
      <w:marRight w:val="0"/>
      <w:marTop w:val="0"/>
      <w:marBottom w:val="0"/>
      <w:divBdr>
        <w:top w:val="none" w:sz="0" w:space="0" w:color="auto"/>
        <w:left w:val="none" w:sz="0" w:space="0" w:color="auto"/>
        <w:bottom w:val="none" w:sz="0" w:space="0" w:color="auto"/>
        <w:right w:val="none" w:sz="0" w:space="0" w:color="auto"/>
      </w:divBdr>
    </w:div>
    <w:div w:id="245967317">
      <w:bodyDiv w:val="1"/>
      <w:marLeft w:val="0"/>
      <w:marRight w:val="0"/>
      <w:marTop w:val="0"/>
      <w:marBottom w:val="0"/>
      <w:divBdr>
        <w:top w:val="none" w:sz="0" w:space="0" w:color="auto"/>
        <w:left w:val="none" w:sz="0" w:space="0" w:color="auto"/>
        <w:bottom w:val="none" w:sz="0" w:space="0" w:color="auto"/>
        <w:right w:val="none" w:sz="0" w:space="0" w:color="auto"/>
      </w:divBdr>
    </w:div>
    <w:div w:id="306209235">
      <w:bodyDiv w:val="1"/>
      <w:marLeft w:val="0"/>
      <w:marRight w:val="0"/>
      <w:marTop w:val="0"/>
      <w:marBottom w:val="0"/>
      <w:divBdr>
        <w:top w:val="none" w:sz="0" w:space="0" w:color="auto"/>
        <w:left w:val="none" w:sz="0" w:space="0" w:color="auto"/>
        <w:bottom w:val="none" w:sz="0" w:space="0" w:color="auto"/>
        <w:right w:val="none" w:sz="0" w:space="0" w:color="auto"/>
      </w:divBdr>
      <w:divsChild>
        <w:div w:id="503982244">
          <w:marLeft w:val="547"/>
          <w:marRight w:val="0"/>
          <w:marTop w:val="96"/>
          <w:marBottom w:val="120"/>
          <w:divBdr>
            <w:top w:val="none" w:sz="0" w:space="0" w:color="auto"/>
            <w:left w:val="none" w:sz="0" w:space="0" w:color="auto"/>
            <w:bottom w:val="none" w:sz="0" w:space="0" w:color="auto"/>
            <w:right w:val="none" w:sz="0" w:space="0" w:color="auto"/>
          </w:divBdr>
        </w:div>
        <w:div w:id="2011374302">
          <w:marLeft w:val="850"/>
          <w:marRight w:val="0"/>
          <w:marTop w:val="0"/>
          <w:marBottom w:val="120"/>
          <w:divBdr>
            <w:top w:val="none" w:sz="0" w:space="0" w:color="auto"/>
            <w:left w:val="none" w:sz="0" w:space="0" w:color="auto"/>
            <w:bottom w:val="none" w:sz="0" w:space="0" w:color="auto"/>
            <w:right w:val="none" w:sz="0" w:space="0" w:color="auto"/>
          </w:divBdr>
        </w:div>
        <w:div w:id="1118183983">
          <w:marLeft w:val="547"/>
          <w:marRight w:val="0"/>
          <w:marTop w:val="96"/>
          <w:marBottom w:val="120"/>
          <w:divBdr>
            <w:top w:val="none" w:sz="0" w:space="0" w:color="auto"/>
            <w:left w:val="none" w:sz="0" w:space="0" w:color="auto"/>
            <w:bottom w:val="none" w:sz="0" w:space="0" w:color="auto"/>
            <w:right w:val="none" w:sz="0" w:space="0" w:color="auto"/>
          </w:divBdr>
        </w:div>
        <w:div w:id="632829011">
          <w:marLeft w:val="850"/>
          <w:marRight w:val="0"/>
          <w:marTop w:val="0"/>
          <w:marBottom w:val="120"/>
          <w:divBdr>
            <w:top w:val="none" w:sz="0" w:space="0" w:color="auto"/>
            <w:left w:val="none" w:sz="0" w:space="0" w:color="auto"/>
            <w:bottom w:val="none" w:sz="0" w:space="0" w:color="auto"/>
            <w:right w:val="none" w:sz="0" w:space="0" w:color="auto"/>
          </w:divBdr>
        </w:div>
        <w:div w:id="249461937">
          <w:marLeft w:val="547"/>
          <w:marRight w:val="0"/>
          <w:marTop w:val="96"/>
          <w:marBottom w:val="120"/>
          <w:divBdr>
            <w:top w:val="none" w:sz="0" w:space="0" w:color="auto"/>
            <w:left w:val="none" w:sz="0" w:space="0" w:color="auto"/>
            <w:bottom w:val="none" w:sz="0" w:space="0" w:color="auto"/>
            <w:right w:val="none" w:sz="0" w:space="0" w:color="auto"/>
          </w:divBdr>
        </w:div>
        <w:div w:id="724107630">
          <w:marLeft w:val="850"/>
          <w:marRight w:val="0"/>
          <w:marTop w:val="0"/>
          <w:marBottom w:val="120"/>
          <w:divBdr>
            <w:top w:val="none" w:sz="0" w:space="0" w:color="auto"/>
            <w:left w:val="none" w:sz="0" w:space="0" w:color="auto"/>
            <w:bottom w:val="none" w:sz="0" w:space="0" w:color="auto"/>
            <w:right w:val="none" w:sz="0" w:space="0" w:color="auto"/>
          </w:divBdr>
        </w:div>
        <w:div w:id="1918054827">
          <w:marLeft w:val="547"/>
          <w:marRight w:val="0"/>
          <w:marTop w:val="96"/>
          <w:marBottom w:val="120"/>
          <w:divBdr>
            <w:top w:val="none" w:sz="0" w:space="0" w:color="auto"/>
            <w:left w:val="none" w:sz="0" w:space="0" w:color="auto"/>
            <w:bottom w:val="none" w:sz="0" w:space="0" w:color="auto"/>
            <w:right w:val="none" w:sz="0" w:space="0" w:color="auto"/>
          </w:divBdr>
        </w:div>
      </w:divsChild>
    </w:div>
    <w:div w:id="466359783">
      <w:bodyDiv w:val="1"/>
      <w:marLeft w:val="0"/>
      <w:marRight w:val="0"/>
      <w:marTop w:val="0"/>
      <w:marBottom w:val="0"/>
      <w:divBdr>
        <w:top w:val="none" w:sz="0" w:space="0" w:color="auto"/>
        <w:left w:val="none" w:sz="0" w:space="0" w:color="auto"/>
        <w:bottom w:val="none" w:sz="0" w:space="0" w:color="auto"/>
        <w:right w:val="none" w:sz="0" w:space="0" w:color="auto"/>
      </w:divBdr>
    </w:div>
    <w:div w:id="494880873">
      <w:bodyDiv w:val="1"/>
      <w:marLeft w:val="0"/>
      <w:marRight w:val="0"/>
      <w:marTop w:val="0"/>
      <w:marBottom w:val="0"/>
      <w:divBdr>
        <w:top w:val="none" w:sz="0" w:space="0" w:color="auto"/>
        <w:left w:val="none" w:sz="0" w:space="0" w:color="auto"/>
        <w:bottom w:val="none" w:sz="0" w:space="0" w:color="auto"/>
        <w:right w:val="none" w:sz="0" w:space="0" w:color="auto"/>
      </w:divBdr>
    </w:div>
    <w:div w:id="555120449">
      <w:bodyDiv w:val="1"/>
      <w:marLeft w:val="0"/>
      <w:marRight w:val="0"/>
      <w:marTop w:val="0"/>
      <w:marBottom w:val="0"/>
      <w:divBdr>
        <w:top w:val="none" w:sz="0" w:space="0" w:color="auto"/>
        <w:left w:val="none" w:sz="0" w:space="0" w:color="auto"/>
        <w:bottom w:val="none" w:sz="0" w:space="0" w:color="auto"/>
        <w:right w:val="none" w:sz="0" w:space="0" w:color="auto"/>
      </w:divBdr>
    </w:div>
    <w:div w:id="883056716">
      <w:bodyDiv w:val="1"/>
      <w:marLeft w:val="0"/>
      <w:marRight w:val="0"/>
      <w:marTop w:val="0"/>
      <w:marBottom w:val="0"/>
      <w:divBdr>
        <w:top w:val="none" w:sz="0" w:space="0" w:color="auto"/>
        <w:left w:val="none" w:sz="0" w:space="0" w:color="auto"/>
        <w:bottom w:val="none" w:sz="0" w:space="0" w:color="auto"/>
        <w:right w:val="none" w:sz="0" w:space="0" w:color="auto"/>
      </w:divBdr>
    </w:div>
    <w:div w:id="897472956">
      <w:bodyDiv w:val="1"/>
      <w:marLeft w:val="0"/>
      <w:marRight w:val="0"/>
      <w:marTop w:val="0"/>
      <w:marBottom w:val="0"/>
      <w:divBdr>
        <w:top w:val="none" w:sz="0" w:space="0" w:color="auto"/>
        <w:left w:val="none" w:sz="0" w:space="0" w:color="auto"/>
        <w:bottom w:val="none" w:sz="0" w:space="0" w:color="auto"/>
        <w:right w:val="none" w:sz="0" w:space="0" w:color="auto"/>
      </w:divBdr>
      <w:divsChild>
        <w:div w:id="1685935725">
          <w:marLeft w:val="274"/>
          <w:marRight w:val="0"/>
          <w:marTop w:val="96"/>
          <w:marBottom w:val="0"/>
          <w:divBdr>
            <w:top w:val="none" w:sz="0" w:space="0" w:color="auto"/>
            <w:left w:val="none" w:sz="0" w:space="0" w:color="auto"/>
            <w:bottom w:val="none" w:sz="0" w:space="0" w:color="auto"/>
            <w:right w:val="none" w:sz="0" w:space="0" w:color="auto"/>
          </w:divBdr>
        </w:div>
      </w:divsChild>
    </w:div>
    <w:div w:id="1123308737">
      <w:bodyDiv w:val="1"/>
      <w:marLeft w:val="0"/>
      <w:marRight w:val="0"/>
      <w:marTop w:val="0"/>
      <w:marBottom w:val="0"/>
      <w:divBdr>
        <w:top w:val="none" w:sz="0" w:space="0" w:color="auto"/>
        <w:left w:val="none" w:sz="0" w:space="0" w:color="auto"/>
        <w:bottom w:val="none" w:sz="0" w:space="0" w:color="auto"/>
        <w:right w:val="none" w:sz="0" w:space="0" w:color="auto"/>
      </w:divBdr>
    </w:div>
    <w:div w:id="1197305170">
      <w:bodyDiv w:val="1"/>
      <w:marLeft w:val="0"/>
      <w:marRight w:val="0"/>
      <w:marTop w:val="0"/>
      <w:marBottom w:val="0"/>
      <w:divBdr>
        <w:top w:val="none" w:sz="0" w:space="0" w:color="auto"/>
        <w:left w:val="none" w:sz="0" w:space="0" w:color="auto"/>
        <w:bottom w:val="none" w:sz="0" w:space="0" w:color="auto"/>
        <w:right w:val="none" w:sz="0" w:space="0" w:color="auto"/>
      </w:divBdr>
    </w:div>
    <w:div w:id="1478304146">
      <w:bodyDiv w:val="1"/>
      <w:marLeft w:val="0"/>
      <w:marRight w:val="0"/>
      <w:marTop w:val="0"/>
      <w:marBottom w:val="0"/>
      <w:divBdr>
        <w:top w:val="none" w:sz="0" w:space="0" w:color="auto"/>
        <w:left w:val="none" w:sz="0" w:space="0" w:color="auto"/>
        <w:bottom w:val="none" w:sz="0" w:space="0" w:color="auto"/>
        <w:right w:val="none" w:sz="0" w:space="0" w:color="auto"/>
      </w:divBdr>
    </w:div>
    <w:div w:id="1540581347">
      <w:bodyDiv w:val="1"/>
      <w:marLeft w:val="0"/>
      <w:marRight w:val="0"/>
      <w:marTop w:val="0"/>
      <w:marBottom w:val="0"/>
      <w:divBdr>
        <w:top w:val="none" w:sz="0" w:space="0" w:color="auto"/>
        <w:left w:val="none" w:sz="0" w:space="0" w:color="auto"/>
        <w:bottom w:val="none" w:sz="0" w:space="0" w:color="auto"/>
        <w:right w:val="none" w:sz="0" w:space="0" w:color="auto"/>
      </w:divBdr>
    </w:div>
    <w:div w:id="1654479546">
      <w:bodyDiv w:val="1"/>
      <w:marLeft w:val="0"/>
      <w:marRight w:val="0"/>
      <w:marTop w:val="0"/>
      <w:marBottom w:val="0"/>
      <w:divBdr>
        <w:top w:val="none" w:sz="0" w:space="0" w:color="auto"/>
        <w:left w:val="none" w:sz="0" w:space="0" w:color="auto"/>
        <w:bottom w:val="none" w:sz="0" w:space="0" w:color="auto"/>
        <w:right w:val="none" w:sz="0" w:space="0" w:color="auto"/>
      </w:divBdr>
    </w:div>
    <w:div w:id="1689453008">
      <w:bodyDiv w:val="1"/>
      <w:marLeft w:val="0"/>
      <w:marRight w:val="0"/>
      <w:marTop w:val="0"/>
      <w:marBottom w:val="0"/>
      <w:divBdr>
        <w:top w:val="none" w:sz="0" w:space="0" w:color="auto"/>
        <w:left w:val="none" w:sz="0" w:space="0" w:color="auto"/>
        <w:bottom w:val="none" w:sz="0" w:space="0" w:color="auto"/>
        <w:right w:val="none" w:sz="0" w:space="0" w:color="auto"/>
      </w:divBdr>
    </w:div>
    <w:div w:id="179228133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634"/>
          <w:marRight w:val="0"/>
          <w:marTop w:val="96"/>
          <w:marBottom w:val="0"/>
          <w:divBdr>
            <w:top w:val="none" w:sz="0" w:space="0" w:color="auto"/>
            <w:left w:val="none" w:sz="0" w:space="0" w:color="auto"/>
            <w:bottom w:val="none" w:sz="0" w:space="0" w:color="auto"/>
            <w:right w:val="none" w:sz="0" w:space="0" w:color="auto"/>
          </w:divBdr>
        </w:div>
        <w:div w:id="1511336135">
          <w:marLeft w:val="634"/>
          <w:marRight w:val="0"/>
          <w:marTop w:val="96"/>
          <w:marBottom w:val="0"/>
          <w:divBdr>
            <w:top w:val="none" w:sz="0" w:space="0" w:color="auto"/>
            <w:left w:val="none" w:sz="0" w:space="0" w:color="auto"/>
            <w:bottom w:val="none" w:sz="0" w:space="0" w:color="auto"/>
            <w:right w:val="none" w:sz="0" w:space="0" w:color="auto"/>
          </w:divBdr>
        </w:div>
        <w:div w:id="642081162">
          <w:marLeft w:val="634"/>
          <w:marRight w:val="0"/>
          <w:marTop w:val="96"/>
          <w:marBottom w:val="0"/>
          <w:divBdr>
            <w:top w:val="none" w:sz="0" w:space="0" w:color="auto"/>
            <w:left w:val="none" w:sz="0" w:space="0" w:color="auto"/>
            <w:bottom w:val="none" w:sz="0" w:space="0" w:color="auto"/>
            <w:right w:val="none" w:sz="0" w:space="0" w:color="auto"/>
          </w:divBdr>
        </w:div>
        <w:div w:id="1332677909">
          <w:marLeft w:val="634"/>
          <w:marRight w:val="0"/>
          <w:marTop w:val="96"/>
          <w:marBottom w:val="0"/>
          <w:divBdr>
            <w:top w:val="none" w:sz="0" w:space="0" w:color="auto"/>
            <w:left w:val="none" w:sz="0" w:space="0" w:color="auto"/>
            <w:bottom w:val="none" w:sz="0" w:space="0" w:color="auto"/>
            <w:right w:val="none" w:sz="0" w:space="0" w:color="auto"/>
          </w:divBdr>
        </w:div>
      </w:divsChild>
    </w:div>
    <w:div w:id="1915042416">
      <w:bodyDiv w:val="1"/>
      <w:marLeft w:val="0"/>
      <w:marRight w:val="0"/>
      <w:marTop w:val="0"/>
      <w:marBottom w:val="0"/>
      <w:divBdr>
        <w:top w:val="none" w:sz="0" w:space="0" w:color="auto"/>
        <w:left w:val="none" w:sz="0" w:space="0" w:color="auto"/>
        <w:bottom w:val="none" w:sz="0" w:space="0" w:color="auto"/>
        <w:right w:val="none" w:sz="0" w:space="0" w:color="auto"/>
      </w:divBdr>
      <w:divsChild>
        <w:div w:id="1668317157">
          <w:marLeft w:val="547"/>
          <w:marRight w:val="0"/>
          <w:marTop w:val="96"/>
          <w:marBottom w:val="0"/>
          <w:divBdr>
            <w:top w:val="none" w:sz="0" w:space="0" w:color="auto"/>
            <w:left w:val="none" w:sz="0" w:space="0" w:color="auto"/>
            <w:bottom w:val="none" w:sz="0" w:space="0" w:color="auto"/>
            <w:right w:val="none" w:sz="0" w:space="0" w:color="auto"/>
          </w:divBdr>
        </w:div>
        <w:div w:id="47921732">
          <w:marLeft w:val="547"/>
          <w:marRight w:val="0"/>
          <w:marTop w:val="96"/>
          <w:marBottom w:val="0"/>
          <w:divBdr>
            <w:top w:val="none" w:sz="0" w:space="0" w:color="auto"/>
            <w:left w:val="none" w:sz="0" w:space="0" w:color="auto"/>
            <w:bottom w:val="none" w:sz="0" w:space="0" w:color="auto"/>
            <w:right w:val="none" w:sz="0" w:space="0" w:color="auto"/>
          </w:divBdr>
        </w:div>
        <w:div w:id="1990279486">
          <w:marLeft w:val="547"/>
          <w:marRight w:val="0"/>
          <w:marTop w:val="96"/>
          <w:marBottom w:val="0"/>
          <w:divBdr>
            <w:top w:val="none" w:sz="0" w:space="0" w:color="auto"/>
            <w:left w:val="none" w:sz="0" w:space="0" w:color="auto"/>
            <w:bottom w:val="none" w:sz="0" w:space="0" w:color="auto"/>
            <w:right w:val="none" w:sz="0" w:space="0" w:color="auto"/>
          </w:divBdr>
        </w:div>
      </w:divsChild>
    </w:div>
    <w:div w:id="1997029490">
      <w:bodyDiv w:val="1"/>
      <w:marLeft w:val="0"/>
      <w:marRight w:val="0"/>
      <w:marTop w:val="0"/>
      <w:marBottom w:val="0"/>
      <w:divBdr>
        <w:top w:val="none" w:sz="0" w:space="0" w:color="auto"/>
        <w:left w:val="none" w:sz="0" w:space="0" w:color="auto"/>
        <w:bottom w:val="none" w:sz="0" w:space="0" w:color="auto"/>
        <w:right w:val="none" w:sz="0" w:space="0" w:color="auto"/>
      </w:divBdr>
    </w:div>
    <w:div w:id="2032486018">
      <w:bodyDiv w:val="1"/>
      <w:marLeft w:val="0"/>
      <w:marRight w:val="0"/>
      <w:marTop w:val="0"/>
      <w:marBottom w:val="0"/>
      <w:divBdr>
        <w:top w:val="none" w:sz="0" w:space="0" w:color="auto"/>
        <w:left w:val="none" w:sz="0" w:space="0" w:color="auto"/>
        <w:bottom w:val="none" w:sz="0" w:space="0" w:color="auto"/>
        <w:right w:val="none" w:sz="0" w:space="0" w:color="auto"/>
      </w:divBdr>
    </w:div>
    <w:div w:id="21180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ckinsey.com/business-functions/sustainability-and-resource-productivity/our-insights/a-cost-curve-for-greenhouse-gas-reduction"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gesen\AppData\Roaming\Microsoft\Maler\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0CD0FA91DD4B13B9DA0B4C2CCC5EBD"/>
        <w:category>
          <w:name w:val="Generelt"/>
          <w:gallery w:val="placeholder"/>
        </w:category>
        <w:types>
          <w:type w:val="bbPlcHdr"/>
        </w:types>
        <w:behaviors>
          <w:behavior w:val="content"/>
        </w:behaviors>
        <w:guid w:val="{DABEF383-0D7A-4874-94DE-A779F986D322}"/>
      </w:docPartPr>
      <w:docPartBody>
        <w:p w:rsidR="00072D28" w:rsidRDefault="00072D28">
          <w:pPr>
            <w:pStyle w:val="FC0CD0FA91DD4B13B9DA0B4C2CCC5EBD"/>
          </w:pPr>
          <w:r>
            <w:t>[Firmanavn]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28"/>
    <w:rsid w:val="00072D28"/>
    <w:rsid w:val="00080A28"/>
    <w:rsid w:val="001C1860"/>
    <w:rsid w:val="003A1F02"/>
    <w:rsid w:val="00544C66"/>
    <w:rsid w:val="0057113C"/>
    <w:rsid w:val="00851F0C"/>
    <w:rsid w:val="009713B9"/>
    <w:rsid w:val="00AE27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0CD0FA91DD4B13B9DA0B4C2CCC5EBD">
    <w:name w:val="FC0CD0FA91DD4B13B9DA0B4C2CCC5EBD"/>
  </w:style>
  <w:style w:type="character" w:styleId="PlaceholderText">
    <w:name w:val="Placeholder Text"/>
    <w:basedOn w:val="DefaultParagraphFont"/>
    <w:uiPriority w:val="99"/>
    <w:semiHidden/>
    <w:rsid w:val="00080A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customStreamsXsn.xml">
  <tns:showOnOpen>sann</tns:showOnOpen>
  <tns:defaultPropertyEditorNamespace>Office-egenskaper</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87199-2424-4E7F-9203-256E45805BCB}">
  <ds:schemaRefs>
    <ds:schemaRef ds:uri="customStreamsXsn.xml"/>
  </ds:schemaRefs>
</ds:datastoreItem>
</file>

<file path=customXml/itemProps2.xml><?xml version="1.0" encoding="utf-8"?>
<ds:datastoreItem xmlns:ds="http://schemas.openxmlformats.org/officeDocument/2006/customXml" ds:itemID="{478F53C7-22AF-43BB-916F-046C042764D4}">
  <ds:schemaRefs>
    <ds:schemaRef ds:uri="http://schemas.microsoft.com/sharepoint/v3/contenttype/forms"/>
  </ds:schemaRefs>
</ds:datastoreItem>
</file>

<file path=customXml/itemProps3.xml><?xml version="1.0" encoding="utf-8"?>
<ds:datastoreItem xmlns:ds="http://schemas.openxmlformats.org/officeDocument/2006/customXml" ds:itemID="{BE491637-A067-4B3C-9A64-8F729AFE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Memo.dotx</Template>
  <TotalTime>5</TotalTime>
  <Pages>10</Pages>
  <Words>3244</Words>
  <Characters>17195</Characters>
  <Application>Microsoft Office Word</Application>
  <DocSecurity>0</DocSecurity>
  <Lines>143</Lines>
  <Paragraphs>40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Memo (Simple design)</vt:lpstr>
      <vt:lpstr>Memo (Simple design)</vt:lpstr>
    </vt:vector>
  </TitlesOfParts>
  <Company>Tiltakskostnader – anbefaling om valg av metode</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(Simple design)</dc:title>
  <dc:creator>Per Ivar Helgesen</dc:creator>
  <cp:lastModifiedBy>Per Ivar Helgesen</cp:lastModifiedBy>
  <cp:revision>5</cp:revision>
  <cp:lastPrinted>2017-07-06T12:17:00Z</cp:lastPrinted>
  <dcterms:created xsi:type="dcterms:W3CDTF">2017-08-09T11:25:00Z</dcterms:created>
  <dcterms:modified xsi:type="dcterms:W3CDTF">2017-09-19T08:40:00Z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TC101731869990</vt:lpwstr>
  </property>
</Properties>
</file>