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39" w:rsidRDefault="001A6739" w:rsidP="001A6739">
      <w:pPr>
        <w:jc w:val="center"/>
        <w:rPr>
          <w:rFonts w:cs="Courier New"/>
          <w:b/>
          <w:sz w:val="28"/>
          <w:szCs w:val="28"/>
        </w:rPr>
      </w:pPr>
      <w:r w:rsidRPr="00105B9D">
        <w:rPr>
          <w:rFonts w:cs="Courier New"/>
          <w:b/>
          <w:sz w:val="28"/>
          <w:szCs w:val="28"/>
        </w:rPr>
        <w:t>Questions Presented</w:t>
      </w:r>
    </w:p>
    <w:p w:rsidR="001A6739" w:rsidRPr="00105B9D" w:rsidRDefault="001A6739" w:rsidP="001A6739">
      <w:pPr>
        <w:jc w:val="center"/>
        <w:rPr>
          <w:rFonts w:cs="Courier New"/>
          <w:b/>
          <w:sz w:val="28"/>
          <w:szCs w:val="28"/>
        </w:rPr>
      </w:pPr>
    </w:p>
    <w:p w:rsidR="001A6739" w:rsidRPr="000A1685" w:rsidRDefault="001A6739" w:rsidP="001A6739">
      <w:pPr>
        <w:spacing w:line="480" w:lineRule="auto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ab/>
      </w:r>
      <w:r w:rsidRPr="000A1685">
        <w:rPr>
          <w:rFonts w:cs="Courier New"/>
          <w:sz w:val="28"/>
          <w:szCs w:val="28"/>
        </w:rPr>
        <w:t>Whether California’s undefined standard of “substantial delay” - - used to evaluate the timeliness of a non-capital habeas corpus petition</w:t>
      </w:r>
      <w:r>
        <w:rPr>
          <w:rFonts w:cs="Courier New"/>
          <w:sz w:val="28"/>
          <w:szCs w:val="28"/>
        </w:rPr>
        <w:t xml:space="preserve"> - -</w:t>
      </w:r>
      <w:r w:rsidRPr="000A1685">
        <w:rPr>
          <w:rFonts w:cs="Courier New"/>
          <w:sz w:val="28"/>
          <w:szCs w:val="28"/>
        </w:rPr>
        <w:t xml:space="preserve"> is so vague that it is inevitably applied in a fundamentally inconsistent manner and is therefore inadequate, within the meaning of this Court’s procedural jurisprudence, to bar federal review</w:t>
      </w:r>
      <w:r>
        <w:rPr>
          <w:rFonts w:cs="Courier New"/>
          <w:sz w:val="28"/>
          <w:szCs w:val="28"/>
        </w:rPr>
        <w:t>;</w:t>
      </w:r>
      <w:r w:rsidRPr="000A1685">
        <w:rPr>
          <w:rFonts w:cs="Courier New"/>
          <w:sz w:val="28"/>
          <w:szCs w:val="28"/>
        </w:rPr>
        <w:t xml:space="preserve"> and whether t</w:t>
      </w:r>
      <w:r>
        <w:rPr>
          <w:rFonts w:cs="Courier New"/>
          <w:sz w:val="28"/>
          <w:szCs w:val="28"/>
        </w:rPr>
        <w:t xml:space="preserve">he State should be required to </w:t>
      </w:r>
      <w:r w:rsidRPr="000A1685">
        <w:rPr>
          <w:rFonts w:cs="Courier New"/>
          <w:sz w:val="28"/>
          <w:szCs w:val="28"/>
        </w:rPr>
        <w:t>prove that the standard is consistently applied?</w:t>
      </w:r>
    </w:p>
    <w:p w:rsidR="001A6739" w:rsidRDefault="001A6739">
      <w:pPr>
        <w:spacing w:after="200" w:line="276" w:lineRule="auto"/>
        <w:rPr>
          <w:rFonts w:cs="Courier New"/>
          <w:bCs/>
          <w:caps/>
          <w:sz w:val="28"/>
          <w:szCs w:val="28"/>
        </w:rPr>
      </w:pPr>
      <w:r>
        <w:rPr>
          <w:rFonts w:cs="Courier New"/>
          <w:b/>
          <w:sz w:val="28"/>
          <w:szCs w:val="28"/>
        </w:rPr>
        <w:br w:type="page"/>
      </w:r>
    </w:p>
    <w:p w:rsidR="006449E8" w:rsidRPr="00F9798D" w:rsidRDefault="006449E8" w:rsidP="006449E8">
      <w:pPr>
        <w:jc w:val="center"/>
        <w:rPr>
          <w:sz w:val="28"/>
          <w:szCs w:val="28"/>
        </w:rPr>
      </w:pPr>
      <w:r w:rsidRPr="00F9798D">
        <w:rPr>
          <w:b/>
          <w:sz w:val="28"/>
          <w:szCs w:val="28"/>
        </w:rPr>
        <w:lastRenderedPageBreak/>
        <w:t>LIST OF PARTIES</w:t>
      </w:r>
    </w:p>
    <w:p w:rsidR="006449E8" w:rsidRPr="00F9798D" w:rsidRDefault="006449E8" w:rsidP="006449E8">
      <w:pPr>
        <w:jc w:val="center"/>
        <w:rPr>
          <w:sz w:val="28"/>
          <w:szCs w:val="28"/>
        </w:rPr>
      </w:pPr>
    </w:p>
    <w:p w:rsidR="006449E8" w:rsidRPr="00F9798D" w:rsidRDefault="002D5082" w:rsidP="006449E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449E8" w:rsidRPr="00F9798D">
        <w:rPr>
          <w:sz w:val="28"/>
          <w:szCs w:val="28"/>
        </w:rPr>
        <w:t xml:space="preserve">Petitioner, James Walker is a warden in the California Department of Corrections and is represented by R. Todd Marshall, Esq., Sate of California, Deputy Attorney General of Sacramento, California. </w:t>
      </w:r>
    </w:p>
    <w:p w:rsidR="006449E8" w:rsidRPr="00F9798D" w:rsidRDefault="006449E8" w:rsidP="006449E8">
      <w:pPr>
        <w:spacing w:line="480" w:lineRule="auto"/>
        <w:rPr>
          <w:sz w:val="28"/>
          <w:szCs w:val="28"/>
        </w:rPr>
      </w:pPr>
      <w:r w:rsidRPr="00F9798D">
        <w:rPr>
          <w:sz w:val="28"/>
          <w:szCs w:val="28"/>
        </w:rPr>
        <w:tab/>
        <w:t>Respondent, Charles Martin, is represented by Michael B. Bigelow, Esq., of Sacramento, California.</w:t>
      </w:r>
    </w:p>
    <w:p w:rsidR="006449E8" w:rsidRDefault="006449E8">
      <w:pPr>
        <w:spacing w:after="200" w:line="276" w:lineRule="auto"/>
        <w:rPr>
          <w:rFonts w:cs="Courier New"/>
          <w:bCs/>
          <w:caps/>
          <w:sz w:val="28"/>
          <w:szCs w:val="28"/>
        </w:rPr>
      </w:pPr>
      <w:r>
        <w:rPr>
          <w:rFonts w:cs="Courier New"/>
          <w:b/>
          <w:sz w:val="28"/>
          <w:szCs w:val="28"/>
        </w:rPr>
        <w:br w:type="page"/>
      </w:r>
    </w:p>
    <w:p w:rsidR="0003545F" w:rsidRPr="0003545F" w:rsidRDefault="006B2544" w:rsidP="0003545F">
      <w:pPr>
        <w:pStyle w:val="TOAHeading"/>
        <w:tabs>
          <w:tab w:val="right" w:leader="dot" w:pos="9350"/>
        </w:tabs>
        <w:spacing w:line="480" w:lineRule="auto"/>
        <w:jc w:val="center"/>
        <w:rPr>
          <w:rFonts w:ascii="Courier New" w:eastAsiaTheme="minorEastAsia" w:hAnsi="Courier New" w:cs="Courier New"/>
          <w:bCs w:val="0"/>
          <w:noProof/>
          <w:sz w:val="28"/>
          <w:szCs w:val="28"/>
        </w:rPr>
      </w:pPr>
      <w:r w:rsidRPr="006B2544">
        <w:rPr>
          <w:rFonts w:ascii="Courier New" w:hAnsi="Courier New" w:cs="Courier New"/>
          <w:b w:val="0"/>
          <w:sz w:val="28"/>
          <w:szCs w:val="28"/>
        </w:rPr>
        <w:lastRenderedPageBreak/>
        <w:fldChar w:fldCharType="begin"/>
      </w:r>
      <w:r w:rsidR="0003545F" w:rsidRPr="0003545F">
        <w:rPr>
          <w:rFonts w:ascii="Courier New" w:hAnsi="Courier New" w:cs="Courier New"/>
          <w:b w:val="0"/>
          <w:sz w:val="28"/>
          <w:szCs w:val="28"/>
        </w:rPr>
        <w:instrText xml:space="preserve"> TOA \h \c "8" \p </w:instrText>
      </w:r>
      <w:r w:rsidRPr="006B2544">
        <w:rPr>
          <w:rFonts w:ascii="Courier New" w:hAnsi="Courier New" w:cs="Courier New"/>
          <w:b w:val="0"/>
          <w:sz w:val="28"/>
          <w:szCs w:val="28"/>
        </w:rPr>
        <w:fldChar w:fldCharType="separate"/>
      </w:r>
      <w:r w:rsidR="0003545F" w:rsidRPr="0003545F">
        <w:rPr>
          <w:rFonts w:ascii="Courier New" w:hAnsi="Courier New" w:cs="Courier New"/>
          <w:noProof/>
          <w:sz w:val="28"/>
          <w:szCs w:val="28"/>
        </w:rPr>
        <w:t>TABLE OF CONTENTS</w:t>
      </w:r>
    </w:p>
    <w:p w:rsidR="0003545F" w:rsidRPr="0003545F" w:rsidRDefault="0003545F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noProof/>
          <w:sz w:val="28"/>
          <w:szCs w:val="28"/>
        </w:rPr>
        <w:t>REASONS FOR DENYING THE WRIT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2</w:t>
      </w:r>
    </w:p>
    <w:p w:rsidR="0003545F" w:rsidRDefault="0003545F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I</w:t>
      </w:r>
      <w:r>
        <w:rPr>
          <w:rFonts w:ascii="Courier New" w:hAnsi="Courier New" w:cs="Courier New"/>
          <w:noProof/>
          <w:sz w:val="28"/>
          <w:szCs w:val="28"/>
        </w:rPr>
        <w:tab/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PETITIONER OVERSTATES ITS CLAIM THAT </w:t>
      </w:r>
    </w:p>
    <w:p w:rsidR="0003545F" w:rsidRDefault="0003545F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ab/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THE NINTH  CIRCUIT IS OBSESSED WITH </w:t>
      </w:r>
    </w:p>
    <w:p w:rsidR="0003545F" w:rsidRDefault="0003545F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ab/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CONSISTENCY, INVALIDATING   ALL RULES </w:t>
      </w:r>
    </w:p>
    <w:p w:rsidR="0003545F" w:rsidRDefault="0003545F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ab/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IT DEEMS LACK CONSISTENCY, THEREBY  </w:t>
      </w:r>
    </w:p>
    <w:p w:rsidR="0003545F" w:rsidRPr="0003545F" w:rsidRDefault="0003545F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ab/>
      </w:r>
      <w:r w:rsidRPr="0003545F">
        <w:rPr>
          <w:rFonts w:ascii="Courier New" w:hAnsi="Courier New" w:cs="Courier New"/>
          <w:noProof/>
          <w:sz w:val="28"/>
          <w:szCs w:val="28"/>
        </w:rPr>
        <w:t>“KILLING” CALIFORNIA’S TIMELINESS BAR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2</w:t>
      </w:r>
    </w:p>
    <w:p w:rsidR="0003545F" w:rsidRDefault="0003545F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</w:p>
    <w:p w:rsidR="0003545F" w:rsidRDefault="0003545F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II</w:t>
      </w:r>
      <w:r>
        <w:rPr>
          <w:rFonts w:ascii="Courier New" w:hAnsi="Courier New" w:cs="Courier New"/>
          <w:noProof/>
          <w:sz w:val="28"/>
          <w:szCs w:val="28"/>
        </w:rPr>
        <w:tab/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WITH RESPECT TO PETITIONER’S ASSERTION </w:t>
      </w:r>
    </w:p>
    <w:p w:rsidR="0003545F" w:rsidRDefault="0003545F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ab/>
        <w:t xml:space="preserve">THAT </w:t>
      </w:r>
      <w:r w:rsidRPr="0003545F">
        <w:rPr>
          <w:rFonts w:ascii="Courier New" w:hAnsi="Courier New" w:cs="Courier New"/>
          <w:noProof/>
          <w:sz w:val="28"/>
          <w:szCs w:val="28"/>
        </w:rPr>
        <w:t>NATIONAL UNIF</w:t>
      </w:r>
      <w:r>
        <w:rPr>
          <w:rFonts w:ascii="Courier New" w:hAnsi="Courier New" w:cs="Courier New"/>
          <w:noProof/>
          <w:sz w:val="28"/>
          <w:szCs w:val="28"/>
        </w:rPr>
        <w:t xml:space="preserve">ORMITY IS ESSENTIAL </w:t>
      </w:r>
    </w:p>
    <w:p w:rsidR="00075032" w:rsidRDefault="0003545F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noProof/>
          <w:sz w:val="28"/>
          <w:szCs w:val="28"/>
        </w:rPr>
        <w:t xml:space="preserve">    </w:t>
      </w:r>
      <w:r w:rsidR="00075032">
        <w:rPr>
          <w:rFonts w:ascii="Courier New" w:hAnsi="Courier New" w:cs="Courier New"/>
          <w:noProof/>
          <w:sz w:val="28"/>
          <w:szCs w:val="28"/>
        </w:rPr>
        <w:tab/>
        <w:t xml:space="preserve">AS TO WHOSE BURDEN OF PROOF IT IS TO </w:t>
      </w:r>
    </w:p>
    <w:p w:rsidR="0003545F" w:rsidRPr="0003545F" w:rsidRDefault="00075032" w:rsidP="0003545F">
      <w:pPr>
        <w:pStyle w:val="TableofAuthorities"/>
        <w:tabs>
          <w:tab w:val="right" w:leader="dot" w:pos="9350"/>
        </w:tabs>
        <w:ind w:left="720" w:hanging="720"/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ab/>
        <w:t xml:space="preserve">ESTABLISH ADEQUACY - </w:t>
      </w:r>
      <w:r w:rsidR="0003545F" w:rsidRPr="0003545F">
        <w:rPr>
          <w:rFonts w:ascii="Courier New" w:hAnsi="Courier New" w:cs="Courier New"/>
          <w:noProof/>
          <w:sz w:val="28"/>
          <w:szCs w:val="28"/>
        </w:rPr>
        <w:t xml:space="preserve"> IT IS NOT</w:t>
      </w:r>
      <w:r w:rsidR="0003545F" w:rsidRPr="0003545F">
        <w:rPr>
          <w:rFonts w:ascii="Courier New" w:hAnsi="Courier New" w:cs="Courier New"/>
          <w:noProof/>
          <w:sz w:val="28"/>
          <w:szCs w:val="28"/>
        </w:rPr>
        <w:tab/>
        <w:t>8</w:t>
      </w:r>
    </w:p>
    <w:p w:rsidR="0003545F" w:rsidRDefault="006B2544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sz w:val="28"/>
          <w:szCs w:val="28"/>
        </w:rPr>
        <w:fldChar w:fldCharType="end"/>
      </w:r>
      <w:r w:rsidR="0003545F" w:rsidRPr="0003545F">
        <w:rPr>
          <w:rFonts w:ascii="Courier New" w:hAnsi="Courier New" w:cs="Courier New"/>
          <w:noProof/>
          <w:sz w:val="28"/>
          <w:szCs w:val="28"/>
        </w:rPr>
        <w:t xml:space="preserve"> </w:t>
      </w:r>
    </w:p>
    <w:p w:rsidR="0003545F" w:rsidRPr="0003545F" w:rsidRDefault="0003545F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noProof/>
          <w:sz w:val="28"/>
          <w:szCs w:val="28"/>
        </w:rPr>
        <w:t>CONCLUSION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9</w:t>
      </w:r>
    </w:p>
    <w:p w:rsidR="0003545F" w:rsidRDefault="0003545F">
      <w:pPr>
        <w:spacing w:after="200" w:line="276" w:lineRule="auto"/>
        <w:rPr>
          <w:rFonts w:cs="Courier New"/>
          <w:bCs/>
          <w:caps/>
          <w:sz w:val="28"/>
          <w:szCs w:val="28"/>
        </w:rPr>
      </w:pPr>
      <w:r>
        <w:rPr>
          <w:rFonts w:cs="Courier New"/>
          <w:b/>
          <w:sz w:val="28"/>
          <w:szCs w:val="28"/>
        </w:rPr>
        <w:br w:type="page"/>
      </w:r>
    </w:p>
    <w:p w:rsidR="0003545F" w:rsidRDefault="0003545F" w:rsidP="0003545F">
      <w:pPr>
        <w:pStyle w:val="TOAHeading"/>
        <w:tabs>
          <w:tab w:val="right" w:leader="dot" w:pos="9350"/>
        </w:tabs>
        <w:spacing w:line="480" w:lineRule="auto"/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TABLE OF AUTHORITIES</w:t>
      </w:r>
    </w:p>
    <w:p w:rsidR="002C025C" w:rsidRPr="0003545F" w:rsidRDefault="006B2544" w:rsidP="0003545F">
      <w:pPr>
        <w:pStyle w:val="TOAHeading"/>
        <w:tabs>
          <w:tab w:val="right" w:leader="dot" w:pos="9350"/>
        </w:tabs>
        <w:spacing w:line="480" w:lineRule="auto"/>
        <w:rPr>
          <w:rFonts w:ascii="Courier New" w:eastAsiaTheme="minorEastAsia" w:hAnsi="Courier New" w:cs="Courier New"/>
          <w:bCs w:val="0"/>
          <w:noProof/>
          <w:sz w:val="28"/>
          <w:szCs w:val="28"/>
        </w:rPr>
      </w:pPr>
      <w:r w:rsidRPr="0003545F">
        <w:rPr>
          <w:rFonts w:ascii="Courier New" w:hAnsi="Courier New" w:cs="Courier New"/>
          <w:b w:val="0"/>
          <w:sz w:val="28"/>
          <w:szCs w:val="28"/>
        </w:rPr>
        <w:fldChar w:fldCharType="begin"/>
      </w:r>
      <w:r w:rsidR="002C025C" w:rsidRPr="0003545F">
        <w:rPr>
          <w:rFonts w:ascii="Courier New" w:hAnsi="Courier New" w:cs="Courier New"/>
          <w:b w:val="0"/>
          <w:sz w:val="28"/>
          <w:szCs w:val="28"/>
        </w:rPr>
        <w:instrText xml:space="preserve"> TOA \h \c "1" \p </w:instrText>
      </w:r>
      <w:r w:rsidRPr="0003545F">
        <w:rPr>
          <w:rFonts w:ascii="Courier New" w:hAnsi="Courier New" w:cs="Courier New"/>
          <w:b w:val="0"/>
          <w:sz w:val="28"/>
          <w:szCs w:val="28"/>
        </w:rPr>
        <w:fldChar w:fldCharType="separate"/>
      </w:r>
      <w:r w:rsidR="002C025C" w:rsidRPr="0003545F">
        <w:rPr>
          <w:rFonts w:ascii="Courier New" w:hAnsi="Courier New" w:cs="Courier New"/>
          <w:noProof/>
          <w:sz w:val="28"/>
          <w:szCs w:val="28"/>
        </w:rPr>
        <w:t>Cases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bCs/>
          <w:i/>
          <w:iCs/>
          <w:noProof/>
          <w:sz w:val="28"/>
          <w:szCs w:val="28"/>
        </w:rPr>
        <w:t>Abie State Bank</w:t>
      </w:r>
      <w:r w:rsidRPr="0003545F">
        <w:rPr>
          <w:rFonts w:ascii="Courier New" w:hAnsi="Courier New" w:cs="Courier New"/>
          <w:bCs/>
          <w:noProof/>
          <w:sz w:val="28"/>
          <w:szCs w:val="28"/>
        </w:rPr>
        <w:t xml:space="preserve"> v. </w:t>
      </w:r>
      <w:r w:rsidRPr="0003545F">
        <w:rPr>
          <w:rFonts w:ascii="Courier New" w:hAnsi="Courier New" w:cs="Courier New"/>
          <w:bCs/>
          <w:i/>
          <w:iCs/>
          <w:noProof/>
          <w:sz w:val="28"/>
          <w:szCs w:val="28"/>
        </w:rPr>
        <w:t>Bryan</w:t>
      </w:r>
      <w:r w:rsidR="0003545F">
        <w:rPr>
          <w:rFonts w:ascii="Courier New" w:hAnsi="Courier New" w:cs="Courier New"/>
          <w:bCs/>
          <w:noProof/>
          <w:sz w:val="28"/>
          <w:szCs w:val="28"/>
        </w:rPr>
        <w:t>, 282 U.S. 765</w:t>
      </w:r>
      <w:r w:rsidRPr="0003545F">
        <w:rPr>
          <w:rFonts w:ascii="Courier New" w:hAnsi="Courier New" w:cs="Courier New"/>
          <w:bCs/>
          <w:noProof/>
          <w:sz w:val="28"/>
          <w:szCs w:val="28"/>
        </w:rPr>
        <w:t>, (1931)</w:t>
      </w:r>
      <w:r w:rsidRPr="0003545F">
        <w:rPr>
          <w:rFonts w:ascii="Courier New" w:hAnsi="Courier New" w:cs="Courier New"/>
          <w:noProof/>
          <w:sz w:val="28"/>
          <w:szCs w:val="28"/>
        </w:rPr>
        <w:t>.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6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i/>
          <w:noProof/>
          <w:sz w:val="28"/>
          <w:szCs w:val="28"/>
        </w:rPr>
        <w:t xml:space="preserve">Carey v. Saffold, </w:t>
      </w:r>
      <w:r w:rsidR="0003545F">
        <w:rPr>
          <w:rFonts w:ascii="Courier New" w:hAnsi="Courier New" w:cs="Courier New"/>
          <w:noProof/>
          <w:sz w:val="28"/>
          <w:szCs w:val="28"/>
        </w:rPr>
        <w:t xml:space="preserve">536 U.S. 214, </w:t>
      </w:r>
      <w:r w:rsidRPr="0003545F">
        <w:rPr>
          <w:rFonts w:ascii="Courier New" w:hAnsi="Courier New" w:cs="Courier New"/>
          <w:noProof/>
          <w:sz w:val="28"/>
          <w:szCs w:val="28"/>
        </w:rPr>
        <w:t>(2002)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2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i/>
          <w:noProof/>
          <w:sz w:val="28"/>
          <w:szCs w:val="28"/>
        </w:rPr>
        <w:t>Coleman v Thompson</w:t>
      </w:r>
      <w:r w:rsidR="0003545F">
        <w:rPr>
          <w:rFonts w:ascii="Courier New" w:hAnsi="Courier New" w:cs="Courier New"/>
          <w:noProof/>
          <w:sz w:val="28"/>
          <w:szCs w:val="28"/>
        </w:rPr>
        <w:t xml:space="preserve">, 501 U.S. 722, </w:t>
      </w:r>
      <w:r w:rsidRPr="0003545F">
        <w:rPr>
          <w:rFonts w:ascii="Courier New" w:hAnsi="Courier New" w:cs="Courier New"/>
          <w:noProof/>
          <w:sz w:val="28"/>
          <w:szCs w:val="28"/>
        </w:rPr>
        <w:t>(1991);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6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i/>
          <w:noProof/>
          <w:sz w:val="28"/>
          <w:szCs w:val="28"/>
        </w:rPr>
        <w:t>In re Gallego,</w:t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 18 Cal.4</w:t>
      </w:r>
      <w:r w:rsidRPr="0003545F">
        <w:rPr>
          <w:rFonts w:ascii="Courier New" w:hAnsi="Courier New" w:cs="Courier New"/>
          <w:noProof/>
          <w:sz w:val="28"/>
          <w:szCs w:val="28"/>
          <w:vertAlign w:val="superscript"/>
        </w:rPr>
        <w:t>th</w:t>
      </w:r>
      <w:r w:rsidR="0003545F">
        <w:rPr>
          <w:rFonts w:ascii="Courier New" w:hAnsi="Courier New" w:cs="Courier New"/>
          <w:noProof/>
          <w:sz w:val="28"/>
          <w:szCs w:val="28"/>
        </w:rPr>
        <w:t xml:space="preserve"> 825, </w:t>
      </w:r>
      <w:r w:rsidRPr="0003545F">
        <w:rPr>
          <w:rFonts w:ascii="Courier New" w:hAnsi="Courier New" w:cs="Courier New"/>
          <w:noProof/>
          <w:sz w:val="28"/>
          <w:szCs w:val="28"/>
        </w:rPr>
        <w:t>(1998)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4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i/>
          <w:noProof/>
          <w:sz w:val="28"/>
          <w:szCs w:val="28"/>
        </w:rPr>
        <w:t>In re Robbins</w:t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 18 Cal.4</w:t>
      </w:r>
      <w:r w:rsidRPr="0003545F">
        <w:rPr>
          <w:rFonts w:ascii="Courier New" w:hAnsi="Courier New" w:cs="Courier New"/>
          <w:noProof/>
          <w:sz w:val="28"/>
          <w:szCs w:val="28"/>
          <w:vertAlign w:val="superscript"/>
        </w:rPr>
        <w:t>th</w:t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 770, (1998)</w:t>
      </w:r>
      <w:r w:rsidRPr="0003545F">
        <w:rPr>
          <w:rFonts w:ascii="Courier New" w:hAnsi="Courier New" w:cs="Courier New"/>
          <w:noProof/>
          <w:sz w:val="28"/>
          <w:szCs w:val="28"/>
        </w:rPr>
        <w:tab/>
      </w:r>
      <w:r w:rsidR="0003545F">
        <w:rPr>
          <w:rFonts w:ascii="Courier New" w:hAnsi="Courier New" w:cs="Courier New"/>
          <w:noProof/>
          <w:sz w:val="28"/>
          <w:szCs w:val="28"/>
        </w:rPr>
        <w:t xml:space="preserve">4, </w:t>
      </w:r>
      <w:r w:rsidRPr="0003545F">
        <w:rPr>
          <w:rFonts w:ascii="Courier New" w:hAnsi="Courier New" w:cs="Courier New"/>
          <w:noProof/>
          <w:sz w:val="28"/>
          <w:szCs w:val="28"/>
        </w:rPr>
        <w:t>5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i/>
          <w:noProof/>
          <w:sz w:val="28"/>
          <w:szCs w:val="28"/>
        </w:rPr>
        <w:t>Pullman v Swint,</w:t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 456 U.S. 273, (1982)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7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i/>
          <w:iCs/>
          <w:noProof/>
          <w:sz w:val="28"/>
          <w:szCs w:val="28"/>
        </w:rPr>
        <w:t xml:space="preserve">Rita v. United States, </w:t>
      </w:r>
      <w:r w:rsidRPr="0003545F">
        <w:rPr>
          <w:rFonts w:ascii="Courier New" w:hAnsi="Courier New" w:cs="Courier New"/>
          <w:iCs/>
          <w:noProof/>
          <w:sz w:val="28"/>
          <w:szCs w:val="28"/>
        </w:rPr>
        <w:t>551</w:t>
      </w:r>
      <w:r w:rsidR="0003545F">
        <w:rPr>
          <w:rFonts w:ascii="Courier New" w:hAnsi="Courier New" w:cs="Courier New"/>
          <w:iCs/>
          <w:noProof/>
          <w:sz w:val="28"/>
          <w:szCs w:val="28"/>
        </w:rPr>
        <w:t xml:space="preserve"> U.S. 338, </w:t>
      </w:r>
      <w:r w:rsidRPr="0003545F">
        <w:rPr>
          <w:rFonts w:ascii="Courier New" w:hAnsi="Courier New" w:cs="Courier New"/>
          <w:iCs/>
          <w:noProof/>
          <w:sz w:val="28"/>
          <w:szCs w:val="28"/>
        </w:rPr>
        <w:t>(2007)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8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i/>
          <w:noProof/>
          <w:sz w:val="28"/>
          <w:szCs w:val="28"/>
        </w:rPr>
        <w:t xml:space="preserve">United States v Novak, </w:t>
      </w:r>
      <w:r w:rsidRPr="0003545F">
        <w:rPr>
          <w:rFonts w:ascii="Courier New" w:hAnsi="Courier New" w:cs="Courier New"/>
          <w:noProof/>
          <w:sz w:val="28"/>
          <w:szCs w:val="28"/>
        </w:rPr>
        <w:t>918 F.2d 107 (10</w:t>
      </w:r>
      <w:r w:rsidRPr="0003545F">
        <w:rPr>
          <w:rFonts w:ascii="Courier New" w:hAnsi="Courier New" w:cs="Courier New"/>
          <w:noProof/>
          <w:sz w:val="28"/>
          <w:szCs w:val="28"/>
          <w:vertAlign w:val="superscript"/>
        </w:rPr>
        <w:t>th</w:t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 Cir. 1990).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8</w:t>
      </w:r>
    </w:p>
    <w:p w:rsidR="002C025C" w:rsidRPr="0003545F" w:rsidRDefault="002C025C" w:rsidP="0003545F">
      <w:pPr>
        <w:pStyle w:val="TableofAuthorities"/>
        <w:tabs>
          <w:tab w:val="right" w:leader="dot" w:pos="9350"/>
        </w:tabs>
        <w:spacing w:line="480" w:lineRule="auto"/>
        <w:rPr>
          <w:rFonts w:ascii="Courier New" w:hAnsi="Courier New" w:cs="Courier New"/>
          <w:noProof/>
          <w:sz w:val="28"/>
          <w:szCs w:val="28"/>
        </w:rPr>
      </w:pPr>
      <w:r w:rsidRPr="0003545F">
        <w:rPr>
          <w:rFonts w:ascii="Courier New" w:hAnsi="Courier New" w:cs="Courier New"/>
          <w:bCs/>
          <w:i/>
          <w:iCs/>
          <w:noProof/>
          <w:sz w:val="28"/>
          <w:szCs w:val="28"/>
        </w:rPr>
        <w:t>Wood</w:t>
      </w:r>
      <w:r w:rsidRPr="0003545F">
        <w:rPr>
          <w:rFonts w:ascii="Courier New" w:hAnsi="Courier New" w:cs="Courier New"/>
          <w:i/>
          <w:iCs/>
          <w:noProof/>
          <w:sz w:val="28"/>
          <w:szCs w:val="28"/>
        </w:rPr>
        <w:t xml:space="preserve"> v. Hall,</w:t>
      </w:r>
      <w:r w:rsidRPr="0003545F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03545F">
        <w:rPr>
          <w:rFonts w:ascii="Courier New" w:hAnsi="Courier New" w:cs="Courier New"/>
          <w:bCs/>
          <w:noProof/>
          <w:sz w:val="28"/>
          <w:szCs w:val="28"/>
        </w:rPr>
        <w:t>130 F.3d</w:t>
      </w:r>
      <w:r w:rsidR="0003545F">
        <w:rPr>
          <w:rFonts w:ascii="Courier New" w:hAnsi="Courier New" w:cs="Courier New"/>
          <w:noProof/>
          <w:sz w:val="28"/>
          <w:szCs w:val="28"/>
        </w:rPr>
        <w:t xml:space="preserve"> 373, (9th Cir. 1997)</w:t>
      </w:r>
      <w:r w:rsidRPr="0003545F">
        <w:rPr>
          <w:rFonts w:ascii="Courier New" w:hAnsi="Courier New" w:cs="Courier New"/>
          <w:noProof/>
          <w:sz w:val="28"/>
          <w:szCs w:val="28"/>
        </w:rPr>
        <w:tab/>
        <w:t>7</w:t>
      </w:r>
    </w:p>
    <w:p w:rsidR="0003545F" w:rsidRPr="0003545F" w:rsidRDefault="006B2544" w:rsidP="0003545F">
      <w:pPr>
        <w:pStyle w:val="TOAHeading"/>
        <w:tabs>
          <w:tab w:val="right" w:leader="dot" w:pos="9350"/>
        </w:tabs>
        <w:spacing w:line="480" w:lineRule="auto"/>
        <w:rPr>
          <w:rFonts w:ascii="Courier New" w:hAnsi="Courier New" w:cs="Courier New"/>
          <w:b w:val="0"/>
          <w:sz w:val="28"/>
          <w:szCs w:val="28"/>
        </w:rPr>
      </w:pPr>
      <w:r w:rsidRPr="0003545F">
        <w:rPr>
          <w:rFonts w:ascii="Courier New" w:hAnsi="Courier New" w:cs="Courier New"/>
          <w:b w:val="0"/>
          <w:sz w:val="28"/>
          <w:szCs w:val="28"/>
        </w:rPr>
        <w:fldChar w:fldCharType="end"/>
      </w:r>
    </w:p>
    <w:p w:rsidR="007655DA" w:rsidRPr="0003545F" w:rsidRDefault="00B207F6" w:rsidP="0003545F">
      <w:pPr>
        <w:spacing w:line="480" w:lineRule="auto"/>
        <w:rPr>
          <w:rFonts w:cs="Courier New"/>
          <w:sz w:val="28"/>
          <w:szCs w:val="28"/>
        </w:rPr>
      </w:pPr>
    </w:p>
    <w:sectPr w:rsidR="007655DA" w:rsidRPr="0003545F" w:rsidSect="00C80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F6" w:rsidRDefault="00B207F6" w:rsidP="00C80198">
      <w:r>
        <w:separator/>
      </w:r>
    </w:p>
  </w:endnote>
  <w:endnote w:type="continuationSeparator" w:id="0">
    <w:p w:rsidR="00B207F6" w:rsidRDefault="00B207F6" w:rsidP="00C8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98" w:rsidRDefault="00C801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374956"/>
      <w:docPartObj>
        <w:docPartGallery w:val="Page Numbers (Bottom of Page)"/>
        <w:docPartUnique/>
      </w:docPartObj>
    </w:sdtPr>
    <w:sdtContent>
      <w:p w:rsidR="00C80198" w:rsidRDefault="006B2544">
        <w:pPr>
          <w:pStyle w:val="Footer"/>
          <w:jc w:val="center"/>
        </w:pPr>
        <w:fldSimple w:instr=" PAGE   \* MERGEFORMAT ">
          <w:r w:rsidR="002D5082">
            <w:rPr>
              <w:noProof/>
            </w:rPr>
            <w:t>ii</w:t>
          </w:r>
        </w:fldSimple>
      </w:p>
    </w:sdtContent>
  </w:sdt>
  <w:p w:rsidR="00C80198" w:rsidRDefault="00C801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98" w:rsidRDefault="00C801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F6" w:rsidRDefault="00B207F6" w:rsidP="00C80198">
      <w:r>
        <w:separator/>
      </w:r>
    </w:p>
  </w:footnote>
  <w:footnote w:type="continuationSeparator" w:id="0">
    <w:p w:rsidR="00B207F6" w:rsidRDefault="00B207F6" w:rsidP="00C80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98" w:rsidRDefault="00C801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98" w:rsidRDefault="00C801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98" w:rsidRDefault="00C801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25C"/>
    <w:rsid w:val="0003545F"/>
    <w:rsid w:val="00075032"/>
    <w:rsid w:val="001A6739"/>
    <w:rsid w:val="002C025C"/>
    <w:rsid w:val="002C75CD"/>
    <w:rsid w:val="002D5082"/>
    <w:rsid w:val="005504E9"/>
    <w:rsid w:val="0055192D"/>
    <w:rsid w:val="00567304"/>
    <w:rsid w:val="006449E8"/>
    <w:rsid w:val="006B2544"/>
    <w:rsid w:val="007B2A93"/>
    <w:rsid w:val="00A016A8"/>
    <w:rsid w:val="00B207F6"/>
    <w:rsid w:val="00BC78A7"/>
    <w:rsid w:val="00C80198"/>
    <w:rsid w:val="00DC1BEF"/>
    <w:rsid w:val="00F87CD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5C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uiPriority w:val="99"/>
    <w:unhideWhenUsed/>
    <w:rsid w:val="002C025C"/>
    <w:pPr>
      <w:ind w:left="240" w:hanging="240"/>
    </w:pPr>
    <w:rPr>
      <w:rFonts w:asciiTheme="minorHAnsi" w:hAnsiTheme="minorHAnsi"/>
      <w:sz w:val="20"/>
    </w:rPr>
  </w:style>
  <w:style w:type="paragraph" w:styleId="TOAHeading">
    <w:name w:val="toa heading"/>
    <w:basedOn w:val="Normal"/>
    <w:next w:val="Normal"/>
    <w:uiPriority w:val="99"/>
    <w:unhideWhenUsed/>
    <w:rsid w:val="002C025C"/>
    <w:pPr>
      <w:spacing w:before="240" w:after="120"/>
    </w:pPr>
    <w:rPr>
      <w:rFonts w:asciiTheme="minorHAnsi" w:hAnsiTheme="minorHAnsi" w:cs="Arial"/>
      <w:b/>
      <w:bCs/>
      <w:caps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80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198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80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98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Bigelow</dc:creator>
  <cp:keywords/>
  <dc:description/>
  <cp:lastModifiedBy>Michael Bigelow</cp:lastModifiedBy>
  <cp:revision>3</cp:revision>
  <dcterms:created xsi:type="dcterms:W3CDTF">2010-05-17T18:28:00Z</dcterms:created>
  <dcterms:modified xsi:type="dcterms:W3CDTF">2010-05-17T18:37:00Z</dcterms:modified>
</cp:coreProperties>
</file>