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042"/>
        <w:gridCol w:w="236"/>
      </w:tblGrid>
      <w:tr w:rsidR="00E835C0">
        <w:trPr>
          <w:trHeight w:hRule="exact" w:val="2511"/>
          <w:jc w:val="center"/>
        </w:trPr>
        <w:tc>
          <w:tcPr>
            <w:tcW w:w="11736" w:type="dxa"/>
            <w:gridSpan w:val="3"/>
          </w:tcPr>
          <w:p w:rsidR="00E835C0" w:rsidRDefault="00BC388C">
            <w:bookmarkStart w:id="0" w:name="_GoBack"/>
            <w:r>
              <w:rPr>
                <w:noProof/>
              </w:rPr>
              <w:drawing>
                <wp:inline distT="0" distB="0" distL="0" distR="0">
                  <wp:extent cx="7315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Masthead.png"/>
                          <pic:cNvPicPr/>
                        </pic:nvPicPr>
                        <pic:blipFill>
                          <a:blip r:embed="rId7">
                            <a:extLst>
                              <a:ext uri="{28A0092B-C50C-407E-A947-70E740481C1C}">
                                <a14:useLocalDpi xmlns:a14="http://schemas.microsoft.com/office/drawing/2010/main" val="0"/>
                              </a:ext>
                            </a:extLst>
                          </a:blip>
                          <a:stretch>
                            <a:fillRect/>
                          </a:stretch>
                        </pic:blipFill>
                        <pic:spPr>
                          <a:xfrm>
                            <a:off x="0" y="0"/>
                            <a:ext cx="7315200" cy="1600200"/>
                          </a:xfrm>
                          <a:prstGeom prst="rect">
                            <a:avLst/>
                          </a:prstGeom>
                        </pic:spPr>
                      </pic:pic>
                    </a:graphicData>
                  </a:graphic>
                </wp:inline>
              </w:drawing>
            </w:r>
            <w:bookmarkEnd w:id="0"/>
          </w:p>
        </w:tc>
      </w:tr>
      <w:tr w:rsidR="00E835C0">
        <w:trPr>
          <w:jc w:val="center"/>
        </w:trPr>
        <w:tc>
          <w:tcPr>
            <w:tcW w:w="1458" w:type="dxa"/>
          </w:tcPr>
          <w:p w:rsidR="00E835C0" w:rsidRDefault="00E835C0"/>
        </w:tc>
        <w:tc>
          <w:tcPr>
            <w:tcW w:w="10042" w:type="dxa"/>
          </w:tcPr>
          <w:p w:rsidR="00E835C0" w:rsidRDefault="007A5015">
            <w:pPr>
              <w:jc w:val="center"/>
              <w:rPr>
                <w:rFonts w:asciiTheme="minorHAnsi" w:hAnsiTheme="minorHAnsi" w:cstheme="minorHAnsi"/>
                <w:b/>
                <w:bCs/>
                <w:iCs/>
                <w:color w:val="4891DC"/>
                <w:sz w:val="36"/>
                <w:szCs w:val="36"/>
              </w:rPr>
            </w:pPr>
            <w:bookmarkStart w:id="1" w:name="OLE_LINK3"/>
            <w:bookmarkStart w:id="2" w:name="OLE_LINK4"/>
            <w:bookmarkStart w:id="3" w:name="OLE_LINK5"/>
            <w:r>
              <w:rPr>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5715</wp:posOffset>
                      </wp:positionV>
                      <wp:extent cx="2101850" cy="9855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985520"/>
                              </a:xfrm>
                              <a:prstGeom prst="rect">
                                <a:avLst/>
                              </a:prstGeom>
                              <a:noFill/>
                              <a:ln w="9525">
                                <a:noFill/>
                                <a:miter lim="800000"/>
                                <a:headEnd/>
                                <a:tailEnd/>
                              </a:ln>
                            </wps:spPr>
                            <wps:txbx>
                              <w:txbxContent>
                                <w:p w:rsidR="00E835C0" w:rsidRDefault="00BC388C">
                                  <w:pPr>
                                    <w:rPr>
                                      <w:rFonts w:asciiTheme="minorHAnsi" w:hAnsiTheme="minorHAnsi" w:cs="Arial"/>
                                      <w:b/>
                                      <w:bCs/>
                                      <w:sz w:val="22"/>
                                    </w:rPr>
                                  </w:pPr>
                                  <w:r>
                                    <w:rPr>
                                      <w:rFonts w:asciiTheme="minorHAnsi" w:hAnsiTheme="minorHAnsi" w:cs="Arial"/>
                                      <w:b/>
                                      <w:bCs/>
                                      <w:sz w:val="22"/>
                                    </w:rPr>
                                    <w:t>MEDIA CONTACT:</w:t>
                                  </w:r>
                                </w:p>
                                <w:p w:rsidR="00E835C0" w:rsidRDefault="00BC388C">
                                  <w:pPr>
                                    <w:rPr>
                                      <w:rFonts w:asciiTheme="minorHAnsi" w:hAnsiTheme="minorHAnsi" w:cs="Arial"/>
                                      <w:b/>
                                      <w:bCs/>
                                      <w:sz w:val="22"/>
                                    </w:rPr>
                                  </w:pPr>
                                  <w:r>
                                    <w:rPr>
                                      <w:rFonts w:asciiTheme="minorHAnsi" w:hAnsiTheme="minorHAnsi" w:cs="Arial"/>
                                      <w:b/>
                                      <w:bCs/>
                                      <w:sz w:val="22"/>
                                    </w:rPr>
                                    <w:t xml:space="preserve">Elaine Walker </w:t>
                                  </w:r>
                                </w:p>
                                <w:p w:rsidR="00E835C0" w:rsidRDefault="00CB3CAC">
                                  <w:pPr>
                                    <w:rPr>
                                      <w:rFonts w:asciiTheme="minorHAnsi" w:hAnsiTheme="minorHAnsi" w:cs="Arial"/>
                                      <w:b/>
                                      <w:bCs/>
                                      <w:sz w:val="22"/>
                                    </w:rPr>
                                  </w:pPr>
                                  <w:hyperlink r:id="rId8" w:history="1">
                                    <w:r w:rsidR="00BC388C">
                                      <w:rPr>
                                        <w:rStyle w:val="Hyperlink"/>
                                        <w:rFonts w:asciiTheme="minorHAnsi" w:hAnsiTheme="minorHAnsi" w:cs="Arial"/>
                                        <w:b/>
                                        <w:bCs/>
                                        <w:sz w:val="22"/>
                                      </w:rPr>
                                      <w:t>WalkerE@gtlaw.com</w:t>
                                    </w:r>
                                  </w:hyperlink>
                                </w:p>
                                <w:p w:rsidR="007D4D67" w:rsidRDefault="00BC388C">
                                  <w:pPr>
                                    <w:rPr>
                                      <w:rFonts w:asciiTheme="minorHAnsi" w:hAnsiTheme="minorHAnsi" w:cs="Arial"/>
                                      <w:b/>
                                      <w:bCs/>
                                      <w:sz w:val="22"/>
                                    </w:rPr>
                                  </w:pPr>
                                  <w:r>
                                    <w:rPr>
                                      <w:rFonts w:asciiTheme="minorHAnsi" w:hAnsiTheme="minorHAnsi" w:cs="Arial"/>
                                      <w:b/>
                                      <w:bCs/>
                                      <w:sz w:val="22"/>
                                    </w:rPr>
                                    <w:t>(305) 579-0832</w:t>
                                  </w:r>
                                  <w:r w:rsidR="007D4D67">
                                    <w:rPr>
                                      <w:rFonts w:asciiTheme="minorHAnsi" w:hAnsiTheme="minorHAnsi" w:cs="Arial"/>
                                      <w:b/>
                                      <w:bCs/>
                                      <w:sz w:val="22"/>
                                    </w:rPr>
                                    <w:t xml:space="preserve"> or </w:t>
                                  </w:r>
                                </w:p>
                                <w:p w:rsidR="00E835C0" w:rsidRDefault="007D4D67">
                                  <w:pPr>
                                    <w:rPr>
                                      <w:rFonts w:asciiTheme="minorHAnsi" w:hAnsiTheme="minorHAnsi" w:cs="Arial"/>
                                      <w:b/>
                                      <w:bCs/>
                                      <w:sz w:val="20"/>
                                      <w:szCs w:val="20"/>
                                    </w:rPr>
                                  </w:pPr>
                                  <w:r>
                                    <w:rPr>
                                      <w:rFonts w:asciiTheme="minorHAnsi" w:hAnsiTheme="minorHAnsi" w:cs="Arial"/>
                                      <w:b/>
                                      <w:bCs/>
                                      <w:sz w:val="22"/>
                                    </w:rPr>
                                    <w:t>Cell (954) 439-6272</w:t>
                                  </w:r>
                                  <w:r w:rsidR="00BC388C">
                                    <w:rPr>
                                      <w:rFonts w:asciiTheme="minorHAnsi" w:hAnsiTheme="minorHAnsi" w:cs="Arial"/>
                                      <w:b/>
                                      <w:bCs/>
                                      <w:sz w:val="20"/>
                                      <w:szCs w:val="20"/>
                                    </w:rPr>
                                    <w:br/>
                                  </w:r>
                                </w:p>
                                <w:p w:rsidR="00E835C0" w:rsidRDefault="00E835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45pt;width:165.5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" filled="f" stroked="f">
                      <v:textbox>
                        <w:txbxContent>
                          <w:p w:rsidR="00E835C0" w:rsidRDefault="00BC388C">
                            <w:pPr>
                              <w:rPr>
                                <w:rFonts w:asciiTheme="minorHAnsi" w:hAnsiTheme="minorHAnsi" w:cs="Arial"/>
                                <w:b/>
                                <w:bCs/>
                                <w:sz w:val="22"/>
                              </w:rPr>
                            </w:pPr>
                            <w:r>
                              <w:rPr>
                                <w:rFonts w:asciiTheme="minorHAnsi" w:hAnsiTheme="minorHAnsi" w:cs="Arial"/>
                                <w:b/>
                                <w:bCs/>
                                <w:sz w:val="22"/>
                              </w:rPr>
                              <w:t>MEDIA CONTACT:</w:t>
                            </w:r>
                          </w:p>
                          <w:p w:rsidR="00E835C0" w:rsidRDefault="00BC388C">
                            <w:pPr>
                              <w:rPr>
                                <w:rFonts w:asciiTheme="minorHAnsi" w:hAnsiTheme="minorHAnsi" w:cs="Arial"/>
                                <w:b/>
                                <w:bCs/>
                                <w:sz w:val="22"/>
                              </w:rPr>
                            </w:pPr>
                            <w:r>
                              <w:rPr>
                                <w:rFonts w:asciiTheme="minorHAnsi" w:hAnsiTheme="minorHAnsi" w:cs="Arial"/>
                                <w:b/>
                                <w:bCs/>
                                <w:sz w:val="22"/>
                              </w:rPr>
                              <w:t xml:space="preserve">Elaine Walker </w:t>
                            </w:r>
                          </w:p>
                          <w:p w:rsidR="00E835C0" w:rsidRDefault="00CB3CAC">
                            <w:pPr>
                              <w:rPr>
                                <w:rFonts w:asciiTheme="minorHAnsi" w:hAnsiTheme="minorHAnsi" w:cs="Arial"/>
                                <w:b/>
                                <w:bCs/>
                                <w:sz w:val="22"/>
                              </w:rPr>
                            </w:pPr>
                            <w:hyperlink r:id="rId9" w:history="1">
                              <w:r w:rsidR="00BC388C">
                                <w:rPr>
                                  <w:rStyle w:val="Hyperlink"/>
                                  <w:rFonts w:asciiTheme="minorHAnsi" w:hAnsiTheme="minorHAnsi" w:cs="Arial"/>
                                  <w:b/>
                                  <w:bCs/>
                                  <w:sz w:val="22"/>
                                </w:rPr>
                                <w:t>WalkerE@gtlaw.com</w:t>
                              </w:r>
                            </w:hyperlink>
                          </w:p>
                          <w:p w:rsidR="007D4D67" w:rsidRDefault="00BC388C">
                            <w:pPr>
                              <w:rPr>
                                <w:rFonts w:asciiTheme="minorHAnsi" w:hAnsiTheme="minorHAnsi" w:cs="Arial"/>
                                <w:b/>
                                <w:bCs/>
                                <w:sz w:val="22"/>
                              </w:rPr>
                            </w:pPr>
                            <w:r>
                              <w:rPr>
                                <w:rFonts w:asciiTheme="minorHAnsi" w:hAnsiTheme="minorHAnsi" w:cs="Arial"/>
                                <w:b/>
                                <w:bCs/>
                                <w:sz w:val="22"/>
                              </w:rPr>
                              <w:t>(305) 579-0832</w:t>
                            </w:r>
                            <w:r w:rsidR="007D4D67">
                              <w:rPr>
                                <w:rFonts w:asciiTheme="minorHAnsi" w:hAnsiTheme="minorHAnsi" w:cs="Arial"/>
                                <w:b/>
                                <w:bCs/>
                                <w:sz w:val="22"/>
                              </w:rPr>
                              <w:t xml:space="preserve"> or </w:t>
                            </w:r>
                          </w:p>
                          <w:p w:rsidR="00E835C0" w:rsidRDefault="007D4D67">
                            <w:pPr>
                              <w:rPr>
                                <w:rFonts w:asciiTheme="minorHAnsi" w:hAnsiTheme="minorHAnsi" w:cs="Arial"/>
                                <w:b/>
                                <w:bCs/>
                                <w:sz w:val="20"/>
                                <w:szCs w:val="20"/>
                              </w:rPr>
                            </w:pPr>
                            <w:r>
                              <w:rPr>
                                <w:rFonts w:asciiTheme="minorHAnsi" w:hAnsiTheme="minorHAnsi" w:cs="Arial"/>
                                <w:b/>
                                <w:bCs/>
                                <w:sz w:val="22"/>
                              </w:rPr>
                              <w:t>Cell (954) 439-6272</w:t>
                            </w:r>
                            <w:r w:rsidR="00BC388C">
                              <w:rPr>
                                <w:rFonts w:asciiTheme="minorHAnsi" w:hAnsiTheme="minorHAnsi" w:cs="Arial"/>
                                <w:b/>
                                <w:bCs/>
                                <w:sz w:val="20"/>
                                <w:szCs w:val="20"/>
                              </w:rPr>
                              <w:br/>
                            </w:r>
                          </w:p>
                          <w:p w:rsidR="00E835C0" w:rsidRDefault="00E835C0"/>
                        </w:txbxContent>
                      </v:textbox>
                    </v:shape>
                  </w:pict>
                </mc:Fallback>
              </mc:AlternateContent>
            </w:r>
          </w:p>
          <w:p w:rsidR="00E835C0" w:rsidRDefault="00BC388C">
            <w:pPr>
              <w:jc w:val="center"/>
              <w:rPr>
                <w:rFonts w:asciiTheme="minorHAnsi" w:hAnsiTheme="minorHAnsi" w:cstheme="minorHAnsi"/>
                <w:b/>
                <w:bCs/>
                <w:iCs/>
                <w:color w:val="4891DC"/>
                <w:sz w:val="36"/>
                <w:szCs w:val="36"/>
              </w:rPr>
            </w:pPr>
            <w:r>
              <w:rPr>
                <w:rFonts w:asciiTheme="minorHAnsi" w:hAnsiTheme="minorHAnsi" w:cstheme="minorHAnsi"/>
                <w:b/>
                <w:bCs/>
                <w:iCs/>
                <w:color w:val="4891DC"/>
                <w:sz w:val="36"/>
                <w:szCs w:val="36"/>
              </w:rPr>
              <w:t> </w:t>
            </w:r>
            <w:bookmarkEnd w:id="1"/>
            <w:bookmarkEnd w:id="2"/>
            <w:bookmarkEnd w:id="3"/>
          </w:p>
          <w:p w:rsidR="00E835C0" w:rsidRDefault="00E835C0">
            <w:pPr>
              <w:jc w:val="center"/>
              <w:rPr>
                <w:rFonts w:asciiTheme="minorHAnsi" w:hAnsiTheme="minorHAnsi" w:cstheme="minorHAnsi"/>
                <w:b/>
                <w:bCs/>
                <w:iCs/>
                <w:color w:val="4891DC"/>
                <w:sz w:val="36"/>
                <w:szCs w:val="36"/>
              </w:rPr>
            </w:pPr>
          </w:p>
          <w:p w:rsidR="00E835C0" w:rsidRDefault="00E835C0">
            <w:pPr>
              <w:jc w:val="center"/>
              <w:rPr>
                <w:rFonts w:asciiTheme="minorHAnsi" w:hAnsiTheme="minorHAnsi" w:cstheme="minorHAnsi"/>
                <w:b/>
                <w:bCs/>
                <w:iCs/>
                <w:color w:val="4891DC"/>
                <w:sz w:val="36"/>
                <w:szCs w:val="36"/>
              </w:rPr>
            </w:pPr>
          </w:p>
          <w:p w:rsidR="00133E5B" w:rsidRDefault="00133E5B">
            <w:pPr>
              <w:jc w:val="center"/>
              <w:rPr>
                <w:rFonts w:asciiTheme="minorHAnsi" w:hAnsiTheme="minorHAnsi" w:cstheme="minorHAnsi"/>
                <w:b/>
                <w:bCs/>
                <w:iCs/>
                <w:color w:val="4891DC"/>
                <w:sz w:val="36"/>
                <w:szCs w:val="36"/>
              </w:rPr>
            </w:pPr>
          </w:p>
          <w:p w:rsidR="00E835C0" w:rsidRDefault="00BC388C">
            <w:pPr>
              <w:jc w:val="center"/>
              <w:rPr>
                <w:rFonts w:asciiTheme="minorHAnsi" w:hAnsiTheme="minorHAnsi" w:cstheme="minorHAnsi"/>
                <w:b/>
                <w:bCs/>
                <w:iCs/>
                <w:color w:val="4891DC"/>
                <w:sz w:val="28"/>
                <w:szCs w:val="28"/>
              </w:rPr>
            </w:pPr>
            <w:r>
              <w:rPr>
                <w:rFonts w:asciiTheme="minorHAnsi" w:hAnsiTheme="minorHAnsi" w:cstheme="minorHAnsi"/>
                <w:b/>
                <w:bCs/>
                <w:iCs/>
                <w:color w:val="4891DC"/>
                <w:sz w:val="32"/>
                <w:szCs w:val="36"/>
              </w:rPr>
              <w:t>Statement from Greenberg Traurig Co-President Hilarie Bass</w:t>
            </w:r>
          </w:p>
          <w:p w:rsidR="00E835C0" w:rsidRDefault="00E835C0">
            <w:pPr>
              <w:spacing w:line="260" w:lineRule="exact"/>
              <w:jc w:val="both"/>
              <w:rPr>
                <w:rFonts w:asciiTheme="minorHAnsi" w:hAnsiTheme="minorHAnsi"/>
              </w:rPr>
            </w:pPr>
          </w:p>
          <w:p w:rsidR="00E835C0" w:rsidRDefault="00E835C0">
            <w:pPr>
              <w:rPr>
                <w:rFonts w:ascii="Consolas" w:hAnsi="Consolas" w:cs="Consolas"/>
                <w:b/>
                <w:bCs/>
                <w:color w:val="0070C0"/>
                <w:sz w:val="28"/>
                <w:szCs w:val="28"/>
              </w:rPr>
            </w:pPr>
          </w:p>
          <w:p w:rsidR="007D4D67" w:rsidRPr="007D4D67" w:rsidRDefault="00BC388C" w:rsidP="007D4D67">
            <w:pPr>
              <w:pStyle w:val="PlainText"/>
              <w:rPr>
                <w:rFonts w:ascii="Arial" w:hAnsi="Arial" w:cs="Arial"/>
              </w:rPr>
            </w:pPr>
            <w:r>
              <w:rPr>
                <w:rFonts w:ascii="Arial" w:hAnsi="Arial" w:cs="Arial"/>
                <w:b/>
                <w:bCs/>
                <w:szCs w:val="24"/>
              </w:rPr>
              <w:t>Miami and Tallahassee, FL (</w:t>
            </w:r>
            <w:r w:rsidR="007D4D67">
              <w:rPr>
                <w:rFonts w:ascii="Arial" w:hAnsi="Arial" w:cs="Arial"/>
                <w:b/>
                <w:bCs/>
                <w:szCs w:val="24"/>
              </w:rPr>
              <w:t>January 1, 2015</w:t>
            </w:r>
            <w:r>
              <w:rPr>
                <w:rFonts w:ascii="Arial" w:hAnsi="Arial" w:cs="Arial"/>
                <w:b/>
                <w:bCs/>
                <w:szCs w:val="24"/>
              </w:rPr>
              <w:t>) –</w:t>
            </w:r>
            <w:r>
              <w:rPr>
                <w:rFonts w:ascii="Arial" w:hAnsi="Arial" w:cs="Arial"/>
                <w:szCs w:val="24"/>
              </w:rPr>
              <w:t xml:space="preserve"> </w:t>
            </w:r>
            <w:r w:rsidR="007D4D67" w:rsidRPr="007D4D67">
              <w:rPr>
                <w:rFonts w:ascii="Arial" w:hAnsi="Arial" w:cs="Arial"/>
              </w:rPr>
              <w:t>"We are pleased that Judge Hinkle has clarified his original order and the responsibilities of the clerks around the state," said Hilarie Bass, Greenberg Traurig's co-president. "Although Judge Hinkle recognizes that only the Washington County clerk is compelled to issue a marriage license to the plaintiff in the case before him, the order states that the Constitution requires all clerks to issue marriage licenses to all applicants, regardless of gender.</w:t>
            </w:r>
          </w:p>
          <w:p w:rsidR="007D4D67" w:rsidRPr="007D4D67" w:rsidRDefault="007D4D67" w:rsidP="007D4D67">
            <w:pPr>
              <w:pStyle w:val="PlainText"/>
              <w:rPr>
                <w:rFonts w:ascii="Arial" w:hAnsi="Arial" w:cs="Arial"/>
              </w:rPr>
            </w:pPr>
          </w:p>
          <w:p w:rsidR="007D4D67" w:rsidRPr="007D4D67" w:rsidRDefault="007D4D67" w:rsidP="007D4D67">
            <w:pPr>
              <w:pStyle w:val="PlainText"/>
              <w:rPr>
                <w:rFonts w:ascii="Arial" w:hAnsi="Arial" w:cs="Arial"/>
              </w:rPr>
            </w:pPr>
            <w:r w:rsidRPr="007D4D67">
              <w:rPr>
                <w:rFonts w:ascii="Arial" w:hAnsi="Arial" w:cs="Arial"/>
              </w:rPr>
              <w:t>"Judge Hinkle's order states that any clerk refusing to issue a license could be subject to civil damages and liability for the plaintiffs’ fees and costs," Bass said. "Greenberg Traurig has advised the Florida Association of Court Clerks and Comptrollers that clerks should follow the judge's ruling for all marriage-license applications or face the consequences identified by Judge Hinkle."</w:t>
            </w:r>
          </w:p>
          <w:p w:rsidR="00E835C0" w:rsidRDefault="00E835C0">
            <w:pPr>
              <w:rPr>
                <w:rFonts w:ascii="Arial" w:hAnsi="Arial" w:cs="Arial"/>
                <w:bCs/>
                <w:color w:val="000000" w:themeColor="text1"/>
                <w:szCs w:val="24"/>
              </w:rPr>
            </w:pPr>
          </w:p>
          <w:p w:rsidR="00E835C0" w:rsidRDefault="00E835C0">
            <w:pPr>
              <w:pStyle w:val="GTBodyCopy"/>
              <w:rPr>
                <w:rFonts w:ascii="Arial Narrow" w:eastAsiaTheme="minorHAnsi" w:hAnsi="Arial Narrow"/>
                <w:color w:val="4891DC"/>
                <w:sz w:val="28"/>
                <w:szCs w:val="44"/>
              </w:rPr>
            </w:pPr>
          </w:p>
          <w:p w:rsidR="00E835C0" w:rsidRDefault="00BC388C">
            <w:pPr>
              <w:pStyle w:val="GTBodyCopy"/>
              <w:rPr>
                <w:rFonts w:ascii="Arial Narrow" w:eastAsiaTheme="minorHAnsi" w:hAnsi="Arial Narrow"/>
                <w:color w:val="4891DC"/>
                <w:sz w:val="28"/>
                <w:szCs w:val="44"/>
              </w:rPr>
            </w:pPr>
            <w:r>
              <w:rPr>
                <w:rFonts w:ascii="Arial Narrow" w:eastAsiaTheme="minorHAnsi" w:hAnsi="Arial Narrow"/>
                <w:color w:val="4891DC"/>
                <w:sz w:val="28"/>
                <w:szCs w:val="44"/>
              </w:rPr>
              <w:t>About Greenberg Traurig, LLP</w:t>
            </w:r>
          </w:p>
          <w:p w:rsidR="00E835C0" w:rsidRDefault="00CB3CAC">
            <w:pPr>
              <w:spacing w:before="150" w:after="150" w:line="240" w:lineRule="atLeast"/>
              <w:rPr>
                <w:rFonts w:asciiTheme="minorHAnsi" w:hAnsiTheme="minorHAnsi" w:cs="Arial"/>
                <w:sz w:val="22"/>
              </w:rPr>
            </w:pPr>
            <w:hyperlink r:id="rId10" w:history="1">
              <w:r w:rsidR="00BC388C">
                <w:rPr>
                  <w:rStyle w:val="Hyperlink"/>
                  <w:rFonts w:asciiTheme="minorHAnsi" w:hAnsiTheme="minorHAnsi"/>
                  <w:sz w:val="22"/>
                </w:rPr>
                <w:t>Greenberg Traurig, LLP</w:t>
              </w:r>
            </w:hyperlink>
            <w:r w:rsidR="00BC388C">
              <w:rPr>
                <w:rFonts w:asciiTheme="minorHAnsi" w:hAnsiTheme="minorHAnsi" w:cs="Arial"/>
                <w:sz w:val="22"/>
              </w:rPr>
              <w:t xml:space="preserve"> is an international, multi-practice law firm with approximately 1750 attorneys serving clients from 36 offices in the United States, Latin America, Europe, Asia, and the Middle East. The firm is among the “Power Elite” in the </w:t>
            </w:r>
            <w:r w:rsidR="00BC388C">
              <w:rPr>
                <w:rStyle w:val="Emphasis"/>
                <w:rFonts w:asciiTheme="minorHAnsi" w:hAnsiTheme="minorHAnsi" w:cs="Arial"/>
                <w:sz w:val="22"/>
              </w:rPr>
              <w:t>2014 BTI Client Relationship Scorecard</w:t>
            </w:r>
            <w:r w:rsidR="00BC388C">
              <w:rPr>
                <w:rFonts w:asciiTheme="minorHAnsi" w:hAnsiTheme="minorHAnsi" w:cs="Arial"/>
                <w:sz w:val="22"/>
              </w:rPr>
              <w:t xml:space="preserve"> report, which assesses the nature and strength of law firms' client relationships. For additional information, please visit </w:t>
            </w:r>
            <w:hyperlink r:id="rId11" w:history="1">
              <w:r w:rsidR="00BC388C">
                <w:rPr>
                  <w:rStyle w:val="Hyperlink"/>
                  <w:rFonts w:asciiTheme="minorHAnsi" w:hAnsiTheme="minorHAnsi"/>
                  <w:sz w:val="22"/>
                </w:rPr>
                <w:t>www.gtlaw.com</w:t>
              </w:r>
            </w:hyperlink>
            <w:r w:rsidR="00BC388C">
              <w:rPr>
                <w:rFonts w:asciiTheme="minorHAnsi" w:hAnsiTheme="minorHAnsi" w:cs="Arial"/>
                <w:sz w:val="22"/>
              </w:rPr>
              <w:t>.</w:t>
            </w:r>
          </w:p>
          <w:p w:rsidR="00E835C0" w:rsidRDefault="00E835C0">
            <w:pPr>
              <w:pStyle w:val="GTBodyCopy"/>
              <w:jc w:val="center"/>
            </w:pPr>
          </w:p>
        </w:tc>
        <w:tc>
          <w:tcPr>
            <w:tcW w:w="236" w:type="dxa"/>
          </w:tcPr>
          <w:p w:rsidR="00E835C0" w:rsidRDefault="00E835C0"/>
        </w:tc>
      </w:tr>
      <w:tr w:rsidR="00E835C0">
        <w:trPr>
          <w:jc w:val="center"/>
        </w:trPr>
        <w:tc>
          <w:tcPr>
            <w:tcW w:w="11736" w:type="dxa"/>
            <w:gridSpan w:val="3"/>
          </w:tcPr>
          <w:p w:rsidR="00E835C0" w:rsidRDefault="00E835C0"/>
        </w:tc>
      </w:tr>
    </w:tbl>
    <w:p w:rsidR="00E835C0" w:rsidRDefault="00E835C0"/>
    <w:sectPr w:rsidR="00E835C0" w:rsidSect="00E835C0">
      <w:pgSz w:w="12240" w:h="15840" w:code="1"/>
      <w:pgMar w:top="360" w:right="360" w:bottom="360" w:left="360" w:header="1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AC" w:rsidRDefault="00CB3CAC">
      <w:r>
        <w:separator/>
      </w:r>
    </w:p>
  </w:endnote>
  <w:endnote w:type="continuationSeparator" w:id="0">
    <w:p w:rsidR="00CB3CAC" w:rsidRDefault="00CB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AC" w:rsidRDefault="00CB3CAC">
      <w:r>
        <w:separator/>
      </w:r>
    </w:p>
  </w:footnote>
  <w:footnote w:type="continuationSeparator" w:id="0">
    <w:p w:rsidR="00CB3CAC" w:rsidRDefault="00CB3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C0"/>
    <w:rsid w:val="00133E5B"/>
    <w:rsid w:val="007A5015"/>
    <w:rsid w:val="007D4D67"/>
    <w:rsid w:val="00A56D79"/>
    <w:rsid w:val="00A873FD"/>
    <w:rsid w:val="00BC388C"/>
    <w:rsid w:val="00CB3CAC"/>
    <w:rsid w:val="00E835C0"/>
  </w:rsids>
  <m:mathPr>
    <m:mathFont m:val="Cambria Math"/>
    <m:brkBin m:val="before"/>
    <m:brkBinSub m:val="--"/>
    <m:smallFrac/>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TAlertBodyCopy">
    <w:name w:val="GT Alert: Body Copy"/>
    <w:basedOn w:val="Normal"/>
    <w:qFormat/>
    <w:pPr>
      <w:spacing w:after="160" w:line="260" w:lineRule="exact"/>
    </w:pPr>
    <w:rPr>
      <w:rFonts w:asciiTheme="minorHAnsi" w:eastAsia="Times New Roman" w:hAnsiTheme="minorHAnsi" w:cstheme="minorHAnsi"/>
      <w:sz w:val="22"/>
    </w:rPr>
  </w:style>
  <w:style w:type="paragraph" w:customStyle="1" w:styleId="GTAlertSubtitle">
    <w:name w:val="GT Alert: Subtitle"/>
    <w:basedOn w:val="Normal"/>
    <w:qFormat/>
    <w:rPr>
      <w:rFonts w:asciiTheme="minorHAnsi" w:eastAsia="Times New Roman" w:hAnsiTheme="minorHAnsi" w:cstheme="minorHAnsi"/>
      <w:bCs/>
      <w:iCs/>
      <w:noProof/>
      <w:color w:val="000000" w:themeColor="text1"/>
      <w:sz w:val="32"/>
      <w:szCs w:val="32"/>
    </w:rPr>
  </w:style>
  <w:style w:type="paragraph" w:customStyle="1" w:styleId="Default">
    <w:name w:val="Default"/>
    <w:pPr>
      <w:autoSpaceDE w:val="0"/>
      <w:autoSpaceDN w:val="0"/>
      <w:adjustRightInd w:val="0"/>
    </w:pPr>
    <w:rPr>
      <w:rFonts w:ascii="Century Gothic" w:hAnsi="Century Gothic" w:cs="Century Gothic"/>
      <w:color w:val="000000"/>
      <w:szCs w:val="24"/>
    </w:rPr>
  </w:style>
  <w:style w:type="character" w:styleId="Hyperlink">
    <w:name w:val="Hyperlink"/>
    <w:basedOn w:val="DefaultParagraphFont"/>
    <w:uiPriority w:val="99"/>
    <w:unhideWhenUsed/>
    <w:rPr>
      <w:color w:val="0000FF" w:themeColor="hyperlink"/>
      <w:u w:val="single"/>
    </w:rPr>
  </w:style>
  <w:style w:type="paragraph" w:customStyle="1" w:styleId="GTAlertDisclaimer">
    <w:name w:val="GT Alert: Disclaimer"/>
    <w:basedOn w:val="Normal"/>
    <w:qFormat/>
    <w:pPr>
      <w:spacing w:after="160"/>
      <w:jc w:val="both"/>
    </w:pPr>
    <w:rPr>
      <w:rFonts w:asciiTheme="minorHAnsi" w:eastAsia="Times New Roman" w:hAnsiTheme="minorHAnsi" w:cstheme="minorHAnsi"/>
      <w:i/>
      <w:iCs/>
      <w:color w:val="7F7F7F" w:themeColor="text1" w:themeTint="80"/>
      <w:sz w:val="18"/>
      <w:szCs w:val="18"/>
    </w:rPr>
  </w:style>
  <w:style w:type="paragraph" w:styleId="Footer">
    <w:name w:val="footer"/>
    <w:basedOn w:val="Normal"/>
    <w:link w:val="FooterChar"/>
    <w:uiPriority w:val="99"/>
    <w:unhideWhenUse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Pr>
      <w:rFonts w:eastAsia="Times New Roman" w:cs="Times New Roman"/>
      <w:szCs w:val="24"/>
    </w:rPr>
  </w:style>
  <w:style w:type="paragraph" w:customStyle="1" w:styleId="GTBodyCopy">
    <w:name w:val="GT Body Copy"/>
    <w:basedOn w:val="Normal"/>
    <w:qFormat/>
    <w:pPr>
      <w:spacing w:after="160" w:line="260" w:lineRule="exact"/>
    </w:pPr>
    <w:rPr>
      <w:rFonts w:asciiTheme="minorHAnsi" w:eastAsia="Times New Roman" w:hAnsiTheme="minorHAnsi" w:cstheme="minorHAnsi"/>
      <w:sz w:val="22"/>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TAlertBodyCopy">
    <w:name w:val="GT Alert: Body Copy"/>
    <w:basedOn w:val="Normal"/>
    <w:qFormat/>
    <w:pPr>
      <w:spacing w:after="160" w:line="260" w:lineRule="exact"/>
    </w:pPr>
    <w:rPr>
      <w:rFonts w:asciiTheme="minorHAnsi" w:eastAsia="Times New Roman" w:hAnsiTheme="minorHAnsi" w:cstheme="minorHAnsi"/>
      <w:sz w:val="22"/>
    </w:rPr>
  </w:style>
  <w:style w:type="paragraph" w:customStyle="1" w:styleId="GTAlertSubtitle">
    <w:name w:val="GT Alert: Subtitle"/>
    <w:basedOn w:val="Normal"/>
    <w:qFormat/>
    <w:rPr>
      <w:rFonts w:asciiTheme="minorHAnsi" w:eastAsia="Times New Roman" w:hAnsiTheme="minorHAnsi" w:cstheme="minorHAnsi"/>
      <w:bCs/>
      <w:iCs/>
      <w:noProof/>
      <w:color w:val="000000" w:themeColor="text1"/>
      <w:sz w:val="32"/>
      <w:szCs w:val="32"/>
    </w:rPr>
  </w:style>
  <w:style w:type="paragraph" w:customStyle="1" w:styleId="Default">
    <w:name w:val="Default"/>
    <w:pPr>
      <w:autoSpaceDE w:val="0"/>
      <w:autoSpaceDN w:val="0"/>
      <w:adjustRightInd w:val="0"/>
    </w:pPr>
    <w:rPr>
      <w:rFonts w:ascii="Century Gothic" w:hAnsi="Century Gothic" w:cs="Century Gothic"/>
      <w:color w:val="000000"/>
      <w:szCs w:val="24"/>
    </w:rPr>
  </w:style>
  <w:style w:type="character" w:styleId="Hyperlink">
    <w:name w:val="Hyperlink"/>
    <w:basedOn w:val="DefaultParagraphFont"/>
    <w:uiPriority w:val="99"/>
    <w:unhideWhenUsed/>
    <w:rPr>
      <w:color w:val="0000FF" w:themeColor="hyperlink"/>
      <w:u w:val="single"/>
    </w:rPr>
  </w:style>
  <w:style w:type="paragraph" w:customStyle="1" w:styleId="GTAlertDisclaimer">
    <w:name w:val="GT Alert: Disclaimer"/>
    <w:basedOn w:val="Normal"/>
    <w:qFormat/>
    <w:pPr>
      <w:spacing w:after="160"/>
      <w:jc w:val="both"/>
    </w:pPr>
    <w:rPr>
      <w:rFonts w:asciiTheme="minorHAnsi" w:eastAsia="Times New Roman" w:hAnsiTheme="minorHAnsi" w:cstheme="minorHAnsi"/>
      <w:i/>
      <w:iCs/>
      <w:color w:val="7F7F7F" w:themeColor="text1" w:themeTint="80"/>
      <w:sz w:val="18"/>
      <w:szCs w:val="18"/>
    </w:rPr>
  </w:style>
  <w:style w:type="paragraph" w:styleId="Footer">
    <w:name w:val="footer"/>
    <w:basedOn w:val="Normal"/>
    <w:link w:val="FooterChar"/>
    <w:uiPriority w:val="99"/>
    <w:unhideWhenUse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Pr>
      <w:rFonts w:eastAsia="Times New Roman" w:cs="Times New Roman"/>
      <w:szCs w:val="24"/>
    </w:rPr>
  </w:style>
  <w:style w:type="paragraph" w:customStyle="1" w:styleId="GTBodyCopy">
    <w:name w:val="GT Body Copy"/>
    <w:basedOn w:val="Normal"/>
    <w:qFormat/>
    <w:pPr>
      <w:spacing w:after="160" w:line="260" w:lineRule="exact"/>
    </w:pPr>
    <w:rPr>
      <w:rFonts w:asciiTheme="minorHAnsi" w:eastAsia="Times New Roman" w:hAnsiTheme="minorHAnsi" w:cstheme="minorHAnsi"/>
      <w:sz w:val="22"/>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1635">
      <w:bodyDiv w:val="1"/>
      <w:marLeft w:val="0"/>
      <w:marRight w:val="0"/>
      <w:marTop w:val="0"/>
      <w:marBottom w:val="0"/>
      <w:divBdr>
        <w:top w:val="none" w:sz="0" w:space="0" w:color="auto"/>
        <w:left w:val="none" w:sz="0" w:space="0" w:color="auto"/>
        <w:bottom w:val="none" w:sz="0" w:space="0" w:color="auto"/>
        <w:right w:val="none" w:sz="0" w:space="0" w:color="auto"/>
      </w:divBdr>
    </w:div>
    <w:div w:id="315185116">
      <w:bodyDiv w:val="1"/>
      <w:marLeft w:val="0"/>
      <w:marRight w:val="0"/>
      <w:marTop w:val="0"/>
      <w:marBottom w:val="0"/>
      <w:divBdr>
        <w:top w:val="none" w:sz="0" w:space="0" w:color="auto"/>
        <w:left w:val="none" w:sz="0" w:space="0" w:color="auto"/>
        <w:bottom w:val="none" w:sz="0" w:space="0" w:color="auto"/>
        <w:right w:val="none" w:sz="0" w:space="0" w:color="auto"/>
      </w:divBdr>
    </w:div>
    <w:div w:id="421727368">
      <w:bodyDiv w:val="1"/>
      <w:marLeft w:val="0"/>
      <w:marRight w:val="0"/>
      <w:marTop w:val="0"/>
      <w:marBottom w:val="0"/>
      <w:divBdr>
        <w:top w:val="none" w:sz="0" w:space="0" w:color="auto"/>
        <w:left w:val="none" w:sz="0" w:space="0" w:color="auto"/>
        <w:bottom w:val="none" w:sz="0" w:space="0" w:color="auto"/>
        <w:right w:val="none" w:sz="0" w:space="0" w:color="auto"/>
      </w:divBdr>
    </w:div>
    <w:div w:id="815073140">
      <w:bodyDiv w:val="1"/>
      <w:marLeft w:val="0"/>
      <w:marRight w:val="0"/>
      <w:marTop w:val="0"/>
      <w:marBottom w:val="0"/>
      <w:divBdr>
        <w:top w:val="none" w:sz="0" w:space="0" w:color="auto"/>
        <w:left w:val="none" w:sz="0" w:space="0" w:color="auto"/>
        <w:bottom w:val="none" w:sz="0" w:space="0" w:color="auto"/>
        <w:right w:val="none" w:sz="0" w:space="0" w:color="auto"/>
      </w:divBdr>
    </w:div>
    <w:div w:id="1042171159">
      <w:bodyDiv w:val="1"/>
      <w:marLeft w:val="0"/>
      <w:marRight w:val="0"/>
      <w:marTop w:val="0"/>
      <w:marBottom w:val="0"/>
      <w:divBdr>
        <w:top w:val="none" w:sz="0" w:space="0" w:color="auto"/>
        <w:left w:val="none" w:sz="0" w:space="0" w:color="auto"/>
        <w:bottom w:val="none" w:sz="0" w:space="0" w:color="auto"/>
        <w:right w:val="none" w:sz="0" w:space="0" w:color="auto"/>
      </w:divBdr>
    </w:div>
    <w:div w:id="169013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lkerE@gt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tlaw.com" TargetMode="External"/><Relationship Id="rId5" Type="http://schemas.openxmlformats.org/officeDocument/2006/relationships/footnotes" Target="footnotes.xml"/><Relationship Id="rId10" Type="http://schemas.openxmlformats.org/officeDocument/2006/relationships/hyperlink" Target="http://www.gtlaw.com" TargetMode="External"/><Relationship Id="rId4" Type="http://schemas.openxmlformats.org/officeDocument/2006/relationships/webSettings" Target="webSettings.xml"/><Relationship Id="rId9" Type="http://schemas.openxmlformats.org/officeDocument/2006/relationships/hyperlink" Target="mailto:WalkerE@gt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Greenberg Traurig</Company>
  <LinksUpToDate>false</LinksUpToDate>
  <CharactersWithSpaces>1506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der Ven, Tina (Dir-ShrdSvc-Mktg)</dc:creator>
  <cp:lastModifiedBy>Owner</cp:lastModifiedBy>
  <cp:revision>2</cp:revision>
  <dcterms:created xsi:type="dcterms:W3CDTF">2015-01-02T05:19:00Z</dcterms:created>
  <dcterms:modified xsi:type="dcterms:W3CDTF">2015-01-02T05:19:00Z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GEAAO+/T9t20xwnPKPr5QPdgcRjgVZdC5WWBOztVre0MCY4/uF+BygqywLlTbKTVRmP+4Xsre+BlaIiL
OAAkrINY2sCdyYd9SyKN1kztLXwy+2zICfEiUaib8ePVnwIr1yuvK0Plu3+n7lqR7s2Y8xFHNzVK
rqXHpWFgDahyKH76aDbwlbsYGNOrF73juJs8d86Si3mdvsjX1G4LPcwwgwGWL0wDMY2CqQNUNCSO
xrrchz4vYK5eG4SuA</vt:lpwstr>
  </property>
  <property fmtid="{D5CDD505-2E9C-101B-9397-08002B2CF9AE}" pid="3" name="RESPONSE_SENDER_NAME">
    <vt:lpwstr>MBAACiiZ8cmaJUVyYTDn/RZPNQpjv5MKsfoLMq3nn4Lgbkr6iNGg7jT6SrXuD/Otc44bFt+29NTi5pw=</vt:lpwstr>
  </property>
  <property fmtid="{D5CDD505-2E9C-101B-9397-08002B2CF9AE}" pid="4" name="EMAIL_OWNER_ADDRESS">
    <vt:lpwstr>4AAA9mrMv1QjWAtj7dP5zPmJDRjQtJf8MrO7Z1SY0tcZUmt87TuUXfNC6Q==</vt:lpwstr>
  </property>
  <property fmtid="{D5CDD505-2E9C-101B-9397-08002B2CF9AE}" pid="5" name="MAIL_MSG_ID2">
    <vt:lpwstr>qRG93VXgGnW</vt:lpwstr>
  </property>
</Properties>
</file>