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D8ED01" w14:textId="7D222AD3" w:rsidR="00A52580" w:rsidRDefault="00727CB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  <w:sz w:val="36"/>
          <w:szCs w:val="36"/>
        </w:rPr>
      </w:pPr>
      <w:r w:rsidRPr="00727CB3">
        <w:rPr>
          <w:b/>
          <w:color w:val="000000"/>
          <w:sz w:val="36"/>
          <w:szCs w:val="36"/>
        </w:rPr>
        <w:t>Cesta k vlastní FVE bez vstupních nákladů vede přes bezúročný úvěr a program NZÚ</w:t>
      </w:r>
    </w:p>
    <w:p w14:paraId="14093394" w14:textId="77777777" w:rsidR="00A52580" w:rsidRDefault="00E675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 </w:t>
      </w:r>
    </w:p>
    <w:p w14:paraId="02AF27F2" w14:textId="5265445F" w:rsidR="00D31007" w:rsidRPr="00533C4F" w:rsidRDefault="00E67524" w:rsidP="00533C4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bCs/>
          <w:color w:val="000000" w:themeColor="text1"/>
          <w:sz w:val="24"/>
          <w:szCs w:val="24"/>
        </w:rPr>
      </w:pPr>
      <w:r w:rsidRPr="00533C4F">
        <w:rPr>
          <w:b/>
          <w:bCs/>
          <w:color w:val="000000" w:themeColor="text1"/>
          <w:sz w:val="24"/>
          <w:szCs w:val="24"/>
          <w:u w:val="single"/>
        </w:rPr>
        <w:t>Praha</w:t>
      </w:r>
      <w:r w:rsidR="00A351E1">
        <w:rPr>
          <w:b/>
          <w:bCs/>
          <w:color w:val="000000" w:themeColor="text1"/>
          <w:sz w:val="24"/>
          <w:szCs w:val="24"/>
          <w:u w:val="single"/>
        </w:rPr>
        <w:t xml:space="preserve"> 23.</w:t>
      </w:r>
      <w:r w:rsidRPr="00533C4F">
        <w:rPr>
          <w:b/>
          <w:bCs/>
          <w:color w:val="000000" w:themeColor="text1"/>
          <w:sz w:val="24"/>
          <w:szCs w:val="24"/>
          <w:u w:val="single"/>
        </w:rPr>
        <w:t xml:space="preserve"> </w:t>
      </w:r>
      <w:r w:rsidR="00802983" w:rsidRPr="00533C4F">
        <w:rPr>
          <w:b/>
          <w:bCs/>
          <w:color w:val="000000" w:themeColor="text1"/>
          <w:sz w:val="24"/>
          <w:szCs w:val="24"/>
          <w:u w:val="single"/>
        </w:rPr>
        <w:t>dubna</w:t>
      </w:r>
      <w:r w:rsidRPr="00533C4F">
        <w:rPr>
          <w:b/>
          <w:bCs/>
          <w:color w:val="000000" w:themeColor="text1"/>
          <w:sz w:val="24"/>
          <w:szCs w:val="24"/>
          <w:u w:val="single"/>
        </w:rPr>
        <w:t xml:space="preserve"> 202</w:t>
      </w:r>
      <w:r w:rsidR="00D83744">
        <w:rPr>
          <w:b/>
          <w:bCs/>
          <w:color w:val="000000" w:themeColor="text1"/>
          <w:sz w:val="24"/>
          <w:szCs w:val="24"/>
          <w:u w:val="single"/>
        </w:rPr>
        <w:t>6</w:t>
      </w:r>
      <w:r w:rsidRPr="00533C4F">
        <w:rPr>
          <w:b/>
          <w:bCs/>
          <w:color w:val="000000" w:themeColor="text1"/>
          <w:sz w:val="24"/>
          <w:szCs w:val="24"/>
        </w:rPr>
        <w:t xml:space="preserve"> –</w:t>
      </w:r>
      <w:r w:rsidR="00174EC2" w:rsidRPr="00533C4F">
        <w:rPr>
          <w:b/>
          <w:bCs/>
          <w:color w:val="000000" w:themeColor="text1"/>
          <w:sz w:val="24"/>
          <w:szCs w:val="24"/>
        </w:rPr>
        <w:t xml:space="preserve"> </w:t>
      </w:r>
      <w:r w:rsidR="001A1801" w:rsidRPr="00533C4F">
        <w:rPr>
          <w:b/>
          <w:bCs/>
          <w:color w:val="000000" w:themeColor="text1"/>
          <w:sz w:val="24"/>
          <w:szCs w:val="24"/>
        </w:rPr>
        <w:t xml:space="preserve">Podpora domácích fotovoltaik </w:t>
      </w:r>
      <w:r w:rsidR="00841C72">
        <w:rPr>
          <w:b/>
          <w:bCs/>
          <w:color w:val="000000" w:themeColor="text1"/>
          <w:sz w:val="24"/>
          <w:szCs w:val="24"/>
        </w:rPr>
        <w:t xml:space="preserve">(FVE) </w:t>
      </w:r>
      <w:r w:rsidR="001A1801" w:rsidRPr="00533C4F">
        <w:rPr>
          <w:b/>
          <w:bCs/>
          <w:color w:val="000000" w:themeColor="text1"/>
          <w:sz w:val="24"/>
          <w:szCs w:val="24"/>
        </w:rPr>
        <w:t xml:space="preserve">prochází největší proměnou za poslední roky. Stát finalizuje pravidla nové etapy, která u většiny domácností nahrazuje jednorázové dotace modelem bezúročného financování. </w:t>
      </w:r>
      <w:r w:rsidR="0042493F" w:rsidRPr="00533C4F">
        <w:rPr>
          <w:b/>
          <w:bCs/>
          <w:color w:val="000000" w:themeColor="text1"/>
          <w:sz w:val="24"/>
          <w:szCs w:val="24"/>
        </w:rPr>
        <w:t>Větší důraz je kladen na dlouhodobé snižování nákladů za energie. Nový model se jeví jako ještě výhodnější</w:t>
      </w:r>
      <w:r w:rsidR="00D83744">
        <w:rPr>
          <w:b/>
          <w:bCs/>
          <w:color w:val="000000" w:themeColor="text1"/>
          <w:sz w:val="24"/>
          <w:szCs w:val="24"/>
        </w:rPr>
        <w:t xml:space="preserve"> způsob</w:t>
      </w:r>
      <w:r w:rsidR="0042493F" w:rsidRPr="00533C4F">
        <w:rPr>
          <w:b/>
          <w:bCs/>
          <w:color w:val="000000" w:themeColor="text1"/>
          <w:sz w:val="24"/>
          <w:szCs w:val="24"/>
        </w:rPr>
        <w:t>, jak si pořídit FVE, snížit účty za elektřinu a získat energetickou nezávislost.</w:t>
      </w:r>
    </w:p>
    <w:p w14:paraId="7FF26FFD" w14:textId="77777777" w:rsidR="00150393" w:rsidRPr="00150393" w:rsidRDefault="00150393" w:rsidP="0015039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 w:themeColor="text1"/>
          <w:sz w:val="24"/>
          <w:szCs w:val="24"/>
        </w:rPr>
      </w:pPr>
    </w:p>
    <w:p w14:paraId="38A512B3" w14:textId="1C5A3B90" w:rsidR="00150393" w:rsidRPr="00150393" w:rsidRDefault="00150393" w:rsidP="0015039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 w:themeColor="text1"/>
          <w:sz w:val="24"/>
          <w:szCs w:val="24"/>
        </w:rPr>
      </w:pPr>
      <w:r w:rsidRPr="00150393">
        <w:rPr>
          <w:color w:val="000000" w:themeColor="text1"/>
          <w:sz w:val="24"/>
          <w:szCs w:val="24"/>
        </w:rPr>
        <w:t xml:space="preserve">Přestože finální podmínky programu </w:t>
      </w:r>
      <w:r w:rsidR="00E712FB">
        <w:rPr>
          <w:color w:val="000000" w:themeColor="text1"/>
          <w:sz w:val="24"/>
          <w:szCs w:val="24"/>
        </w:rPr>
        <w:t xml:space="preserve">Nová zelená úsporám </w:t>
      </w:r>
      <w:r w:rsidRPr="00150393">
        <w:rPr>
          <w:color w:val="000000" w:themeColor="text1"/>
          <w:sz w:val="24"/>
          <w:szCs w:val="24"/>
        </w:rPr>
        <w:t xml:space="preserve">mají být zveřejněny </w:t>
      </w:r>
      <w:r w:rsidR="00944A7C">
        <w:rPr>
          <w:color w:val="000000" w:themeColor="text1"/>
          <w:sz w:val="24"/>
          <w:szCs w:val="24"/>
        </w:rPr>
        <w:t>během následujících několika týdnů</w:t>
      </w:r>
      <w:r w:rsidRPr="00150393">
        <w:rPr>
          <w:color w:val="000000" w:themeColor="text1"/>
          <w:sz w:val="24"/>
          <w:szCs w:val="24"/>
        </w:rPr>
        <w:t>, už nyní jsou známé základní principy, podle kterých bude nový systém fungovat.</w:t>
      </w:r>
      <w:r w:rsidR="00C8273C">
        <w:rPr>
          <w:color w:val="000000" w:themeColor="text1"/>
          <w:sz w:val="24"/>
          <w:szCs w:val="24"/>
        </w:rPr>
        <w:t xml:space="preserve"> </w:t>
      </w:r>
      <w:r w:rsidRPr="00C8273C">
        <w:rPr>
          <w:i/>
          <w:iCs/>
          <w:color w:val="000000" w:themeColor="text1"/>
          <w:sz w:val="24"/>
          <w:szCs w:val="24"/>
        </w:rPr>
        <w:t>„</w:t>
      </w:r>
      <w:r w:rsidR="00536641">
        <w:rPr>
          <w:i/>
          <w:iCs/>
          <w:color w:val="000000" w:themeColor="text1"/>
          <w:sz w:val="24"/>
          <w:szCs w:val="24"/>
        </w:rPr>
        <w:t xml:space="preserve">Mění se </w:t>
      </w:r>
      <w:r w:rsidRPr="00C8273C">
        <w:rPr>
          <w:i/>
          <w:iCs/>
          <w:color w:val="000000" w:themeColor="text1"/>
          <w:sz w:val="24"/>
          <w:szCs w:val="24"/>
        </w:rPr>
        <w:t>samotná filozofie podpory. Už nepůjde primárně o to</w:t>
      </w:r>
      <w:r w:rsidR="00841C72">
        <w:rPr>
          <w:i/>
          <w:iCs/>
          <w:color w:val="000000" w:themeColor="text1"/>
          <w:sz w:val="24"/>
          <w:szCs w:val="24"/>
        </w:rPr>
        <w:t>,</w:t>
      </w:r>
      <w:r w:rsidRPr="00C8273C">
        <w:rPr>
          <w:i/>
          <w:iCs/>
          <w:color w:val="000000" w:themeColor="text1"/>
          <w:sz w:val="24"/>
          <w:szCs w:val="24"/>
        </w:rPr>
        <w:t xml:space="preserve"> stihnout podat žádost včas a získat jednorázovou dotaci. Nový systém bude mnohem více zaměřený na dlouhodobé úspory, správně navržená řešení a efektivní financování. </w:t>
      </w:r>
      <w:r w:rsidR="008B4D67">
        <w:rPr>
          <w:i/>
          <w:iCs/>
          <w:color w:val="000000" w:themeColor="text1"/>
          <w:sz w:val="24"/>
          <w:szCs w:val="24"/>
        </w:rPr>
        <w:t>Zájemci</w:t>
      </w:r>
      <w:r w:rsidRPr="00C8273C">
        <w:rPr>
          <w:i/>
          <w:iCs/>
          <w:color w:val="000000" w:themeColor="text1"/>
          <w:sz w:val="24"/>
          <w:szCs w:val="24"/>
        </w:rPr>
        <w:t xml:space="preserve"> </w:t>
      </w:r>
      <w:r w:rsidR="00536641">
        <w:rPr>
          <w:i/>
          <w:iCs/>
          <w:color w:val="000000" w:themeColor="text1"/>
          <w:sz w:val="24"/>
          <w:szCs w:val="24"/>
        </w:rPr>
        <w:t xml:space="preserve">o FVE </w:t>
      </w:r>
      <w:r w:rsidRPr="00C8273C">
        <w:rPr>
          <w:i/>
          <w:iCs/>
          <w:color w:val="000000" w:themeColor="text1"/>
          <w:sz w:val="24"/>
          <w:szCs w:val="24"/>
        </w:rPr>
        <w:t xml:space="preserve">se </w:t>
      </w:r>
      <w:r w:rsidR="00536641">
        <w:rPr>
          <w:i/>
          <w:iCs/>
          <w:color w:val="000000" w:themeColor="text1"/>
          <w:sz w:val="24"/>
          <w:szCs w:val="24"/>
        </w:rPr>
        <w:t xml:space="preserve">mohou začít </w:t>
      </w:r>
      <w:r w:rsidRPr="00C8273C">
        <w:rPr>
          <w:i/>
          <w:iCs/>
          <w:color w:val="000000" w:themeColor="text1"/>
          <w:sz w:val="24"/>
          <w:szCs w:val="24"/>
        </w:rPr>
        <w:t>připravovat už nyní,“</w:t>
      </w:r>
      <w:r w:rsidRPr="00150393">
        <w:rPr>
          <w:color w:val="000000" w:themeColor="text1"/>
          <w:sz w:val="24"/>
          <w:szCs w:val="24"/>
        </w:rPr>
        <w:t xml:space="preserve"> </w:t>
      </w:r>
      <w:r w:rsidR="00C8273C" w:rsidRPr="00C8273C">
        <w:rPr>
          <w:b/>
          <w:bCs/>
          <w:color w:val="000000" w:themeColor="text1"/>
          <w:sz w:val="24"/>
          <w:szCs w:val="24"/>
        </w:rPr>
        <w:t xml:space="preserve">představuje </w:t>
      </w:r>
      <w:r w:rsidRPr="00C8273C">
        <w:rPr>
          <w:b/>
          <w:bCs/>
          <w:color w:val="000000" w:themeColor="text1"/>
          <w:sz w:val="24"/>
          <w:szCs w:val="24"/>
        </w:rPr>
        <w:t xml:space="preserve">Martin </w:t>
      </w:r>
      <w:proofErr w:type="spellStart"/>
      <w:r w:rsidRPr="00C8273C">
        <w:rPr>
          <w:b/>
          <w:bCs/>
          <w:color w:val="000000" w:themeColor="text1"/>
          <w:sz w:val="24"/>
          <w:szCs w:val="24"/>
        </w:rPr>
        <w:t>Palarčík</w:t>
      </w:r>
      <w:proofErr w:type="spellEnd"/>
      <w:r w:rsidRPr="00C8273C">
        <w:rPr>
          <w:b/>
          <w:bCs/>
          <w:color w:val="000000" w:themeColor="text1"/>
          <w:sz w:val="24"/>
          <w:szCs w:val="24"/>
        </w:rPr>
        <w:t xml:space="preserve">, předseda rady jednatelů </w:t>
      </w:r>
      <w:proofErr w:type="spellStart"/>
      <w:r w:rsidRPr="00C8273C">
        <w:rPr>
          <w:b/>
          <w:bCs/>
          <w:color w:val="000000" w:themeColor="text1"/>
          <w:sz w:val="24"/>
          <w:szCs w:val="24"/>
        </w:rPr>
        <w:t>PREsolidsun</w:t>
      </w:r>
      <w:proofErr w:type="spellEnd"/>
      <w:r w:rsidRPr="00150393">
        <w:rPr>
          <w:color w:val="000000" w:themeColor="text1"/>
          <w:sz w:val="24"/>
          <w:szCs w:val="24"/>
        </w:rPr>
        <w:t>.</w:t>
      </w:r>
    </w:p>
    <w:p w14:paraId="2FCB2E07" w14:textId="77777777" w:rsidR="00150393" w:rsidRPr="00150393" w:rsidRDefault="00150393" w:rsidP="0015039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 w:themeColor="text1"/>
          <w:sz w:val="24"/>
          <w:szCs w:val="24"/>
        </w:rPr>
      </w:pPr>
    </w:p>
    <w:p w14:paraId="20B18395" w14:textId="77777777" w:rsidR="00150393" w:rsidRPr="00C8273C" w:rsidRDefault="00150393" w:rsidP="0015039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bCs/>
          <w:color w:val="000000" w:themeColor="text1"/>
          <w:sz w:val="24"/>
          <w:szCs w:val="24"/>
        </w:rPr>
      </w:pPr>
      <w:r w:rsidRPr="00C8273C">
        <w:rPr>
          <w:b/>
          <w:bCs/>
          <w:color w:val="000000" w:themeColor="text1"/>
          <w:sz w:val="24"/>
          <w:szCs w:val="24"/>
        </w:rPr>
        <w:t>Přímé dotace zůstanou hlavně pro nízkopříjmové domácnosti</w:t>
      </w:r>
    </w:p>
    <w:p w14:paraId="4B00E6A0" w14:textId="4721E76C" w:rsidR="007D7535" w:rsidRDefault="00150393" w:rsidP="0015039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 w:themeColor="text1"/>
          <w:sz w:val="24"/>
          <w:szCs w:val="24"/>
        </w:rPr>
      </w:pPr>
      <w:r w:rsidRPr="00150393">
        <w:rPr>
          <w:color w:val="000000" w:themeColor="text1"/>
          <w:sz w:val="24"/>
          <w:szCs w:val="24"/>
        </w:rPr>
        <w:t>Největší změnou je omezení přímých dotací pro většinu domácností</w:t>
      </w:r>
      <w:r w:rsidR="00E064EF">
        <w:rPr>
          <w:color w:val="000000" w:themeColor="text1"/>
          <w:sz w:val="24"/>
          <w:szCs w:val="24"/>
        </w:rPr>
        <w:t xml:space="preserve"> v rodinných domech</w:t>
      </w:r>
      <w:r w:rsidRPr="00150393">
        <w:rPr>
          <w:color w:val="000000" w:themeColor="text1"/>
          <w:sz w:val="24"/>
          <w:szCs w:val="24"/>
        </w:rPr>
        <w:t>. Ty</w:t>
      </w:r>
      <w:r w:rsidR="00790F63">
        <w:rPr>
          <w:color w:val="000000" w:themeColor="text1"/>
          <w:sz w:val="24"/>
          <w:szCs w:val="24"/>
        </w:rPr>
        <w:t> </w:t>
      </w:r>
      <w:r w:rsidRPr="00150393">
        <w:rPr>
          <w:color w:val="000000" w:themeColor="text1"/>
          <w:sz w:val="24"/>
          <w:szCs w:val="24"/>
        </w:rPr>
        <w:t xml:space="preserve">budou nově zachovány v programu Nová zelená úsporám </w:t>
      </w:r>
      <w:proofErr w:type="spellStart"/>
      <w:r w:rsidRPr="00150393">
        <w:rPr>
          <w:color w:val="000000" w:themeColor="text1"/>
          <w:sz w:val="24"/>
          <w:szCs w:val="24"/>
        </w:rPr>
        <w:t>Light</w:t>
      </w:r>
      <w:proofErr w:type="spellEnd"/>
      <w:r w:rsidRPr="00150393">
        <w:rPr>
          <w:color w:val="000000" w:themeColor="text1"/>
          <w:sz w:val="24"/>
          <w:szCs w:val="24"/>
        </w:rPr>
        <w:t xml:space="preserve">, který bude určen pro nízkopříjmové </w:t>
      </w:r>
      <w:r w:rsidR="00C8328B">
        <w:rPr>
          <w:color w:val="000000" w:themeColor="text1"/>
          <w:sz w:val="24"/>
          <w:szCs w:val="24"/>
        </w:rPr>
        <w:t xml:space="preserve">domácnosti </w:t>
      </w:r>
      <w:r w:rsidR="00C8328B" w:rsidRPr="00C8328B">
        <w:rPr>
          <w:color w:val="000000" w:themeColor="text1"/>
          <w:sz w:val="24"/>
          <w:szCs w:val="24"/>
        </w:rPr>
        <w:t>v nezateplených nebo energeticky neúsporných domech</w:t>
      </w:r>
      <w:r w:rsidRPr="00150393">
        <w:rPr>
          <w:color w:val="000000" w:themeColor="text1"/>
          <w:sz w:val="24"/>
          <w:szCs w:val="24"/>
        </w:rPr>
        <w:t>.</w:t>
      </w:r>
      <w:r w:rsidR="007D7535">
        <w:rPr>
          <w:color w:val="000000" w:themeColor="text1"/>
          <w:sz w:val="24"/>
          <w:szCs w:val="24"/>
        </w:rPr>
        <w:t xml:space="preserve"> </w:t>
      </w:r>
      <w:r w:rsidR="00D83744">
        <w:rPr>
          <w:color w:val="000000" w:themeColor="text1"/>
          <w:sz w:val="24"/>
          <w:szCs w:val="24"/>
        </w:rPr>
        <w:t>Tyto domácnosti mohou i</w:t>
      </w:r>
      <w:r w:rsidR="00E064EF">
        <w:rPr>
          <w:color w:val="000000" w:themeColor="text1"/>
          <w:sz w:val="24"/>
          <w:szCs w:val="24"/>
        </w:rPr>
        <w:t xml:space="preserve"> nadále </w:t>
      </w:r>
      <w:r w:rsidR="00287106" w:rsidRPr="00287106">
        <w:rPr>
          <w:color w:val="000000" w:themeColor="text1"/>
          <w:sz w:val="24"/>
          <w:szCs w:val="24"/>
        </w:rPr>
        <w:t xml:space="preserve">získat přímou dotaci vyplácenou předem, a to až 150 000 korun na instalaci </w:t>
      </w:r>
      <w:r w:rsidR="00E064EF">
        <w:rPr>
          <w:color w:val="000000" w:themeColor="text1"/>
          <w:sz w:val="24"/>
          <w:szCs w:val="24"/>
        </w:rPr>
        <w:t>FVE</w:t>
      </w:r>
      <w:r w:rsidR="00287106" w:rsidRPr="00287106">
        <w:rPr>
          <w:color w:val="000000" w:themeColor="text1"/>
          <w:sz w:val="24"/>
          <w:szCs w:val="24"/>
        </w:rPr>
        <w:t xml:space="preserve"> či jiného obnovitelného zdroje. </w:t>
      </w:r>
    </w:p>
    <w:p w14:paraId="7276BE71" w14:textId="77777777" w:rsidR="007D7535" w:rsidRDefault="007D7535" w:rsidP="0015039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 w:themeColor="text1"/>
          <w:sz w:val="24"/>
          <w:szCs w:val="24"/>
        </w:rPr>
      </w:pPr>
    </w:p>
    <w:p w14:paraId="31A00F95" w14:textId="1254B4A1" w:rsidR="00287106" w:rsidRPr="00150393" w:rsidRDefault="00287106" w:rsidP="0015039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 w:themeColor="text1"/>
          <w:sz w:val="24"/>
          <w:szCs w:val="24"/>
        </w:rPr>
      </w:pPr>
      <w:r w:rsidRPr="00287106">
        <w:rPr>
          <w:color w:val="000000" w:themeColor="text1"/>
          <w:sz w:val="24"/>
          <w:szCs w:val="24"/>
        </w:rPr>
        <w:t>Odlišná situace nastává u bytových domů</w:t>
      </w:r>
      <w:r>
        <w:rPr>
          <w:color w:val="000000" w:themeColor="text1"/>
          <w:sz w:val="24"/>
          <w:szCs w:val="24"/>
        </w:rPr>
        <w:t xml:space="preserve"> </w:t>
      </w:r>
      <w:r w:rsidR="007D7535">
        <w:rPr>
          <w:color w:val="000000" w:themeColor="text1"/>
          <w:sz w:val="24"/>
          <w:szCs w:val="24"/>
        </w:rPr>
        <w:t>–</w:t>
      </w:r>
      <w:r w:rsidRPr="00287106">
        <w:rPr>
          <w:color w:val="000000" w:themeColor="text1"/>
          <w:sz w:val="24"/>
          <w:szCs w:val="24"/>
        </w:rPr>
        <w:t xml:space="preserve"> pokud se celý dům rozhodne pro renovaci, stát vyplatí sociální bonus až 150 000 korun za každý byt obsazený nízkopříjmovou rodinou.</w:t>
      </w:r>
      <w:r w:rsidR="007D7535">
        <w:rPr>
          <w:color w:val="000000" w:themeColor="text1"/>
          <w:sz w:val="24"/>
          <w:szCs w:val="24"/>
        </w:rPr>
        <w:t xml:space="preserve"> </w:t>
      </w:r>
      <w:r w:rsidRPr="00287106">
        <w:rPr>
          <w:color w:val="000000" w:themeColor="text1"/>
          <w:sz w:val="24"/>
          <w:szCs w:val="24"/>
        </w:rPr>
        <w:t xml:space="preserve">Tento bonus slouží k přímému snížení nákladů dané rodiny na společnou rekonstrukci, takže se jí i přes modernizaci domu nezvýší měsíční příspěvek do fondu oprav. </w:t>
      </w:r>
      <w:r w:rsidR="009A3D3E" w:rsidRPr="009A3D3E">
        <w:rPr>
          <w:color w:val="000000" w:themeColor="text1"/>
          <w:sz w:val="24"/>
          <w:szCs w:val="24"/>
        </w:rPr>
        <w:t>Pro ostatní domácnosti bude hlavním nástrojem podpory bezúročný úvěr.</w:t>
      </w:r>
    </w:p>
    <w:p w14:paraId="2D7FA9E6" w14:textId="77777777" w:rsidR="00150393" w:rsidRPr="00150393" w:rsidRDefault="00150393" w:rsidP="0015039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 w:themeColor="text1"/>
          <w:sz w:val="24"/>
          <w:szCs w:val="24"/>
        </w:rPr>
      </w:pPr>
    </w:p>
    <w:p w14:paraId="15A5AEFB" w14:textId="77777777" w:rsidR="00150393" w:rsidRPr="002E1E90" w:rsidRDefault="00150393" w:rsidP="0015039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bCs/>
          <w:color w:val="000000" w:themeColor="text1"/>
          <w:sz w:val="24"/>
          <w:szCs w:val="24"/>
        </w:rPr>
      </w:pPr>
      <w:r w:rsidRPr="002E1E90">
        <w:rPr>
          <w:b/>
          <w:bCs/>
          <w:color w:val="000000" w:themeColor="text1"/>
          <w:sz w:val="24"/>
          <w:szCs w:val="24"/>
        </w:rPr>
        <w:t>Bezúročné úvěry nahradí část dosavadních dotací</w:t>
      </w:r>
    </w:p>
    <w:p w14:paraId="5FED909F" w14:textId="56A24D3E" w:rsidR="00150393" w:rsidRPr="00150393" w:rsidRDefault="00150393" w:rsidP="0015039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 w:themeColor="text1"/>
          <w:sz w:val="24"/>
          <w:szCs w:val="24"/>
        </w:rPr>
      </w:pPr>
      <w:r w:rsidRPr="00150393">
        <w:rPr>
          <w:color w:val="000000" w:themeColor="text1"/>
          <w:sz w:val="24"/>
          <w:szCs w:val="24"/>
        </w:rPr>
        <w:t>Nově budou moci domácnosti</w:t>
      </w:r>
      <w:r w:rsidR="00AF0604">
        <w:rPr>
          <w:color w:val="000000" w:themeColor="text1"/>
          <w:sz w:val="24"/>
          <w:szCs w:val="24"/>
        </w:rPr>
        <w:t>, SVJ a bytová družstva</w:t>
      </w:r>
      <w:r w:rsidRPr="00150393">
        <w:rPr>
          <w:color w:val="000000" w:themeColor="text1"/>
          <w:sz w:val="24"/>
          <w:szCs w:val="24"/>
        </w:rPr>
        <w:t xml:space="preserve"> využít bezúročné úvěry na energetické renovace, </w:t>
      </w:r>
      <w:r w:rsidR="008B4D67">
        <w:rPr>
          <w:color w:val="000000" w:themeColor="text1"/>
          <w:sz w:val="24"/>
          <w:szCs w:val="24"/>
        </w:rPr>
        <w:t>FVE</w:t>
      </w:r>
      <w:r w:rsidRPr="00150393">
        <w:rPr>
          <w:color w:val="000000" w:themeColor="text1"/>
          <w:sz w:val="24"/>
          <w:szCs w:val="24"/>
        </w:rPr>
        <w:t>, tepelná čerpadla, zateplení, výměnu oken, rekuperaci nebo další opatření.</w:t>
      </w:r>
      <w:r w:rsidR="000C5559">
        <w:rPr>
          <w:color w:val="000000" w:themeColor="text1"/>
          <w:sz w:val="24"/>
          <w:szCs w:val="24"/>
        </w:rPr>
        <w:t xml:space="preserve"> </w:t>
      </w:r>
      <w:r w:rsidRPr="00150393">
        <w:rPr>
          <w:color w:val="000000" w:themeColor="text1"/>
          <w:sz w:val="24"/>
          <w:szCs w:val="24"/>
        </w:rPr>
        <w:t xml:space="preserve">Úvěry budou poskytovat banky a stavební spořitelny, zatímco úroky </w:t>
      </w:r>
      <w:r w:rsidR="007D7535" w:rsidRPr="00150393">
        <w:rPr>
          <w:color w:val="000000" w:themeColor="text1"/>
          <w:sz w:val="24"/>
          <w:szCs w:val="24"/>
        </w:rPr>
        <w:t xml:space="preserve">uhradí </w:t>
      </w:r>
      <w:r w:rsidRPr="00150393">
        <w:rPr>
          <w:color w:val="000000" w:themeColor="text1"/>
          <w:sz w:val="24"/>
          <w:szCs w:val="24"/>
        </w:rPr>
        <w:t xml:space="preserve">za </w:t>
      </w:r>
      <w:r w:rsidR="00AF0604">
        <w:rPr>
          <w:color w:val="000000" w:themeColor="text1"/>
          <w:sz w:val="24"/>
          <w:szCs w:val="24"/>
        </w:rPr>
        <w:t>žádající</w:t>
      </w:r>
      <w:r w:rsidRPr="00150393">
        <w:rPr>
          <w:color w:val="000000" w:themeColor="text1"/>
          <w:sz w:val="24"/>
          <w:szCs w:val="24"/>
        </w:rPr>
        <w:t xml:space="preserve"> stát. Díky tomu domácnosti získají financování s nulovým úrokem, typicky se splatností deset až patnáct let.</w:t>
      </w:r>
    </w:p>
    <w:p w14:paraId="37D21CC6" w14:textId="77777777" w:rsidR="00150393" w:rsidRPr="00150393" w:rsidRDefault="00150393" w:rsidP="0015039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 w:themeColor="text1"/>
          <w:sz w:val="24"/>
          <w:szCs w:val="24"/>
        </w:rPr>
      </w:pPr>
    </w:p>
    <w:p w14:paraId="12A698D2" w14:textId="1207E77C" w:rsidR="00150393" w:rsidRPr="00150393" w:rsidRDefault="00150393" w:rsidP="0015039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 w:themeColor="text1"/>
          <w:sz w:val="24"/>
          <w:szCs w:val="24"/>
        </w:rPr>
      </w:pPr>
      <w:r w:rsidRPr="007414E3">
        <w:rPr>
          <w:i/>
          <w:iCs/>
          <w:color w:val="000000" w:themeColor="text1"/>
          <w:sz w:val="24"/>
          <w:szCs w:val="24"/>
        </w:rPr>
        <w:t>„Na první pohled může bezúročný úvěr působit méně atraktivně než přímá dotace. Ve</w:t>
      </w:r>
      <w:r w:rsidR="00790F63">
        <w:rPr>
          <w:i/>
          <w:iCs/>
          <w:color w:val="000000" w:themeColor="text1"/>
          <w:sz w:val="24"/>
          <w:szCs w:val="24"/>
        </w:rPr>
        <w:t> </w:t>
      </w:r>
      <w:r w:rsidRPr="007414E3">
        <w:rPr>
          <w:i/>
          <w:iCs/>
          <w:color w:val="000000" w:themeColor="text1"/>
          <w:sz w:val="24"/>
          <w:szCs w:val="24"/>
        </w:rPr>
        <w:t xml:space="preserve">skutečnosti ale může být pro mnoho domácností výhodnější. Pokud by si lidé dnes brali běžný úvěr s úrokem kolem </w:t>
      </w:r>
      <w:r w:rsidR="007414E3" w:rsidRPr="007414E3">
        <w:rPr>
          <w:i/>
          <w:iCs/>
          <w:color w:val="000000" w:themeColor="text1"/>
          <w:sz w:val="24"/>
          <w:szCs w:val="24"/>
        </w:rPr>
        <w:t>6</w:t>
      </w:r>
      <w:r w:rsidR="007414E3" w:rsidRPr="00841C72">
        <w:rPr>
          <w:i/>
          <w:iCs/>
          <w:color w:val="000000" w:themeColor="text1"/>
          <w:sz w:val="24"/>
          <w:szCs w:val="24"/>
        </w:rPr>
        <w:t xml:space="preserve"> %</w:t>
      </w:r>
      <w:r w:rsidRPr="007414E3">
        <w:rPr>
          <w:i/>
          <w:iCs/>
          <w:color w:val="000000" w:themeColor="text1"/>
          <w:sz w:val="24"/>
          <w:szCs w:val="24"/>
        </w:rPr>
        <w:t>, během let zaplatí na úrocích významnou částku navíc. U</w:t>
      </w:r>
      <w:r w:rsidR="00790F63">
        <w:rPr>
          <w:i/>
          <w:iCs/>
          <w:color w:val="000000" w:themeColor="text1"/>
          <w:sz w:val="24"/>
          <w:szCs w:val="24"/>
        </w:rPr>
        <w:t> </w:t>
      </w:r>
      <w:r w:rsidRPr="007414E3">
        <w:rPr>
          <w:i/>
          <w:iCs/>
          <w:color w:val="000000" w:themeColor="text1"/>
          <w:sz w:val="24"/>
          <w:szCs w:val="24"/>
        </w:rPr>
        <w:t>bezúročného úvěru tyto náklady přebírá stát,“</w:t>
      </w:r>
      <w:r w:rsidR="00E76BB8">
        <w:rPr>
          <w:i/>
          <w:iCs/>
          <w:color w:val="000000" w:themeColor="text1"/>
          <w:sz w:val="24"/>
          <w:szCs w:val="24"/>
        </w:rPr>
        <w:t xml:space="preserve"> </w:t>
      </w:r>
      <w:r w:rsidR="007414E3">
        <w:rPr>
          <w:b/>
          <w:bCs/>
          <w:color w:val="000000" w:themeColor="text1"/>
          <w:sz w:val="24"/>
          <w:szCs w:val="24"/>
        </w:rPr>
        <w:t>vysvětluje</w:t>
      </w:r>
      <w:r w:rsidRPr="007414E3">
        <w:rPr>
          <w:b/>
          <w:bCs/>
          <w:color w:val="000000" w:themeColor="text1"/>
          <w:sz w:val="24"/>
          <w:szCs w:val="24"/>
        </w:rPr>
        <w:t xml:space="preserve"> Martin </w:t>
      </w:r>
      <w:proofErr w:type="spellStart"/>
      <w:r w:rsidRPr="007414E3">
        <w:rPr>
          <w:b/>
          <w:bCs/>
          <w:color w:val="000000" w:themeColor="text1"/>
          <w:sz w:val="24"/>
          <w:szCs w:val="24"/>
        </w:rPr>
        <w:t>Palarčík</w:t>
      </w:r>
      <w:proofErr w:type="spellEnd"/>
      <w:r w:rsidRPr="00150393">
        <w:rPr>
          <w:color w:val="000000" w:themeColor="text1"/>
          <w:sz w:val="24"/>
          <w:szCs w:val="24"/>
        </w:rPr>
        <w:t>.</w:t>
      </w:r>
    </w:p>
    <w:p w14:paraId="1C416F4E" w14:textId="77777777" w:rsidR="00150393" w:rsidRPr="00150393" w:rsidRDefault="00150393" w:rsidP="0015039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 w:themeColor="text1"/>
          <w:sz w:val="24"/>
          <w:szCs w:val="24"/>
        </w:rPr>
      </w:pPr>
    </w:p>
    <w:p w14:paraId="656B48ED" w14:textId="71188B69" w:rsidR="00150393" w:rsidRDefault="00150393" w:rsidP="0015039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 w:themeColor="text1"/>
          <w:sz w:val="24"/>
          <w:szCs w:val="24"/>
        </w:rPr>
      </w:pPr>
      <w:r w:rsidRPr="00150393">
        <w:rPr>
          <w:color w:val="000000" w:themeColor="text1"/>
          <w:sz w:val="24"/>
          <w:szCs w:val="24"/>
        </w:rPr>
        <w:lastRenderedPageBreak/>
        <w:t xml:space="preserve">Podle </w:t>
      </w:r>
      <w:proofErr w:type="spellStart"/>
      <w:r w:rsidR="007414E3">
        <w:rPr>
          <w:color w:val="000000" w:themeColor="text1"/>
          <w:sz w:val="24"/>
          <w:szCs w:val="24"/>
        </w:rPr>
        <w:t>SolidSunu</w:t>
      </w:r>
      <w:proofErr w:type="spellEnd"/>
      <w:r w:rsidRPr="00150393">
        <w:rPr>
          <w:color w:val="000000" w:themeColor="text1"/>
          <w:sz w:val="24"/>
          <w:szCs w:val="24"/>
        </w:rPr>
        <w:t xml:space="preserve"> může správně navržené řešení v kombinaci s úsporami za energie vést k</w:t>
      </w:r>
      <w:r w:rsidR="00790F63">
        <w:rPr>
          <w:color w:val="000000" w:themeColor="text1"/>
          <w:sz w:val="24"/>
          <w:szCs w:val="24"/>
        </w:rPr>
        <w:t> </w:t>
      </w:r>
      <w:r w:rsidRPr="00150393">
        <w:rPr>
          <w:color w:val="000000" w:themeColor="text1"/>
          <w:sz w:val="24"/>
          <w:szCs w:val="24"/>
        </w:rPr>
        <w:t>tomu, že měsíční úspora domácnosti bude dlouhodobě srovnatelná nebo vyšší než samotná splátka úvěru.</w:t>
      </w:r>
      <w:r w:rsidR="00900D61">
        <w:rPr>
          <w:color w:val="000000" w:themeColor="text1"/>
          <w:sz w:val="24"/>
          <w:szCs w:val="24"/>
        </w:rPr>
        <w:t xml:space="preserve"> Navíc ihned po spuštění FVE začnou šetřit za výd</w:t>
      </w:r>
      <w:r w:rsidR="00D83744">
        <w:rPr>
          <w:color w:val="000000" w:themeColor="text1"/>
          <w:sz w:val="24"/>
          <w:szCs w:val="24"/>
        </w:rPr>
        <w:t>a</w:t>
      </w:r>
      <w:r w:rsidR="00900D61">
        <w:rPr>
          <w:color w:val="000000" w:themeColor="text1"/>
          <w:sz w:val="24"/>
          <w:szCs w:val="24"/>
        </w:rPr>
        <w:t>je na elektřinu.</w:t>
      </w:r>
    </w:p>
    <w:p w14:paraId="7ECBE6E4" w14:textId="77777777" w:rsidR="0010367B" w:rsidRDefault="0010367B" w:rsidP="0015039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 w:themeColor="text1"/>
          <w:sz w:val="24"/>
          <w:szCs w:val="24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3964"/>
        <w:gridCol w:w="2694"/>
      </w:tblGrid>
      <w:tr w:rsidR="00686E74" w14:paraId="05163726" w14:textId="77777777" w:rsidTr="00B02D46">
        <w:trPr>
          <w:jc w:val="center"/>
        </w:trPr>
        <w:tc>
          <w:tcPr>
            <w:tcW w:w="6658" w:type="dxa"/>
            <w:gridSpan w:val="2"/>
            <w:shd w:val="clear" w:color="auto" w:fill="E7E6E6" w:themeFill="background2"/>
          </w:tcPr>
          <w:p w14:paraId="20DACDCF" w14:textId="62F8DA1B" w:rsidR="00686E74" w:rsidRPr="0010367B" w:rsidRDefault="00B02D46" w:rsidP="003B2278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10367B">
              <w:rPr>
                <w:b/>
                <w:bCs/>
                <w:color w:val="000000" w:themeColor="text1"/>
                <w:sz w:val="28"/>
                <w:szCs w:val="28"/>
              </w:rPr>
              <w:t>Modelový příklad financování FVE bezúročným úvěrem</w:t>
            </w:r>
          </w:p>
        </w:tc>
      </w:tr>
      <w:tr w:rsidR="00686E74" w14:paraId="44C53AC8" w14:textId="77777777" w:rsidTr="00B02D46">
        <w:trPr>
          <w:jc w:val="center"/>
        </w:trPr>
        <w:tc>
          <w:tcPr>
            <w:tcW w:w="3964" w:type="dxa"/>
          </w:tcPr>
          <w:p w14:paraId="404E6214" w14:textId="0B2149FA" w:rsidR="00686E74" w:rsidRPr="00B02D46" w:rsidRDefault="003B2278" w:rsidP="00150393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B02D46">
              <w:rPr>
                <w:b/>
                <w:bCs/>
                <w:color w:val="000000" w:themeColor="text1"/>
                <w:sz w:val="24"/>
                <w:szCs w:val="24"/>
              </w:rPr>
              <w:t>Investice</w:t>
            </w:r>
          </w:p>
        </w:tc>
        <w:tc>
          <w:tcPr>
            <w:tcW w:w="2694" w:type="dxa"/>
          </w:tcPr>
          <w:p w14:paraId="1A1578BA" w14:textId="7C05F527" w:rsidR="00686E74" w:rsidRDefault="003B2278" w:rsidP="00B02D46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350 000 Kč</w:t>
            </w:r>
          </w:p>
        </w:tc>
      </w:tr>
      <w:tr w:rsidR="00686E74" w14:paraId="77263D6A" w14:textId="77777777" w:rsidTr="00B02D46">
        <w:trPr>
          <w:jc w:val="center"/>
        </w:trPr>
        <w:tc>
          <w:tcPr>
            <w:tcW w:w="3964" w:type="dxa"/>
          </w:tcPr>
          <w:p w14:paraId="5D6CE1DF" w14:textId="6B1BA5C8" w:rsidR="00686E74" w:rsidRPr="00B02D46" w:rsidRDefault="003B2278" w:rsidP="00150393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B02D46">
              <w:rPr>
                <w:b/>
                <w:bCs/>
                <w:color w:val="000000" w:themeColor="text1"/>
                <w:sz w:val="24"/>
                <w:szCs w:val="24"/>
              </w:rPr>
              <w:t>Doba splácení</w:t>
            </w:r>
          </w:p>
        </w:tc>
        <w:tc>
          <w:tcPr>
            <w:tcW w:w="2694" w:type="dxa"/>
          </w:tcPr>
          <w:p w14:paraId="35221256" w14:textId="0DF51096" w:rsidR="00686E74" w:rsidRDefault="003B2278" w:rsidP="00B02D46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15 let</w:t>
            </w:r>
          </w:p>
        </w:tc>
      </w:tr>
      <w:tr w:rsidR="00686E74" w14:paraId="7A527CB9" w14:textId="77777777" w:rsidTr="00B02D46">
        <w:trPr>
          <w:jc w:val="center"/>
        </w:trPr>
        <w:tc>
          <w:tcPr>
            <w:tcW w:w="3964" w:type="dxa"/>
          </w:tcPr>
          <w:p w14:paraId="110EF2FD" w14:textId="4BB9B6BF" w:rsidR="00686E74" w:rsidRPr="00B02D46" w:rsidRDefault="003B2278" w:rsidP="00150393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B02D46">
              <w:rPr>
                <w:b/>
                <w:bCs/>
                <w:color w:val="000000" w:themeColor="text1"/>
                <w:sz w:val="24"/>
                <w:szCs w:val="24"/>
              </w:rPr>
              <w:t>Podpora státu na úrocích</w:t>
            </w:r>
          </w:p>
        </w:tc>
        <w:tc>
          <w:tcPr>
            <w:tcW w:w="2694" w:type="dxa"/>
          </w:tcPr>
          <w:p w14:paraId="058C818C" w14:textId="4E6015A0" w:rsidR="00686E74" w:rsidRPr="003B2278" w:rsidRDefault="003B2278" w:rsidP="00B02D46">
            <w:pPr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</w:rPr>
              <w:t>181 000 Kč</w:t>
            </w:r>
          </w:p>
        </w:tc>
      </w:tr>
      <w:tr w:rsidR="00686E74" w14:paraId="1368EC9D" w14:textId="77777777" w:rsidTr="00B02D46">
        <w:trPr>
          <w:jc w:val="center"/>
        </w:trPr>
        <w:tc>
          <w:tcPr>
            <w:tcW w:w="3964" w:type="dxa"/>
          </w:tcPr>
          <w:p w14:paraId="4987AD22" w14:textId="666611E3" w:rsidR="00686E74" w:rsidRPr="00B02D46" w:rsidRDefault="003B2278" w:rsidP="00150393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B02D46">
              <w:rPr>
                <w:b/>
                <w:bCs/>
                <w:color w:val="000000" w:themeColor="text1"/>
                <w:sz w:val="24"/>
                <w:szCs w:val="24"/>
              </w:rPr>
              <w:t>Měsíční splátka</w:t>
            </w:r>
            <w:r w:rsidR="00BD5AD3">
              <w:rPr>
                <w:b/>
                <w:bCs/>
                <w:color w:val="000000" w:themeColor="text1"/>
                <w:sz w:val="24"/>
                <w:szCs w:val="24"/>
              </w:rPr>
              <w:t xml:space="preserve"> FVE</w:t>
            </w:r>
          </w:p>
        </w:tc>
        <w:tc>
          <w:tcPr>
            <w:tcW w:w="2694" w:type="dxa"/>
          </w:tcPr>
          <w:p w14:paraId="7509C8CA" w14:textId="40227091" w:rsidR="00686E74" w:rsidRDefault="003B2278" w:rsidP="00B02D46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1 944 Kč</w:t>
            </w:r>
          </w:p>
        </w:tc>
      </w:tr>
      <w:tr w:rsidR="00686E74" w14:paraId="3D25D0AD" w14:textId="77777777" w:rsidTr="00B02D46">
        <w:trPr>
          <w:jc w:val="center"/>
        </w:trPr>
        <w:tc>
          <w:tcPr>
            <w:tcW w:w="3964" w:type="dxa"/>
          </w:tcPr>
          <w:p w14:paraId="3B4A06FF" w14:textId="038C4192" w:rsidR="00686E74" w:rsidRPr="00B02D46" w:rsidRDefault="003B2278" w:rsidP="00150393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B02D46">
              <w:rPr>
                <w:b/>
                <w:bCs/>
                <w:color w:val="000000" w:themeColor="text1"/>
                <w:sz w:val="24"/>
                <w:szCs w:val="24"/>
              </w:rPr>
              <w:t>Měsíční úspora</w:t>
            </w:r>
            <w:r w:rsidR="00F573C8" w:rsidRPr="00B02D46">
              <w:rPr>
                <w:b/>
                <w:bCs/>
                <w:color w:val="000000" w:themeColor="text1"/>
                <w:sz w:val="24"/>
                <w:szCs w:val="24"/>
              </w:rPr>
              <w:t xml:space="preserve"> na </w:t>
            </w:r>
            <w:r w:rsidR="00900D61">
              <w:rPr>
                <w:b/>
                <w:bCs/>
                <w:color w:val="000000" w:themeColor="text1"/>
                <w:sz w:val="24"/>
                <w:szCs w:val="24"/>
              </w:rPr>
              <w:t>elektřině</w:t>
            </w:r>
            <w:r w:rsidR="00B02D46" w:rsidRPr="00B02D46">
              <w:rPr>
                <w:b/>
                <w:bCs/>
                <w:color w:val="000000" w:themeColor="text1"/>
                <w:sz w:val="24"/>
                <w:szCs w:val="24"/>
              </w:rPr>
              <w:t xml:space="preserve"> díky FVE</w:t>
            </w:r>
          </w:p>
        </w:tc>
        <w:tc>
          <w:tcPr>
            <w:tcW w:w="2694" w:type="dxa"/>
          </w:tcPr>
          <w:p w14:paraId="21FB34D0" w14:textId="7F9B2082" w:rsidR="00686E74" w:rsidRPr="00EC6AF8" w:rsidRDefault="003B2278" w:rsidP="00B02D46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EC6AF8">
              <w:rPr>
                <w:b/>
                <w:bCs/>
                <w:color w:val="000000" w:themeColor="text1"/>
                <w:sz w:val="24"/>
                <w:szCs w:val="24"/>
              </w:rPr>
              <w:t>až 2 900 Kč</w:t>
            </w:r>
          </w:p>
        </w:tc>
      </w:tr>
      <w:tr w:rsidR="00686E74" w14:paraId="7CCF0329" w14:textId="77777777" w:rsidTr="00B02D46">
        <w:trPr>
          <w:jc w:val="center"/>
        </w:trPr>
        <w:tc>
          <w:tcPr>
            <w:tcW w:w="3964" w:type="dxa"/>
          </w:tcPr>
          <w:p w14:paraId="7E0F5755" w14:textId="203E5CE9" w:rsidR="00686E74" w:rsidRPr="00B02D46" w:rsidRDefault="003B2278" w:rsidP="00150393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B02D46">
              <w:rPr>
                <w:b/>
                <w:bCs/>
                <w:color w:val="000000" w:themeColor="text1"/>
                <w:sz w:val="24"/>
                <w:szCs w:val="24"/>
              </w:rPr>
              <w:t>Roční úspora</w:t>
            </w:r>
            <w:r w:rsidR="00F573C8" w:rsidRPr="00B02D46">
              <w:rPr>
                <w:b/>
                <w:bCs/>
                <w:color w:val="000000" w:themeColor="text1"/>
                <w:sz w:val="24"/>
                <w:szCs w:val="24"/>
              </w:rPr>
              <w:t xml:space="preserve"> na </w:t>
            </w:r>
            <w:r w:rsidR="00900D61">
              <w:rPr>
                <w:b/>
                <w:bCs/>
                <w:color w:val="000000" w:themeColor="text1"/>
                <w:sz w:val="24"/>
                <w:szCs w:val="24"/>
              </w:rPr>
              <w:t>elektřině</w:t>
            </w:r>
            <w:r w:rsidR="005A2F95">
              <w:rPr>
                <w:b/>
                <w:bCs/>
                <w:color w:val="000000" w:themeColor="text1"/>
                <w:sz w:val="24"/>
                <w:szCs w:val="24"/>
              </w:rPr>
              <w:t xml:space="preserve"> díky FVE</w:t>
            </w:r>
          </w:p>
        </w:tc>
        <w:tc>
          <w:tcPr>
            <w:tcW w:w="2694" w:type="dxa"/>
          </w:tcPr>
          <w:p w14:paraId="2D965F33" w14:textId="6C20FF49" w:rsidR="00686E74" w:rsidRPr="00EC6AF8" w:rsidRDefault="003B2278" w:rsidP="00B02D46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EC6AF8">
              <w:rPr>
                <w:b/>
                <w:bCs/>
                <w:color w:val="000000" w:themeColor="text1"/>
                <w:sz w:val="24"/>
                <w:szCs w:val="24"/>
              </w:rPr>
              <w:t>až 35 000 Kč</w:t>
            </w:r>
          </w:p>
        </w:tc>
      </w:tr>
      <w:tr w:rsidR="00532206" w14:paraId="1ACE089B" w14:textId="77777777" w:rsidTr="00B02D46">
        <w:trPr>
          <w:jc w:val="center"/>
        </w:trPr>
        <w:tc>
          <w:tcPr>
            <w:tcW w:w="3964" w:type="dxa"/>
          </w:tcPr>
          <w:p w14:paraId="174F8FF7" w14:textId="6A8047B1" w:rsidR="00532206" w:rsidRPr="00B02D46" w:rsidRDefault="00532206" w:rsidP="00150393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532206">
              <w:rPr>
                <w:b/>
                <w:bCs/>
                <w:color w:val="000000" w:themeColor="text1"/>
                <w:sz w:val="24"/>
                <w:szCs w:val="24"/>
              </w:rPr>
              <w:t>Čistý měsíční přínos do rozpočtu</w:t>
            </w:r>
          </w:p>
        </w:tc>
        <w:tc>
          <w:tcPr>
            <w:tcW w:w="2694" w:type="dxa"/>
          </w:tcPr>
          <w:p w14:paraId="6252BA9D" w14:textId="3892B718" w:rsidR="00532206" w:rsidRPr="00EC6AF8" w:rsidRDefault="00EC6AF8" w:rsidP="00B02D46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EC6AF8">
              <w:rPr>
                <w:b/>
                <w:bCs/>
                <w:color w:val="000000" w:themeColor="text1"/>
                <w:sz w:val="24"/>
                <w:szCs w:val="24"/>
              </w:rPr>
              <w:t>+ 956 Kč</w:t>
            </w:r>
          </w:p>
        </w:tc>
      </w:tr>
    </w:tbl>
    <w:p w14:paraId="5019FF8B" w14:textId="77777777" w:rsidR="00686E74" w:rsidRDefault="00686E74" w:rsidP="0015039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 w:themeColor="text1"/>
          <w:sz w:val="24"/>
          <w:szCs w:val="24"/>
        </w:rPr>
      </w:pPr>
    </w:p>
    <w:p w14:paraId="5FD98DA7" w14:textId="77777777" w:rsidR="00150393" w:rsidRPr="00E1700B" w:rsidRDefault="00150393" w:rsidP="0015039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bCs/>
          <w:color w:val="000000" w:themeColor="text1"/>
          <w:sz w:val="24"/>
          <w:szCs w:val="24"/>
        </w:rPr>
      </w:pPr>
      <w:r w:rsidRPr="00E1700B">
        <w:rPr>
          <w:b/>
          <w:bCs/>
          <w:color w:val="000000" w:themeColor="text1"/>
          <w:sz w:val="24"/>
          <w:szCs w:val="24"/>
        </w:rPr>
        <w:t>Klíčovou roli bude mít renovační pas</w:t>
      </w:r>
    </w:p>
    <w:p w14:paraId="2BE5810D" w14:textId="08EA51C2" w:rsidR="00150393" w:rsidRPr="00150393" w:rsidRDefault="00150393" w:rsidP="0015039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 w:themeColor="text1"/>
          <w:sz w:val="24"/>
          <w:szCs w:val="24"/>
        </w:rPr>
      </w:pPr>
      <w:r w:rsidRPr="00150393">
        <w:rPr>
          <w:color w:val="000000" w:themeColor="text1"/>
          <w:sz w:val="24"/>
          <w:szCs w:val="24"/>
        </w:rPr>
        <w:t>Další zásadní změnou bude povinný renovační pas. Tento dokument zpracuje energetický specialista a bude sloužit jako základ návrh</w:t>
      </w:r>
      <w:r w:rsidR="00C470BD">
        <w:rPr>
          <w:color w:val="000000" w:themeColor="text1"/>
          <w:sz w:val="24"/>
          <w:szCs w:val="24"/>
        </w:rPr>
        <w:t>u</w:t>
      </w:r>
      <w:r w:rsidRPr="00150393">
        <w:rPr>
          <w:color w:val="000000" w:themeColor="text1"/>
          <w:sz w:val="24"/>
          <w:szCs w:val="24"/>
        </w:rPr>
        <w:t xml:space="preserve"> celé renovace.</w:t>
      </w:r>
      <w:r w:rsidR="00800453">
        <w:rPr>
          <w:color w:val="000000" w:themeColor="text1"/>
          <w:sz w:val="24"/>
          <w:szCs w:val="24"/>
        </w:rPr>
        <w:t xml:space="preserve"> </w:t>
      </w:r>
      <w:r w:rsidR="00AB4F53" w:rsidRPr="00AB4F53">
        <w:rPr>
          <w:i/>
          <w:iCs/>
          <w:color w:val="000000" w:themeColor="text1"/>
          <w:sz w:val="24"/>
          <w:szCs w:val="24"/>
        </w:rPr>
        <w:t xml:space="preserve">„Renovační pas bude nově jedním z klíčových podkladů </w:t>
      </w:r>
      <w:r w:rsidR="00C470BD">
        <w:rPr>
          <w:i/>
          <w:iCs/>
          <w:color w:val="000000" w:themeColor="text1"/>
          <w:sz w:val="24"/>
          <w:szCs w:val="24"/>
        </w:rPr>
        <w:t>k</w:t>
      </w:r>
      <w:r w:rsidR="00C470BD" w:rsidRPr="00AB4F53">
        <w:rPr>
          <w:i/>
          <w:iCs/>
          <w:color w:val="000000" w:themeColor="text1"/>
          <w:sz w:val="24"/>
          <w:szCs w:val="24"/>
        </w:rPr>
        <w:t xml:space="preserve"> </w:t>
      </w:r>
      <w:r w:rsidR="00AB4F53" w:rsidRPr="00AB4F53">
        <w:rPr>
          <w:i/>
          <w:iCs/>
          <w:color w:val="000000" w:themeColor="text1"/>
          <w:sz w:val="24"/>
          <w:szCs w:val="24"/>
        </w:rPr>
        <w:t>získání podpory. Víme, že pro řadu žadatelů může být orientace v celém procesu složitá, proto zákazníkům pomůžeme nejen s návrhem technologie, ale zajistíme za ně také vyřízení renovačního pasu a návazné administrativy</w:t>
      </w:r>
      <w:r w:rsidR="003F66D8">
        <w:rPr>
          <w:i/>
          <w:iCs/>
          <w:color w:val="000000" w:themeColor="text1"/>
          <w:sz w:val="24"/>
          <w:szCs w:val="24"/>
        </w:rPr>
        <w:t xml:space="preserve"> jako součást servisu</w:t>
      </w:r>
      <w:r w:rsidR="00AB4F53" w:rsidRPr="00AB4F53">
        <w:rPr>
          <w:i/>
          <w:iCs/>
          <w:color w:val="000000" w:themeColor="text1"/>
          <w:sz w:val="24"/>
          <w:szCs w:val="24"/>
        </w:rPr>
        <w:t>,“</w:t>
      </w:r>
      <w:r w:rsidR="00AB4F53" w:rsidRPr="00AB4F53">
        <w:rPr>
          <w:color w:val="000000" w:themeColor="text1"/>
          <w:sz w:val="24"/>
          <w:szCs w:val="24"/>
        </w:rPr>
        <w:t xml:space="preserve"> </w:t>
      </w:r>
      <w:r w:rsidR="00AB4F53" w:rsidRPr="00AB4F53">
        <w:rPr>
          <w:b/>
          <w:bCs/>
          <w:color w:val="000000" w:themeColor="text1"/>
          <w:sz w:val="24"/>
          <w:szCs w:val="24"/>
        </w:rPr>
        <w:t xml:space="preserve">vyzdvihuje Martin </w:t>
      </w:r>
      <w:proofErr w:type="spellStart"/>
      <w:r w:rsidR="00AB4F53" w:rsidRPr="00AB4F53">
        <w:rPr>
          <w:b/>
          <w:bCs/>
          <w:color w:val="000000" w:themeColor="text1"/>
          <w:sz w:val="24"/>
          <w:szCs w:val="24"/>
        </w:rPr>
        <w:t>Palarčík</w:t>
      </w:r>
      <w:proofErr w:type="spellEnd"/>
      <w:r w:rsidR="00AB4F53" w:rsidRPr="00AB4F53">
        <w:rPr>
          <w:color w:val="000000" w:themeColor="text1"/>
          <w:sz w:val="24"/>
          <w:szCs w:val="24"/>
        </w:rPr>
        <w:t>.</w:t>
      </w:r>
    </w:p>
    <w:p w14:paraId="1E949E2D" w14:textId="0FFBFD09" w:rsidR="00150393" w:rsidRPr="00150393" w:rsidRDefault="00D8426F" w:rsidP="0015039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 w:themeColor="text1"/>
          <w:sz w:val="24"/>
          <w:szCs w:val="24"/>
        </w:rPr>
      </w:pPr>
      <w:r>
        <w:rPr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081AECE4" wp14:editId="45C23EAE">
            <wp:simplePos x="0" y="0"/>
            <wp:positionH relativeFrom="margin">
              <wp:posOffset>2440305</wp:posOffset>
            </wp:positionH>
            <wp:positionV relativeFrom="paragraph">
              <wp:posOffset>74295</wp:posOffset>
            </wp:positionV>
            <wp:extent cx="3418205" cy="3932555"/>
            <wp:effectExtent l="0" t="0" r="0" b="0"/>
            <wp:wrapSquare wrapText="bothSides"/>
            <wp:docPr id="89893162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8931624" name="Obrázek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18205" cy="39325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FED6C98" w14:textId="54C1A042" w:rsidR="00150393" w:rsidRPr="00150393" w:rsidRDefault="00150393" w:rsidP="0015039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 w:themeColor="text1"/>
          <w:sz w:val="24"/>
          <w:szCs w:val="24"/>
        </w:rPr>
      </w:pPr>
      <w:r w:rsidRPr="00150393">
        <w:rPr>
          <w:color w:val="000000" w:themeColor="text1"/>
          <w:sz w:val="24"/>
          <w:szCs w:val="24"/>
        </w:rPr>
        <w:t>Renovační pas posoudí aktuální stav domu, určí hlavní místa energetických ztrát a navrhne optimální postup jednotlivých opatření. Díky tomu budou domácnosti schopné investovat do řešení, která na sebe logicky navazují a přinášejí největší úsporu.</w:t>
      </w:r>
      <w:r w:rsidR="00E1700B">
        <w:rPr>
          <w:color w:val="000000" w:themeColor="text1"/>
          <w:sz w:val="24"/>
          <w:szCs w:val="24"/>
        </w:rPr>
        <w:t xml:space="preserve"> </w:t>
      </w:r>
      <w:r w:rsidRPr="00150393">
        <w:rPr>
          <w:color w:val="000000" w:themeColor="text1"/>
          <w:sz w:val="24"/>
          <w:szCs w:val="24"/>
        </w:rPr>
        <w:t>Bez renovačního pasu nebude možné o</w:t>
      </w:r>
      <w:r w:rsidR="00790F63">
        <w:rPr>
          <w:color w:val="000000" w:themeColor="text1"/>
          <w:sz w:val="24"/>
          <w:szCs w:val="24"/>
        </w:rPr>
        <w:t> </w:t>
      </w:r>
      <w:r w:rsidRPr="00150393">
        <w:rPr>
          <w:color w:val="000000" w:themeColor="text1"/>
          <w:sz w:val="24"/>
          <w:szCs w:val="24"/>
        </w:rPr>
        <w:t>podporu žádat.</w:t>
      </w:r>
    </w:p>
    <w:p w14:paraId="726BCD2C" w14:textId="28730457" w:rsidR="00150393" w:rsidRPr="00150393" w:rsidRDefault="00150393" w:rsidP="0015039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 w:themeColor="text1"/>
          <w:sz w:val="24"/>
          <w:szCs w:val="24"/>
        </w:rPr>
      </w:pPr>
    </w:p>
    <w:p w14:paraId="4294921A" w14:textId="76542DF4" w:rsidR="008321BD" w:rsidRDefault="00150393" w:rsidP="0015039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 w:themeColor="text1"/>
          <w:sz w:val="24"/>
          <w:szCs w:val="24"/>
        </w:rPr>
      </w:pPr>
      <w:r w:rsidRPr="00E1700B">
        <w:rPr>
          <w:i/>
          <w:iCs/>
          <w:color w:val="000000" w:themeColor="text1"/>
          <w:sz w:val="24"/>
          <w:szCs w:val="24"/>
        </w:rPr>
        <w:t>„Fotovoltai</w:t>
      </w:r>
      <w:r w:rsidR="008B4D67">
        <w:rPr>
          <w:i/>
          <w:iCs/>
          <w:color w:val="000000" w:themeColor="text1"/>
          <w:sz w:val="24"/>
          <w:szCs w:val="24"/>
        </w:rPr>
        <w:t>cká elektrárna</w:t>
      </w:r>
      <w:r w:rsidRPr="00E1700B">
        <w:rPr>
          <w:i/>
          <w:iCs/>
          <w:color w:val="000000" w:themeColor="text1"/>
          <w:sz w:val="24"/>
          <w:szCs w:val="24"/>
        </w:rPr>
        <w:t xml:space="preserve"> už nebude vnímána jako samostatný produkt. Klíčové bude, jak dobře je celý systém navržený. Největší efekt dnes přináší kombinace </w:t>
      </w:r>
      <w:r w:rsidR="008B4D67">
        <w:rPr>
          <w:i/>
          <w:iCs/>
          <w:color w:val="000000" w:themeColor="text1"/>
          <w:sz w:val="24"/>
          <w:szCs w:val="24"/>
        </w:rPr>
        <w:t>FVE</w:t>
      </w:r>
      <w:r w:rsidRPr="00E1700B">
        <w:rPr>
          <w:i/>
          <w:iCs/>
          <w:color w:val="000000" w:themeColor="text1"/>
          <w:sz w:val="24"/>
          <w:szCs w:val="24"/>
        </w:rPr>
        <w:t xml:space="preserve">, bateriového úložiště, </w:t>
      </w:r>
      <w:r w:rsidR="00462B3A">
        <w:rPr>
          <w:i/>
          <w:iCs/>
          <w:color w:val="000000" w:themeColor="text1"/>
          <w:sz w:val="24"/>
          <w:szCs w:val="24"/>
        </w:rPr>
        <w:t xml:space="preserve">dobíjecí stanice pro elektromobily, </w:t>
      </w:r>
      <w:r w:rsidRPr="00E1700B">
        <w:rPr>
          <w:i/>
          <w:iCs/>
          <w:color w:val="000000" w:themeColor="text1"/>
          <w:sz w:val="24"/>
          <w:szCs w:val="24"/>
        </w:rPr>
        <w:t>chytrého řízení spotřeby, případně tepelného čerpadla a dalších technologií podle typu domu. Právě proto bude kvalitní příprava projektu ještě důležitější než dříve,“</w:t>
      </w:r>
      <w:r w:rsidRPr="00150393">
        <w:rPr>
          <w:color w:val="000000" w:themeColor="text1"/>
          <w:sz w:val="24"/>
          <w:szCs w:val="24"/>
        </w:rPr>
        <w:t xml:space="preserve"> </w:t>
      </w:r>
      <w:r w:rsidRPr="00E1700B">
        <w:rPr>
          <w:b/>
          <w:bCs/>
          <w:color w:val="000000" w:themeColor="text1"/>
          <w:sz w:val="24"/>
          <w:szCs w:val="24"/>
        </w:rPr>
        <w:t xml:space="preserve">doplňuje Martin </w:t>
      </w:r>
      <w:proofErr w:type="spellStart"/>
      <w:r w:rsidRPr="00E1700B">
        <w:rPr>
          <w:b/>
          <w:bCs/>
          <w:color w:val="000000" w:themeColor="text1"/>
          <w:sz w:val="24"/>
          <w:szCs w:val="24"/>
        </w:rPr>
        <w:t>Palarčík</w:t>
      </w:r>
      <w:proofErr w:type="spellEnd"/>
      <w:r w:rsidRPr="00150393">
        <w:rPr>
          <w:color w:val="000000" w:themeColor="text1"/>
          <w:sz w:val="24"/>
          <w:szCs w:val="24"/>
        </w:rPr>
        <w:t>.</w:t>
      </w:r>
    </w:p>
    <w:p w14:paraId="359A7FFB" w14:textId="2B0AC747" w:rsidR="00150393" w:rsidRPr="00150393" w:rsidRDefault="00150393" w:rsidP="0015039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 w:themeColor="text1"/>
          <w:sz w:val="24"/>
          <w:szCs w:val="24"/>
        </w:rPr>
      </w:pPr>
    </w:p>
    <w:p w14:paraId="032C99A7" w14:textId="6878C499" w:rsidR="00150393" w:rsidRPr="00E1700B" w:rsidRDefault="008B4D67" w:rsidP="0015039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lastRenderedPageBreak/>
        <w:t>FVE</w:t>
      </w:r>
      <w:r w:rsidR="00150393" w:rsidRPr="00E1700B">
        <w:rPr>
          <w:b/>
          <w:bCs/>
          <w:color w:val="000000" w:themeColor="text1"/>
          <w:sz w:val="24"/>
          <w:szCs w:val="24"/>
        </w:rPr>
        <w:t xml:space="preserve"> zůstává důležitou součástí úsporných opatření</w:t>
      </w:r>
    </w:p>
    <w:p w14:paraId="5FC4BB0C" w14:textId="204F4503" w:rsidR="00150393" w:rsidRPr="00150393" w:rsidRDefault="00150393" w:rsidP="0015039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 w:themeColor="text1"/>
          <w:sz w:val="24"/>
          <w:szCs w:val="24"/>
        </w:rPr>
      </w:pPr>
      <w:r w:rsidRPr="00150393">
        <w:rPr>
          <w:color w:val="000000" w:themeColor="text1"/>
          <w:sz w:val="24"/>
          <w:szCs w:val="24"/>
        </w:rPr>
        <w:t xml:space="preserve">Přestože se mění systém financování, fotovoltaické elektrárny zůstávají jedním z klíčových opatření </w:t>
      </w:r>
      <w:r w:rsidR="00C470BD">
        <w:rPr>
          <w:color w:val="000000" w:themeColor="text1"/>
          <w:sz w:val="24"/>
          <w:szCs w:val="24"/>
        </w:rPr>
        <w:t>ke</w:t>
      </w:r>
      <w:r w:rsidR="00C470BD" w:rsidRPr="00150393">
        <w:rPr>
          <w:color w:val="000000" w:themeColor="text1"/>
          <w:sz w:val="24"/>
          <w:szCs w:val="24"/>
        </w:rPr>
        <w:t xml:space="preserve"> </w:t>
      </w:r>
      <w:r w:rsidRPr="00150393">
        <w:rPr>
          <w:color w:val="000000" w:themeColor="text1"/>
          <w:sz w:val="24"/>
          <w:szCs w:val="24"/>
        </w:rPr>
        <w:t>snižování nákladů na energie.</w:t>
      </w:r>
    </w:p>
    <w:p w14:paraId="00F88FB2" w14:textId="77777777" w:rsidR="00F9480A" w:rsidRDefault="00F9480A" w:rsidP="0015039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 w:themeColor="text1"/>
          <w:sz w:val="24"/>
          <w:szCs w:val="24"/>
        </w:rPr>
      </w:pPr>
    </w:p>
    <w:p w14:paraId="128D6050" w14:textId="44F7621A" w:rsidR="00150393" w:rsidRDefault="00150393" w:rsidP="0015039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 w:themeColor="text1"/>
          <w:sz w:val="24"/>
          <w:szCs w:val="24"/>
        </w:rPr>
      </w:pPr>
      <w:r w:rsidRPr="00150393">
        <w:rPr>
          <w:color w:val="000000" w:themeColor="text1"/>
          <w:sz w:val="24"/>
          <w:szCs w:val="24"/>
        </w:rPr>
        <w:t xml:space="preserve">Technické požadavky mají podle dosavadních informací navazovat na podmínky předchozích výzev. Domácnosti, které již mají projekt připravený, by tak ve většině případů </w:t>
      </w:r>
      <w:r w:rsidR="00C470BD">
        <w:rPr>
          <w:color w:val="000000" w:themeColor="text1"/>
          <w:sz w:val="24"/>
          <w:szCs w:val="24"/>
        </w:rPr>
        <w:t xml:space="preserve">nemusely </w:t>
      </w:r>
      <w:r w:rsidRPr="00150393">
        <w:rPr>
          <w:color w:val="000000" w:themeColor="text1"/>
          <w:sz w:val="24"/>
          <w:szCs w:val="24"/>
        </w:rPr>
        <w:t>řešení zásadně přepracovávat.</w:t>
      </w:r>
    </w:p>
    <w:p w14:paraId="648FC9E7" w14:textId="77777777" w:rsidR="00B649A5" w:rsidRDefault="00B649A5" w:rsidP="0015039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bCs/>
          <w:color w:val="000000" w:themeColor="text1"/>
          <w:sz w:val="24"/>
          <w:szCs w:val="24"/>
        </w:rPr>
      </w:pPr>
    </w:p>
    <w:p w14:paraId="2DF4717D" w14:textId="4F435139" w:rsidR="00150393" w:rsidRPr="008B5158" w:rsidRDefault="008B5158" w:rsidP="0015039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>O</w:t>
      </w:r>
      <w:r w:rsidR="00150393" w:rsidRPr="008B5158">
        <w:rPr>
          <w:b/>
          <w:bCs/>
          <w:color w:val="000000" w:themeColor="text1"/>
          <w:sz w:val="24"/>
          <w:szCs w:val="24"/>
        </w:rPr>
        <w:t>čekávaný harmonogram programu</w:t>
      </w:r>
    </w:p>
    <w:p w14:paraId="018100A2" w14:textId="52189CDE" w:rsidR="006D28AC" w:rsidRDefault="00150393" w:rsidP="006D28A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 w:themeColor="text1"/>
          <w:sz w:val="24"/>
          <w:szCs w:val="24"/>
        </w:rPr>
      </w:pPr>
      <w:r w:rsidRPr="00150393">
        <w:rPr>
          <w:color w:val="000000" w:themeColor="text1"/>
          <w:sz w:val="24"/>
          <w:szCs w:val="24"/>
        </w:rPr>
        <w:t>Podle aktuálně známých informací bude nový program spouštěn postupně během roku 2026.</w:t>
      </w:r>
      <w:r w:rsidR="000F7B84">
        <w:rPr>
          <w:color w:val="000000" w:themeColor="text1"/>
          <w:sz w:val="24"/>
          <w:szCs w:val="24"/>
        </w:rPr>
        <w:t xml:space="preserve"> Během několika týdnů by měly být </w:t>
      </w:r>
      <w:r w:rsidRPr="008B5158">
        <w:rPr>
          <w:color w:val="000000" w:themeColor="text1"/>
          <w:sz w:val="24"/>
          <w:szCs w:val="24"/>
        </w:rPr>
        <w:t>zveřejněny finální podmínky programu, konkrétní parametry bezúročných úvěrů a seznam zapojených bank.</w:t>
      </w:r>
    </w:p>
    <w:p w14:paraId="238FBD76" w14:textId="77777777" w:rsidR="006D28AC" w:rsidRDefault="006D28AC" w:rsidP="006D28A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 w:themeColor="text1"/>
          <w:sz w:val="24"/>
          <w:szCs w:val="24"/>
        </w:rPr>
      </w:pPr>
    </w:p>
    <w:p w14:paraId="14F6DD51" w14:textId="2E364D59" w:rsidR="00150393" w:rsidRPr="00150393" w:rsidRDefault="006D28AC" w:rsidP="0015039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V létě </w:t>
      </w:r>
      <w:r w:rsidR="00150393" w:rsidRPr="008B5158">
        <w:rPr>
          <w:color w:val="000000" w:themeColor="text1"/>
          <w:sz w:val="24"/>
          <w:szCs w:val="24"/>
        </w:rPr>
        <w:t xml:space="preserve">se </w:t>
      </w:r>
      <w:r>
        <w:rPr>
          <w:color w:val="000000" w:themeColor="text1"/>
          <w:sz w:val="24"/>
          <w:szCs w:val="24"/>
        </w:rPr>
        <w:t xml:space="preserve">následně </w:t>
      </w:r>
      <w:r w:rsidR="00150393" w:rsidRPr="008B5158">
        <w:rPr>
          <w:color w:val="000000" w:themeColor="text1"/>
          <w:sz w:val="24"/>
          <w:szCs w:val="24"/>
        </w:rPr>
        <w:t>očekává spuštění příjmu žádostí a technického posuzování projektů.</w:t>
      </w:r>
      <w:r>
        <w:rPr>
          <w:color w:val="000000" w:themeColor="text1"/>
          <w:sz w:val="24"/>
          <w:szCs w:val="24"/>
        </w:rPr>
        <w:t xml:space="preserve"> Na</w:t>
      </w:r>
      <w:r w:rsidR="00790F63">
        <w:rPr>
          <w:color w:val="000000" w:themeColor="text1"/>
          <w:sz w:val="24"/>
          <w:szCs w:val="24"/>
        </w:rPr>
        <w:t> </w:t>
      </w:r>
      <w:r>
        <w:rPr>
          <w:color w:val="000000" w:themeColor="text1"/>
          <w:sz w:val="24"/>
          <w:szCs w:val="24"/>
        </w:rPr>
        <w:t xml:space="preserve">podzim </w:t>
      </w:r>
      <w:r w:rsidR="00514F2C">
        <w:rPr>
          <w:color w:val="000000" w:themeColor="text1"/>
          <w:sz w:val="24"/>
          <w:szCs w:val="24"/>
        </w:rPr>
        <w:t>by banky měly začít poskytovat</w:t>
      </w:r>
      <w:r w:rsidR="00150393" w:rsidRPr="008B5158">
        <w:rPr>
          <w:color w:val="000000" w:themeColor="text1"/>
          <w:sz w:val="24"/>
          <w:szCs w:val="24"/>
        </w:rPr>
        <w:t xml:space="preserve"> bezúročné úvěry</w:t>
      </w:r>
      <w:r w:rsidR="00514F2C">
        <w:rPr>
          <w:color w:val="000000" w:themeColor="text1"/>
          <w:sz w:val="24"/>
          <w:szCs w:val="24"/>
        </w:rPr>
        <w:t>.</w:t>
      </w:r>
      <w:r w:rsidR="00A9716C">
        <w:rPr>
          <w:color w:val="000000" w:themeColor="text1"/>
          <w:sz w:val="24"/>
          <w:szCs w:val="24"/>
        </w:rPr>
        <w:t xml:space="preserve"> </w:t>
      </w:r>
      <w:r w:rsidR="00EB651E">
        <w:rPr>
          <w:color w:val="000000" w:themeColor="text1"/>
          <w:sz w:val="24"/>
          <w:szCs w:val="24"/>
        </w:rPr>
        <w:t xml:space="preserve">Experti na energie </w:t>
      </w:r>
      <w:r w:rsidR="00C470BD">
        <w:rPr>
          <w:color w:val="000000" w:themeColor="text1"/>
          <w:sz w:val="24"/>
          <w:szCs w:val="24"/>
        </w:rPr>
        <w:t xml:space="preserve">doporučují </w:t>
      </w:r>
      <w:r w:rsidR="00EB651E">
        <w:rPr>
          <w:color w:val="000000" w:themeColor="text1"/>
          <w:sz w:val="24"/>
          <w:szCs w:val="24"/>
        </w:rPr>
        <w:t>domácnostem, SVJ a bytovým družstvům</w:t>
      </w:r>
      <w:r w:rsidR="00150393" w:rsidRPr="00150393">
        <w:rPr>
          <w:color w:val="000000" w:themeColor="text1"/>
          <w:sz w:val="24"/>
          <w:szCs w:val="24"/>
        </w:rPr>
        <w:t>, aby nečekal</w:t>
      </w:r>
      <w:r w:rsidR="00C470BD">
        <w:rPr>
          <w:color w:val="000000" w:themeColor="text1"/>
          <w:sz w:val="24"/>
          <w:szCs w:val="24"/>
        </w:rPr>
        <w:t>y</w:t>
      </w:r>
      <w:r w:rsidR="00150393" w:rsidRPr="00150393">
        <w:rPr>
          <w:color w:val="000000" w:themeColor="text1"/>
          <w:sz w:val="24"/>
          <w:szCs w:val="24"/>
        </w:rPr>
        <w:t xml:space="preserve"> až na zveřejnění finálních podmínek a začal</w:t>
      </w:r>
      <w:r w:rsidR="00C470BD">
        <w:rPr>
          <w:color w:val="000000" w:themeColor="text1"/>
          <w:sz w:val="24"/>
          <w:szCs w:val="24"/>
        </w:rPr>
        <w:t>y</w:t>
      </w:r>
      <w:r w:rsidR="00150393" w:rsidRPr="00150393">
        <w:rPr>
          <w:color w:val="000000" w:themeColor="text1"/>
          <w:sz w:val="24"/>
          <w:szCs w:val="24"/>
        </w:rPr>
        <w:t xml:space="preserve"> s přípravou už nyní.</w:t>
      </w:r>
    </w:p>
    <w:p w14:paraId="5D951975" w14:textId="77777777" w:rsidR="00150393" w:rsidRDefault="00150393" w:rsidP="0015039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 w:themeColor="text1"/>
          <w:sz w:val="24"/>
          <w:szCs w:val="24"/>
        </w:rPr>
      </w:pPr>
    </w:p>
    <w:p w14:paraId="1FA5C177" w14:textId="0DE5CFEF" w:rsidR="00A9716C" w:rsidRPr="00A351E1" w:rsidRDefault="00A9716C" w:rsidP="0015039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bCs/>
          <w:color w:val="000000" w:themeColor="text1"/>
          <w:sz w:val="24"/>
          <w:szCs w:val="24"/>
        </w:rPr>
      </w:pPr>
      <w:r w:rsidRPr="00A351E1">
        <w:rPr>
          <w:b/>
          <w:bCs/>
          <w:color w:val="000000" w:themeColor="text1"/>
          <w:sz w:val="24"/>
          <w:szCs w:val="24"/>
        </w:rPr>
        <w:t xml:space="preserve">Co </w:t>
      </w:r>
      <w:r>
        <w:rPr>
          <w:b/>
          <w:bCs/>
          <w:color w:val="000000" w:themeColor="text1"/>
          <w:sz w:val="24"/>
          <w:szCs w:val="24"/>
        </w:rPr>
        <w:t>zájemci mohou udělat již nyní</w:t>
      </w:r>
    </w:p>
    <w:p w14:paraId="3BFE7DB6" w14:textId="47392584" w:rsidR="00150393" w:rsidRPr="00150393" w:rsidRDefault="00150393" w:rsidP="0015039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 w:themeColor="text1"/>
          <w:sz w:val="24"/>
          <w:szCs w:val="24"/>
        </w:rPr>
      </w:pPr>
      <w:r w:rsidRPr="00150393">
        <w:rPr>
          <w:color w:val="000000" w:themeColor="text1"/>
          <w:sz w:val="24"/>
          <w:szCs w:val="24"/>
        </w:rPr>
        <w:t xml:space="preserve">Důležité je vyhodnotit aktuální spotřebu energie, stav domu, možnosti střechy pro </w:t>
      </w:r>
      <w:r w:rsidR="00AE6C1F">
        <w:rPr>
          <w:color w:val="000000" w:themeColor="text1"/>
          <w:sz w:val="24"/>
          <w:szCs w:val="24"/>
        </w:rPr>
        <w:t>FVE</w:t>
      </w:r>
      <w:r w:rsidRPr="00150393">
        <w:rPr>
          <w:color w:val="000000" w:themeColor="text1"/>
          <w:sz w:val="24"/>
          <w:szCs w:val="24"/>
        </w:rPr>
        <w:t>, vhodnost bateriového úložiště nebo propojení s tepelným čerpadlem. Právě včasná příprava může výrazně zkrátit celý proces po spuštění programu.</w:t>
      </w:r>
    </w:p>
    <w:p w14:paraId="2D2991A6" w14:textId="77777777" w:rsidR="00150393" w:rsidRPr="00150393" w:rsidRDefault="00150393" w:rsidP="0015039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 w:themeColor="text1"/>
          <w:sz w:val="24"/>
          <w:szCs w:val="24"/>
        </w:rPr>
      </w:pPr>
    </w:p>
    <w:p w14:paraId="2EC561AD" w14:textId="28EA71E4" w:rsidR="00150393" w:rsidRPr="00150393" w:rsidRDefault="00150393" w:rsidP="0015039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 w:themeColor="text1"/>
          <w:sz w:val="24"/>
          <w:szCs w:val="24"/>
        </w:rPr>
      </w:pPr>
      <w:r w:rsidRPr="006B1433">
        <w:rPr>
          <w:i/>
          <w:iCs/>
          <w:color w:val="000000" w:themeColor="text1"/>
          <w:sz w:val="24"/>
          <w:szCs w:val="24"/>
        </w:rPr>
        <w:t>„</w:t>
      </w:r>
      <w:r w:rsidR="006B1433" w:rsidRPr="006B1433">
        <w:rPr>
          <w:i/>
          <w:iCs/>
          <w:color w:val="000000" w:themeColor="text1"/>
          <w:sz w:val="24"/>
          <w:szCs w:val="24"/>
        </w:rPr>
        <w:t xml:space="preserve">Všichni, kteří </w:t>
      </w:r>
      <w:r w:rsidRPr="006B1433">
        <w:rPr>
          <w:i/>
          <w:iCs/>
          <w:color w:val="000000" w:themeColor="text1"/>
          <w:sz w:val="24"/>
          <w:szCs w:val="24"/>
        </w:rPr>
        <w:t xml:space="preserve">začnou řešení připravovat včas, budou mít výhodu. </w:t>
      </w:r>
      <w:r w:rsidR="00F6479D">
        <w:rPr>
          <w:i/>
          <w:iCs/>
          <w:color w:val="000000" w:themeColor="text1"/>
          <w:sz w:val="24"/>
          <w:szCs w:val="24"/>
        </w:rPr>
        <w:t>Jakmile</w:t>
      </w:r>
      <w:r w:rsidRPr="006B1433">
        <w:rPr>
          <w:i/>
          <w:iCs/>
          <w:color w:val="000000" w:themeColor="text1"/>
          <w:sz w:val="24"/>
          <w:szCs w:val="24"/>
        </w:rPr>
        <w:t xml:space="preserve"> budou v květnu známé podmínky, budou moci rychle reagovat, upravit projekt podle konkrétních pravidel a</w:t>
      </w:r>
      <w:r w:rsidR="00790F63">
        <w:rPr>
          <w:i/>
          <w:iCs/>
          <w:color w:val="000000" w:themeColor="text1"/>
          <w:sz w:val="24"/>
          <w:szCs w:val="24"/>
        </w:rPr>
        <w:t> </w:t>
      </w:r>
      <w:r w:rsidRPr="006B1433">
        <w:rPr>
          <w:i/>
          <w:iCs/>
          <w:color w:val="000000" w:themeColor="text1"/>
          <w:sz w:val="24"/>
          <w:szCs w:val="24"/>
        </w:rPr>
        <w:t>podat žádost bez zbytečného odkladu,“</w:t>
      </w:r>
      <w:r w:rsidRPr="00150393">
        <w:rPr>
          <w:color w:val="000000" w:themeColor="text1"/>
          <w:sz w:val="24"/>
          <w:szCs w:val="24"/>
        </w:rPr>
        <w:t xml:space="preserve"> </w:t>
      </w:r>
      <w:r w:rsidRPr="006B1433">
        <w:rPr>
          <w:b/>
          <w:bCs/>
          <w:color w:val="000000" w:themeColor="text1"/>
          <w:sz w:val="24"/>
          <w:szCs w:val="24"/>
        </w:rPr>
        <w:t xml:space="preserve">říká Martin </w:t>
      </w:r>
      <w:proofErr w:type="spellStart"/>
      <w:r w:rsidRPr="006B1433">
        <w:rPr>
          <w:b/>
          <w:bCs/>
          <w:color w:val="000000" w:themeColor="text1"/>
          <w:sz w:val="24"/>
          <w:szCs w:val="24"/>
        </w:rPr>
        <w:t>Palarčík</w:t>
      </w:r>
      <w:proofErr w:type="spellEnd"/>
      <w:r w:rsidRPr="00150393">
        <w:rPr>
          <w:color w:val="000000" w:themeColor="text1"/>
          <w:sz w:val="24"/>
          <w:szCs w:val="24"/>
        </w:rPr>
        <w:t>.</w:t>
      </w:r>
    </w:p>
    <w:p w14:paraId="6540F18D" w14:textId="77777777" w:rsidR="00150393" w:rsidRPr="00150393" w:rsidRDefault="00150393" w:rsidP="0015039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 w:themeColor="text1"/>
          <w:sz w:val="24"/>
          <w:szCs w:val="24"/>
        </w:rPr>
      </w:pPr>
    </w:p>
    <w:p w14:paraId="077FA7E9" w14:textId="7788FB63" w:rsidR="00150393" w:rsidRPr="00150393" w:rsidRDefault="006B1433" w:rsidP="0015039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 w:themeColor="text1"/>
          <w:sz w:val="24"/>
          <w:szCs w:val="24"/>
        </w:rPr>
      </w:pPr>
      <w:proofErr w:type="spellStart"/>
      <w:r>
        <w:rPr>
          <w:color w:val="000000" w:themeColor="text1"/>
          <w:sz w:val="24"/>
          <w:szCs w:val="24"/>
        </w:rPr>
        <w:t>SolidSun</w:t>
      </w:r>
      <w:proofErr w:type="spellEnd"/>
      <w:r w:rsidR="00150393" w:rsidRPr="00150393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 xml:space="preserve">je již nyní připraven </w:t>
      </w:r>
      <w:r w:rsidR="00150393" w:rsidRPr="00150393">
        <w:rPr>
          <w:color w:val="000000" w:themeColor="text1"/>
          <w:sz w:val="24"/>
          <w:szCs w:val="24"/>
        </w:rPr>
        <w:t>na nová pravidla a nabízí kompletní podporu od návrhu řešení přes zajištění renovačního pasu až po vyřízení žádostí a samotnou realizaci.</w:t>
      </w:r>
    </w:p>
    <w:p w14:paraId="47594885" w14:textId="77777777" w:rsidR="00150393" w:rsidRPr="00150393" w:rsidRDefault="00150393" w:rsidP="0015039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 w:themeColor="text1"/>
          <w:sz w:val="24"/>
          <w:szCs w:val="24"/>
        </w:rPr>
      </w:pPr>
    </w:p>
    <w:p w14:paraId="2CFFB298" w14:textId="7E0B9AD0" w:rsidR="00EB6EAA" w:rsidRDefault="00150393" w:rsidP="005D627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 w:themeColor="text1"/>
          <w:sz w:val="24"/>
          <w:szCs w:val="24"/>
        </w:rPr>
      </w:pPr>
      <w:r w:rsidRPr="000567C3">
        <w:rPr>
          <w:i/>
          <w:iCs/>
          <w:color w:val="000000" w:themeColor="text1"/>
          <w:sz w:val="24"/>
          <w:szCs w:val="24"/>
        </w:rPr>
        <w:t xml:space="preserve">„Naším cílem není jen dodat technologii, ale navrhnout řešení, které bude ekonomicky dávat smysl po mnoho let. Sledujeme vývoj programu průběžně a </w:t>
      </w:r>
      <w:r w:rsidR="000567C3" w:rsidRPr="000567C3">
        <w:rPr>
          <w:i/>
          <w:iCs/>
          <w:color w:val="000000" w:themeColor="text1"/>
          <w:sz w:val="24"/>
          <w:szCs w:val="24"/>
        </w:rPr>
        <w:t xml:space="preserve">zájemcům </w:t>
      </w:r>
      <w:r w:rsidRPr="000567C3">
        <w:rPr>
          <w:i/>
          <w:iCs/>
          <w:color w:val="000000" w:themeColor="text1"/>
          <w:sz w:val="24"/>
          <w:szCs w:val="24"/>
        </w:rPr>
        <w:t>jsme připraveni pomoci s celým procesem od prvního návrhu až po spuštění elektrárny,“</w:t>
      </w:r>
      <w:r w:rsidRPr="00150393">
        <w:rPr>
          <w:color w:val="000000" w:themeColor="text1"/>
          <w:sz w:val="24"/>
          <w:szCs w:val="24"/>
        </w:rPr>
        <w:t xml:space="preserve"> </w:t>
      </w:r>
      <w:r w:rsidRPr="000567C3">
        <w:rPr>
          <w:b/>
          <w:bCs/>
          <w:color w:val="000000" w:themeColor="text1"/>
          <w:sz w:val="24"/>
          <w:szCs w:val="24"/>
        </w:rPr>
        <w:t xml:space="preserve">uzavírá Martin </w:t>
      </w:r>
      <w:proofErr w:type="spellStart"/>
      <w:r w:rsidRPr="000567C3">
        <w:rPr>
          <w:b/>
          <w:bCs/>
          <w:color w:val="000000" w:themeColor="text1"/>
          <w:sz w:val="24"/>
          <w:szCs w:val="24"/>
        </w:rPr>
        <w:t>Palarčík</w:t>
      </w:r>
      <w:proofErr w:type="spellEnd"/>
      <w:r w:rsidRPr="00150393">
        <w:rPr>
          <w:color w:val="000000" w:themeColor="text1"/>
          <w:sz w:val="24"/>
          <w:szCs w:val="24"/>
        </w:rPr>
        <w:t>.</w:t>
      </w:r>
    </w:p>
    <w:p w14:paraId="55AE3235" w14:textId="7A1FABF2" w:rsidR="00F15496" w:rsidRDefault="00F154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 w:themeColor="text1"/>
          <w:sz w:val="24"/>
          <w:szCs w:val="24"/>
        </w:rPr>
      </w:pPr>
    </w:p>
    <w:p w14:paraId="19FC328F" w14:textId="77777777" w:rsidR="0037116B" w:rsidRDefault="0037116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</w:p>
    <w:p w14:paraId="1949DB2B" w14:textId="77777777" w:rsidR="00A52580" w:rsidRDefault="00E675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color w:val="000000"/>
        </w:rPr>
        <w:t>##</w:t>
      </w:r>
    </w:p>
    <w:p w14:paraId="4169B54C" w14:textId="77777777" w:rsidR="00A52580" w:rsidRDefault="00E675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color w:val="000000"/>
        </w:rPr>
        <w:t> </w:t>
      </w:r>
    </w:p>
    <w:p w14:paraId="0F5CF2B0" w14:textId="77777777" w:rsidR="00A52580" w:rsidRDefault="00E675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color w:val="000000"/>
          <w:sz w:val="20"/>
          <w:szCs w:val="20"/>
        </w:rPr>
        <w:t>Pro další informace kontaktujte agenturu bokem: </w:t>
      </w:r>
    </w:p>
    <w:p w14:paraId="7BD707C0" w14:textId="77777777" w:rsidR="00A52580" w:rsidRDefault="00E675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color w:val="000000"/>
          <w:sz w:val="20"/>
          <w:szCs w:val="20"/>
        </w:rPr>
        <w:t>Pavel Gregor</w:t>
      </w:r>
    </w:p>
    <w:p w14:paraId="03514B56" w14:textId="77777777" w:rsidR="00A52580" w:rsidRDefault="00E675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b/>
          <w:color w:val="000000"/>
          <w:sz w:val="20"/>
          <w:szCs w:val="20"/>
        </w:rPr>
        <w:t>agentura bokem s.r.o.</w:t>
      </w:r>
    </w:p>
    <w:p w14:paraId="60C3DC03" w14:textId="77777777" w:rsidR="00A52580" w:rsidRDefault="00E675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color w:val="0000FF"/>
          <w:sz w:val="20"/>
          <w:szCs w:val="20"/>
        </w:rPr>
        <w:t>pavel@bokem.cz</w:t>
      </w:r>
    </w:p>
    <w:p w14:paraId="54DC3AA7" w14:textId="77777777" w:rsidR="00A52580" w:rsidRDefault="00E67524" w:rsidP="4F56A9E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4F56A9E8">
        <w:rPr>
          <w:color w:val="000000" w:themeColor="text1"/>
          <w:sz w:val="20"/>
          <w:szCs w:val="20"/>
        </w:rPr>
        <w:t>+420 775 196 669</w:t>
      </w:r>
    </w:p>
    <w:p w14:paraId="1FC3082A" w14:textId="77777777" w:rsidR="00A52580" w:rsidRDefault="00E675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color w:val="000000"/>
          <w:sz w:val="20"/>
          <w:szCs w:val="20"/>
          <w:u w:val="single"/>
        </w:rPr>
        <w:t>www.bokem.cz </w:t>
      </w:r>
    </w:p>
    <w:p w14:paraId="181CF187" w14:textId="77777777" w:rsidR="00A52580" w:rsidRDefault="00A52580">
      <w:pPr>
        <w:spacing w:after="0" w:line="240" w:lineRule="auto"/>
      </w:pPr>
    </w:p>
    <w:p w14:paraId="296A7959" w14:textId="77777777" w:rsidR="00A52580" w:rsidRDefault="00E675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color w:val="000000"/>
        </w:rPr>
        <w:t>##</w:t>
      </w:r>
    </w:p>
    <w:p w14:paraId="4D49E239" w14:textId="77777777" w:rsidR="00EB1BCE" w:rsidRDefault="00EB1BC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18"/>
          <w:szCs w:val="18"/>
        </w:rPr>
      </w:pPr>
    </w:p>
    <w:p w14:paraId="29C8FB3D" w14:textId="5D2D0A82" w:rsidR="00EB1BCE" w:rsidRPr="00BD1B0A" w:rsidRDefault="00BD1B0A" w:rsidP="0092005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bCs/>
          <w:color w:val="000000"/>
          <w:sz w:val="18"/>
          <w:szCs w:val="18"/>
        </w:rPr>
      </w:pPr>
      <w:r w:rsidRPr="00BD1B0A">
        <w:rPr>
          <w:b/>
          <w:bCs/>
          <w:color w:val="000000"/>
          <w:sz w:val="18"/>
          <w:szCs w:val="18"/>
        </w:rPr>
        <w:t xml:space="preserve">O </w:t>
      </w:r>
      <w:proofErr w:type="spellStart"/>
      <w:r w:rsidR="00265DEE">
        <w:rPr>
          <w:b/>
          <w:bCs/>
          <w:color w:val="000000"/>
          <w:sz w:val="18"/>
          <w:szCs w:val="18"/>
        </w:rPr>
        <w:t>PREsolidsun</w:t>
      </w:r>
      <w:proofErr w:type="spellEnd"/>
      <w:r w:rsidR="000871B9" w:rsidRPr="000871B9">
        <w:rPr>
          <w:b/>
          <w:bCs/>
          <w:color w:val="000000"/>
          <w:sz w:val="18"/>
          <w:szCs w:val="18"/>
        </w:rPr>
        <w:t>, s. r. o.</w:t>
      </w:r>
    </w:p>
    <w:p w14:paraId="2B8BBE6B" w14:textId="61D49D1F" w:rsidR="00E81E31" w:rsidRDefault="00E81E31" w:rsidP="0092005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Společnost </w:t>
      </w:r>
      <w:proofErr w:type="spellStart"/>
      <w:r w:rsidRPr="00E81E31">
        <w:rPr>
          <w:color w:val="000000"/>
          <w:sz w:val="18"/>
          <w:szCs w:val="18"/>
        </w:rPr>
        <w:t>PREsolidsun</w:t>
      </w:r>
      <w:proofErr w:type="spellEnd"/>
      <w:r w:rsidR="000871B9" w:rsidRPr="000871B9">
        <w:rPr>
          <w:color w:val="000000"/>
          <w:sz w:val="18"/>
          <w:szCs w:val="18"/>
        </w:rPr>
        <w:t>, s. r. o.</w:t>
      </w:r>
      <w:r w:rsidR="00FE6FA0">
        <w:rPr>
          <w:color w:val="000000"/>
          <w:sz w:val="18"/>
          <w:szCs w:val="18"/>
        </w:rPr>
        <w:t>,</w:t>
      </w:r>
      <w:r w:rsidRPr="00E81E31">
        <w:rPr>
          <w:color w:val="000000"/>
          <w:sz w:val="18"/>
          <w:szCs w:val="18"/>
        </w:rPr>
        <w:t xml:space="preserve"> vznikl</w:t>
      </w:r>
      <w:r>
        <w:rPr>
          <w:color w:val="000000"/>
          <w:sz w:val="18"/>
          <w:szCs w:val="18"/>
        </w:rPr>
        <w:t>a</w:t>
      </w:r>
      <w:r w:rsidRPr="00E81E31">
        <w:rPr>
          <w:color w:val="000000"/>
          <w:sz w:val="18"/>
          <w:szCs w:val="18"/>
        </w:rPr>
        <w:t xml:space="preserve"> 1. července 2025 spojením společností </w:t>
      </w:r>
      <w:r w:rsidR="009D76DF">
        <w:rPr>
          <w:color w:val="000000"/>
          <w:sz w:val="18"/>
          <w:szCs w:val="18"/>
        </w:rPr>
        <w:t xml:space="preserve">Skupiny </w:t>
      </w:r>
      <w:r w:rsidRPr="00E81E31">
        <w:rPr>
          <w:color w:val="000000"/>
          <w:sz w:val="18"/>
          <w:szCs w:val="18"/>
        </w:rPr>
        <w:t>SOLIDSUN a SOLARINVEST – GREEN ENERGY. Od roku 2009 dodává chytrá solární řešení pro domy i firmy – od návrhu přes instalaci až po dlouhodobý dohled. Díky vlastnímu vývoji a více než 17 000 realizací patří k lídrům české fotovoltaiky. Kromě FVE se zaměřuje také na tepelná čerpadla, bateriové systémy a klimatizace.</w:t>
      </w:r>
    </w:p>
    <w:p w14:paraId="347D20A4" w14:textId="77777777" w:rsidR="00E81E31" w:rsidRDefault="00E81E31" w:rsidP="0092005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18"/>
          <w:szCs w:val="18"/>
        </w:rPr>
      </w:pPr>
    </w:p>
    <w:p w14:paraId="7DDB46DE" w14:textId="77777777" w:rsidR="00E81E31" w:rsidRDefault="00E81E31" w:rsidP="0092005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sectPr w:rsidR="00E81E3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E0041E" w14:textId="77777777" w:rsidR="003341B2" w:rsidRDefault="003341B2">
      <w:pPr>
        <w:spacing w:after="0" w:line="240" w:lineRule="auto"/>
      </w:pPr>
      <w:r>
        <w:separator/>
      </w:r>
    </w:p>
  </w:endnote>
  <w:endnote w:type="continuationSeparator" w:id="0">
    <w:p w14:paraId="55D3720C" w14:textId="77777777" w:rsidR="003341B2" w:rsidRDefault="003341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2FA5A2" w14:textId="2151D234" w:rsidR="00A52580" w:rsidRDefault="00A5258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7DC9" w14:textId="1332DCEB" w:rsidR="00A52580" w:rsidRDefault="00A5258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B8285" w14:textId="7B44A31F" w:rsidR="00A52580" w:rsidRDefault="00A5258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53F328" w14:textId="77777777" w:rsidR="003341B2" w:rsidRDefault="003341B2">
      <w:pPr>
        <w:spacing w:after="0" w:line="240" w:lineRule="auto"/>
      </w:pPr>
      <w:r>
        <w:separator/>
      </w:r>
    </w:p>
  </w:footnote>
  <w:footnote w:type="continuationSeparator" w:id="0">
    <w:p w14:paraId="24A4769F" w14:textId="77777777" w:rsidR="003341B2" w:rsidRDefault="003341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C1CB3C" w14:textId="77777777" w:rsidR="00A52580" w:rsidRDefault="00A5258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16C22" w14:textId="7AD4280D" w:rsidR="00A52580" w:rsidRDefault="00E10155" w:rsidP="00E1015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noProof/>
        <w:color w:val="000000"/>
      </w:rPr>
      <w:t xml:space="preserve"> </w:t>
    </w:r>
    <w:r>
      <w:rPr>
        <w:noProof/>
        <w:color w:val="000000"/>
      </w:rPr>
      <w:tab/>
    </w:r>
    <w:r>
      <w:rPr>
        <w:noProof/>
        <w:color w:val="000000"/>
      </w:rPr>
      <w:tab/>
    </w:r>
    <w:r w:rsidR="002A157F">
      <w:rPr>
        <w:noProof/>
        <w:color w:val="000000"/>
      </w:rPr>
      <w:drawing>
        <wp:inline distT="0" distB="0" distL="0" distR="0" wp14:anchorId="75466FAA" wp14:editId="56F3E21F">
          <wp:extent cx="2324100" cy="619709"/>
          <wp:effectExtent l="0" t="0" r="0" b="9525"/>
          <wp:docPr id="82156972" name="Obrázek 1" descr="Obsah obrázku text, Písmo, logo, Grafika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156972" name="Obrázek 1" descr="Obsah obrázku text, Písmo, logo, Grafika&#10;&#10;Obsah vygenerovaný umělou inteligencí může být nesprávný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8287" cy="6741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5DE1AA3" w14:textId="77777777" w:rsidR="00A52580" w:rsidRDefault="00E6752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ind w:left="2544"/>
      <w:rPr>
        <w:color w:val="000000"/>
      </w:rPr>
    </w:pPr>
    <w:r>
      <w:rPr>
        <w:color w:val="000000"/>
      </w:rPr>
      <w:tab/>
    </w:r>
    <w:r>
      <w:rPr>
        <w:color w:val="000000"/>
      </w:rPr>
      <w:tab/>
      <w:t>TISKOVÁ ZPRÁVA / PRESS RELEASE</w:t>
    </w:r>
  </w:p>
  <w:p w14:paraId="04B0A13B" w14:textId="77777777" w:rsidR="00A52580" w:rsidRDefault="00A5258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FC97F" w14:textId="77777777" w:rsidR="00A52580" w:rsidRDefault="00A5258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033F9"/>
    <w:multiLevelType w:val="hybridMultilevel"/>
    <w:tmpl w:val="08E247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E33D31"/>
    <w:multiLevelType w:val="multilevel"/>
    <w:tmpl w:val="A0C2DE2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216673270">
    <w:abstractNumId w:val="1"/>
  </w:num>
  <w:num w:numId="2" w16cid:durableId="10313402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2580"/>
    <w:rsid w:val="00000C87"/>
    <w:rsid w:val="0000172A"/>
    <w:rsid w:val="00001C85"/>
    <w:rsid w:val="0001224E"/>
    <w:rsid w:val="00013A1A"/>
    <w:rsid w:val="00017C2C"/>
    <w:rsid w:val="000202AF"/>
    <w:rsid w:val="0002165A"/>
    <w:rsid w:val="000220F8"/>
    <w:rsid w:val="000223E1"/>
    <w:rsid w:val="00022489"/>
    <w:rsid w:val="00024E73"/>
    <w:rsid w:val="00033005"/>
    <w:rsid w:val="00034E31"/>
    <w:rsid w:val="000355E5"/>
    <w:rsid w:val="00036228"/>
    <w:rsid w:val="00037882"/>
    <w:rsid w:val="00041FFB"/>
    <w:rsid w:val="000423B9"/>
    <w:rsid w:val="00044459"/>
    <w:rsid w:val="0004552E"/>
    <w:rsid w:val="00045C14"/>
    <w:rsid w:val="00045D61"/>
    <w:rsid w:val="00047508"/>
    <w:rsid w:val="00051F4B"/>
    <w:rsid w:val="00052336"/>
    <w:rsid w:val="00052473"/>
    <w:rsid w:val="000542E5"/>
    <w:rsid w:val="000567C3"/>
    <w:rsid w:val="00061D15"/>
    <w:rsid w:val="00061D35"/>
    <w:rsid w:val="00062146"/>
    <w:rsid w:val="00062679"/>
    <w:rsid w:val="00065A9C"/>
    <w:rsid w:val="00065AD6"/>
    <w:rsid w:val="00066DAB"/>
    <w:rsid w:val="000678ED"/>
    <w:rsid w:val="00067C6F"/>
    <w:rsid w:val="00072D67"/>
    <w:rsid w:val="0007401F"/>
    <w:rsid w:val="00074197"/>
    <w:rsid w:val="00080E62"/>
    <w:rsid w:val="00084B03"/>
    <w:rsid w:val="000871B9"/>
    <w:rsid w:val="00087DF4"/>
    <w:rsid w:val="00090071"/>
    <w:rsid w:val="00090BC2"/>
    <w:rsid w:val="000932D3"/>
    <w:rsid w:val="00093CC4"/>
    <w:rsid w:val="00094027"/>
    <w:rsid w:val="000950D8"/>
    <w:rsid w:val="00095DE5"/>
    <w:rsid w:val="000A2A29"/>
    <w:rsid w:val="000A30C2"/>
    <w:rsid w:val="000A5ED6"/>
    <w:rsid w:val="000A7981"/>
    <w:rsid w:val="000B0143"/>
    <w:rsid w:val="000B15E9"/>
    <w:rsid w:val="000B39A1"/>
    <w:rsid w:val="000B438D"/>
    <w:rsid w:val="000B443D"/>
    <w:rsid w:val="000B6432"/>
    <w:rsid w:val="000C12DD"/>
    <w:rsid w:val="000C1C35"/>
    <w:rsid w:val="000C3370"/>
    <w:rsid w:val="000C3CE4"/>
    <w:rsid w:val="000C5559"/>
    <w:rsid w:val="000C68A0"/>
    <w:rsid w:val="000D0FC4"/>
    <w:rsid w:val="000D2BC4"/>
    <w:rsid w:val="000D31B3"/>
    <w:rsid w:val="000D332C"/>
    <w:rsid w:val="000D4587"/>
    <w:rsid w:val="000D4F09"/>
    <w:rsid w:val="000D69A3"/>
    <w:rsid w:val="000D739E"/>
    <w:rsid w:val="000D7B95"/>
    <w:rsid w:val="000E3641"/>
    <w:rsid w:val="000E5CAF"/>
    <w:rsid w:val="000E673F"/>
    <w:rsid w:val="000F0240"/>
    <w:rsid w:val="000F061F"/>
    <w:rsid w:val="000F23FD"/>
    <w:rsid w:val="000F2E0C"/>
    <w:rsid w:val="000F3F9F"/>
    <w:rsid w:val="000F601C"/>
    <w:rsid w:val="000F7B84"/>
    <w:rsid w:val="0010006C"/>
    <w:rsid w:val="0010367B"/>
    <w:rsid w:val="00105D13"/>
    <w:rsid w:val="00110A9F"/>
    <w:rsid w:val="00111D0F"/>
    <w:rsid w:val="001121EC"/>
    <w:rsid w:val="00113789"/>
    <w:rsid w:val="00114576"/>
    <w:rsid w:val="00115312"/>
    <w:rsid w:val="001170DF"/>
    <w:rsid w:val="00123D9D"/>
    <w:rsid w:val="00125D1D"/>
    <w:rsid w:val="001275FF"/>
    <w:rsid w:val="0013144B"/>
    <w:rsid w:val="001335E3"/>
    <w:rsid w:val="00137949"/>
    <w:rsid w:val="00137C3B"/>
    <w:rsid w:val="00143AF0"/>
    <w:rsid w:val="00144515"/>
    <w:rsid w:val="001472B8"/>
    <w:rsid w:val="001477FD"/>
    <w:rsid w:val="00150393"/>
    <w:rsid w:val="00151A6E"/>
    <w:rsid w:val="00152AE4"/>
    <w:rsid w:val="0015361C"/>
    <w:rsid w:val="00155866"/>
    <w:rsid w:val="00156C08"/>
    <w:rsid w:val="0016110E"/>
    <w:rsid w:val="00161382"/>
    <w:rsid w:val="00162329"/>
    <w:rsid w:val="00163843"/>
    <w:rsid w:val="00165C6B"/>
    <w:rsid w:val="00166AD0"/>
    <w:rsid w:val="00171781"/>
    <w:rsid w:val="00174EC2"/>
    <w:rsid w:val="00184AF9"/>
    <w:rsid w:val="00184D19"/>
    <w:rsid w:val="00197048"/>
    <w:rsid w:val="001A1801"/>
    <w:rsid w:val="001A26BC"/>
    <w:rsid w:val="001A3D9C"/>
    <w:rsid w:val="001A4E79"/>
    <w:rsid w:val="001A575C"/>
    <w:rsid w:val="001A77E1"/>
    <w:rsid w:val="001B315F"/>
    <w:rsid w:val="001B38A9"/>
    <w:rsid w:val="001B61C9"/>
    <w:rsid w:val="001C05C4"/>
    <w:rsid w:val="001C1BED"/>
    <w:rsid w:val="001C3612"/>
    <w:rsid w:val="001D1356"/>
    <w:rsid w:val="001D3523"/>
    <w:rsid w:val="001D355E"/>
    <w:rsid w:val="001D4D99"/>
    <w:rsid w:val="001D7659"/>
    <w:rsid w:val="001D766A"/>
    <w:rsid w:val="001E0D00"/>
    <w:rsid w:val="001E19F8"/>
    <w:rsid w:val="001E5B77"/>
    <w:rsid w:val="001F1D04"/>
    <w:rsid w:val="001F4B44"/>
    <w:rsid w:val="001F53E9"/>
    <w:rsid w:val="001F574A"/>
    <w:rsid w:val="001F6D6B"/>
    <w:rsid w:val="00201D51"/>
    <w:rsid w:val="002025FC"/>
    <w:rsid w:val="0020316E"/>
    <w:rsid w:val="00203AC7"/>
    <w:rsid w:val="00204A3D"/>
    <w:rsid w:val="00207151"/>
    <w:rsid w:val="002128CE"/>
    <w:rsid w:val="0021354D"/>
    <w:rsid w:val="002151D2"/>
    <w:rsid w:val="00221256"/>
    <w:rsid w:val="00221420"/>
    <w:rsid w:val="0022299E"/>
    <w:rsid w:val="002258E1"/>
    <w:rsid w:val="002273C2"/>
    <w:rsid w:val="002309B7"/>
    <w:rsid w:val="00231308"/>
    <w:rsid w:val="002365CC"/>
    <w:rsid w:val="00240D8A"/>
    <w:rsid w:val="0024308F"/>
    <w:rsid w:val="00244BD5"/>
    <w:rsid w:val="0024503D"/>
    <w:rsid w:val="0024599B"/>
    <w:rsid w:val="00245C39"/>
    <w:rsid w:val="002478BE"/>
    <w:rsid w:val="0025091B"/>
    <w:rsid w:val="00251ADD"/>
    <w:rsid w:val="00251C7F"/>
    <w:rsid w:val="002567E1"/>
    <w:rsid w:val="0026271F"/>
    <w:rsid w:val="00265DEE"/>
    <w:rsid w:val="00274FA1"/>
    <w:rsid w:val="00277EB5"/>
    <w:rsid w:val="00280A03"/>
    <w:rsid w:val="00282172"/>
    <w:rsid w:val="002825D6"/>
    <w:rsid w:val="00287106"/>
    <w:rsid w:val="00287303"/>
    <w:rsid w:val="00287775"/>
    <w:rsid w:val="00287909"/>
    <w:rsid w:val="0029022A"/>
    <w:rsid w:val="0029188A"/>
    <w:rsid w:val="00292276"/>
    <w:rsid w:val="00293BB5"/>
    <w:rsid w:val="0029480E"/>
    <w:rsid w:val="0029530B"/>
    <w:rsid w:val="00296253"/>
    <w:rsid w:val="00296D26"/>
    <w:rsid w:val="002A1041"/>
    <w:rsid w:val="002A133D"/>
    <w:rsid w:val="002A157F"/>
    <w:rsid w:val="002A731F"/>
    <w:rsid w:val="002B7C19"/>
    <w:rsid w:val="002B7FA0"/>
    <w:rsid w:val="002C0A2C"/>
    <w:rsid w:val="002C0F34"/>
    <w:rsid w:val="002C3944"/>
    <w:rsid w:val="002C3C91"/>
    <w:rsid w:val="002C5AD0"/>
    <w:rsid w:val="002D13DD"/>
    <w:rsid w:val="002D2F48"/>
    <w:rsid w:val="002D449F"/>
    <w:rsid w:val="002D4792"/>
    <w:rsid w:val="002E1E90"/>
    <w:rsid w:val="002E52AA"/>
    <w:rsid w:val="002E7461"/>
    <w:rsid w:val="002F5D00"/>
    <w:rsid w:val="00302824"/>
    <w:rsid w:val="0030430C"/>
    <w:rsid w:val="00307789"/>
    <w:rsid w:val="00310213"/>
    <w:rsid w:val="003106DE"/>
    <w:rsid w:val="00310A7B"/>
    <w:rsid w:val="00311CAF"/>
    <w:rsid w:val="00312009"/>
    <w:rsid w:val="00313576"/>
    <w:rsid w:val="00314AED"/>
    <w:rsid w:val="00315270"/>
    <w:rsid w:val="003167E3"/>
    <w:rsid w:val="00317D9D"/>
    <w:rsid w:val="00320FD6"/>
    <w:rsid w:val="00322E83"/>
    <w:rsid w:val="0032778F"/>
    <w:rsid w:val="00331CA7"/>
    <w:rsid w:val="00331F89"/>
    <w:rsid w:val="003341B2"/>
    <w:rsid w:val="00335044"/>
    <w:rsid w:val="0033621B"/>
    <w:rsid w:val="003373D5"/>
    <w:rsid w:val="003426FB"/>
    <w:rsid w:val="00343010"/>
    <w:rsid w:val="00343F6B"/>
    <w:rsid w:val="003457B6"/>
    <w:rsid w:val="0034770A"/>
    <w:rsid w:val="00347887"/>
    <w:rsid w:val="00350672"/>
    <w:rsid w:val="0035358E"/>
    <w:rsid w:val="00353B97"/>
    <w:rsid w:val="00354FB3"/>
    <w:rsid w:val="00360067"/>
    <w:rsid w:val="003629D6"/>
    <w:rsid w:val="003636C3"/>
    <w:rsid w:val="00363B0D"/>
    <w:rsid w:val="0036421E"/>
    <w:rsid w:val="00367B10"/>
    <w:rsid w:val="0037116B"/>
    <w:rsid w:val="0037461B"/>
    <w:rsid w:val="0037535B"/>
    <w:rsid w:val="003757E2"/>
    <w:rsid w:val="00376D22"/>
    <w:rsid w:val="00377042"/>
    <w:rsid w:val="00380D54"/>
    <w:rsid w:val="003818FF"/>
    <w:rsid w:val="00381F78"/>
    <w:rsid w:val="00383BB7"/>
    <w:rsid w:val="003848A5"/>
    <w:rsid w:val="00390210"/>
    <w:rsid w:val="0039041C"/>
    <w:rsid w:val="00392DBA"/>
    <w:rsid w:val="00394773"/>
    <w:rsid w:val="00394C76"/>
    <w:rsid w:val="00395567"/>
    <w:rsid w:val="00395AFA"/>
    <w:rsid w:val="003A2C25"/>
    <w:rsid w:val="003A481B"/>
    <w:rsid w:val="003B0C88"/>
    <w:rsid w:val="003B15A6"/>
    <w:rsid w:val="003B1726"/>
    <w:rsid w:val="003B2278"/>
    <w:rsid w:val="003B32F4"/>
    <w:rsid w:val="003B4C85"/>
    <w:rsid w:val="003C3BC0"/>
    <w:rsid w:val="003C3BE3"/>
    <w:rsid w:val="003C3CB9"/>
    <w:rsid w:val="003C3E0A"/>
    <w:rsid w:val="003C4AFF"/>
    <w:rsid w:val="003D46F0"/>
    <w:rsid w:val="003E0FA6"/>
    <w:rsid w:val="003E21A0"/>
    <w:rsid w:val="003E26B5"/>
    <w:rsid w:val="003E3DFE"/>
    <w:rsid w:val="003E3FFB"/>
    <w:rsid w:val="003E45E4"/>
    <w:rsid w:val="003F2048"/>
    <w:rsid w:val="003F21BC"/>
    <w:rsid w:val="003F285C"/>
    <w:rsid w:val="003F66D8"/>
    <w:rsid w:val="003F7664"/>
    <w:rsid w:val="00400A2F"/>
    <w:rsid w:val="0040240D"/>
    <w:rsid w:val="00402732"/>
    <w:rsid w:val="00405254"/>
    <w:rsid w:val="00412C03"/>
    <w:rsid w:val="00414BD5"/>
    <w:rsid w:val="00422128"/>
    <w:rsid w:val="004234FE"/>
    <w:rsid w:val="0042493F"/>
    <w:rsid w:val="004249C1"/>
    <w:rsid w:val="00425824"/>
    <w:rsid w:val="004265EC"/>
    <w:rsid w:val="00426CCB"/>
    <w:rsid w:val="00427989"/>
    <w:rsid w:val="00427C99"/>
    <w:rsid w:val="004355F5"/>
    <w:rsid w:val="00436AF8"/>
    <w:rsid w:val="00436E7A"/>
    <w:rsid w:val="00437852"/>
    <w:rsid w:val="0044303B"/>
    <w:rsid w:val="004439CF"/>
    <w:rsid w:val="00446059"/>
    <w:rsid w:val="0044733D"/>
    <w:rsid w:val="004512F0"/>
    <w:rsid w:val="00452011"/>
    <w:rsid w:val="00453416"/>
    <w:rsid w:val="00453E96"/>
    <w:rsid w:val="0045652B"/>
    <w:rsid w:val="004565D1"/>
    <w:rsid w:val="004570DE"/>
    <w:rsid w:val="00460E76"/>
    <w:rsid w:val="00462594"/>
    <w:rsid w:val="00462B3A"/>
    <w:rsid w:val="00463BB5"/>
    <w:rsid w:val="00470251"/>
    <w:rsid w:val="004704DA"/>
    <w:rsid w:val="00471399"/>
    <w:rsid w:val="0047396E"/>
    <w:rsid w:val="004745AC"/>
    <w:rsid w:val="004747B9"/>
    <w:rsid w:val="004747F3"/>
    <w:rsid w:val="00474FF9"/>
    <w:rsid w:val="004806D1"/>
    <w:rsid w:val="00485DCA"/>
    <w:rsid w:val="00487708"/>
    <w:rsid w:val="00493448"/>
    <w:rsid w:val="00493ACE"/>
    <w:rsid w:val="00494B82"/>
    <w:rsid w:val="00494C8D"/>
    <w:rsid w:val="00496A18"/>
    <w:rsid w:val="004A047C"/>
    <w:rsid w:val="004A0570"/>
    <w:rsid w:val="004A2587"/>
    <w:rsid w:val="004A38D4"/>
    <w:rsid w:val="004A3CB3"/>
    <w:rsid w:val="004A3D48"/>
    <w:rsid w:val="004A3DCC"/>
    <w:rsid w:val="004A4471"/>
    <w:rsid w:val="004B03EB"/>
    <w:rsid w:val="004B1E24"/>
    <w:rsid w:val="004B3555"/>
    <w:rsid w:val="004B4EDE"/>
    <w:rsid w:val="004B7BB3"/>
    <w:rsid w:val="004B7BFC"/>
    <w:rsid w:val="004C0A28"/>
    <w:rsid w:val="004C1801"/>
    <w:rsid w:val="004C4A0B"/>
    <w:rsid w:val="004C7E3C"/>
    <w:rsid w:val="004D1BC1"/>
    <w:rsid w:val="004D34DC"/>
    <w:rsid w:val="004D5D97"/>
    <w:rsid w:val="004D5F9C"/>
    <w:rsid w:val="004E099B"/>
    <w:rsid w:val="004E194E"/>
    <w:rsid w:val="004E5E4E"/>
    <w:rsid w:val="004E64C5"/>
    <w:rsid w:val="004E7226"/>
    <w:rsid w:val="004F3F41"/>
    <w:rsid w:val="004F6090"/>
    <w:rsid w:val="004F775A"/>
    <w:rsid w:val="004F7DC4"/>
    <w:rsid w:val="005020F5"/>
    <w:rsid w:val="0050367B"/>
    <w:rsid w:val="00503B4B"/>
    <w:rsid w:val="0050494A"/>
    <w:rsid w:val="00505AF9"/>
    <w:rsid w:val="00512BF7"/>
    <w:rsid w:val="00513546"/>
    <w:rsid w:val="00514F2C"/>
    <w:rsid w:val="005249AC"/>
    <w:rsid w:val="0052579C"/>
    <w:rsid w:val="00532206"/>
    <w:rsid w:val="0053240E"/>
    <w:rsid w:val="00533C4F"/>
    <w:rsid w:val="0053430A"/>
    <w:rsid w:val="00536641"/>
    <w:rsid w:val="005371BC"/>
    <w:rsid w:val="00537820"/>
    <w:rsid w:val="005408F3"/>
    <w:rsid w:val="00546AF6"/>
    <w:rsid w:val="00551867"/>
    <w:rsid w:val="00555888"/>
    <w:rsid w:val="00560903"/>
    <w:rsid w:val="00563AAF"/>
    <w:rsid w:val="00566F47"/>
    <w:rsid w:val="00570275"/>
    <w:rsid w:val="00570594"/>
    <w:rsid w:val="0057241E"/>
    <w:rsid w:val="005725F0"/>
    <w:rsid w:val="00575ED2"/>
    <w:rsid w:val="005816FA"/>
    <w:rsid w:val="00582F16"/>
    <w:rsid w:val="00583FD5"/>
    <w:rsid w:val="00594F73"/>
    <w:rsid w:val="0059596B"/>
    <w:rsid w:val="00595F89"/>
    <w:rsid w:val="005A1A54"/>
    <w:rsid w:val="005A2965"/>
    <w:rsid w:val="005A2F95"/>
    <w:rsid w:val="005A56F1"/>
    <w:rsid w:val="005A5C57"/>
    <w:rsid w:val="005B0571"/>
    <w:rsid w:val="005B1453"/>
    <w:rsid w:val="005B3D58"/>
    <w:rsid w:val="005C1A89"/>
    <w:rsid w:val="005C793C"/>
    <w:rsid w:val="005D4309"/>
    <w:rsid w:val="005D6270"/>
    <w:rsid w:val="005D641F"/>
    <w:rsid w:val="005D6DD7"/>
    <w:rsid w:val="005D6DED"/>
    <w:rsid w:val="005D7339"/>
    <w:rsid w:val="005E0E61"/>
    <w:rsid w:val="005E1EEE"/>
    <w:rsid w:val="005E3385"/>
    <w:rsid w:val="005E4318"/>
    <w:rsid w:val="005E4BB6"/>
    <w:rsid w:val="005E4E78"/>
    <w:rsid w:val="005E5CF8"/>
    <w:rsid w:val="005E6EA2"/>
    <w:rsid w:val="005E7279"/>
    <w:rsid w:val="005F0741"/>
    <w:rsid w:val="005F0F85"/>
    <w:rsid w:val="005F3E83"/>
    <w:rsid w:val="005F5DD7"/>
    <w:rsid w:val="00602490"/>
    <w:rsid w:val="00603663"/>
    <w:rsid w:val="00604112"/>
    <w:rsid w:val="0061046A"/>
    <w:rsid w:val="00613A9C"/>
    <w:rsid w:val="00621075"/>
    <w:rsid w:val="00625118"/>
    <w:rsid w:val="00631ED3"/>
    <w:rsid w:val="006342C6"/>
    <w:rsid w:val="00636FC0"/>
    <w:rsid w:val="00637514"/>
    <w:rsid w:val="00637D41"/>
    <w:rsid w:val="00640B93"/>
    <w:rsid w:val="0064293A"/>
    <w:rsid w:val="00645FE9"/>
    <w:rsid w:val="0064633D"/>
    <w:rsid w:val="006464B2"/>
    <w:rsid w:val="00646B1B"/>
    <w:rsid w:val="006518A3"/>
    <w:rsid w:val="00655A50"/>
    <w:rsid w:val="00655B22"/>
    <w:rsid w:val="00662E9D"/>
    <w:rsid w:val="00664412"/>
    <w:rsid w:val="00670370"/>
    <w:rsid w:val="006766CD"/>
    <w:rsid w:val="006768C1"/>
    <w:rsid w:val="00683CDB"/>
    <w:rsid w:val="006840EF"/>
    <w:rsid w:val="00684516"/>
    <w:rsid w:val="0068648F"/>
    <w:rsid w:val="00686D2C"/>
    <w:rsid w:val="00686E74"/>
    <w:rsid w:val="00690CB1"/>
    <w:rsid w:val="006915C4"/>
    <w:rsid w:val="0069286F"/>
    <w:rsid w:val="006935DE"/>
    <w:rsid w:val="00694F07"/>
    <w:rsid w:val="00695532"/>
    <w:rsid w:val="00695615"/>
    <w:rsid w:val="0069601F"/>
    <w:rsid w:val="006974C9"/>
    <w:rsid w:val="0069784E"/>
    <w:rsid w:val="006A24EE"/>
    <w:rsid w:val="006A2B22"/>
    <w:rsid w:val="006A33DB"/>
    <w:rsid w:val="006B1433"/>
    <w:rsid w:val="006B1639"/>
    <w:rsid w:val="006B1744"/>
    <w:rsid w:val="006B2483"/>
    <w:rsid w:val="006B26D0"/>
    <w:rsid w:val="006B45C2"/>
    <w:rsid w:val="006B5C45"/>
    <w:rsid w:val="006B6355"/>
    <w:rsid w:val="006C0B30"/>
    <w:rsid w:val="006C1011"/>
    <w:rsid w:val="006C6771"/>
    <w:rsid w:val="006D28AC"/>
    <w:rsid w:val="006D396E"/>
    <w:rsid w:val="006D3CE0"/>
    <w:rsid w:val="006D4552"/>
    <w:rsid w:val="006D46CE"/>
    <w:rsid w:val="006D535C"/>
    <w:rsid w:val="006D5754"/>
    <w:rsid w:val="006D6782"/>
    <w:rsid w:val="006E0841"/>
    <w:rsid w:val="006E3D5F"/>
    <w:rsid w:val="006E7C50"/>
    <w:rsid w:val="006F04B2"/>
    <w:rsid w:val="006F3B4B"/>
    <w:rsid w:val="006F464C"/>
    <w:rsid w:val="00704152"/>
    <w:rsid w:val="0070776F"/>
    <w:rsid w:val="00711138"/>
    <w:rsid w:val="0071238F"/>
    <w:rsid w:val="007138EE"/>
    <w:rsid w:val="00713E39"/>
    <w:rsid w:val="00713FC6"/>
    <w:rsid w:val="0071585A"/>
    <w:rsid w:val="0071661C"/>
    <w:rsid w:val="00721B5E"/>
    <w:rsid w:val="007238EF"/>
    <w:rsid w:val="007242A1"/>
    <w:rsid w:val="0072787F"/>
    <w:rsid w:val="00727A40"/>
    <w:rsid w:val="00727A55"/>
    <w:rsid w:val="00727CB3"/>
    <w:rsid w:val="00730BE7"/>
    <w:rsid w:val="007314A3"/>
    <w:rsid w:val="007314C7"/>
    <w:rsid w:val="00734121"/>
    <w:rsid w:val="00735746"/>
    <w:rsid w:val="0074008F"/>
    <w:rsid w:val="007408DA"/>
    <w:rsid w:val="007414E3"/>
    <w:rsid w:val="00741B23"/>
    <w:rsid w:val="00750D90"/>
    <w:rsid w:val="00750FDB"/>
    <w:rsid w:val="007536FB"/>
    <w:rsid w:val="0075642C"/>
    <w:rsid w:val="00756AB9"/>
    <w:rsid w:val="0076082C"/>
    <w:rsid w:val="007608CA"/>
    <w:rsid w:val="00760E67"/>
    <w:rsid w:val="00767DB8"/>
    <w:rsid w:val="00770201"/>
    <w:rsid w:val="00772394"/>
    <w:rsid w:val="007772BC"/>
    <w:rsid w:val="007775A1"/>
    <w:rsid w:val="00780FEF"/>
    <w:rsid w:val="007828B1"/>
    <w:rsid w:val="0078324C"/>
    <w:rsid w:val="00784009"/>
    <w:rsid w:val="007907B2"/>
    <w:rsid w:val="00790F63"/>
    <w:rsid w:val="00791873"/>
    <w:rsid w:val="00792BCB"/>
    <w:rsid w:val="007939CD"/>
    <w:rsid w:val="00794C48"/>
    <w:rsid w:val="00795A72"/>
    <w:rsid w:val="00796B3D"/>
    <w:rsid w:val="00797DC9"/>
    <w:rsid w:val="007A4840"/>
    <w:rsid w:val="007A4C25"/>
    <w:rsid w:val="007A5B9C"/>
    <w:rsid w:val="007A6E5F"/>
    <w:rsid w:val="007B329B"/>
    <w:rsid w:val="007C0080"/>
    <w:rsid w:val="007C08A9"/>
    <w:rsid w:val="007C20FC"/>
    <w:rsid w:val="007C2F3E"/>
    <w:rsid w:val="007C4774"/>
    <w:rsid w:val="007C66FA"/>
    <w:rsid w:val="007C75A6"/>
    <w:rsid w:val="007C77EE"/>
    <w:rsid w:val="007C7B10"/>
    <w:rsid w:val="007D09E0"/>
    <w:rsid w:val="007D0DDA"/>
    <w:rsid w:val="007D4E1D"/>
    <w:rsid w:val="007D5D5C"/>
    <w:rsid w:val="007D7535"/>
    <w:rsid w:val="007E2C0A"/>
    <w:rsid w:val="007E320D"/>
    <w:rsid w:val="007E3277"/>
    <w:rsid w:val="007E7807"/>
    <w:rsid w:val="007E7F37"/>
    <w:rsid w:val="007F7B85"/>
    <w:rsid w:val="0080025D"/>
    <w:rsid w:val="00800453"/>
    <w:rsid w:val="00800895"/>
    <w:rsid w:val="00802983"/>
    <w:rsid w:val="00803F40"/>
    <w:rsid w:val="00805BF6"/>
    <w:rsid w:val="00810731"/>
    <w:rsid w:val="00810C40"/>
    <w:rsid w:val="00810F40"/>
    <w:rsid w:val="00815735"/>
    <w:rsid w:val="00820133"/>
    <w:rsid w:val="00821A85"/>
    <w:rsid w:val="008305FE"/>
    <w:rsid w:val="00830F8A"/>
    <w:rsid w:val="008321BD"/>
    <w:rsid w:val="00833BA6"/>
    <w:rsid w:val="00834B97"/>
    <w:rsid w:val="00841C72"/>
    <w:rsid w:val="00844786"/>
    <w:rsid w:val="00845139"/>
    <w:rsid w:val="00847058"/>
    <w:rsid w:val="008505FA"/>
    <w:rsid w:val="008535E5"/>
    <w:rsid w:val="00855C56"/>
    <w:rsid w:val="00857DF8"/>
    <w:rsid w:val="0086213B"/>
    <w:rsid w:val="00863966"/>
    <w:rsid w:val="0086399A"/>
    <w:rsid w:val="00863FAA"/>
    <w:rsid w:val="008654B4"/>
    <w:rsid w:val="00865B2B"/>
    <w:rsid w:val="00867EC3"/>
    <w:rsid w:val="00870637"/>
    <w:rsid w:val="0087236A"/>
    <w:rsid w:val="00873B38"/>
    <w:rsid w:val="00874C14"/>
    <w:rsid w:val="008755E1"/>
    <w:rsid w:val="0087776C"/>
    <w:rsid w:val="00882284"/>
    <w:rsid w:val="008837EA"/>
    <w:rsid w:val="00885381"/>
    <w:rsid w:val="00891D93"/>
    <w:rsid w:val="00891FEB"/>
    <w:rsid w:val="00892315"/>
    <w:rsid w:val="00894610"/>
    <w:rsid w:val="0089674D"/>
    <w:rsid w:val="008A00F3"/>
    <w:rsid w:val="008A0425"/>
    <w:rsid w:val="008A5778"/>
    <w:rsid w:val="008A5E65"/>
    <w:rsid w:val="008B0FA1"/>
    <w:rsid w:val="008B2225"/>
    <w:rsid w:val="008B2D1E"/>
    <w:rsid w:val="008B367E"/>
    <w:rsid w:val="008B4527"/>
    <w:rsid w:val="008B455C"/>
    <w:rsid w:val="008B46B0"/>
    <w:rsid w:val="008B4D67"/>
    <w:rsid w:val="008B5158"/>
    <w:rsid w:val="008B7B28"/>
    <w:rsid w:val="008C210C"/>
    <w:rsid w:val="008C2417"/>
    <w:rsid w:val="008C6AC8"/>
    <w:rsid w:val="008D0C5A"/>
    <w:rsid w:val="008D352C"/>
    <w:rsid w:val="008D3F10"/>
    <w:rsid w:val="008D79B1"/>
    <w:rsid w:val="008E1EA8"/>
    <w:rsid w:val="008E3519"/>
    <w:rsid w:val="008E71D8"/>
    <w:rsid w:val="008F18DF"/>
    <w:rsid w:val="008F384D"/>
    <w:rsid w:val="008F3D2B"/>
    <w:rsid w:val="008F62E8"/>
    <w:rsid w:val="008F6836"/>
    <w:rsid w:val="009001C5"/>
    <w:rsid w:val="00900D61"/>
    <w:rsid w:val="00903341"/>
    <w:rsid w:val="0090628E"/>
    <w:rsid w:val="00906EED"/>
    <w:rsid w:val="00906F15"/>
    <w:rsid w:val="0091135B"/>
    <w:rsid w:val="0091313D"/>
    <w:rsid w:val="0091678D"/>
    <w:rsid w:val="00917AD0"/>
    <w:rsid w:val="00917D48"/>
    <w:rsid w:val="00920056"/>
    <w:rsid w:val="00920372"/>
    <w:rsid w:val="009205D2"/>
    <w:rsid w:val="00922207"/>
    <w:rsid w:val="00922658"/>
    <w:rsid w:val="00922661"/>
    <w:rsid w:val="00924FB5"/>
    <w:rsid w:val="009261A5"/>
    <w:rsid w:val="00931628"/>
    <w:rsid w:val="00931AAA"/>
    <w:rsid w:val="00932593"/>
    <w:rsid w:val="00940E51"/>
    <w:rsid w:val="00944A7C"/>
    <w:rsid w:val="009466F0"/>
    <w:rsid w:val="009511BF"/>
    <w:rsid w:val="0095378E"/>
    <w:rsid w:val="00954777"/>
    <w:rsid w:val="00955F09"/>
    <w:rsid w:val="0095634E"/>
    <w:rsid w:val="0095674F"/>
    <w:rsid w:val="00957FFB"/>
    <w:rsid w:val="00962FE9"/>
    <w:rsid w:val="0096795B"/>
    <w:rsid w:val="00974626"/>
    <w:rsid w:val="009766A6"/>
    <w:rsid w:val="009773D4"/>
    <w:rsid w:val="00980940"/>
    <w:rsid w:val="0098128F"/>
    <w:rsid w:val="00981EFC"/>
    <w:rsid w:val="00982465"/>
    <w:rsid w:val="00983E66"/>
    <w:rsid w:val="009856AE"/>
    <w:rsid w:val="00985BFA"/>
    <w:rsid w:val="00986F2A"/>
    <w:rsid w:val="009874E8"/>
    <w:rsid w:val="00990323"/>
    <w:rsid w:val="00992FAE"/>
    <w:rsid w:val="00993E83"/>
    <w:rsid w:val="009945A1"/>
    <w:rsid w:val="00994E9F"/>
    <w:rsid w:val="009954CB"/>
    <w:rsid w:val="009964F2"/>
    <w:rsid w:val="009972A1"/>
    <w:rsid w:val="009A390B"/>
    <w:rsid w:val="009A3D3E"/>
    <w:rsid w:val="009A53E8"/>
    <w:rsid w:val="009B0CF7"/>
    <w:rsid w:val="009B10CF"/>
    <w:rsid w:val="009B1629"/>
    <w:rsid w:val="009B2B44"/>
    <w:rsid w:val="009B2EE7"/>
    <w:rsid w:val="009B5395"/>
    <w:rsid w:val="009B55B5"/>
    <w:rsid w:val="009B6B06"/>
    <w:rsid w:val="009B6E1D"/>
    <w:rsid w:val="009C5266"/>
    <w:rsid w:val="009C61F4"/>
    <w:rsid w:val="009C62EA"/>
    <w:rsid w:val="009C7669"/>
    <w:rsid w:val="009D4AB4"/>
    <w:rsid w:val="009D50B7"/>
    <w:rsid w:val="009D6161"/>
    <w:rsid w:val="009D76DF"/>
    <w:rsid w:val="009E1546"/>
    <w:rsid w:val="009E186B"/>
    <w:rsid w:val="009E2B10"/>
    <w:rsid w:val="009E479E"/>
    <w:rsid w:val="009E4960"/>
    <w:rsid w:val="009E6930"/>
    <w:rsid w:val="009F27EA"/>
    <w:rsid w:val="009F3CC9"/>
    <w:rsid w:val="009F4B71"/>
    <w:rsid w:val="009F686F"/>
    <w:rsid w:val="00A00C88"/>
    <w:rsid w:val="00A0460C"/>
    <w:rsid w:val="00A04937"/>
    <w:rsid w:val="00A053F2"/>
    <w:rsid w:val="00A05AB8"/>
    <w:rsid w:val="00A064D8"/>
    <w:rsid w:val="00A10D8E"/>
    <w:rsid w:val="00A11F1F"/>
    <w:rsid w:val="00A1438F"/>
    <w:rsid w:val="00A159D1"/>
    <w:rsid w:val="00A165EA"/>
    <w:rsid w:val="00A17AE6"/>
    <w:rsid w:val="00A20504"/>
    <w:rsid w:val="00A20916"/>
    <w:rsid w:val="00A2273C"/>
    <w:rsid w:val="00A24FE8"/>
    <w:rsid w:val="00A253FE"/>
    <w:rsid w:val="00A27065"/>
    <w:rsid w:val="00A2775B"/>
    <w:rsid w:val="00A3075D"/>
    <w:rsid w:val="00A318E4"/>
    <w:rsid w:val="00A351E1"/>
    <w:rsid w:val="00A412AD"/>
    <w:rsid w:val="00A45E0F"/>
    <w:rsid w:val="00A46B13"/>
    <w:rsid w:val="00A52580"/>
    <w:rsid w:val="00A5294D"/>
    <w:rsid w:val="00A530BB"/>
    <w:rsid w:val="00A53810"/>
    <w:rsid w:val="00A56711"/>
    <w:rsid w:val="00A56E64"/>
    <w:rsid w:val="00A57ACF"/>
    <w:rsid w:val="00A57DCF"/>
    <w:rsid w:val="00A57DDD"/>
    <w:rsid w:val="00A6072E"/>
    <w:rsid w:val="00A60A83"/>
    <w:rsid w:val="00A60F5D"/>
    <w:rsid w:val="00A61F0E"/>
    <w:rsid w:val="00A67FBC"/>
    <w:rsid w:val="00A72126"/>
    <w:rsid w:val="00A73925"/>
    <w:rsid w:val="00A770DE"/>
    <w:rsid w:val="00A81186"/>
    <w:rsid w:val="00A819D4"/>
    <w:rsid w:val="00A84140"/>
    <w:rsid w:val="00A86E50"/>
    <w:rsid w:val="00A87274"/>
    <w:rsid w:val="00A879F1"/>
    <w:rsid w:val="00A90BB1"/>
    <w:rsid w:val="00A90E11"/>
    <w:rsid w:val="00A95C0A"/>
    <w:rsid w:val="00A96015"/>
    <w:rsid w:val="00A9716C"/>
    <w:rsid w:val="00AA0645"/>
    <w:rsid w:val="00AA54CD"/>
    <w:rsid w:val="00AB0678"/>
    <w:rsid w:val="00AB40AC"/>
    <w:rsid w:val="00AB4761"/>
    <w:rsid w:val="00AB4F53"/>
    <w:rsid w:val="00AB7571"/>
    <w:rsid w:val="00AC3E2D"/>
    <w:rsid w:val="00AC539B"/>
    <w:rsid w:val="00AC68A2"/>
    <w:rsid w:val="00AD2C07"/>
    <w:rsid w:val="00AD3D1F"/>
    <w:rsid w:val="00AD5DFC"/>
    <w:rsid w:val="00AD751D"/>
    <w:rsid w:val="00AE63A2"/>
    <w:rsid w:val="00AE6C1F"/>
    <w:rsid w:val="00AF0604"/>
    <w:rsid w:val="00AF18D0"/>
    <w:rsid w:val="00AF286F"/>
    <w:rsid w:val="00AF515C"/>
    <w:rsid w:val="00AF6F91"/>
    <w:rsid w:val="00AF7CC1"/>
    <w:rsid w:val="00B0033C"/>
    <w:rsid w:val="00B022E7"/>
    <w:rsid w:val="00B02D46"/>
    <w:rsid w:val="00B039ED"/>
    <w:rsid w:val="00B0536B"/>
    <w:rsid w:val="00B07158"/>
    <w:rsid w:val="00B10A11"/>
    <w:rsid w:val="00B1285E"/>
    <w:rsid w:val="00B13E63"/>
    <w:rsid w:val="00B13EA9"/>
    <w:rsid w:val="00B16677"/>
    <w:rsid w:val="00B16BBF"/>
    <w:rsid w:val="00B20E8E"/>
    <w:rsid w:val="00B216AB"/>
    <w:rsid w:val="00B229BF"/>
    <w:rsid w:val="00B22AC9"/>
    <w:rsid w:val="00B25224"/>
    <w:rsid w:val="00B27367"/>
    <w:rsid w:val="00B275EC"/>
    <w:rsid w:val="00B33B64"/>
    <w:rsid w:val="00B34BFF"/>
    <w:rsid w:val="00B37FAF"/>
    <w:rsid w:val="00B4127C"/>
    <w:rsid w:val="00B41734"/>
    <w:rsid w:val="00B448E9"/>
    <w:rsid w:val="00B44D09"/>
    <w:rsid w:val="00B45825"/>
    <w:rsid w:val="00B4675C"/>
    <w:rsid w:val="00B5716C"/>
    <w:rsid w:val="00B6381F"/>
    <w:rsid w:val="00B63C59"/>
    <w:rsid w:val="00B63F5F"/>
    <w:rsid w:val="00B649A5"/>
    <w:rsid w:val="00B666B0"/>
    <w:rsid w:val="00B7026E"/>
    <w:rsid w:val="00B70AA3"/>
    <w:rsid w:val="00B7165A"/>
    <w:rsid w:val="00B71A5B"/>
    <w:rsid w:val="00B74AF7"/>
    <w:rsid w:val="00B752DA"/>
    <w:rsid w:val="00B76954"/>
    <w:rsid w:val="00B775F9"/>
    <w:rsid w:val="00B77D0F"/>
    <w:rsid w:val="00B8001C"/>
    <w:rsid w:val="00B80129"/>
    <w:rsid w:val="00B81D31"/>
    <w:rsid w:val="00B836A2"/>
    <w:rsid w:val="00B86CE7"/>
    <w:rsid w:val="00B902A1"/>
    <w:rsid w:val="00B9096B"/>
    <w:rsid w:val="00B90BED"/>
    <w:rsid w:val="00B96D9E"/>
    <w:rsid w:val="00BA4981"/>
    <w:rsid w:val="00BA4F0C"/>
    <w:rsid w:val="00BA4FAD"/>
    <w:rsid w:val="00BA5C87"/>
    <w:rsid w:val="00BA6982"/>
    <w:rsid w:val="00BA7DAC"/>
    <w:rsid w:val="00BB31F1"/>
    <w:rsid w:val="00BB6578"/>
    <w:rsid w:val="00BB6EEE"/>
    <w:rsid w:val="00BC083A"/>
    <w:rsid w:val="00BC2A99"/>
    <w:rsid w:val="00BC2E71"/>
    <w:rsid w:val="00BC32DF"/>
    <w:rsid w:val="00BC3B65"/>
    <w:rsid w:val="00BC5013"/>
    <w:rsid w:val="00BC5F03"/>
    <w:rsid w:val="00BC66F7"/>
    <w:rsid w:val="00BD0B30"/>
    <w:rsid w:val="00BD1B0A"/>
    <w:rsid w:val="00BD2A7C"/>
    <w:rsid w:val="00BD50B5"/>
    <w:rsid w:val="00BD5AD3"/>
    <w:rsid w:val="00BD607E"/>
    <w:rsid w:val="00BE10D8"/>
    <w:rsid w:val="00BE39BE"/>
    <w:rsid w:val="00BE4F10"/>
    <w:rsid w:val="00BE4FF6"/>
    <w:rsid w:val="00BF5D09"/>
    <w:rsid w:val="00BF64CA"/>
    <w:rsid w:val="00BF7041"/>
    <w:rsid w:val="00BF731F"/>
    <w:rsid w:val="00BF746B"/>
    <w:rsid w:val="00C00CF7"/>
    <w:rsid w:val="00C011D1"/>
    <w:rsid w:val="00C04BCE"/>
    <w:rsid w:val="00C07348"/>
    <w:rsid w:val="00C11C89"/>
    <w:rsid w:val="00C123D0"/>
    <w:rsid w:val="00C13903"/>
    <w:rsid w:val="00C170FE"/>
    <w:rsid w:val="00C21F2F"/>
    <w:rsid w:val="00C22270"/>
    <w:rsid w:val="00C26AB2"/>
    <w:rsid w:val="00C276B5"/>
    <w:rsid w:val="00C300FA"/>
    <w:rsid w:val="00C322F7"/>
    <w:rsid w:val="00C34427"/>
    <w:rsid w:val="00C34652"/>
    <w:rsid w:val="00C364CA"/>
    <w:rsid w:val="00C367AD"/>
    <w:rsid w:val="00C4552D"/>
    <w:rsid w:val="00C46096"/>
    <w:rsid w:val="00C46F6C"/>
    <w:rsid w:val="00C470BD"/>
    <w:rsid w:val="00C5197E"/>
    <w:rsid w:val="00C52B52"/>
    <w:rsid w:val="00C54493"/>
    <w:rsid w:val="00C555C3"/>
    <w:rsid w:val="00C557FC"/>
    <w:rsid w:val="00C6740C"/>
    <w:rsid w:val="00C70757"/>
    <w:rsid w:val="00C70D3F"/>
    <w:rsid w:val="00C71EE5"/>
    <w:rsid w:val="00C72DAD"/>
    <w:rsid w:val="00C75086"/>
    <w:rsid w:val="00C75413"/>
    <w:rsid w:val="00C75ABE"/>
    <w:rsid w:val="00C7628B"/>
    <w:rsid w:val="00C76B38"/>
    <w:rsid w:val="00C77949"/>
    <w:rsid w:val="00C81F99"/>
    <w:rsid w:val="00C8273C"/>
    <w:rsid w:val="00C8328B"/>
    <w:rsid w:val="00C83654"/>
    <w:rsid w:val="00C84D89"/>
    <w:rsid w:val="00C9087C"/>
    <w:rsid w:val="00C9133F"/>
    <w:rsid w:val="00C9185E"/>
    <w:rsid w:val="00C92114"/>
    <w:rsid w:val="00C92C4E"/>
    <w:rsid w:val="00C92D01"/>
    <w:rsid w:val="00C9308A"/>
    <w:rsid w:val="00CA36A2"/>
    <w:rsid w:val="00CA3D1F"/>
    <w:rsid w:val="00CA3FAB"/>
    <w:rsid w:val="00CA5AE3"/>
    <w:rsid w:val="00CA68E9"/>
    <w:rsid w:val="00CA7B52"/>
    <w:rsid w:val="00CB031F"/>
    <w:rsid w:val="00CB0E4E"/>
    <w:rsid w:val="00CB1232"/>
    <w:rsid w:val="00CB638A"/>
    <w:rsid w:val="00CB6610"/>
    <w:rsid w:val="00CC3E3E"/>
    <w:rsid w:val="00CC4889"/>
    <w:rsid w:val="00CD461B"/>
    <w:rsid w:val="00CD4D98"/>
    <w:rsid w:val="00CD52EA"/>
    <w:rsid w:val="00CD7313"/>
    <w:rsid w:val="00CD7DEE"/>
    <w:rsid w:val="00CE0FBC"/>
    <w:rsid w:val="00CE1E3E"/>
    <w:rsid w:val="00CE1FDE"/>
    <w:rsid w:val="00CE2B47"/>
    <w:rsid w:val="00CE380A"/>
    <w:rsid w:val="00CF0601"/>
    <w:rsid w:val="00CF220A"/>
    <w:rsid w:val="00CF2707"/>
    <w:rsid w:val="00CF2C4C"/>
    <w:rsid w:val="00CF62E9"/>
    <w:rsid w:val="00D04141"/>
    <w:rsid w:val="00D04BED"/>
    <w:rsid w:val="00D051C7"/>
    <w:rsid w:val="00D05646"/>
    <w:rsid w:val="00D05CFC"/>
    <w:rsid w:val="00D06CE0"/>
    <w:rsid w:val="00D107FA"/>
    <w:rsid w:val="00D11523"/>
    <w:rsid w:val="00D21BFD"/>
    <w:rsid w:val="00D22C98"/>
    <w:rsid w:val="00D23471"/>
    <w:rsid w:val="00D26F96"/>
    <w:rsid w:val="00D27DDB"/>
    <w:rsid w:val="00D30CE7"/>
    <w:rsid w:val="00D31007"/>
    <w:rsid w:val="00D31084"/>
    <w:rsid w:val="00D325FD"/>
    <w:rsid w:val="00D35E8D"/>
    <w:rsid w:val="00D41DF4"/>
    <w:rsid w:val="00D472BF"/>
    <w:rsid w:val="00D47C38"/>
    <w:rsid w:val="00D52D50"/>
    <w:rsid w:val="00D53128"/>
    <w:rsid w:val="00D56BF1"/>
    <w:rsid w:val="00D60611"/>
    <w:rsid w:val="00D653E3"/>
    <w:rsid w:val="00D70306"/>
    <w:rsid w:val="00D70D04"/>
    <w:rsid w:val="00D7174D"/>
    <w:rsid w:val="00D72D16"/>
    <w:rsid w:val="00D7326C"/>
    <w:rsid w:val="00D74114"/>
    <w:rsid w:val="00D74489"/>
    <w:rsid w:val="00D74773"/>
    <w:rsid w:val="00D7479E"/>
    <w:rsid w:val="00D75AA1"/>
    <w:rsid w:val="00D815AB"/>
    <w:rsid w:val="00D81A1F"/>
    <w:rsid w:val="00D83744"/>
    <w:rsid w:val="00D840E3"/>
    <w:rsid w:val="00D8426F"/>
    <w:rsid w:val="00D84B96"/>
    <w:rsid w:val="00D856C5"/>
    <w:rsid w:val="00D90468"/>
    <w:rsid w:val="00D90B00"/>
    <w:rsid w:val="00D92609"/>
    <w:rsid w:val="00D927B6"/>
    <w:rsid w:val="00D9317B"/>
    <w:rsid w:val="00D969C3"/>
    <w:rsid w:val="00DA1915"/>
    <w:rsid w:val="00DA1B3A"/>
    <w:rsid w:val="00DA4BCA"/>
    <w:rsid w:val="00DB04A7"/>
    <w:rsid w:val="00DB2A29"/>
    <w:rsid w:val="00DB3817"/>
    <w:rsid w:val="00DB415F"/>
    <w:rsid w:val="00DB47A0"/>
    <w:rsid w:val="00DB7EE1"/>
    <w:rsid w:val="00DC07DF"/>
    <w:rsid w:val="00DC0E76"/>
    <w:rsid w:val="00DC1861"/>
    <w:rsid w:val="00DC2CB7"/>
    <w:rsid w:val="00DC4012"/>
    <w:rsid w:val="00DC566D"/>
    <w:rsid w:val="00DC6AC3"/>
    <w:rsid w:val="00DC781C"/>
    <w:rsid w:val="00DD0D0C"/>
    <w:rsid w:val="00DD236C"/>
    <w:rsid w:val="00DD2E76"/>
    <w:rsid w:val="00DD4567"/>
    <w:rsid w:val="00DD4967"/>
    <w:rsid w:val="00DD4A2F"/>
    <w:rsid w:val="00DE19AF"/>
    <w:rsid w:val="00DE1FCE"/>
    <w:rsid w:val="00DE2A34"/>
    <w:rsid w:val="00DE2BF8"/>
    <w:rsid w:val="00DE303C"/>
    <w:rsid w:val="00DE486F"/>
    <w:rsid w:val="00DE4C8F"/>
    <w:rsid w:val="00DF357D"/>
    <w:rsid w:val="00DF609C"/>
    <w:rsid w:val="00E01270"/>
    <w:rsid w:val="00E012D7"/>
    <w:rsid w:val="00E034A5"/>
    <w:rsid w:val="00E03662"/>
    <w:rsid w:val="00E05045"/>
    <w:rsid w:val="00E060A4"/>
    <w:rsid w:val="00E06261"/>
    <w:rsid w:val="00E064EF"/>
    <w:rsid w:val="00E10155"/>
    <w:rsid w:val="00E1169B"/>
    <w:rsid w:val="00E11BBF"/>
    <w:rsid w:val="00E1243B"/>
    <w:rsid w:val="00E14CC7"/>
    <w:rsid w:val="00E16498"/>
    <w:rsid w:val="00E1700B"/>
    <w:rsid w:val="00E22118"/>
    <w:rsid w:val="00E22D39"/>
    <w:rsid w:val="00E30AB0"/>
    <w:rsid w:val="00E313A8"/>
    <w:rsid w:val="00E31CEC"/>
    <w:rsid w:val="00E3369E"/>
    <w:rsid w:val="00E342C9"/>
    <w:rsid w:val="00E354E2"/>
    <w:rsid w:val="00E36354"/>
    <w:rsid w:val="00E36E3E"/>
    <w:rsid w:val="00E370B0"/>
    <w:rsid w:val="00E377D4"/>
    <w:rsid w:val="00E40196"/>
    <w:rsid w:val="00E411B3"/>
    <w:rsid w:val="00E42528"/>
    <w:rsid w:val="00E46755"/>
    <w:rsid w:val="00E5215A"/>
    <w:rsid w:val="00E52CED"/>
    <w:rsid w:val="00E62CEB"/>
    <w:rsid w:val="00E6306A"/>
    <w:rsid w:val="00E666FB"/>
    <w:rsid w:val="00E67524"/>
    <w:rsid w:val="00E712FB"/>
    <w:rsid w:val="00E72D99"/>
    <w:rsid w:val="00E73081"/>
    <w:rsid w:val="00E740E8"/>
    <w:rsid w:val="00E75BAA"/>
    <w:rsid w:val="00E76BB8"/>
    <w:rsid w:val="00E804F9"/>
    <w:rsid w:val="00E81D33"/>
    <w:rsid w:val="00E81E31"/>
    <w:rsid w:val="00E86DCC"/>
    <w:rsid w:val="00E9079F"/>
    <w:rsid w:val="00E91E4F"/>
    <w:rsid w:val="00E92176"/>
    <w:rsid w:val="00E954AA"/>
    <w:rsid w:val="00E9562C"/>
    <w:rsid w:val="00E956C5"/>
    <w:rsid w:val="00EA2277"/>
    <w:rsid w:val="00EA2424"/>
    <w:rsid w:val="00EA3598"/>
    <w:rsid w:val="00EA76B0"/>
    <w:rsid w:val="00EA7D83"/>
    <w:rsid w:val="00EB1BCE"/>
    <w:rsid w:val="00EB2860"/>
    <w:rsid w:val="00EB3C07"/>
    <w:rsid w:val="00EB5409"/>
    <w:rsid w:val="00EB651E"/>
    <w:rsid w:val="00EB6EAA"/>
    <w:rsid w:val="00EC475E"/>
    <w:rsid w:val="00EC6AF8"/>
    <w:rsid w:val="00EC734F"/>
    <w:rsid w:val="00EC7757"/>
    <w:rsid w:val="00ED2B7A"/>
    <w:rsid w:val="00ED2D6E"/>
    <w:rsid w:val="00ED39F6"/>
    <w:rsid w:val="00ED4CE2"/>
    <w:rsid w:val="00ED65B4"/>
    <w:rsid w:val="00ED7802"/>
    <w:rsid w:val="00EE1204"/>
    <w:rsid w:val="00EE1ECE"/>
    <w:rsid w:val="00EE3C9C"/>
    <w:rsid w:val="00EF0B20"/>
    <w:rsid w:val="00EF18F2"/>
    <w:rsid w:val="00EF589E"/>
    <w:rsid w:val="00F01508"/>
    <w:rsid w:val="00F018A9"/>
    <w:rsid w:val="00F0292F"/>
    <w:rsid w:val="00F02C6E"/>
    <w:rsid w:val="00F04FB3"/>
    <w:rsid w:val="00F04FF5"/>
    <w:rsid w:val="00F05349"/>
    <w:rsid w:val="00F06A76"/>
    <w:rsid w:val="00F1009D"/>
    <w:rsid w:val="00F15496"/>
    <w:rsid w:val="00F20526"/>
    <w:rsid w:val="00F238E3"/>
    <w:rsid w:val="00F24A21"/>
    <w:rsid w:val="00F2626C"/>
    <w:rsid w:val="00F34706"/>
    <w:rsid w:val="00F365C8"/>
    <w:rsid w:val="00F36E91"/>
    <w:rsid w:val="00F41B25"/>
    <w:rsid w:val="00F42C98"/>
    <w:rsid w:val="00F47AFF"/>
    <w:rsid w:val="00F52A33"/>
    <w:rsid w:val="00F53A4D"/>
    <w:rsid w:val="00F573C8"/>
    <w:rsid w:val="00F62990"/>
    <w:rsid w:val="00F6479D"/>
    <w:rsid w:val="00F665DC"/>
    <w:rsid w:val="00F6784B"/>
    <w:rsid w:val="00F724C7"/>
    <w:rsid w:val="00F7481B"/>
    <w:rsid w:val="00F76C65"/>
    <w:rsid w:val="00F779C5"/>
    <w:rsid w:val="00F77BCC"/>
    <w:rsid w:val="00F81011"/>
    <w:rsid w:val="00F87107"/>
    <w:rsid w:val="00F87941"/>
    <w:rsid w:val="00F9235E"/>
    <w:rsid w:val="00F9384E"/>
    <w:rsid w:val="00F93B3C"/>
    <w:rsid w:val="00F9480A"/>
    <w:rsid w:val="00FA1713"/>
    <w:rsid w:val="00FA2C47"/>
    <w:rsid w:val="00FA4CDB"/>
    <w:rsid w:val="00FA79ED"/>
    <w:rsid w:val="00FB00C4"/>
    <w:rsid w:val="00FB1150"/>
    <w:rsid w:val="00FB727E"/>
    <w:rsid w:val="00FC0E6F"/>
    <w:rsid w:val="00FC44BB"/>
    <w:rsid w:val="00FC5955"/>
    <w:rsid w:val="00FD14A2"/>
    <w:rsid w:val="00FD1E95"/>
    <w:rsid w:val="00FD3E4F"/>
    <w:rsid w:val="00FD4185"/>
    <w:rsid w:val="00FD4A6C"/>
    <w:rsid w:val="00FD5DBC"/>
    <w:rsid w:val="00FD75C9"/>
    <w:rsid w:val="00FE1DF2"/>
    <w:rsid w:val="00FE6FA0"/>
    <w:rsid w:val="00FE7414"/>
    <w:rsid w:val="00FE75A1"/>
    <w:rsid w:val="00FE7720"/>
    <w:rsid w:val="00FF1E67"/>
    <w:rsid w:val="00FF39D8"/>
    <w:rsid w:val="00FF5C2A"/>
    <w:rsid w:val="00FF68D2"/>
    <w:rsid w:val="4CE18555"/>
    <w:rsid w:val="4EF981CC"/>
    <w:rsid w:val="4F56A9E8"/>
    <w:rsid w:val="68CF7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FD74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8070B"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Odkaznakoment">
    <w:name w:val="annotation reference"/>
    <w:basedOn w:val="Standardnpsmoodstavce"/>
    <w:uiPriority w:val="99"/>
    <w:semiHidden/>
    <w:unhideWhenUsed/>
    <w:rsid w:val="004E654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E654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E654A"/>
    <w:rPr>
      <w:rFonts w:ascii="Calibri" w:eastAsia="Calibri" w:hAnsi="Calibri" w:cs="Calibri"/>
      <w:sz w:val="20"/>
      <w:szCs w:val="20"/>
      <w:lang w:val="cs-CZ"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E654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E654A"/>
    <w:rPr>
      <w:rFonts w:ascii="Calibri" w:eastAsia="Calibri" w:hAnsi="Calibri" w:cs="Calibri"/>
      <w:b/>
      <w:bCs/>
      <w:sz w:val="20"/>
      <w:szCs w:val="20"/>
      <w:lang w:val="cs-CZ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432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4324C"/>
    <w:rPr>
      <w:rFonts w:ascii="Segoe UI" w:eastAsia="Calibri" w:hAnsi="Segoe UI" w:cs="Segoe UI"/>
      <w:sz w:val="18"/>
      <w:szCs w:val="18"/>
      <w:lang w:val="cs-CZ" w:eastAsia="cs-CZ"/>
    </w:rPr>
  </w:style>
  <w:style w:type="paragraph" w:styleId="Zhlav">
    <w:name w:val="header"/>
    <w:basedOn w:val="Normln"/>
    <w:link w:val="ZhlavChar"/>
    <w:uiPriority w:val="99"/>
    <w:unhideWhenUsed/>
    <w:rsid w:val="00D71B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71BAC"/>
    <w:rPr>
      <w:rFonts w:ascii="Calibri" w:eastAsia="Calibri" w:hAnsi="Calibri" w:cs="Calibri"/>
      <w:sz w:val="22"/>
      <w:szCs w:val="22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71B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71BAC"/>
    <w:rPr>
      <w:rFonts w:ascii="Calibri" w:eastAsia="Calibri" w:hAnsi="Calibri" w:cs="Calibri"/>
      <w:sz w:val="22"/>
      <w:szCs w:val="22"/>
      <w:lang w:eastAsia="cs-CZ"/>
    </w:rPr>
  </w:style>
  <w:style w:type="paragraph" w:styleId="Revize">
    <w:name w:val="Revision"/>
    <w:hidden/>
    <w:uiPriority w:val="99"/>
    <w:semiHidden/>
    <w:rsid w:val="00780AB5"/>
  </w:style>
  <w:style w:type="character" w:styleId="Hypertextovodkaz">
    <w:name w:val="Hyperlink"/>
    <w:basedOn w:val="Standardnpsmoodstavce"/>
    <w:uiPriority w:val="99"/>
    <w:unhideWhenUsed/>
    <w:rsid w:val="00886D86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886D86"/>
    <w:rPr>
      <w:color w:val="605E5C"/>
      <w:shd w:val="clear" w:color="auto" w:fill="E1DFDD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Odstavecseseznamem">
    <w:name w:val="List Paragraph"/>
    <w:basedOn w:val="Normln"/>
    <w:uiPriority w:val="34"/>
    <w:qFormat/>
    <w:rsid w:val="00DF51E3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E370B0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686E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2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6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0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4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2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5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6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0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6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6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5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9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4FD402-0836-49C3-B7D0-FED3631052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996</Words>
  <Characters>5883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2026-04-23T05:36:00Z</dcterms:created>
  <dcterms:modified xsi:type="dcterms:W3CDTF">2026-04-23T05:49:00Z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44c618-538c-404a-b2f6-f58b5e4f4fae_Enabled">
    <vt:lpwstr>true</vt:lpwstr>
  </property>
  <property fmtid="{D5CDD505-2E9C-101B-9397-08002B2CF9AE}" pid="3" name="MSIP_Label_a844c618-538c-404a-b2f6-f58b5e4f4fae_SetDate">
    <vt:lpwstr>2026-04-23T05:36:19Z</vt:lpwstr>
  </property>
  <property fmtid="{D5CDD505-2E9C-101B-9397-08002B2CF9AE}" pid="4" name="MSIP_Label_a844c618-538c-404a-b2f6-f58b5e4f4fae_Method">
    <vt:lpwstr>Privileged</vt:lpwstr>
  </property>
  <property fmtid="{D5CDD505-2E9C-101B-9397-08002B2CF9AE}" pid="5" name="MSIP_Label_a844c618-538c-404a-b2f6-f58b5e4f4fae_Name">
    <vt:lpwstr>Public</vt:lpwstr>
  </property>
  <property fmtid="{D5CDD505-2E9C-101B-9397-08002B2CF9AE}" pid="6" name="MSIP_Label_a844c618-538c-404a-b2f6-f58b5e4f4fae_SiteId">
    <vt:lpwstr>41eb501a-f671-4ce0-a5bf-b64168c3705f</vt:lpwstr>
  </property>
  <property fmtid="{D5CDD505-2E9C-101B-9397-08002B2CF9AE}" pid="7" name="MSIP_Label_a844c618-538c-404a-b2f6-f58b5e4f4fae_ActionId">
    <vt:lpwstr>54b07be4-0838-4397-8d0e-9c375c353598</vt:lpwstr>
  </property>
  <property fmtid="{D5CDD505-2E9C-101B-9397-08002B2CF9AE}" pid="8" name="MSIP_Label_a844c618-538c-404a-b2f6-f58b5e4f4fae_ContentBits">
    <vt:lpwstr>0</vt:lpwstr>
  </property>
  <property fmtid="{D5CDD505-2E9C-101B-9397-08002B2CF9AE}" pid="9" name="MSIP_Label_a844c618-538c-404a-b2f6-f58b5e4f4fae_Tag">
    <vt:lpwstr>10, 0, 1, 1</vt:lpwstr>
  </property>
</Properties>
</file>