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rFonts w:ascii="Calibri" w:cs="Calibri" w:eastAsia="Calibri" w:hAnsi="Calibri"/>
          <w:b/>
          <w:bCs/>
          <w:sz w:val="24"/>
          <w:szCs w:val="24"/>
        </w:rPr>
        <w:t xml:space="preserve">Adatkezelési tájékoztató</w:t>
      </w:r>
    </w:p>
    <w:p>
      <w:pPr>
        <w:keepNext/>
        <w:spacing w:after="60" w:before="0"/>
      </w:pPr>
      <w:r>
        <w:rPr>
          <w:rFonts w:ascii="Calibri" w:cs="Calibri" w:eastAsia="Calibri" w:hAnsi="Calibri"/>
          <w:b/>
          <w:bCs/>
          <w:i/>
          <w:iCs/>
          <w:sz w:val="21"/>
          <w:szCs w:val="21"/>
        </w:rPr>
        <w:t xml:space="preserve">1. Adatkezelő megnevezése</w:t>
      </w:r>
    </w:p>
    <w:tbl>
      <w:tblPr>
        <w:tblW w:type="dxa" w:w="8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00"/>
        <w:gridCol w:w="5806"/>
      </w:tblGrid>
      <w:tr>
        <w:tc>
          <w:tcPr>
            <w:tcW w:type="dxa" w:w="3100"/>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Adatkezelő megnevezése:</w:t>
            </w:r>
          </w:p>
        </w:tc>
        <w:tc>
          <w:tcPr>
            <w:tcW w:type="dxa" w:w="5806"/>
            <w:tcBorders>
              <w:top w:val="none" w:color="FFFFFF" w:sz="0"/>
              <w:left w:val="none" w:color="FFFFFF" w:sz="0"/>
              <w:bottom w:val="none" w:color="FFFFFF" w:sz="0"/>
              <w:right w:val="none" w:color="FFFFFF" w:sz="0"/>
            </w:tcBorders>
          </w:tcPr>
          <w:p>
            <w:pPr>
              <w:spacing w:after="20"/>
            </w:pPr>
            <w:r>
              <w:rPr>
                <w:rFonts w:ascii="Calibri" w:cs="Calibri" w:eastAsia="Calibri" w:hAnsi="Calibri"/>
                <w:b/>
                <w:bCs/>
                <w:sz w:val="21"/>
                <w:szCs w:val="21"/>
              </w:rPr>
              <w:t xml:space="preserve">Ensure Kft.</w:t>
            </w:r>
          </w:p>
        </w:tc>
      </w:tr>
      <w:tr>
        <w:tc>
          <w:tcPr>
            <w:tcW w:type="dxa" w:w="3100"/>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Adatkezelő cégjegyzékszáma:</w:t>
            </w:r>
          </w:p>
        </w:tc>
        <w:tc>
          <w:tcPr>
            <w:tcW w:type="dxa" w:w="5806"/>
            <w:tcBorders>
              <w:top w:val="none" w:color="FFFFFF" w:sz="0"/>
              <w:left w:val="none" w:color="FFFFFF" w:sz="0"/>
              <w:bottom w:val="none" w:color="FFFFFF" w:sz="0"/>
              <w:right w:val="none" w:color="FFFFFF" w:sz="0"/>
            </w:tcBorders>
          </w:tcPr>
          <w:p>
            <w:pPr>
              <w:spacing w:after="20"/>
            </w:pPr>
            <w:r>
              <w:rPr>
                <w:rFonts w:ascii="Calibri" w:cs="Calibri" w:eastAsia="Calibri" w:hAnsi="Calibri"/>
                <w:b/>
                <w:bCs/>
                <w:sz w:val="21"/>
                <w:szCs w:val="21"/>
              </w:rPr>
              <w:t xml:space="preserve">13-09-109042</w:t>
            </w:r>
          </w:p>
        </w:tc>
      </w:tr>
      <w:tr>
        <w:tc>
          <w:tcPr>
            <w:tcW w:type="dxa" w:w="3100"/>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Adatkezelő székhelye:</w:t>
            </w:r>
          </w:p>
        </w:tc>
        <w:tc>
          <w:tcPr>
            <w:tcW w:type="dxa" w:w="5806"/>
            <w:tcBorders>
              <w:top w:val="none" w:color="FFFFFF" w:sz="0"/>
              <w:left w:val="none" w:color="FFFFFF" w:sz="0"/>
              <w:bottom w:val="none" w:color="FFFFFF" w:sz="0"/>
              <w:right w:val="none" w:color="FFFFFF" w:sz="0"/>
            </w:tcBorders>
          </w:tcPr>
          <w:p>
            <w:pPr>
              <w:spacing w:after="20"/>
            </w:pPr>
            <w:r>
              <w:rPr>
                <w:rFonts w:ascii="Calibri" w:cs="Calibri" w:eastAsia="Calibri" w:hAnsi="Calibri"/>
                <w:b/>
                <w:bCs/>
                <w:sz w:val="21"/>
                <w:szCs w:val="21"/>
              </w:rPr>
              <w:t xml:space="preserve">2724 Újlengyel, Kossuth Lajos utca 20.</w:t>
            </w:r>
          </w:p>
        </w:tc>
      </w:tr>
      <w:tr>
        <w:tc>
          <w:tcPr>
            <w:tcW w:type="dxa" w:w="3100"/>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Adatkezelő képviselője:</w:t>
            </w:r>
          </w:p>
        </w:tc>
        <w:tc>
          <w:tcPr>
            <w:tcW w:type="dxa" w:w="5806"/>
            <w:tcBorders>
              <w:top w:val="none" w:color="FFFFFF" w:sz="0"/>
              <w:left w:val="none" w:color="FFFFFF" w:sz="0"/>
              <w:bottom w:val="none" w:color="FFFFFF" w:sz="0"/>
              <w:right w:val="none" w:color="FFFFFF" w:sz="0"/>
            </w:tcBorders>
          </w:tcPr>
          <w:p>
            <w:pPr>
              <w:spacing w:after="20"/>
            </w:pPr>
            <w:r>
              <w:rPr>
                <w:rFonts w:ascii="Calibri" w:cs="Calibri" w:eastAsia="Calibri" w:hAnsi="Calibri"/>
                <w:b/>
                <w:bCs/>
                <w:sz w:val="21"/>
                <w:szCs w:val="21"/>
              </w:rPr>
              <w:t xml:space="preserve">Füzesi Tibor</w:t>
            </w:r>
          </w:p>
        </w:tc>
      </w:tr>
      <w:tr>
        <w:tc>
          <w:tcPr>
            <w:tcW w:type="dxa" w:w="3100"/>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Telefon:</w:t>
            </w:r>
          </w:p>
        </w:tc>
        <w:tc>
          <w:tcPr>
            <w:tcW w:type="dxa" w:w="5806"/>
            <w:tcBorders>
              <w:top w:val="none" w:color="FFFFFF" w:sz="0"/>
              <w:left w:val="none" w:color="FFFFFF" w:sz="0"/>
              <w:bottom w:val="none" w:color="FFFFFF" w:sz="0"/>
              <w:right w:val="none" w:color="FFFFFF" w:sz="0"/>
            </w:tcBorders>
          </w:tcPr>
          <w:p>
            <w:pPr>
              <w:spacing w:after="20"/>
            </w:pPr>
            <w:r>
              <w:rPr>
                <w:rFonts w:ascii="Calibri" w:cs="Calibri" w:eastAsia="Calibri" w:hAnsi="Calibri"/>
                <w:b/>
                <w:bCs/>
                <w:sz w:val="21"/>
                <w:szCs w:val="21"/>
              </w:rPr>
              <w:t xml:space="preserve">20/258-3307</w:t>
            </w:r>
          </w:p>
        </w:tc>
      </w:tr>
      <w:tr>
        <w:tc>
          <w:tcPr>
            <w:tcW w:type="dxa" w:w="3100"/>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E-mail:</w:t>
            </w:r>
          </w:p>
        </w:tc>
        <w:tc>
          <w:tcPr>
            <w:tcW w:type="dxa" w:w="5806"/>
            <w:tcBorders>
              <w:top w:val="none" w:color="FFFFFF" w:sz="0"/>
              <w:left w:val="none" w:color="FFFFFF" w:sz="0"/>
              <w:bottom w:val="none" w:color="FFFFFF" w:sz="0"/>
              <w:right w:val="none" w:color="FFFFFF" w:sz="0"/>
            </w:tcBorders>
          </w:tcPr>
          <w:p>
            <w:pPr>
              <w:spacing w:after="20"/>
            </w:pPr>
            <w:r>
              <w:rPr>
                <w:rFonts w:ascii="Calibri" w:cs="Calibri" w:eastAsia="Calibri" w:hAnsi="Calibri"/>
                <w:b/>
                <w:bCs/>
                <w:sz w:val="21"/>
                <w:szCs w:val="21"/>
              </w:rPr>
              <w:t xml:space="preserve">fuzesi.tibor@ensure.hu</w:t>
            </w:r>
          </w:p>
        </w:tc>
      </w:tr>
    </w:tbl>
    <w:p>
      <w:pPr>
        <w:keepNext/>
        <w:spacing w:after="60" w:before="240"/>
      </w:pPr>
      <w:r>
        <w:rPr>
          <w:rFonts w:ascii="Calibri" w:cs="Calibri" w:eastAsia="Calibri" w:hAnsi="Calibri"/>
          <w:b/>
          <w:bCs/>
          <w:i/>
          <w:iCs/>
          <w:sz w:val="21"/>
          <w:szCs w:val="21"/>
        </w:rPr>
        <w:t xml:space="preserve">2. Az adatkezelés célja és jogalapja</w:t>
      </w:r>
    </w:p>
    <w:p>
      <w:pPr>
        <w:spacing w:after="60"/>
        <w:jc w:val="both"/>
      </w:pPr>
      <w:r>
        <w:rPr>
          <w:rFonts w:ascii="Calibri" w:cs="Calibri" w:eastAsia="Calibri" w:hAnsi="Calibri"/>
          <w:sz w:val="21"/>
          <w:szCs w:val="21"/>
        </w:rPr>
        <w:t xml:space="preserve">Az adatkezelés célja: számla kibocsátása, a jogszabály által előírt kötelezettség teljesítése, kapcsolattartás az ügyféllel, ajánlattétel az ügyfél részére, biztosítási szerződések megkötéséhez és fenntartásához (pénzügyi teljesítéshez, kockázatkezeléshez, kárügyek rendezéséhez) szükséges adatkezelés.</w:t>
      </w:r>
    </w:p>
    <w:p>
      <w:pPr>
        <w:spacing w:after="60"/>
        <w:jc w:val="both"/>
      </w:pPr>
      <w:r>
        <w:rPr>
          <w:rFonts w:ascii="Calibri" w:cs="Calibri" w:eastAsia="Calibri" w:hAnsi="Calibri"/>
          <w:sz w:val="21"/>
          <w:szCs w:val="21"/>
        </w:rPr>
        <w:t xml:space="preserve">Az adatkezelés jogalapja: jogszabály által előírt kötelező adatkezelés (számla kibocsátáshoz), az ügyféllel kötött szerződés teljesítése, valamint az érintett hozzájárulása. Az ügyfél által kapcsolattartóként megjelölt személy személyes adatainak kezeléséhez való hozzájárulását az ügyfélnek kell beszereznie.</w:t>
      </w:r>
    </w:p>
    <w:p>
      <w:pPr>
        <w:keepNext/>
        <w:spacing w:after="60" w:before="240"/>
      </w:pPr>
      <w:r>
        <w:rPr>
          <w:rFonts w:ascii="Calibri" w:cs="Calibri" w:eastAsia="Calibri" w:hAnsi="Calibri"/>
          <w:b/>
          <w:bCs/>
          <w:i/>
          <w:iCs/>
          <w:sz w:val="21"/>
          <w:szCs w:val="21"/>
        </w:rPr>
        <w:t xml:space="preserve">3. A kezelt személyes adatok köre</w:t>
      </w:r>
    </w:p>
    <w:p>
      <w:pPr>
        <w:spacing w:after="60"/>
        <w:jc w:val="both"/>
      </w:pPr>
      <w:r>
        <w:rPr>
          <w:rFonts w:ascii="Calibri" w:cs="Calibri" w:eastAsia="Calibri" w:hAnsi="Calibri"/>
          <w:sz w:val="21"/>
          <w:szCs w:val="21"/>
        </w:rPr>
        <w:t xml:space="preserve">A biztosítási szerződés létrejöttéhez, számlázáshoz és kárügyekhez szükséges alapadatok (név, lakcím/székhely, adószám), ügyfél által megjelölt kapcsolattartó neve, telefonszáma, e-mail címe. Természetes személy ügyfelek esetében ügyfél neve, születési adatai, foglalkozása, telefonszáma, e-mail címe, ügyfél gépjárműveinek műszaki és hatósági adatai, az ügyfél biztosítási szerződéseinek adatai. Jogi személy ügyfelek esetében bármely pénzügyi, üzleti, üzleti partneri valamint a vállalkozást érintő és a tevékenységhez kapcsolódó, lényegi információt hordozó adat.</w:t>
      </w:r>
    </w:p>
    <w:p>
      <w:pPr>
        <w:keepNext/>
        <w:spacing w:after="60" w:before="240"/>
      </w:pPr>
      <w:r>
        <w:rPr>
          <w:rFonts w:ascii="Calibri" w:cs="Calibri" w:eastAsia="Calibri" w:hAnsi="Calibri"/>
          <w:b/>
          <w:bCs/>
          <w:i/>
          <w:iCs/>
          <w:sz w:val="21"/>
          <w:szCs w:val="21"/>
        </w:rPr>
        <w:t xml:space="preserve">4. Weboldalra vonatkozó adatkezelés</w:t>
      </w:r>
    </w:p>
    <w:p>
      <w:pPr>
        <w:spacing w:after="60"/>
        <w:jc w:val="both"/>
      </w:pPr>
      <w:r>
        <w:rPr>
          <w:rFonts w:ascii="Calibri" w:cs="Calibri" w:eastAsia="Calibri" w:hAnsi="Calibri"/>
          <w:sz w:val="21"/>
          <w:szCs w:val="21"/>
        </w:rPr>
        <w:t xml:space="preserve">Az Adatkezelő a Google Analytics szolgáltatást kizárólag a weboldal látogatottságának és használatának mérésére, valamint a weboldal működésének és felhasználói élményének javítására használja.</w:t>
      </w:r>
    </w:p>
    <w:p>
      <w:pPr>
        <w:spacing w:after="60"/>
        <w:jc w:val="both"/>
      </w:pPr>
      <w:r>
        <w:rPr>
          <w:rFonts w:ascii="Calibri" w:cs="Calibri" w:eastAsia="Calibri" w:hAnsi="Calibri"/>
          <w:sz w:val="21"/>
          <w:szCs w:val="21"/>
        </w:rPr>
        <w:t xml:space="preserve">A Google Analytics analitikai célú sütik segítségével statisztikai információkat gyűjt a weboldal használatáról, például a látogatásokra, munkamenetekre, valamint a használt eszközre és böngészőre vonatkozóan.</w:t>
      </w:r>
    </w:p>
    <w:p>
      <w:pPr>
        <w:spacing w:after="60"/>
        <w:jc w:val="both"/>
      </w:pPr>
      <w:r>
        <w:rPr>
          <w:rFonts w:ascii="Calibri" w:cs="Calibri" w:eastAsia="Calibri" w:hAnsi="Calibri"/>
          <w:sz w:val="21"/>
          <w:szCs w:val="21"/>
        </w:rPr>
        <w:t xml:space="preserve">A Google Analytics mérés kizárólag a felhasználó hozzájárulása esetén aktiválódik. Amennyiben a felhasználó a hozzájárulást elutasítja (a „Csak a szükségeseket” gombot választja), a Google Analytics mérés nem kerül aktiválásra, és analitikai célú sütik nem kerülnek elhelyezésre.</w:t>
      </w:r>
    </w:p>
    <w:p>
      <w:pPr>
        <w:spacing w:after="60"/>
        <w:jc w:val="both"/>
      </w:pPr>
      <w:r>
        <w:rPr>
          <w:rFonts w:ascii="Calibri" w:cs="Calibri" w:eastAsia="Calibri" w:hAnsi="Calibri"/>
          <w:sz w:val="21"/>
          <w:szCs w:val="21"/>
        </w:rPr>
        <w:t xml:space="preserve">A Google Analytics szolgáltatást nem használjuk reklámcélú profilalkotásra vagy személyre szabott hirdetések megjelenítésére.</w:t>
      </w:r>
    </w:p>
    <w:p>
      <w:pPr>
        <w:keepNext/>
        <w:spacing w:after="60" w:before="240"/>
      </w:pPr>
      <w:r>
        <w:rPr>
          <w:rFonts w:ascii="Calibri" w:cs="Calibri" w:eastAsia="Calibri" w:hAnsi="Calibri"/>
          <w:b/>
          <w:bCs/>
          <w:i/>
          <w:iCs/>
          <w:sz w:val="21"/>
          <w:szCs w:val="21"/>
        </w:rPr>
        <w:t xml:space="preserve">5. Személyes adatok továbbítása</w:t>
      </w:r>
    </w:p>
    <w:p>
      <w:pPr>
        <w:spacing w:after="60"/>
        <w:jc w:val="both"/>
      </w:pPr>
      <w:r>
        <w:rPr>
          <w:rFonts w:ascii="Calibri" w:cs="Calibri" w:eastAsia="Calibri" w:hAnsi="Calibri"/>
          <w:sz w:val="21"/>
          <w:szCs w:val="21"/>
        </w:rPr>
        <w:t xml:space="preserve">Az érintettek személyes adatai a jogszabályon alapuló bevallási, bejelentési kötelezettségek teljesítése érdekében a könyvelést végző cégnek, valamint a jogszabályban előírt hatóságok részére és az Adatkezelővel együttműködő biztosítótársaságok, pénzügyi közvetítők felé kerülnek továbbításra. Külföldre adattovábbítás nem történik.</w:t>
      </w:r>
    </w:p>
    <w:p>
      <w:pPr>
        <w:keepNext/>
        <w:spacing w:after="60" w:before="240"/>
      </w:pPr>
      <w:r>
        <w:rPr>
          <w:rFonts w:ascii="Calibri" w:cs="Calibri" w:eastAsia="Calibri" w:hAnsi="Calibri"/>
          <w:b/>
          <w:bCs/>
          <w:i/>
          <w:iCs/>
          <w:sz w:val="21"/>
          <w:szCs w:val="21"/>
        </w:rPr>
        <w:t xml:space="preserve">6. A személyes adatok tárolásának időtartama</w:t>
      </w:r>
    </w:p>
    <w:p>
      <w:pPr>
        <w:spacing w:after="60"/>
        <w:jc w:val="both"/>
      </w:pPr>
      <w:r>
        <w:rPr>
          <w:rFonts w:ascii="Calibri" w:cs="Calibri" w:eastAsia="Calibri" w:hAnsi="Calibri"/>
          <w:sz w:val="21"/>
          <w:szCs w:val="21"/>
        </w:rPr>
        <w:t xml:space="preserve">Az Adatkezelő a jogszabályban előírt kötelezettség teljesítéséhez szükséges személyes adatokat a jogszabályban előírt határidőig, a hozzájáruláson alapuló személyes adatokat az adatkezelés céljának fennállása alatt, illetve az érintett hozzájárulásának visszavonásáig kezeli.</w:t>
      </w:r>
    </w:p>
    <w:p>
      <w:pPr>
        <w:keepNext/>
        <w:spacing w:after="60" w:before="240"/>
      </w:pPr>
      <w:r>
        <w:rPr>
          <w:rFonts w:ascii="Calibri" w:cs="Calibri" w:eastAsia="Calibri" w:hAnsi="Calibri"/>
          <w:b/>
          <w:bCs/>
          <w:i/>
          <w:iCs/>
          <w:sz w:val="21"/>
          <w:szCs w:val="21"/>
        </w:rPr>
        <w:t xml:space="preserve">7. Tájékoztatás az érintettek jogairól</w:t>
      </w:r>
    </w:p>
    <w:p>
      <w:pPr>
        <w:spacing w:after="60"/>
        <w:jc w:val="both"/>
      </w:pPr>
      <w:r>
        <w:rPr>
          <w:rFonts w:ascii="Calibri" w:cs="Calibri" w:eastAsia="Calibri" w:hAnsi="Calibri"/>
          <w:sz w:val="21"/>
          <w:szCs w:val="21"/>
        </w:rPr>
        <w:t xml:space="preserve">Az érintett kérelmezheti az adatkezelőtől a rá vonatkozó személyes adatokhoz való hozzáférést, azok helyesbítését, törlését vagy kezelésének korlátozását, és tiltakozhat az ilyen személyes adatok kezelése ellen. Az érintett élhet az adathordozhatósághoz való jogával, amennyiben ennek jogszabályi feltételei fennállnak.</w:t>
      </w:r>
    </w:p>
    <w:p>
      <w:pPr>
        <w:keepNext/>
        <w:spacing w:after="60" w:before="240"/>
      </w:pPr>
      <w:r>
        <w:rPr>
          <w:rFonts w:ascii="Calibri" w:cs="Calibri" w:eastAsia="Calibri" w:hAnsi="Calibri"/>
          <w:b/>
          <w:bCs/>
          <w:i/>
          <w:iCs/>
          <w:sz w:val="21"/>
          <w:szCs w:val="21"/>
        </w:rPr>
        <w:t xml:space="preserve">8. Tájékoztatás a felügyeleti hatósághoz címzett panasz benyújtásának jogáról, illetve a bírósági jogérvényesítés lehetőségéről</w:t>
      </w:r>
    </w:p>
    <w:p>
      <w:pPr>
        <w:spacing w:after="60"/>
        <w:jc w:val="both"/>
      </w:pPr>
      <w:r>
        <w:rPr>
          <w:rFonts w:ascii="Calibri" w:cs="Calibri" w:eastAsia="Calibri" w:hAnsi="Calibri"/>
          <w:sz w:val="21"/>
          <w:szCs w:val="21"/>
        </w:rPr>
        <w:t xml:space="preserve">Az érintett a Társaság adatkezelési eljárásával kapcsolatos panasszal a NAIH-hoz fordulhat:</w:t>
      </w:r>
    </w:p>
    <w:tbl>
      <w:tblPr>
        <w:tblW w:type="dxa" w:w="8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100"/>
        <w:gridCol w:w="5806"/>
      </w:tblGrid>
      <w:tr>
        <w:tc>
          <w:tcPr>
            <w:tcW w:type="dxa" w:w="3100"/>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név:</w:t>
            </w:r>
          </w:p>
        </w:tc>
        <w:tc>
          <w:tcPr>
            <w:tcW w:type="dxa" w:w="5806"/>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Nemzeti Adatvédelmi és Információszabadság Hatóság</w:t>
            </w:r>
          </w:p>
        </w:tc>
      </w:tr>
      <w:tr>
        <w:tc>
          <w:tcPr>
            <w:tcW w:type="dxa" w:w="3100"/>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székhely:</w:t>
            </w:r>
          </w:p>
        </w:tc>
        <w:tc>
          <w:tcPr>
            <w:tcW w:type="dxa" w:w="5806"/>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1024 Budapest, Szilágyi Erzsébet fasor 22/C.</w:t>
            </w:r>
          </w:p>
        </w:tc>
      </w:tr>
      <w:tr>
        <w:tc>
          <w:tcPr>
            <w:tcW w:type="dxa" w:w="3100"/>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honlap:</w:t>
            </w:r>
          </w:p>
        </w:tc>
        <w:tc>
          <w:tcPr>
            <w:tcW w:type="dxa" w:w="5806"/>
            <w:tcBorders>
              <w:top w:val="none" w:color="FFFFFF" w:sz="0"/>
              <w:left w:val="none" w:color="FFFFFF" w:sz="0"/>
              <w:bottom w:val="none" w:color="FFFFFF" w:sz="0"/>
              <w:right w:val="none" w:color="FFFFFF" w:sz="0"/>
            </w:tcBorders>
          </w:tcPr>
          <w:p>
            <w:pPr>
              <w:spacing w:after="20"/>
            </w:pPr>
            <w:r>
              <w:rPr>
                <w:rFonts w:ascii="Calibri" w:cs="Calibri" w:eastAsia="Calibri" w:hAnsi="Calibri"/>
                <w:b w:val="false"/>
                <w:bCs w:val="false"/>
                <w:sz w:val="21"/>
                <w:szCs w:val="21"/>
              </w:rPr>
              <w:t xml:space="preserve">www.naih.hu</w:t>
            </w:r>
          </w:p>
        </w:tc>
      </w:tr>
    </w:tbl>
    <w:p>
      <w:pPr>
        <w:spacing w:after="60"/>
        <w:jc w:val="both"/>
      </w:pPr>
      <w:r>
        <w:rPr>
          <w:rFonts w:ascii="Calibri" w:cs="Calibri" w:eastAsia="Calibri" w:hAnsi="Calibri"/>
          <w:sz w:val="21"/>
          <w:szCs w:val="21"/>
        </w:rPr>
        <w:t xml:space="preserve">Az érintett – választása szerint – bírósági úton is érvényesítheti igényét. Amennyiben az érintett kérelme a Társaság által elutasításra került vagy nem ért egyet a Társaság döntésével, továbbá ha a Társaság határidőn belül nem dönt, az érintett a Nemzeti Adatvédelmi és Információszabadság Hatóságnál bejelentést tehet, vagy a döntés közlésétől, illetve az elmulasztott határidő utolsó napjától számított 30 napon belül a lakóhelye vagy tartózkodási helye szerinti bírósághoz fordulhat.</w:t>
      </w:r>
    </w:p>
    <w:p>
      <w:pPr>
        <w:spacing w:before="360"/>
      </w:pPr>
      <w:r>
        <w:rPr>
          <w:rFonts w:ascii="Calibri" w:cs="Calibri" w:eastAsia="Calibri" w:hAnsi="Calibri"/>
          <w:sz w:val="21"/>
          <w:szCs w:val="21"/>
        </w:rPr>
        <w:t xml:space="preserve">Budapest, 2026. október 1.</w:t>
      </w:r>
    </w:p>
    <w:sectPr>
      <w:pgSz w:w="11906" w:h="16838" w:orient="portrait"/>
      <w:pgMar w:top="1300" w:right="1500" w:bottom="1300" w:left="15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2026-10-06T20:23:30.642Z</dcterms:created>
  <dcterms:modified xsi:type="dcterms:W3CDTF">2026-10-06T20:23:30.642Z</dcterms:modified>
</cp:coreProperties>
</file>

<file path=docProps/custom.xml><?xml version="1.0" encoding="utf-8"?>
<Properties xmlns="http://schemas.openxmlformats.org/officeDocument/2006/custom-properties" xmlns:vt="http://schemas.openxmlformats.org/officeDocument/2006/docPropsVTypes"/>
</file>