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AA" w:rsidRDefault="00967CAA" w:rsidP="00967CAA">
      <w:pPr>
        <w:ind w:left="720" w:hanging="720"/>
        <w:jc w:val="center"/>
        <w:rPr>
          <w:b/>
        </w:rPr>
      </w:pPr>
      <w:r>
        <w:rPr>
          <w:b/>
        </w:rPr>
        <w:t>S</w:t>
      </w:r>
      <w:r w:rsidRPr="00967CAA">
        <w:rPr>
          <w:b/>
        </w:rPr>
        <w:t>ecured Opinion (Dec</w:t>
      </w:r>
      <w:r>
        <w:rPr>
          <w:b/>
        </w:rPr>
        <w:t>ember</w:t>
      </w:r>
      <w:bookmarkStart w:id="0" w:name="_GoBack"/>
      <w:bookmarkEnd w:id="0"/>
      <w:r w:rsidRPr="00967CAA">
        <w:rPr>
          <w:b/>
        </w:rPr>
        <w:t xml:space="preserve"> 2015)</w:t>
      </w:r>
    </w:p>
    <w:p w:rsidR="00C129A8" w:rsidRPr="00E7089A" w:rsidRDefault="00C129A8" w:rsidP="007177A5">
      <w:pPr>
        <w:ind w:left="720" w:hanging="720"/>
        <w:jc w:val="both"/>
        <w:rPr>
          <w:b/>
          <w:i/>
        </w:rPr>
      </w:pPr>
      <w:r w:rsidRPr="00E7089A">
        <w:rPr>
          <w:b/>
        </w:rPr>
        <w:t>1</w:t>
      </w:r>
      <w:r w:rsidRPr="00E7089A">
        <w:rPr>
          <w:b/>
          <w:i/>
        </w:rPr>
        <w:t>.</w:t>
      </w:r>
      <w:r w:rsidRPr="00E7089A">
        <w:rPr>
          <w:b/>
          <w:i/>
        </w:rPr>
        <w:tab/>
        <w:t xml:space="preserve">The objective of the BFSLA Opinions Project is to agree on standard forms of closing opinions for typical banking transactions that are acceptable to both the law firms involved in the project and the banks that are regular addressees of </w:t>
      </w:r>
      <w:r w:rsidR="00DF16F4" w:rsidRPr="00E7089A">
        <w:rPr>
          <w:b/>
          <w:i/>
        </w:rPr>
        <w:t>closing</w:t>
      </w:r>
      <w:r w:rsidRPr="00E7089A">
        <w:rPr>
          <w:b/>
          <w:i/>
        </w:rPr>
        <w:t xml:space="preserve"> opinions.</w:t>
      </w:r>
      <w:r w:rsidR="00C666D4" w:rsidRPr="00E7089A">
        <w:rPr>
          <w:b/>
          <w:i/>
        </w:rPr>
        <w:t xml:space="preserve">  The BFSLA has also published "Principles of Etiquette" in relation to requests between lawyers for closing opinions.</w:t>
      </w:r>
    </w:p>
    <w:p w:rsidR="00C129A8" w:rsidRPr="00E7089A" w:rsidRDefault="00C129A8" w:rsidP="00150335">
      <w:pPr>
        <w:ind w:left="720" w:hanging="720"/>
        <w:jc w:val="both"/>
        <w:rPr>
          <w:b/>
          <w:i/>
        </w:rPr>
      </w:pPr>
      <w:r w:rsidRPr="00E7089A">
        <w:rPr>
          <w:b/>
        </w:rPr>
        <w:t>2</w:t>
      </w:r>
      <w:r w:rsidRPr="00E7089A">
        <w:rPr>
          <w:b/>
          <w:i/>
        </w:rPr>
        <w:t>.</w:t>
      </w:r>
      <w:r w:rsidRPr="00E7089A">
        <w:rPr>
          <w:b/>
          <w:i/>
        </w:rPr>
        <w:tab/>
        <w:t xml:space="preserve">The </w:t>
      </w:r>
      <w:r w:rsidR="00DF16F4" w:rsidRPr="00E7089A">
        <w:rPr>
          <w:b/>
          <w:i/>
        </w:rPr>
        <w:t xml:space="preserve">closing </w:t>
      </w:r>
      <w:r w:rsidRPr="00E7089A">
        <w:rPr>
          <w:b/>
          <w:i/>
        </w:rPr>
        <w:t>opinion for each type of banking transaction should cover the issues that are relevant to that type of transaction in a way that is consistent with market expectations.  The language used should be concise and clear.</w:t>
      </w:r>
    </w:p>
    <w:p w:rsidR="00C129A8" w:rsidRPr="00E7089A" w:rsidRDefault="00C129A8" w:rsidP="00150335">
      <w:pPr>
        <w:ind w:left="720" w:hanging="720"/>
        <w:jc w:val="both"/>
        <w:rPr>
          <w:b/>
          <w:i/>
        </w:rPr>
      </w:pPr>
      <w:r w:rsidRPr="00E7089A">
        <w:rPr>
          <w:b/>
        </w:rPr>
        <w:t>3</w:t>
      </w:r>
      <w:r w:rsidRPr="00E7089A">
        <w:rPr>
          <w:b/>
          <w:i/>
        </w:rPr>
        <w:t>.</w:t>
      </w:r>
      <w:r w:rsidRPr="00E7089A">
        <w:rPr>
          <w:b/>
          <w:i/>
        </w:rPr>
        <w:tab/>
        <w:t xml:space="preserve">This is </w:t>
      </w:r>
      <w:r w:rsidR="00022920" w:rsidRPr="00E7089A">
        <w:rPr>
          <w:b/>
          <w:i/>
        </w:rPr>
        <w:t>a</w:t>
      </w:r>
      <w:r w:rsidRPr="00E7089A">
        <w:rPr>
          <w:b/>
          <w:i/>
        </w:rPr>
        <w:t xml:space="preserve"> closing opinion in relation to a single corporate </w:t>
      </w:r>
      <w:r w:rsidR="00F94523" w:rsidRPr="00E7089A">
        <w:rPr>
          <w:b/>
          <w:i/>
        </w:rPr>
        <w:t>obligor</w:t>
      </w:r>
      <w:r w:rsidRPr="00E7089A">
        <w:rPr>
          <w:b/>
          <w:i/>
        </w:rPr>
        <w:t xml:space="preserve"> </w:t>
      </w:r>
      <w:r w:rsidR="00193A40" w:rsidRPr="00E7089A">
        <w:rPr>
          <w:b/>
          <w:i/>
        </w:rPr>
        <w:t>(</w:t>
      </w:r>
      <w:r w:rsidR="00DA4D62" w:rsidRPr="00E7089A">
        <w:rPr>
          <w:b/>
          <w:i/>
        </w:rPr>
        <w:t xml:space="preserve">except one </w:t>
      </w:r>
      <w:r w:rsidR="00193A40" w:rsidRPr="00E7089A">
        <w:rPr>
          <w:b/>
          <w:i/>
        </w:rPr>
        <w:t xml:space="preserve">whose </w:t>
      </w:r>
      <w:r w:rsidR="00DA4D62" w:rsidRPr="00E7089A">
        <w:rPr>
          <w:b/>
          <w:i/>
        </w:rPr>
        <w:t xml:space="preserve">insolvency or </w:t>
      </w:r>
      <w:r w:rsidR="00193A40" w:rsidRPr="00E7089A">
        <w:rPr>
          <w:b/>
          <w:i/>
        </w:rPr>
        <w:t xml:space="preserve">capacity is regulated by </w:t>
      </w:r>
      <w:r w:rsidR="00DA4D62" w:rsidRPr="00E7089A">
        <w:rPr>
          <w:b/>
          <w:i/>
        </w:rPr>
        <w:t xml:space="preserve">particular </w:t>
      </w:r>
      <w:r w:rsidR="00193A40" w:rsidRPr="00E7089A">
        <w:rPr>
          <w:b/>
          <w:i/>
        </w:rPr>
        <w:t>legislation</w:t>
      </w:r>
      <w:r w:rsidR="00DA4D62" w:rsidRPr="00E7089A">
        <w:rPr>
          <w:b/>
          <w:i/>
        </w:rPr>
        <w:t xml:space="preserve">, </w:t>
      </w:r>
      <w:proofErr w:type="spellStart"/>
      <w:r w:rsidR="00DA4D62" w:rsidRPr="00E7089A">
        <w:rPr>
          <w:b/>
          <w:i/>
        </w:rPr>
        <w:t>eg</w:t>
      </w:r>
      <w:proofErr w:type="spellEnd"/>
      <w:r w:rsidR="00DA4D62" w:rsidRPr="00E7089A">
        <w:rPr>
          <w:b/>
          <w:i/>
        </w:rPr>
        <w:t xml:space="preserve"> a bank or insurance company</w:t>
      </w:r>
      <w:r w:rsidR="00193A40" w:rsidRPr="00E7089A">
        <w:rPr>
          <w:b/>
          <w:i/>
        </w:rPr>
        <w:t xml:space="preserve">) </w:t>
      </w:r>
      <w:r w:rsidRPr="00E7089A">
        <w:rPr>
          <w:b/>
          <w:i/>
        </w:rPr>
        <w:t>that is incorporated under the Corporations Act, for a domestic secured loan facility governed by</w:t>
      </w:r>
      <w:r w:rsidR="000B78A8" w:rsidRPr="00E7089A">
        <w:rPr>
          <w:b/>
          <w:i/>
        </w:rPr>
        <w:t xml:space="preserve"> </w:t>
      </w:r>
      <w:r w:rsidRPr="00E7089A">
        <w:rPr>
          <w:b/>
          <w:i/>
        </w:rPr>
        <w:t>Australian law</w:t>
      </w:r>
      <w:r w:rsidR="00417B8A" w:rsidRPr="00E7089A">
        <w:rPr>
          <w:b/>
          <w:i/>
        </w:rPr>
        <w:t xml:space="preserve"> </w:t>
      </w:r>
      <w:r w:rsidR="00AB5444" w:rsidRPr="00E7089A">
        <w:rPr>
          <w:b/>
          <w:i/>
        </w:rPr>
        <w:t xml:space="preserve">where </w:t>
      </w:r>
      <w:r w:rsidR="00417B8A" w:rsidRPr="00E7089A">
        <w:rPr>
          <w:b/>
          <w:i/>
        </w:rPr>
        <w:t xml:space="preserve">the lender </w:t>
      </w:r>
      <w:r w:rsidR="00AB5444" w:rsidRPr="00E7089A">
        <w:rPr>
          <w:b/>
          <w:i/>
        </w:rPr>
        <w:t>is acting through an office or branch in</w:t>
      </w:r>
      <w:r w:rsidR="00417B8A" w:rsidRPr="00E7089A">
        <w:rPr>
          <w:b/>
          <w:i/>
        </w:rPr>
        <w:t xml:space="preserve"> Australia</w:t>
      </w:r>
      <w:r w:rsidRPr="00E7089A">
        <w:rPr>
          <w:b/>
          <w:i/>
        </w:rPr>
        <w:t xml:space="preserve">. </w:t>
      </w:r>
      <w:r w:rsidR="00D12F5D" w:rsidRPr="006F4803">
        <w:rPr>
          <w:b/>
          <w:i/>
        </w:rPr>
        <w:t>For issues to be considered when a firm is giving an opinion in relation to an individual obligor, see the publication “Issues for the opining firm to consider where an obligor is an individual</w:t>
      </w:r>
      <w:r w:rsidR="00D12F5D">
        <w:rPr>
          <w:b/>
          <w:i/>
        </w:rPr>
        <w:t>."</w:t>
      </w:r>
      <w:r w:rsidRPr="00E7089A">
        <w:rPr>
          <w:b/>
          <w:i/>
        </w:rPr>
        <w:t xml:space="preserve"> </w:t>
      </w:r>
    </w:p>
    <w:p w:rsidR="000B78A8" w:rsidRPr="00E7089A" w:rsidRDefault="00DF16F4" w:rsidP="00150335">
      <w:pPr>
        <w:ind w:left="720" w:hanging="720"/>
        <w:jc w:val="both"/>
        <w:rPr>
          <w:b/>
          <w:i/>
        </w:rPr>
      </w:pPr>
      <w:r w:rsidRPr="00E7089A">
        <w:rPr>
          <w:b/>
        </w:rPr>
        <w:t>4</w:t>
      </w:r>
      <w:r w:rsidRPr="00E7089A">
        <w:rPr>
          <w:b/>
          <w:i/>
        </w:rPr>
        <w:t>.</w:t>
      </w:r>
      <w:r w:rsidRPr="00E7089A">
        <w:rPr>
          <w:b/>
          <w:i/>
        </w:rPr>
        <w:tab/>
        <w:t xml:space="preserve">This closing opinion is prepared on the basis that it is </w:t>
      </w:r>
      <w:r w:rsidR="00CA154B" w:rsidRPr="00E7089A">
        <w:rPr>
          <w:b/>
          <w:i/>
        </w:rPr>
        <w:t>addressed</w:t>
      </w:r>
      <w:r w:rsidRPr="00E7089A">
        <w:rPr>
          <w:b/>
          <w:i/>
        </w:rPr>
        <w:t xml:space="preserve"> to the opining firm’s client.  </w:t>
      </w:r>
      <w:r w:rsidR="00D12F5D" w:rsidRPr="006F4803">
        <w:rPr>
          <w:b/>
          <w:i/>
        </w:rPr>
        <w:t xml:space="preserve">For issues to be considered when a firm is giving </w:t>
      </w:r>
      <w:r w:rsidR="00D12F5D">
        <w:rPr>
          <w:b/>
          <w:i/>
        </w:rPr>
        <w:t xml:space="preserve">an </w:t>
      </w:r>
      <w:r w:rsidRPr="00E7089A">
        <w:rPr>
          <w:b/>
          <w:i/>
        </w:rPr>
        <w:t xml:space="preserve">“across-the-table” closing opinion where the opining firm has been instructed by their client to </w:t>
      </w:r>
      <w:r w:rsidR="00BC0CB5" w:rsidRPr="00E7089A">
        <w:rPr>
          <w:b/>
          <w:i/>
        </w:rPr>
        <w:t>address</w:t>
      </w:r>
      <w:r w:rsidRPr="00E7089A">
        <w:rPr>
          <w:b/>
          <w:i/>
        </w:rPr>
        <w:t xml:space="preserve"> an opinion to </w:t>
      </w:r>
      <w:r w:rsidR="00B70F6F" w:rsidRPr="00E7089A">
        <w:rPr>
          <w:b/>
          <w:i/>
        </w:rPr>
        <w:t>their counterparty or other</w:t>
      </w:r>
      <w:r w:rsidRPr="00E7089A">
        <w:rPr>
          <w:b/>
          <w:i/>
        </w:rPr>
        <w:t xml:space="preserve"> third party</w:t>
      </w:r>
      <w:r w:rsidR="00D12F5D">
        <w:rPr>
          <w:b/>
          <w:i/>
        </w:rPr>
        <w:t xml:space="preserve">, </w:t>
      </w:r>
      <w:r w:rsidR="00D12F5D" w:rsidRPr="006F4803">
        <w:rPr>
          <w:b/>
          <w:i/>
        </w:rPr>
        <w:t>see the publication “</w:t>
      </w:r>
      <w:r w:rsidR="00D12F5D" w:rsidRPr="00D12F5D">
        <w:rPr>
          <w:b/>
          <w:i/>
        </w:rPr>
        <w:t xml:space="preserve">Note </w:t>
      </w:r>
      <w:r w:rsidR="00D12F5D">
        <w:rPr>
          <w:b/>
          <w:i/>
        </w:rPr>
        <w:t>on ‘Across-the-table’ Opinions."</w:t>
      </w:r>
    </w:p>
    <w:p w:rsidR="000B78A8" w:rsidRPr="00E7089A" w:rsidRDefault="000B78A8" w:rsidP="00C129A8">
      <w:pPr>
        <w:ind w:left="720" w:hanging="720"/>
        <w:rPr>
          <w:b/>
          <w:i/>
        </w:rPr>
      </w:pPr>
    </w:p>
    <w:p w:rsidR="00DF16F4" w:rsidRPr="00E7089A" w:rsidRDefault="00DF16F4" w:rsidP="00C129A8">
      <w:pPr>
        <w:ind w:left="720" w:hanging="720"/>
        <w:rPr>
          <w:b/>
          <w:i/>
        </w:rPr>
      </w:pPr>
      <w:r w:rsidRPr="00E7089A">
        <w:rPr>
          <w:b/>
          <w:i/>
        </w:rPr>
        <w:t xml:space="preserve">    </w:t>
      </w:r>
    </w:p>
    <w:p w:rsidR="00C510EC" w:rsidRPr="00E7089A" w:rsidRDefault="00220315" w:rsidP="00C129A8">
      <w:pPr>
        <w:jc w:val="center"/>
      </w:pPr>
      <w:r w:rsidRPr="00E7089A">
        <w:t>[</w:t>
      </w:r>
      <w:r w:rsidR="00C129A8" w:rsidRPr="00E7089A">
        <w:rPr>
          <w:b/>
          <w:i/>
        </w:rPr>
        <w:t>Law firm l</w:t>
      </w:r>
      <w:r w:rsidRPr="00E7089A">
        <w:rPr>
          <w:b/>
          <w:i/>
        </w:rPr>
        <w:t>etterhead</w:t>
      </w:r>
      <w:r w:rsidRPr="00E7089A">
        <w:t>]</w:t>
      </w:r>
      <w:r w:rsidR="00C510EC" w:rsidRPr="00E7089A">
        <w:rPr>
          <w:b/>
          <w:i/>
        </w:rPr>
        <w:t xml:space="preserve"> </w:t>
      </w:r>
    </w:p>
    <w:p w:rsidR="000B78A8" w:rsidRPr="00E7089A" w:rsidRDefault="000B78A8" w:rsidP="00220315">
      <w:pPr>
        <w:tabs>
          <w:tab w:val="left" w:pos="7020"/>
        </w:tabs>
      </w:pPr>
    </w:p>
    <w:p w:rsidR="00220315" w:rsidRPr="00E7089A" w:rsidRDefault="00220315" w:rsidP="000B78A8">
      <w:pPr>
        <w:tabs>
          <w:tab w:val="left" w:pos="8931"/>
        </w:tabs>
      </w:pPr>
      <w:r w:rsidRPr="00E7089A">
        <w:t>[</w:t>
      </w:r>
      <w:r w:rsidRPr="00E7089A">
        <w:rPr>
          <w:b/>
          <w:i/>
        </w:rPr>
        <w:t>Addressee</w:t>
      </w:r>
      <w:r w:rsidRPr="00E7089A">
        <w:t>]</w:t>
      </w:r>
      <w:r w:rsidR="009117FB" w:rsidRPr="00E7089A">
        <w:rPr>
          <w:rStyle w:val="EndnoteReference"/>
        </w:rPr>
        <w:endnoteReference w:id="1"/>
      </w:r>
      <w:r w:rsidRPr="00E7089A">
        <w:tab/>
        <w:t>[</w:t>
      </w:r>
      <w:r w:rsidRPr="00E7089A">
        <w:rPr>
          <w:b/>
          <w:i/>
        </w:rPr>
        <w:t>Date</w:t>
      </w:r>
      <w:r w:rsidRPr="00E7089A">
        <w:t>]</w:t>
      </w:r>
    </w:p>
    <w:p w:rsidR="000B78A8" w:rsidRPr="00E7089A" w:rsidRDefault="000B78A8" w:rsidP="00220315">
      <w:pPr>
        <w:tabs>
          <w:tab w:val="left" w:pos="7020"/>
        </w:tabs>
      </w:pPr>
    </w:p>
    <w:p w:rsidR="00220315" w:rsidRPr="00E7089A" w:rsidRDefault="00220315" w:rsidP="00220315">
      <w:pPr>
        <w:tabs>
          <w:tab w:val="left" w:pos="7020"/>
        </w:tabs>
      </w:pPr>
      <w:r w:rsidRPr="00E7089A">
        <w:t>[</w:t>
      </w:r>
      <w:r w:rsidR="005A7D28" w:rsidRPr="00E7089A">
        <w:rPr>
          <w:b/>
          <w:i/>
        </w:rPr>
        <w:t>n</w:t>
      </w:r>
      <w:r w:rsidRPr="00E7089A">
        <w:rPr>
          <w:b/>
          <w:i/>
        </w:rPr>
        <w:t xml:space="preserve">ame of </w:t>
      </w:r>
      <w:r w:rsidR="00FA2C1D" w:rsidRPr="00E7089A">
        <w:rPr>
          <w:b/>
          <w:i/>
        </w:rPr>
        <w:t>Company</w:t>
      </w:r>
      <w:r w:rsidRPr="00E7089A">
        <w:t xml:space="preserve">] </w:t>
      </w:r>
      <w:r w:rsidR="005A7D28" w:rsidRPr="00E7089A">
        <w:t>[(ABN</w:t>
      </w:r>
      <w:r w:rsidR="00C204E4" w:rsidRPr="00E7089A">
        <w:t xml:space="preserve"> </w:t>
      </w:r>
      <w:r w:rsidR="005A7D28" w:rsidRPr="00E7089A">
        <w:t>[</w:t>
      </w:r>
      <w:r w:rsidR="00F76D03" w:rsidRPr="00E7089A">
        <w:rPr>
          <w:rFonts w:cs="Arial"/>
        </w:rPr>
        <w:t>●</w:t>
      </w:r>
      <w:r w:rsidR="005A7D28" w:rsidRPr="00E7089A">
        <w:t>]) (</w:t>
      </w:r>
      <w:r w:rsidR="00FA2C1D" w:rsidRPr="00E7089A">
        <w:rPr>
          <w:b/>
          <w:bCs/>
        </w:rPr>
        <w:t>Company</w:t>
      </w:r>
      <w:r w:rsidR="005A7D28" w:rsidRPr="00E7089A">
        <w:t>)</w:t>
      </w:r>
    </w:p>
    <w:p w:rsidR="005A7D28" w:rsidRPr="00E7089A" w:rsidRDefault="005A7D28" w:rsidP="005A7D28">
      <w:pPr>
        <w:tabs>
          <w:tab w:val="left" w:pos="7020"/>
        </w:tabs>
        <w:spacing w:before="0"/>
      </w:pPr>
      <w:r w:rsidRPr="00E7089A">
        <w:t>[</w:t>
      </w:r>
      <w:r w:rsidRPr="00E7089A">
        <w:rPr>
          <w:b/>
          <w:i/>
        </w:rPr>
        <w:t>Description of facility / transaction</w:t>
      </w:r>
      <w:r w:rsidRPr="00E7089A">
        <w:t>]</w:t>
      </w:r>
    </w:p>
    <w:p w:rsidR="00256F13" w:rsidRPr="00E7089A" w:rsidRDefault="00256F13" w:rsidP="00220315">
      <w:pPr>
        <w:tabs>
          <w:tab w:val="left" w:pos="7020"/>
        </w:tabs>
      </w:pPr>
      <w:r w:rsidRPr="00E7089A">
        <w:t>Dear Sirs,</w:t>
      </w:r>
    </w:p>
    <w:p w:rsidR="00220315" w:rsidRPr="00E7089A" w:rsidRDefault="00220315" w:rsidP="00220315">
      <w:pPr>
        <w:tabs>
          <w:tab w:val="left" w:pos="7020"/>
        </w:tabs>
      </w:pPr>
      <w:r w:rsidRPr="00E7089A">
        <w:t>We have acted as your legal advisers in relation to the [</w:t>
      </w:r>
      <w:r w:rsidR="00D0109C" w:rsidRPr="00E7089A">
        <w:rPr>
          <w:b/>
          <w:i/>
        </w:rPr>
        <w:t xml:space="preserve">insert </w:t>
      </w:r>
      <w:r w:rsidRPr="00E7089A">
        <w:rPr>
          <w:b/>
          <w:i/>
        </w:rPr>
        <w:t xml:space="preserve">name of </w:t>
      </w:r>
      <w:r w:rsidR="00FA2C1D" w:rsidRPr="00E7089A">
        <w:rPr>
          <w:b/>
          <w:i/>
        </w:rPr>
        <w:t>Agreement</w:t>
      </w:r>
      <w:r w:rsidRPr="00E7089A">
        <w:t>] (</w:t>
      </w:r>
      <w:r w:rsidR="00FA2C1D" w:rsidRPr="00E7089A">
        <w:rPr>
          <w:b/>
        </w:rPr>
        <w:t>Agreement</w:t>
      </w:r>
      <w:r w:rsidRPr="00E7089A">
        <w:t>) dated [</w:t>
      </w:r>
      <w:r w:rsidR="00F76D03" w:rsidRPr="00E7089A">
        <w:rPr>
          <w:rFonts w:cs="Arial"/>
        </w:rPr>
        <w:t>●</w:t>
      </w:r>
      <w:r w:rsidRPr="00E7089A">
        <w:t xml:space="preserve">] between </w:t>
      </w:r>
      <w:r w:rsidR="005A7D28" w:rsidRPr="00E7089A">
        <w:t xml:space="preserve">the </w:t>
      </w:r>
      <w:r w:rsidR="00417B8A" w:rsidRPr="00E7089A">
        <w:t>Company</w:t>
      </w:r>
      <w:r w:rsidR="00FA2C1D" w:rsidRPr="00E7089A">
        <w:t xml:space="preserve"> </w:t>
      </w:r>
      <w:r w:rsidRPr="00E7089A">
        <w:t xml:space="preserve">and </w:t>
      </w:r>
      <w:r w:rsidR="00D22411">
        <w:t>[</w:t>
      </w:r>
      <w:r w:rsidR="00D22411">
        <w:rPr>
          <w:b/>
          <w:i/>
        </w:rPr>
        <w:t>insert details of other parties</w:t>
      </w:r>
      <w:r w:rsidR="00D22411">
        <w:t>]</w:t>
      </w:r>
      <w:r w:rsidRPr="00E7089A">
        <w:t xml:space="preserve">.  </w:t>
      </w:r>
    </w:p>
    <w:p w:rsidR="00220315" w:rsidRPr="00E7089A" w:rsidRDefault="00220315" w:rsidP="000B78A8">
      <w:pPr>
        <w:pStyle w:val="Level1"/>
        <w:keepNext/>
        <w:tabs>
          <w:tab w:val="clear" w:pos="720"/>
          <w:tab w:val="num" w:pos="709"/>
        </w:tabs>
        <w:rPr>
          <w:b/>
        </w:rPr>
      </w:pPr>
      <w:r w:rsidRPr="00E7089A">
        <w:rPr>
          <w:b/>
        </w:rPr>
        <w:t>DEFINITIONS</w:t>
      </w:r>
    </w:p>
    <w:p w:rsidR="00220315" w:rsidRPr="00E7089A" w:rsidRDefault="00220315" w:rsidP="0023122A">
      <w:pPr>
        <w:pStyle w:val="Level1fo"/>
        <w:keepNext/>
      </w:pPr>
      <w:r w:rsidRPr="00E7089A">
        <w:t>In this opinion:</w:t>
      </w:r>
    </w:p>
    <w:p w:rsidR="00D17461" w:rsidRPr="00E7089A" w:rsidRDefault="00D17461" w:rsidP="00CA154B">
      <w:pPr>
        <w:pStyle w:val="Levela"/>
        <w:rPr>
          <w:i/>
        </w:rPr>
      </w:pPr>
      <w:r w:rsidRPr="00E7089A">
        <w:rPr>
          <w:b/>
        </w:rPr>
        <w:t>ASIC</w:t>
      </w:r>
      <w:r w:rsidRPr="00E7089A">
        <w:t xml:space="preserve"> means the Australian Securities and Investments Commission</w:t>
      </w:r>
      <w:r w:rsidR="00D22411">
        <w:t>;</w:t>
      </w:r>
    </w:p>
    <w:p w:rsidR="0088421E" w:rsidRPr="00E7089A" w:rsidRDefault="0088421E" w:rsidP="00D17461">
      <w:pPr>
        <w:pStyle w:val="Levela"/>
      </w:pPr>
      <w:r w:rsidRPr="00E7089A">
        <w:rPr>
          <w:b/>
        </w:rPr>
        <w:t xml:space="preserve">Corporations Act </w:t>
      </w:r>
      <w:r w:rsidRPr="00E7089A">
        <w:t xml:space="preserve">means the </w:t>
      </w:r>
      <w:r w:rsidRPr="00E7089A">
        <w:rPr>
          <w:i/>
        </w:rPr>
        <w:t>Corporations Act 2001</w:t>
      </w:r>
      <w:r w:rsidRPr="00E7089A">
        <w:t xml:space="preserve"> (</w:t>
      </w:r>
      <w:proofErr w:type="spellStart"/>
      <w:r w:rsidRPr="00E7089A">
        <w:t>Cth</w:t>
      </w:r>
      <w:proofErr w:type="spellEnd"/>
      <w:r w:rsidRPr="00E7089A">
        <w:t>)</w:t>
      </w:r>
      <w:r w:rsidR="00D22411">
        <w:t>;</w:t>
      </w:r>
    </w:p>
    <w:p w:rsidR="00CE55BA" w:rsidRPr="00E7089A" w:rsidRDefault="00D17461" w:rsidP="00D17461">
      <w:pPr>
        <w:pStyle w:val="Levela"/>
      </w:pPr>
      <w:r w:rsidRPr="00E7089A">
        <w:rPr>
          <w:b/>
        </w:rPr>
        <w:t>Document</w:t>
      </w:r>
      <w:r w:rsidRPr="00E7089A">
        <w:t xml:space="preserve"> means</w:t>
      </w:r>
      <w:r w:rsidR="00CE55BA" w:rsidRPr="00E7089A">
        <w:t>:</w:t>
      </w:r>
      <w:r w:rsidRPr="00E7089A">
        <w:t xml:space="preserve"> </w:t>
      </w:r>
    </w:p>
    <w:p w:rsidR="00CE55BA" w:rsidRPr="00E7089A" w:rsidRDefault="00D17461" w:rsidP="00E7089A">
      <w:pPr>
        <w:pStyle w:val="Leveli"/>
      </w:pPr>
      <w:r w:rsidRPr="00E7089A">
        <w:t>the Agreement</w:t>
      </w:r>
      <w:r w:rsidR="00CE55BA" w:rsidRPr="00E7089A">
        <w:t>;</w:t>
      </w:r>
    </w:p>
    <w:p w:rsidR="00CE55BA" w:rsidRPr="00E7089A" w:rsidRDefault="00CE55BA" w:rsidP="00CE55BA">
      <w:pPr>
        <w:pStyle w:val="Leveli"/>
      </w:pPr>
      <w:bookmarkStart w:id="1" w:name="_Ref390275299"/>
      <w:r w:rsidRPr="00E7089A">
        <w:t>[</w:t>
      </w:r>
      <w:r w:rsidRPr="00E7089A">
        <w:rPr>
          <w:b/>
          <w:i/>
        </w:rPr>
        <w:t>list any general security deed and other document which by its terms expressly contemplates that it creates a PPSA Security Interest which is to be the subject of this opinion, other than the Agreement</w:t>
      </w:r>
      <w:r w:rsidR="008A3BD8">
        <w:rPr>
          <w:b/>
          <w:i/>
        </w:rPr>
        <w:t xml:space="preserve"> and any Mortgage</w:t>
      </w:r>
      <w:r w:rsidR="002B7973">
        <w:rPr>
          <w:b/>
          <w:i/>
        </w:rPr>
        <w:t>;</w:t>
      </w:r>
      <w:r w:rsidRPr="00E7089A">
        <w:t>]</w:t>
      </w:r>
      <w:r w:rsidRPr="00E7089A">
        <w:rPr>
          <w:rStyle w:val="EndnoteReference"/>
        </w:rPr>
        <w:endnoteReference w:id="2"/>
      </w:r>
      <w:bookmarkEnd w:id="1"/>
    </w:p>
    <w:p w:rsidR="00CE55BA" w:rsidRPr="00E7089A" w:rsidRDefault="00CE55BA" w:rsidP="00CE55BA">
      <w:pPr>
        <w:pStyle w:val="Leveli"/>
      </w:pPr>
      <w:bookmarkStart w:id="2" w:name="_Ref390275372"/>
      <w:r w:rsidRPr="00E7089A">
        <w:t>[[a/the] Mortgage;</w:t>
      </w:r>
      <w:r w:rsidR="008A3BD8">
        <w:t>]</w:t>
      </w:r>
      <w:bookmarkEnd w:id="2"/>
      <w:r w:rsidRPr="00E7089A">
        <w:t xml:space="preserve"> </w:t>
      </w:r>
    </w:p>
    <w:p w:rsidR="00CE55BA" w:rsidRPr="00E7089A" w:rsidRDefault="00CE55BA" w:rsidP="00CE55BA">
      <w:pPr>
        <w:pStyle w:val="Leveli"/>
      </w:pPr>
      <w:bookmarkStart w:id="3" w:name="_Ref389549159"/>
      <w:r w:rsidRPr="00E7089A">
        <w:t>[</w:t>
      </w:r>
      <w:r w:rsidRPr="00E7089A">
        <w:rPr>
          <w:b/>
          <w:i/>
        </w:rPr>
        <w:t>list any other document creating a non-PPSA Security Interest intended to be the subject of the opinion</w:t>
      </w:r>
      <w:r w:rsidR="002B7973">
        <w:rPr>
          <w:b/>
          <w:i/>
        </w:rPr>
        <w:t>;</w:t>
      </w:r>
      <w:r w:rsidRPr="00E7089A">
        <w:t>]</w:t>
      </w:r>
      <w:r w:rsidRPr="00E7089A">
        <w:rPr>
          <w:rStyle w:val="EndnoteReference"/>
        </w:rPr>
        <w:endnoteReference w:id="3"/>
      </w:r>
      <w:r w:rsidRPr="00E7089A">
        <w:t xml:space="preserve"> or</w:t>
      </w:r>
      <w:bookmarkEnd w:id="3"/>
    </w:p>
    <w:p w:rsidR="00D17461" w:rsidRPr="00E7089A" w:rsidRDefault="00CA154B" w:rsidP="00E7089A">
      <w:pPr>
        <w:pStyle w:val="Leveli"/>
      </w:pPr>
      <w:bookmarkStart w:id="4" w:name="_Ref389549226"/>
      <w:r w:rsidRPr="00E7089A">
        <w:lastRenderedPageBreak/>
        <w:t>[●]</w:t>
      </w:r>
      <w:r w:rsidR="00D22411">
        <w:t>;</w:t>
      </w:r>
      <w:r w:rsidR="00BC0CB5" w:rsidRPr="00E7089A">
        <w:rPr>
          <w:vertAlign w:val="superscript"/>
        </w:rPr>
        <w:endnoteReference w:id="4"/>
      </w:r>
      <w:bookmarkEnd w:id="4"/>
    </w:p>
    <w:p w:rsidR="0088421E" w:rsidRPr="00E7089A" w:rsidRDefault="0088421E" w:rsidP="0088421E">
      <w:pPr>
        <w:pStyle w:val="Levela"/>
      </w:pPr>
      <w:r w:rsidRPr="00E7089A">
        <w:rPr>
          <w:b/>
        </w:rPr>
        <w:t xml:space="preserve">law </w:t>
      </w:r>
      <w:r w:rsidR="0072633B" w:rsidRPr="0072633B">
        <w:rPr>
          <w:b/>
        </w:rPr>
        <w:t>of a</w:t>
      </w:r>
      <w:r w:rsidR="0072633B">
        <w:t xml:space="preserve"> </w:t>
      </w:r>
      <w:r w:rsidR="0072633B">
        <w:rPr>
          <w:b/>
        </w:rPr>
        <w:t xml:space="preserve">Relevant Jurisdiction </w:t>
      </w:r>
      <w:r w:rsidRPr="00E7089A">
        <w:t>means the common law, principles of equity and laws constituted by legislation that is av</w:t>
      </w:r>
      <w:r w:rsidR="00C24ED8" w:rsidRPr="00E7089A">
        <w:t>ailable to the public generally</w:t>
      </w:r>
      <w:r w:rsidR="0072633B">
        <w:t>, in force in the Relevant Jurisdiction</w:t>
      </w:r>
      <w:r w:rsidR="00D22411">
        <w:t>;</w:t>
      </w:r>
    </w:p>
    <w:p w:rsidR="0088421E" w:rsidRPr="00E7089A" w:rsidRDefault="007206D8" w:rsidP="0088421E">
      <w:pPr>
        <w:pStyle w:val="Levela"/>
      </w:pPr>
      <w:r w:rsidRPr="00E7089A">
        <w:t>[</w:t>
      </w:r>
      <w:r w:rsidR="0088421E" w:rsidRPr="00E7089A">
        <w:rPr>
          <w:b/>
        </w:rPr>
        <w:t>Mortgage</w:t>
      </w:r>
      <w:r w:rsidR="0088421E" w:rsidRPr="00E7089A">
        <w:t xml:space="preserve"> means [</w:t>
      </w:r>
      <w:r w:rsidR="00D0109C" w:rsidRPr="00E7089A">
        <w:rPr>
          <w:b/>
          <w:i/>
        </w:rPr>
        <w:t xml:space="preserve">list </w:t>
      </w:r>
      <w:r w:rsidR="0088421E" w:rsidRPr="00E7089A">
        <w:rPr>
          <w:b/>
          <w:i/>
        </w:rPr>
        <w:t xml:space="preserve">each document creating a </w:t>
      </w:r>
      <w:r w:rsidR="00BA1BC4" w:rsidRPr="00E7089A">
        <w:rPr>
          <w:b/>
          <w:i/>
        </w:rPr>
        <w:t xml:space="preserve">registrable </w:t>
      </w:r>
      <w:r w:rsidR="00B2089A" w:rsidRPr="00E7089A">
        <w:rPr>
          <w:b/>
          <w:i/>
        </w:rPr>
        <w:t>Security Interest</w:t>
      </w:r>
      <w:r w:rsidR="0088421E" w:rsidRPr="00E7089A">
        <w:rPr>
          <w:b/>
          <w:i/>
        </w:rPr>
        <w:t xml:space="preserve"> over real property</w:t>
      </w:r>
      <w:r w:rsidR="00FA2C1D" w:rsidRPr="00E7089A">
        <w:t>]</w:t>
      </w:r>
      <w:r w:rsidRPr="00E7089A">
        <w:t>]</w:t>
      </w:r>
      <w:r w:rsidR="00D22411">
        <w:t>;</w:t>
      </w:r>
    </w:p>
    <w:p w:rsidR="0088421E" w:rsidRPr="00E7089A" w:rsidRDefault="008A3BD8" w:rsidP="0088421E">
      <w:pPr>
        <w:pStyle w:val="Levela"/>
      </w:pPr>
      <w:r w:rsidRPr="002A75BF">
        <w:t>[</w:t>
      </w:r>
      <w:r w:rsidR="0088421E" w:rsidRPr="00E7089A">
        <w:rPr>
          <w:b/>
        </w:rPr>
        <w:t>Power of Attorney</w:t>
      </w:r>
      <w:r w:rsidR="0088421E" w:rsidRPr="00E7089A">
        <w:t xml:space="preserve"> means the power of attorney of the </w:t>
      </w:r>
      <w:r w:rsidR="00417B8A" w:rsidRPr="00E7089A">
        <w:t>Company</w:t>
      </w:r>
      <w:r w:rsidR="0088421E" w:rsidRPr="00E7089A">
        <w:t xml:space="preserve"> dated [</w:t>
      </w:r>
      <w:r w:rsidR="0088421E" w:rsidRPr="00E7089A">
        <w:rPr>
          <w:rFonts w:cs="Arial"/>
        </w:rPr>
        <w:t>●</w:t>
      </w:r>
      <w:r w:rsidR="00FA2C1D" w:rsidRPr="00E7089A">
        <w:t>]</w:t>
      </w:r>
      <w:r>
        <w:t>]</w:t>
      </w:r>
      <w:r w:rsidR="00D22411">
        <w:t>;</w:t>
      </w:r>
    </w:p>
    <w:p w:rsidR="003F3010" w:rsidRPr="00E7089A" w:rsidRDefault="003F3010" w:rsidP="0088421E">
      <w:pPr>
        <w:pStyle w:val="Levela"/>
      </w:pPr>
      <w:r w:rsidRPr="00E7089A">
        <w:rPr>
          <w:b/>
        </w:rPr>
        <w:t>PPSA</w:t>
      </w:r>
      <w:r w:rsidRPr="00E7089A">
        <w:t xml:space="preserve"> means the </w:t>
      </w:r>
      <w:r w:rsidRPr="00E7089A">
        <w:rPr>
          <w:i/>
        </w:rPr>
        <w:t>Personal Property Securities Act 2009</w:t>
      </w:r>
      <w:r w:rsidRPr="00E7089A">
        <w:t xml:space="preserve"> (</w:t>
      </w:r>
      <w:proofErr w:type="spellStart"/>
      <w:r w:rsidRPr="00E7089A">
        <w:t>Cth</w:t>
      </w:r>
      <w:proofErr w:type="spellEnd"/>
      <w:r w:rsidRPr="00E7089A">
        <w:t>)</w:t>
      </w:r>
      <w:r w:rsidR="00D22411">
        <w:t>;</w:t>
      </w:r>
    </w:p>
    <w:p w:rsidR="003F3010" w:rsidRPr="00E7089A" w:rsidRDefault="003F3010" w:rsidP="00D17461">
      <w:pPr>
        <w:pStyle w:val="Levela"/>
        <w:rPr>
          <w:bCs/>
        </w:rPr>
      </w:pPr>
      <w:r w:rsidRPr="00E7089A">
        <w:rPr>
          <w:b/>
        </w:rPr>
        <w:t xml:space="preserve">PPSA </w:t>
      </w:r>
      <w:r w:rsidR="00B2089A" w:rsidRPr="00E7089A">
        <w:rPr>
          <w:b/>
        </w:rPr>
        <w:t>Security Interest</w:t>
      </w:r>
      <w:r w:rsidRPr="00E7089A">
        <w:rPr>
          <w:bCs/>
        </w:rPr>
        <w:t xml:space="preserve"> means a "security interest" as defined in the PPSA to the extent</w:t>
      </w:r>
      <w:r w:rsidR="00D22411">
        <w:rPr>
          <w:bCs/>
        </w:rPr>
        <w:t xml:space="preserve"> the PPSA applies to it</w:t>
      </w:r>
      <w:r w:rsidR="00D22411">
        <w:t>;</w:t>
      </w:r>
    </w:p>
    <w:p w:rsidR="0088421E" w:rsidRPr="00E7089A" w:rsidRDefault="0088421E" w:rsidP="00D17461">
      <w:pPr>
        <w:pStyle w:val="Levela"/>
      </w:pPr>
      <w:r w:rsidRPr="00E7089A">
        <w:rPr>
          <w:b/>
        </w:rPr>
        <w:t>Relevant Jurisdictions</w:t>
      </w:r>
      <w:r w:rsidRPr="00E7089A">
        <w:t xml:space="preserve"> means [</w:t>
      </w:r>
      <w:r w:rsidRPr="00E7089A">
        <w:rPr>
          <w:b/>
          <w:i/>
        </w:rPr>
        <w:t>list states/territories</w:t>
      </w:r>
      <w:r w:rsidRPr="00E7089A">
        <w:t>] and the federal jurisdiction of the Commonwealth of Australia</w:t>
      </w:r>
      <w:r w:rsidR="00D22411">
        <w:t>;</w:t>
      </w:r>
    </w:p>
    <w:p w:rsidR="00C129A8" w:rsidRPr="00E7089A" w:rsidRDefault="00B2089A" w:rsidP="00FE3CB5">
      <w:pPr>
        <w:pStyle w:val="Levela"/>
        <w:tabs>
          <w:tab w:val="clear" w:pos="1440"/>
        </w:tabs>
      </w:pPr>
      <w:r w:rsidRPr="00E7089A">
        <w:rPr>
          <w:b/>
          <w:bCs/>
        </w:rPr>
        <w:t>Security Interest</w:t>
      </w:r>
      <w:r w:rsidR="00D17461" w:rsidRPr="00E7089A">
        <w:t xml:space="preserve"> means a </w:t>
      </w:r>
      <w:r w:rsidR="00CA154B" w:rsidRPr="00E7089A">
        <w:t xml:space="preserve">PPSA Security Interest or any </w:t>
      </w:r>
      <w:r w:rsidR="00BC0CB5" w:rsidRPr="00E7089A">
        <w:t xml:space="preserve">other </w:t>
      </w:r>
      <w:r w:rsidR="00D17461" w:rsidRPr="00E7089A">
        <w:t>mortgage, charge, pledge, lien or security interest</w:t>
      </w:r>
      <w:r w:rsidR="00D22411">
        <w:t>; and</w:t>
      </w:r>
      <w:r w:rsidR="00FA2C1D" w:rsidRPr="00E7089A">
        <w:rPr>
          <w:vertAlign w:val="superscript"/>
        </w:rPr>
        <w:endnoteReference w:id="5"/>
      </w:r>
      <w:r w:rsidR="00114C8E" w:rsidRPr="00E7089A">
        <w:t xml:space="preserve"> </w:t>
      </w:r>
    </w:p>
    <w:p w:rsidR="00220315" w:rsidRPr="00E7089A" w:rsidRDefault="00220315" w:rsidP="00FE3CB5">
      <w:pPr>
        <w:pStyle w:val="Levela"/>
        <w:tabs>
          <w:tab w:val="clear" w:pos="1440"/>
        </w:tabs>
      </w:pPr>
      <w:r w:rsidRPr="00E7089A">
        <w:t>[</w:t>
      </w:r>
      <w:r w:rsidRPr="00E7089A">
        <w:rPr>
          <w:b/>
          <w:i/>
        </w:rPr>
        <w:t xml:space="preserve">insert other definitions </w:t>
      </w:r>
      <w:r w:rsidR="00B41FD3" w:rsidRPr="00E7089A">
        <w:rPr>
          <w:b/>
          <w:i/>
        </w:rPr>
        <w:t xml:space="preserve">if </w:t>
      </w:r>
      <w:r w:rsidRPr="00E7089A">
        <w:rPr>
          <w:b/>
          <w:i/>
        </w:rPr>
        <w:t>required</w:t>
      </w:r>
      <w:r w:rsidRPr="00E7089A">
        <w:t>]</w:t>
      </w:r>
      <w:r w:rsidR="00B41FD3" w:rsidRPr="00E7089A">
        <w:t>.</w:t>
      </w:r>
    </w:p>
    <w:p w:rsidR="00220315" w:rsidRPr="00E7089A" w:rsidRDefault="00220315" w:rsidP="00FE3CB5">
      <w:pPr>
        <w:pStyle w:val="Level1"/>
        <w:keepNext/>
        <w:tabs>
          <w:tab w:val="clear" w:pos="720"/>
        </w:tabs>
        <w:rPr>
          <w:b/>
        </w:rPr>
      </w:pPr>
      <w:bookmarkStart w:id="5" w:name="_Ref374544369"/>
      <w:r w:rsidRPr="00E7089A">
        <w:rPr>
          <w:b/>
        </w:rPr>
        <w:t>DOCUMENTS</w:t>
      </w:r>
      <w:bookmarkEnd w:id="5"/>
    </w:p>
    <w:p w:rsidR="00220315" w:rsidRPr="00E7089A" w:rsidRDefault="00220315" w:rsidP="0023122A">
      <w:pPr>
        <w:pStyle w:val="Level1fo"/>
        <w:keepNext/>
      </w:pPr>
      <w:r w:rsidRPr="00E7089A">
        <w:t>We have examined and rely on:</w:t>
      </w:r>
    </w:p>
    <w:p w:rsidR="00220315" w:rsidRPr="00E7089A" w:rsidRDefault="00D22411" w:rsidP="00FE3CB5">
      <w:pPr>
        <w:pStyle w:val="Levela"/>
        <w:tabs>
          <w:tab w:val="clear" w:pos="1440"/>
        </w:tabs>
      </w:pPr>
      <w:r>
        <w:t xml:space="preserve">[an original / a pdf] </w:t>
      </w:r>
      <w:r w:rsidR="00220315" w:rsidRPr="00E7089A">
        <w:t xml:space="preserve">copy of </w:t>
      </w:r>
      <w:r w:rsidR="0088421E" w:rsidRPr="00E7089A">
        <w:t>each</w:t>
      </w:r>
      <w:r w:rsidR="00220315" w:rsidRPr="00E7089A">
        <w:t xml:space="preserve"> </w:t>
      </w:r>
      <w:r w:rsidR="003B58B3" w:rsidRPr="00E7089A">
        <w:t>Document</w:t>
      </w:r>
      <w:r w:rsidR="008A3BD8">
        <w:t>;</w:t>
      </w:r>
    </w:p>
    <w:p w:rsidR="00396A59" w:rsidRPr="00E7089A" w:rsidRDefault="00D22411" w:rsidP="00FE3CB5">
      <w:pPr>
        <w:pStyle w:val="Levela"/>
        <w:tabs>
          <w:tab w:val="clear" w:pos="1440"/>
        </w:tabs>
      </w:pPr>
      <w:r>
        <w:t xml:space="preserve">[an original / a pdf] </w:t>
      </w:r>
      <w:r w:rsidR="00220315" w:rsidRPr="00E7089A">
        <w:t xml:space="preserve"> copy of the Power of Attorney</w:t>
      </w:r>
      <w:r w:rsidR="008A3BD8">
        <w:t>;]</w:t>
      </w:r>
    </w:p>
    <w:p w:rsidR="000D28D9" w:rsidRPr="00E7089A" w:rsidRDefault="00AB61DC" w:rsidP="00FE3CB5">
      <w:pPr>
        <w:pStyle w:val="Levela"/>
        <w:tabs>
          <w:tab w:val="clear" w:pos="1440"/>
        </w:tabs>
      </w:pPr>
      <w:r w:rsidRPr="00E7089A">
        <w:t>[</w:t>
      </w:r>
      <w:r w:rsidR="00D22411">
        <w:t>[an original / a pdf]</w:t>
      </w:r>
      <w:r w:rsidRPr="00E7089A">
        <w:t xml:space="preserve"> </w:t>
      </w:r>
      <w:r w:rsidR="003C4962" w:rsidRPr="00E7089A">
        <w:t xml:space="preserve">[certified] </w:t>
      </w:r>
      <w:r w:rsidRPr="00E7089A">
        <w:t xml:space="preserve">copy of </w:t>
      </w:r>
      <w:r w:rsidR="00332EC8" w:rsidRPr="00E7089A">
        <w:t xml:space="preserve">the </w:t>
      </w:r>
      <w:r w:rsidR="00417B8A" w:rsidRPr="00E7089A">
        <w:t>Company</w:t>
      </w:r>
      <w:r w:rsidRPr="00E7089A">
        <w:t>'s constitution</w:t>
      </w:r>
      <w:r w:rsidR="008A3BD8">
        <w:t>;]</w:t>
      </w:r>
      <w:r w:rsidR="00B37BBC" w:rsidRPr="00E7089A">
        <w:rPr>
          <w:rStyle w:val="EndnoteReference"/>
        </w:rPr>
        <w:endnoteReference w:id="6"/>
      </w:r>
      <w:r w:rsidR="00B37BBC">
        <w:t xml:space="preserve"> </w:t>
      </w:r>
    </w:p>
    <w:p w:rsidR="00C24ED8" w:rsidRPr="00E7089A" w:rsidRDefault="00BA1BC4" w:rsidP="00C24ED8">
      <w:pPr>
        <w:pStyle w:val="Levela"/>
        <w:tabs>
          <w:tab w:val="clear" w:pos="1440"/>
        </w:tabs>
      </w:pPr>
      <w:bookmarkStart w:id="6" w:name="_Ref374544555"/>
      <w:r w:rsidRPr="00E7089A">
        <w:t>[</w:t>
      </w:r>
      <w:r w:rsidR="00D22411">
        <w:t xml:space="preserve">[an original / a pdf] </w:t>
      </w:r>
      <w:r w:rsidR="00CA31A7">
        <w:t xml:space="preserve">[certified] </w:t>
      </w:r>
      <w:r w:rsidR="00D22411">
        <w:t>copy of a</w:t>
      </w:r>
      <w:r w:rsidRPr="00E7089A">
        <w:t xml:space="preserve"> verification statement under section 156 of the PPSA for each of the registrations set out in Schedule 3</w:t>
      </w:r>
      <w:r w:rsidR="00C204E4" w:rsidRPr="00E7089A">
        <w:t>;</w:t>
      </w:r>
      <w:r w:rsidR="001A6030">
        <w:t>]</w:t>
      </w:r>
      <w:r w:rsidR="00C24ED8" w:rsidRPr="00E7089A">
        <w:rPr>
          <w:vertAlign w:val="superscript"/>
        </w:rPr>
        <w:t xml:space="preserve">[optional – see endnote </w:t>
      </w:r>
      <w:r w:rsidR="00CF7EC1" w:rsidRPr="00E7089A">
        <w:rPr>
          <w:rStyle w:val="EndnoteReference"/>
        </w:rPr>
        <w:endnoteReference w:id="7"/>
      </w:r>
      <w:r w:rsidR="00C24ED8" w:rsidRPr="00E7089A">
        <w:rPr>
          <w:vertAlign w:val="superscript"/>
        </w:rPr>
        <w:t>]</w:t>
      </w:r>
      <w:bookmarkEnd w:id="6"/>
      <w:r w:rsidR="00704A51" w:rsidRPr="00E7089A">
        <w:t xml:space="preserve"> </w:t>
      </w:r>
      <w:r w:rsidR="001A6030">
        <w:t>and</w:t>
      </w:r>
    </w:p>
    <w:p w:rsidR="00220315" w:rsidRPr="00E7089A" w:rsidRDefault="00396A59" w:rsidP="00C24ED8">
      <w:pPr>
        <w:pStyle w:val="Levela"/>
        <w:tabs>
          <w:tab w:val="clear" w:pos="1440"/>
        </w:tabs>
      </w:pPr>
      <w:bookmarkStart w:id="7" w:name="_Ref374544343"/>
      <w:r w:rsidRPr="00E7089A">
        <w:t>[</w:t>
      </w:r>
      <w:r w:rsidRPr="00E7089A">
        <w:rPr>
          <w:b/>
          <w:i/>
        </w:rPr>
        <w:t>others</w:t>
      </w:r>
      <w:r w:rsidR="00B41FD3" w:rsidRPr="00E7089A">
        <w:rPr>
          <w:b/>
          <w:i/>
        </w:rPr>
        <w:t xml:space="preserve"> if required</w:t>
      </w:r>
      <w:r w:rsidRPr="00E7089A">
        <w:rPr>
          <w:b/>
          <w:i/>
        </w:rPr>
        <w:t xml:space="preserve">, </w:t>
      </w:r>
      <w:proofErr w:type="spellStart"/>
      <w:r w:rsidRPr="00E7089A">
        <w:rPr>
          <w:b/>
          <w:i/>
        </w:rPr>
        <w:t>eg</w:t>
      </w:r>
      <w:proofErr w:type="spellEnd"/>
      <w:r w:rsidRPr="00E7089A">
        <w:rPr>
          <w:b/>
          <w:i/>
        </w:rPr>
        <w:t xml:space="preserve"> authorisations</w:t>
      </w:r>
      <w:r w:rsidRPr="00E7089A">
        <w:t>].</w:t>
      </w:r>
      <w:bookmarkStart w:id="8" w:name="_Ref372813265"/>
      <w:r w:rsidR="00332EC8" w:rsidRPr="00E7089A">
        <w:rPr>
          <w:rStyle w:val="EndnoteReference"/>
        </w:rPr>
        <w:endnoteReference w:id="8"/>
      </w:r>
      <w:bookmarkEnd w:id="7"/>
      <w:bookmarkEnd w:id="8"/>
    </w:p>
    <w:p w:rsidR="000F212B" w:rsidRPr="00E7089A" w:rsidRDefault="000F212B" w:rsidP="0023122A">
      <w:pPr>
        <w:pStyle w:val="Level1"/>
        <w:keepNext/>
        <w:rPr>
          <w:b/>
        </w:rPr>
      </w:pPr>
      <w:r w:rsidRPr="00E7089A">
        <w:rPr>
          <w:b/>
        </w:rPr>
        <w:t>SCOPE</w:t>
      </w:r>
    </w:p>
    <w:p w:rsidR="000F212B" w:rsidRPr="00E7089A" w:rsidRDefault="000F212B" w:rsidP="000F212B">
      <w:pPr>
        <w:pStyle w:val="Level1fo"/>
      </w:pPr>
      <w:r w:rsidRPr="00E7089A">
        <w:t xml:space="preserve">This opinion relates only to the </w:t>
      </w:r>
      <w:r w:rsidR="00381427" w:rsidRPr="00E7089A">
        <w:t xml:space="preserve">laws </w:t>
      </w:r>
      <w:r w:rsidR="00396A59" w:rsidRPr="00E7089A">
        <w:t>of</w:t>
      </w:r>
      <w:r w:rsidR="00381427" w:rsidRPr="00E7089A">
        <w:t xml:space="preserve"> the Relevant Jurisdictions</w:t>
      </w:r>
      <w:r w:rsidR="0088225F" w:rsidRPr="00E7089A">
        <w:t>, as interpreted by courts of the Relevant Jurisdictions,</w:t>
      </w:r>
      <w:r w:rsidRPr="00E7089A">
        <w:t xml:space="preserve"> at 9.00am ([</w:t>
      </w:r>
      <w:r w:rsidR="008A1E63" w:rsidRPr="00E7089A">
        <w:rPr>
          <w:b/>
          <w:i/>
        </w:rPr>
        <w:t>place</w:t>
      </w:r>
      <w:r w:rsidRPr="00E7089A">
        <w:t>] time) on the date of this opin</w:t>
      </w:r>
      <w:r w:rsidR="00022920" w:rsidRPr="00E7089A">
        <w:t>i</w:t>
      </w:r>
      <w:r w:rsidRPr="00E7089A">
        <w:t>on.</w:t>
      </w:r>
      <w:r w:rsidR="00880868" w:rsidRPr="00E7089A">
        <w:rPr>
          <w:rStyle w:val="EndnoteReference"/>
        </w:rPr>
        <w:endnoteReference w:id="9"/>
      </w:r>
    </w:p>
    <w:p w:rsidR="00B44D88" w:rsidRPr="00E7089A" w:rsidRDefault="00C64A97" w:rsidP="00B44D88">
      <w:pPr>
        <w:pStyle w:val="Level11fo"/>
      </w:pPr>
      <w:r w:rsidRPr="00E7089A">
        <w:t>Other than the opinion in paragraph </w:t>
      </w:r>
      <w:r w:rsidRPr="00E7089A">
        <w:fldChar w:fldCharType="begin"/>
      </w:r>
      <w:r w:rsidRPr="00E7089A">
        <w:instrText xml:space="preserve"> REF _Ref267890965 \r \h </w:instrText>
      </w:r>
      <w:r w:rsidR="00E7089A">
        <w:instrText xml:space="preserve"> \* MERGEFORMAT </w:instrText>
      </w:r>
      <w:r w:rsidRPr="00E7089A">
        <w:fldChar w:fldCharType="separate"/>
      </w:r>
      <w:r w:rsidR="00D12F5D">
        <w:t>5(h)</w:t>
      </w:r>
      <w:r w:rsidRPr="00E7089A">
        <w:fldChar w:fldCharType="end"/>
      </w:r>
      <w:r w:rsidRPr="00E7089A">
        <w:t>, we express no opinion on the impact of any revenue laws.</w:t>
      </w:r>
    </w:p>
    <w:p w:rsidR="000F212B" w:rsidRPr="00E7089A" w:rsidRDefault="00396A59" w:rsidP="00335B57">
      <w:pPr>
        <w:pStyle w:val="Level1fo"/>
      </w:pPr>
      <w:r w:rsidRPr="00E7089A">
        <w:t>[</w:t>
      </w:r>
      <w:r w:rsidR="000F212B" w:rsidRPr="00E7089A">
        <w:t>This opinion is given on the basis that it will be construed in accordance with the laws of [</w:t>
      </w:r>
      <w:r w:rsidR="008A1E63" w:rsidRPr="00E7089A">
        <w:rPr>
          <w:b/>
          <w:i/>
        </w:rPr>
        <w:t>state/territory</w:t>
      </w:r>
      <w:r w:rsidR="000F212B" w:rsidRPr="00E7089A">
        <w:t>].</w:t>
      </w:r>
      <w:r w:rsidR="00A1125B" w:rsidRPr="00E7089A">
        <w:t xml:space="preserve"> </w:t>
      </w:r>
      <w:r w:rsidR="00040835" w:rsidRPr="00E7089A">
        <w:t xml:space="preserve"> </w:t>
      </w:r>
      <w:r w:rsidR="00335B57" w:rsidRPr="00E7089A">
        <w:t>Anyone relying on this opinion agrees that this opinion and all matters (including</w:t>
      </w:r>
      <w:r w:rsidR="00A967CA">
        <w:t>,</w:t>
      </w:r>
      <w:r w:rsidR="003A2735">
        <w:t xml:space="preserve"> without limitation</w:t>
      </w:r>
      <w:r w:rsidR="00A967CA">
        <w:t>,</w:t>
      </w:r>
      <w:r w:rsidR="00335B57" w:rsidRPr="00E7089A">
        <w:t xml:space="preserve"> any liability) arising in any way from it are to be governed by the law</w:t>
      </w:r>
      <w:r w:rsidRPr="00E7089A">
        <w:t>s of</w:t>
      </w:r>
      <w:r w:rsidR="00335B57" w:rsidRPr="00E7089A">
        <w:t xml:space="preserve"> [</w:t>
      </w:r>
      <w:r w:rsidR="00325996" w:rsidRPr="00E7089A">
        <w:rPr>
          <w:b/>
          <w:i/>
        </w:rPr>
        <w:t>state</w:t>
      </w:r>
      <w:r w:rsidR="00335B57" w:rsidRPr="00E7089A">
        <w:rPr>
          <w:b/>
          <w:i/>
        </w:rPr>
        <w:t>/</w:t>
      </w:r>
      <w:r w:rsidR="00325996" w:rsidRPr="00E7089A">
        <w:rPr>
          <w:b/>
          <w:i/>
        </w:rPr>
        <w:t>territory</w:t>
      </w:r>
      <w:r w:rsidR="00335B57" w:rsidRPr="00E7089A">
        <w:t xml:space="preserve">] </w:t>
      </w:r>
      <w:r w:rsidRPr="00E7089A">
        <w:t>[</w:t>
      </w:r>
      <w:r w:rsidR="00335B57" w:rsidRPr="00E7089A">
        <w:t>and will be subject to the non-exclusive jurisdiction of the courts o</w:t>
      </w:r>
      <w:r w:rsidR="00366F80" w:rsidRPr="00E7089A">
        <w:t>f</w:t>
      </w:r>
      <w:r w:rsidR="00335B57" w:rsidRPr="00E7089A">
        <w:t xml:space="preserve"> [</w:t>
      </w:r>
      <w:r w:rsidR="00325996" w:rsidRPr="00E7089A">
        <w:rPr>
          <w:b/>
          <w:i/>
        </w:rPr>
        <w:t>state</w:t>
      </w:r>
      <w:r w:rsidR="00335B57" w:rsidRPr="00E7089A">
        <w:rPr>
          <w:b/>
          <w:i/>
        </w:rPr>
        <w:t>/</w:t>
      </w:r>
      <w:r w:rsidR="00325996" w:rsidRPr="00E7089A">
        <w:rPr>
          <w:b/>
          <w:i/>
        </w:rPr>
        <w:t>territory</w:t>
      </w:r>
      <w:r w:rsidR="00335B57" w:rsidRPr="00E7089A">
        <w:t>]</w:t>
      </w:r>
      <w:r w:rsidRPr="00E7089A">
        <w:t>]</w:t>
      </w:r>
      <w:r w:rsidR="00335B57" w:rsidRPr="00E7089A">
        <w:t>.</w:t>
      </w:r>
      <w:r w:rsidRPr="00E7089A">
        <w:t>]</w:t>
      </w:r>
      <w:r w:rsidR="001E6C23" w:rsidRPr="00E7089A">
        <w:rPr>
          <w:rStyle w:val="EndnoteReference"/>
        </w:rPr>
        <w:endnoteReference w:id="10"/>
      </w:r>
    </w:p>
    <w:p w:rsidR="000F212B" w:rsidRPr="00E7089A" w:rsidRDefault="000F212B" w:rsidP="00022920">
      <w:pPr>
        <w:pStyle w:val="Level1"/>
        <w:keepNext/>
        <w:rPr>
          <w:b/>
        </w:rPr>
      </w:pPr>
      <w:r w:rsidRPr="00E7089A">
        <w:rPr>
          <w:b/>
        </w:rPr>
        <w:t>SEARCHES</w:t>
      </w:r>
    </w:p>
    <w:p w:rsidR="0088421E" w:rsidRPr="00E7089A" w:rsidRDefault="0088421E" w:rsidP="003C054B">
      <w:pPr>
        <w:pStyle w:val="Levela"/>
        <w:numPr>
          <w:ilvl w:val="0"/>
          <w:numId w:val="0"/>
        </w:numPr>
        <w:ind w:left="720"/>
      </w:pPr>
      <w:r w:rsidRPr="00E7089A">
        <w:t>We have relied on:</w:t>
      </w:r>
    </w:p>
    <w:p w:rsidR="00D22411" w:rsidRDefault="0088421E" w:rsidP="003C054B">
      <w:pPr>
        <w:pStyle w:val="Levela"/>
      </w:pPr>
      <w:r w:rsidRPr="00E7089A">
        <w:t xml:space="preserve">an extract of the public records of </w:t>
      </w:r>
      <w:r w:rsidR="00B75A99" w:rsidRPr="00E7089A">
        <w:t xml:space="preserve">the </w:t>
      </w:r>
      <w:r w:rsidR="00417B8A" w:rsidRPr="00E7089A">
        <w:t>Company</w:t>
      </w:r>
      <w:r w:rsidRPr="00E7089A">
        <w:t xml:space="preserve"> produced by ASIC on </w:t>
      </w:r>
      <w:r w:rsidR="00A1125B" w:rsidRPr="00E7089A">
        <w:t>[</w:t>
      </w:r>
      <w:r w:rsidR="00A1125B" w:rsidRPr="00E7089A">
        <w:rPr>
          <w:b/>
          <w:i/>
        </w:rPr>
        <w:t>date</w:t>
      </w:r>
      <w:r w:rsidR="00A1125B" w:rsidRPr="00E7089A">
        <w:t>]</w:t>
      </w:r>
      <w:bookmarkStart w:id="9" w:name="_Ref389467008"/>
      <w:r w:rsidR="00596CDD" w:rsidRPr="00E7089A">
        <w:rPr>
          <w:rStyle w:val="EndnoteReference"/>
        </w:rPr>
        <w:endnoteReference w:id="11"/>
      </w:r>
      <w:bookmarkEnd w:id="9"/>
      <w:r w:rsidR="00D22411">
        <w:t>;</w:t>
      </w:r>
    </w:p>
    <w:p w:rsidR="00D60B63" w:rsidRPr="00E7089A" w:rsidRDefault="00D60B63" w:rsidP="003C054B">
      <w:pPr>
        <w:pStyle w:val="Levela"/>
      </w:pPr>
      <w:bookmarkStart w:id="10" w:name="_Ref374544530"/>
      <w:r w:rsidRPr="00E7089A">
        <w:t xml:space="preserve">[a search of the </w:t>
      </w:r>
      <w:r w:rsidR="0078632B" w:rsidRPr="00E7089A">
        <w:t>r</w:t>
      </w:r>
      <w:r w:rsidR="00B2089A" w:rsidRPr="00E7089A">
        <w:t xml:space="preserve">egister </w:t>
      </w:r>
      <w:r w:rsidR="0078632B" w:rsidRPr="00E7089A">
        <w:t>kept under the PPSA</w:t>
      </w:r>
      <w:r w:rsidRPr="00E7089A">
        <w:t xml:space="preserve"> on [</w:t>
      </w:r>
      <w:r w:rsidRPr="00E7089A">
        <w:rPr>
          <w:b/>
          <w:i/>
        </w:rPr>
        <w:t>date</w:t>
      </w:r>
      <w:r w:rsidRPr="00E7089A">
        <w:t>]</w:t>
      </w:r>
      <w:r w:rsidR="00596CDD" w:rsidRPr="00E7089A">
        <w:rPr>
          <w:rStyle w:val="EndnoteReference"/>
        </w:rPr>
        <w:endnoteReference w:id="12"/>
      </w:r>
      <w:r w:rsidRPr="00E7089A">
        <w:t xml:space="preserve"> to confirm that the registrations </w:t>
      </w:r>
      <w:r w:rsidR="00114C8E" w:rsidRPr="00E7089A">
        <w:t>set out in</w:t>
      </w:r>
      <w:r w:rsidRPr="00E7089A">
        <w:t xml:space="preserve"> Schedule</w:t>
      </w:r>
      <w:r w:rsidR="00114C8E" w:rsidRPr="00E7089A">
        <w:t xml:space="preserve"> 3</w:t>
      </w:r>
      <w:r w:rsidRPr="00E7089A">
        <w:t xml:space="preserve"> have been made</w:t>
      </w:r>
      <w:r w:rsidR="001A6030">
        <w:t>;]</w:t>
      </w:r>
      <w:r w:rsidR="00C24ED8" w:rsidRPr="00E7089A">
        <w:rPr>
          <w:vertAlign w:val="superscript"/>
        </w:rPr>
        <w:t xml:space="preserve">[optional – see endnote </w:t>
      </w:r>
      <w:r w:rsidR="00C24ED8" w:rsidRPr="00E7089A">
        <w:rPr>
          <w:rStyle w:val="EndnoteReference"/>
        </w:rPr>
        <w:endnoteReference w:id="13"/>
      </w:r>
      <w:r w:rsidR="00C24ED8" w:rsidRPr="00E7089A">
        <w:rPr>
          <w:vertAlign w:val="superscript"/>
        </w:rPr>
        <w:t>]</w:t>
      </w:r>
      <w:bookmarkEnd w:id="10"/>
    </w:p>
    <w:p w:rsidR="0088421E" w:rsidRPr="00E7089A" w:rsidRDefault="0088421E" w:rsidP="003C054B">
      <w:pPr>
        <w:pStyle w:val="Levela"/>
      </w:pPr>
      <w:r w:rsidRPr="00E7089A">
        <w:t>[a search at the [Land Titles Office</w:t>
      </w:r>
      <w:r w:rsidR="00B75A99" w:rsidRPr="00E7089A">
        <w:t>]</w:t>
      </w:r>
      <w:r w:rsidRPr="00E7089A">
        <w:t xml:space="preserve"> of </w:t>
      </w:r>
      <w:r w:rsidR="00B75A99" w:rsidRPr="00E7089A">
        <w:t>[●]</w:t>
      </w:r>
      <w:r w:rsidRPr="00E7089A">
        <w:t xml:space="preserve"> on [</w:t>
      </w:r>
      <w:r w:rsidR="00A1125B" w:rsidRPr="00E7089A">
        <w:rPr>
          <w:b/>
          <w:i/>
        </w:rPr>
        <w:t>date</w:t>
      </w:r>
      <w:r w:rsidRPr="00E7089A">
        <w:t>]</w:t>
      </w:r>
      <w:r w:rsidR="000D5195">
        <w:t>;</w:t>
      </w:r>
      <w:r w:rsidR="002A75BF">
        <w:t>]</w:t>
      </w:r>
      <w:r w:rsidR="00596CDD" w:rsidRPr="00E7089A">
        <w:rPr>
          <w:rStyle w:val="EndnoteReference"/>
        </w:rPr>
        <w:endnoteReference w:id="14"/>
      </w:r>
      <w:r w:rsidR="000D5195">
        <w:t xml:space="preserve"> and</w:t>
      </w:r>
      <w:r w:rsidR="00BF1842" w:rsidRPr="00E7089A">
        <w:t xml:space="preserve">  </w:t>
      </w:r>
    </w:p>
    <w:p w:rsidR="000D5195" w:rsidRDefault="00AB5661" w:rsidP="003C054B">
      <w:pPr>
        <w:pStyle w:val="Levela"/>
      </w:pPr>
      <w:r>
        <w:t>[</w:t>
      </w:r>
      <w:r w:rsidR="000D5195" w:rsidRPr="000D5195">
        <w:t xml:space="preserve">a search of the insolvency notices website maintained by ASIC in respect of the Company on </w:t>
      </w:r>
      <w:r w:rsidR="000D5195" w:rsidRPr="00E7089A">
        <w:t>[</w:t>
      </w:r>
      <w:r w:rsidR="000D5195" w:rsidRPr="00E7089A">
        <w:rPr>
          <w:b/>
          <w:i/>
        </w:rPr>
        <w:t>date</w:t>
      </w:r>
      <w:r>
        <w:t>]</w:t>
      </w:r>
      <w:r w:rsidR="000D5195" w:rsidRPr="00AB5661">
        <w:t>]</w:t>
      </w:r>
      <w:r w:rsidR="000D5195" w:rsidRPr="00E7089A">
        <w:rPr>
          <w:rStyle w:val="EndnoteReference"/>
        </w:rPr>
        <w:endnoteReference w:id="15"/>
      </w:r>
      <w:r w:rsidR="000D5195">
        <w:t>.</w:t>
      </w:r>
    </w:p>
    <w:p w:rsidR="003C054B" w:rsidRDefault="00D22411" w:rsidP="003C054B">
      <w:pPr>
        <w:pStyle w:val="Levela"/>
        <w:numPr>
          <w:ilvl w:val="0"/>
          <w:numId w:val="0"/>
        </w:numPr>
        <w:ind w:left="720"/>
      </w:pPr>
      <w:r w:rsidRPr="00D22411">
        <w:lastRenderedPageBreak/>
        <w:t xml:space="preserve">We have assumed that </w:t>
      </w:r>
      <w:r w:rsidR="00A967CA">
        <w:t xml:space="preserve">the </w:t>
      </w:r>
      <w:r w:rsidRPr="00D22411">
        <w:t>extract</w:t>
      </w:r>
      <w:r>
        <w:t xml:space="preserve"> produced by ASIC</w:t>
      </w:r>
      <w:r w:rsidRPr="00D22411">
        <w:t xml:space="preserve"> is the same as information provided by the Company to ASIC.  We have not examined any documents that the Company may have filed with ASIC[,</w:t>
      </w:r>
      <w:r w:rsidR="00E11E22">
        <w:t>other than where we have expressly stated otherwise in this opinion</w:t>
      </w:r>
      <w:r>
        <w:t xml:space="preserve">]. </w:t>
      </w:r>
      <w:r w:rsidR="007506F5" w:rsidRPr="00E7089A">
        <w:t xml:space="preserve">The </w:t>
      </w:r>
      <w:r w:rsidR="00040835" w:rsidRPr="00E7089A">
        <w:t>information</w:t>
      </w:r>
      <w:r w:rsidR="00BE6804" w:rsidRPr="00E7089A">
        <w:t xml:space="preserve"> </w:t>
      </w:r>
      <w:r w:rsidR="00040835" w:rsidRPr="00E7089A">
        <w:t xml:space="preserve">in the extract, or </w:t>
      </w:r>
      <w:r w:rsidR="00BE6804" w:rsidRPr="00E7089A">
        <w:t>produced</w:t>
      </w:r>
      <w:r w:rsidR="00BA1BC4" w:rsidRPr="00E7089A">
        <w:t xml:space="preserve"> by the search</w:t>
      </w:r>
      <w:r w:rsidR="000D5195">
        <w:t>[</w:t>
      </w:r>
      <w:proofErr w:type="spellStart"/>
      <w:r w:rsidR="00BA1BC4" w:rsidRPr="00E7089A">
        <w:t>es</w:t>
      </w:r>
      <w:proofErr w:type="spellEnd"/>
      <w:r w:rsidR="000D5195">
        <w:t>]</w:t>
      </w:r>
      <w:r w:rsidR="00040835" w:rsidRPr="00E7089A">
        <w:t>,</w:t>
      </w:r>
      <w:r w:rsidR="007506F5" w:rsidRPr="00E7089A">
        <w:t xml:space="preserve"> </w:t>
      </w:r>
      <w:r w:rsidR="00BE6804" w:rsidRPr="00E7089A">
        <w:t>may not be</w:t>
      </w:r>
      <w:r w:rsidR="007506F5" w:rsidRPr="00E7089A">
        <w:t xml:space="preserve"> </w:t>
      </w:r>
      <w:r w:rsidR="00FC3702" w:rsidRPr="00E7089A">
        <w:t xml:space="preserve">correct, </w:t>
      </w:r>
      <w:r w:rsidR="007506F5" w:rsidRPr="00E7089A">
        <w:t>complete or up to date</w:t>
      </w:r>
      <w:r w:rsidR="00FC3702" w:rsidRPr="00E7089A">
        <w:t>.</w:t>
      </w:r>
      <w:r w:rsidR="0045026B">
        <w:t xml:space="preserve"> </w:t>
      </w:r>
    </w:p>
    <w:p w:rsidR="00022920" w:rsidRPr="00E7089A" w:rsidRDefault="0088421E" w:rsidP="003C054B">
      <w:pPr>
        <w:pStyle w:val="Levela"/>
        <w:numPr>
          <w:ilvl w:val="0"/>
          <w:numId w:val="0"/>
        </w:numPr>
        <w:ind w:left="720"/>
      </w:pPr>
      <w:r w:rsidRPr="00E7089A">
        <w:t>We have not conducted any other searches or investigations</w:t>
      </w:r>
      <w:r w:rsidR="00B75A99" w:rsidRPr="00E7089A">
        <w:t xml:space="preserve"> for the purposes of this opinion</w:t>
      </w:r>
      <w:r w:rsidRPr="00E7089A">
        <w:t>.</w:t>
      </w:r>
    </w:p>
    <w:p w:rsidR="000F212B" w:rsidRPr="00E7089A" w:rsidRDefault="000F212B" w:rsidP="0023122A">
      <w:pPr>
        <w:pStyle w:val="Level1"/>
        <w:keepNext/>
        <w:rPr>
          <w:b/>
        </w:rPr>
      </w:pPr>
      <w:r w:rsidRPr="00E7089A">
        <w:rPr>
          <w:b/>
        </w:rPr>
        <w:t>OPINION</w:t>
      </w:r>
      <w:bookmarkStart w:id="11" w:name="_Ref372812015"/>
      <w:r w:rsidR="00F5203E" w:rsidRPr="00E7089A">
        <w:rPr>
          <w:rStyle w:val="EndnoteReference"/>
          <w:b/>
        </w:rPr>
        <w:endnoteReference w:id="16"/>
      </w:r>
      <w:bookmarkEnd w:id="11"/>
    </w:p>
    <w:p w:rsidR="00994C2C" w:rsidRPr="00E7089A" w:rsidRDefault="001B0BE9" w:rsidP="00994C2C">
      <w:pPr>
        <w:pStyle w:val="Level1fo"/>
      </w:pPr>
      <w:r w:rsidRPr="00E7089A">
        <w:t xml:space="preserve">Our </w:t>
      </w:r>
      <w:r w:rsidR="00994C2C" w:rsidRPr="00E7089A">
        <w:t>opinion</w:t>
      </w:r>
      <w:r w:rsidRPr="00E7089A">
        <w:t xml:space="preserve"> is as follows</w:t>
      </w:r>
      <w:r w:rsidR="00994C2C" w:rsidRPr="00E7089A">
        <w:t>, subject to the assumptions in Schedule 1 and the qualifications in Schedule 2</w:t>
      </w:r>
      <w:r w:rsidR="00DE0792" w:rsidRPr="00E7089A">
        <w:t>.</w:t>
      </w:r>
    </w:p>
    <w:p w:rsidR="0010148D" w:rsidRPr="00E7089A" w:rsidRDefault="00B75A99" w:rsidP="00C510EC">
      <w:pPr>
        <w:pStyle w:val="Levela"/>
      </w:pPr>
      <w:r w:rsidRPr="00E7089A">
        <w:t xml:space="preserve">The </w:t>
      </w:r>
      <w:r w:rsidR="00417B8A" w:rsidRPr="00E7089A">
        <w:t>Company</w:t>
      </w:r>
      <w:r w:rsidR="00C510EC" w:rsidRPr="00E7089A">
        <w:t xml:space="preserve"> is incorporated and exist</w:t>
      </w:r>
      <w:r w:rsidR="009117FB" w:rsidRPr="00E7089A">
        <w:t>s</w:t>
      </w:r>
      <w:r w:rsidR="00C510EC" w:rsidRPr="00E7089A">
        <w:t xml:space="preserve"> under the laws in force in </w:t>
      </w:r>
      <w:r w:rsidR="001B0BE9" w:rsidRPr="00E7089A">
        <w:rPr>
          <w:rFonts w:cs="Arial"/>
        </w:rPr>
        <w:t>Australia</w:t>
      </w:r>
      <w:r w:rsidR="001B0BE9" w:rsidRPr="00E7089A">
        <w:t>.</w:t>
      </w:r>
      <w:r w:rsidR="001B0BE9" w:rsidRPr="00E7089A">
        <w:rPr>
          <w:rStyle w:val="EndnoteReference"/>
        </w:rPr>
        <w:endnoteReference w:id="17"/>
      </w:r>
    </w:p>
    <w:p w:rsidR="0010148D" w:rsidRPr="00E7089A" w:rsidRDefault="00B75A99" w:rsidP="0025314D">
      <w:pPr>
        <w:pStyle w:val="Levela"/>
      </w:pPr>
      <w:r w:rsidRPr="00E7089A">
        <w:t xml:space="preserve">The </w:t>
      </w:r>
      <w:r w:rsidR="00417B8A" w:rsidRPr="00E7089A">
        <w:t>Company</w:t>
      </w:r>
      <w:r w:rsidR="0010148D" w:rsidRPr="00E7089A">
        <w:t xml:space="preserve"> has the corporate power to enter into</w:t>
      </w:r>
      <w:r w:rsidR="009117FB" w:rsidRPr="00E7089A">
        <w:t xml:space="preserve"> and to perform its obligations under</w:t>
      </w:r>
      <w:r w:rsidR="0010148D" w:rsidRPr="00E7089A">
        <w:t xml:space="preserve"> </w:t>
      </w:r>
      <w:r w:rsidR="00990069" w:rsidRPr="00E7089A">
        <w:t xml:space="preserve">each </w:t>
      </w:r>
      <w:r w:rsidR="003B58B3" w:rsidRPr="00E7089A">
        <w:t>Document</w:t>
      </w:r>
      <w:r w:rsidR="0010148D" w:rsidRPr="00E7089A">
        <w:t>.</w:t>
      </w:r>
      <w:r w:rsidR="0010148D" w:rsidRPr="00E7089A">
        <w:rPr>
          <w:rStyle w:val="EndnoteReference"/>
        </w:rPr>
        <w:endnoteReference w:id="18"/>
      </w:r>
    </w:p>
    <w:p w:rsidR="0010148D" w:rsidRPr="00E7089A" w:rsidRDefault="0010148D" w:rsidP="0025314D">
      <w:pPr>
        <w:pStyle w:val="Levela"/>
      </w:pPr>
      <w:bookmarkStart w:id="12" w:name="_Ref374544598"/>
      <w:r w:rsidRPr="00E7089A">
        <w:t xml:space="preserve">The entry by </w:t>
      </w:r>
      <w:r w:rsidR="00B75A99" w:rsidRPr="00E7089A">
        <w:t xml:space="preserve">the </w:t>
      </w:r>
      <w:r w:rsidR="00417B8A" w:rsidRPr="00E7089A">
        <w:t>Company</w:t>
      </w:r>
      <w:r w:rsidR="009117FB" w:rsidRPr="00E7089A">
        <w:t xml:space="preserve"> into</w:t>
      </w:r>
      <w:r w:rsidRPr="00E7089A">
        <w:t xml:space="preserve"> </w:t>
      </w:r>
      <w:r w:rsidR="009117FB" w:rsidRPr="00E7089A">
        <w:t xml:space="preserve">and the performance by </w:t>
      </w:r>
      <w:r w:rsidR="00B75A99" w:rsidRPr="00E7089A">
        <w:t>the</w:t>
      </w:r>
      <w:r w:rsidR="00990069" w:rsidRPr="00E7089A">
        <w:t xml:space="preserve"> </w:t>
      </w:r>
      <w:r w:rsidR="00417B8A" w:rsidRPr="00E7089A">
        <w:t>Company</w:t>
      </w:r>
      <w:r w:rsidR="009117FB" w:rsidRPr="00E7089A">
        <w:t xml:space="preserve"> of its obligations under</w:t>
      </w:r>
      <w:r w:rsidRPr="00E7089A">
        <w:t xml:space="preserve"> </w:t>
      </w:r>
      <w:r w:rsidR="00F0583D" w:rsidRPr="00E7089A">
        <w:t xml:space="preserve">each </w:t>
      </w:r>
      <w:r w:rsidR="003B58B3" w:rsidRPr="00E7089A">
        <w:t>Document</w:t>
      </w:r>
      <w:r w:rsidR="00F22119" w:rsidRPr="00E7089A">
        <w:t>,</w:t>
      </w:r>
      <w:r w:rsidRPr="00E7089A">
        <w:t xml:space="preserve"> does not and will not breach any law </w:t>
      </w:r>
      <w:r w:rsidR="00396A59" w:rsidRPr="00E7089A">
        <w:t>of</w:t>
      </w:r>
      <w:r w:rsidRPr="00E7089A">
        <w:t xml:space="preserve"> the Relevant Jurisdictions.</w:t>
      </w:r>
      <w:bookmarkStart w:id="13" w:name="_Ref372812047"/>
      <w:r w:rsidRPr="00E7089A">
        <w:rPr>
          <w:rStyle w:val="EndnoteReference"/>
        </w:rPr>
        <w:endnoteReference w:id="19"/>
      </w:r>
      <w:bookmarkEnd w:id="12"/>
      <w:bookmarkEnd w:id="13"/>
    </w:p>
    <w:p w:rsidR="0010148D" w:rsidRPr="00E7089A" w:rsidRDefault="00990069" w:rsidP="0025314D">
      <w:pPr>
        <w:pStyle w:val="Levela"/>
      </w:pPr>
      <w:bookmarkStart w:id="14" w:name="_Ref287278957"/>
      <w:r w:rsidRPr="00E7089A">
        <w:t xml:space="preserve">Each </w:t>
      </w:r>
      <w:r w:rsidR="003B58B3" w:rsidRPr="00E7089A">
        <w:t>Document</w:t>
      </w:r>
      <w:r w:rsidR="0010148D" w:rsidRPr="00E7089A">
        <w:t xml:space="preserve"> </w:t>
      </w:r>
      <w:r w:rsidR="00F5203E" w:rsidRPr="00E7089A">
        <w:t xml:space="preserve">[has been executed by </w:t>
      </w:r>
      <w:r w:rsidR="00B56EA7" w:rsidRPr="00E7089A">
        <w:t xml:space="preserve">the Company </w:t>
      </w:r>
      <w:r w:rsidR="00F5203E" w:rsidRPr="00E7089A">
        <w:t>and]</w:t>
      </w:r>
      <w:r w:rsidR="00F5203E" w:rsidRPr="00E7089A">
        <w:rPr>
          <w:rStyle w:val="EndnoteReference"/>
        </w:rPr>
        <w:t xml:space="preserve"> </w:t>
      </w:r>
      <w:r w:rsidR="00F5203E" w:rsidRPr="00E7089A">
        <w:rPr>
          <w:rStyle w:val="EndnoteReference"/>
        </w:rPr>
        <w:endnoteReference w:id="20"/>
      </w:r>
      <w:r w:rsidR="00F5203E" w:rsidRPr="00E7089A">
        <w:t xml:space="preserve"> </w:t>
      </w:r>
      <w:r w:rsidR="0010148D" w:rsidRPr="00E7089A">
        <w:t xml:space="preserve">constitutes binding obligations of </w:t>
      </w:r>
      <w:r w:rsidR="00B56EA7" w:rsidRPr="00E7089A">
        <w:t>the</w:t>
      </w:r>
      <w:r w:rsidR="002D51E3" w:rsidRPr="00E7089A">
        <w:t xml:space="preserve"> </w:t>
      </w:r>
      <w:r w:rsidR="00417B8A" w:rsidRPr="00E7089A">
        <w:t>Company</w:t>
      </w:r>
      <w:r w:rsidR="0010148D" w:rsidRPr="00E7089A">
        <w:t>, enforceable against it in competent courts of the Relevant Jurisdiction</w:t>
      </w:r>
      <w:r w:rsidR="00B41FD3" w:rsidRPr="00E7089A">
        <w:t>s</w:t>
      </w:r>
      <w:r w:rsidR="0010148D" w:rsidRPr="00E7089A">
        <w:t>.</w:t>
      </w:r>
      <w:r w:rsidR="0010148D" w:rsidRPr="00E7089A">
        <w:rPr>
          <w:rStyle w:val="EndnoteReference"/>
        </w:rPr>
        <w:endnoteReference w:id="21"/>
      </w:r>
      <w:bookmarkEnd w:id="14"/>
    </w:p>
    <w:p w:rsidR="00D87A8B" w:rsidRPr="00E7089A" w:rsidRDefault="00B56EA7" w:rsidP="00AB61DC">
      <w:pPr>
        <w:pStyle w:val="Levela"/>
        <w:rPr>
          <w:rFonts w:cs="Arial"/>
        </w:rPr>
      </w:pPr>
      <w:bookmarkStart w:id="15" w:name="_Ref372885986"/>
      <w:bookmarkStart w:id="16" w:name="_Ref268080832"/>
      <w:r w:rsidRPr="00E7089A">
        <w:t xml:space="preserve">The </w:t>
      </w:r>
      <w:r w:rsidR="00417B8A" w:rsidRPr="00E7089A">
        <w:t>Company</w:t>
      </w:r>
      <w:r w:rsidR="0010148D" w:rsidRPr="00E7089A">
        <w:t xml:space="preserve"> </w:t>
      </w:r>
      <w:r w:rsidRPr="00E7089A">
        <w:t>does not require</w:t>
      </w:r>
      <w:r w:rsidR="0010148D" w:rsidRPr="00E7089A">
        <w:t xml:space="preserve"> any authorisation from any government agency </w:t>
      </w:r>
      <w:r w:rsidR="005A7D28" w:rsidRPr="00E7089A">
        <w:t>of</w:t>
      </w:r>
      <w:r w:rsidR="0010148D" w:rsidRPr="00E7089A">
        <w:t xml:space="preserve"> the Relevant Jurisdictions to enable it to enter into </w:t>
      </w:r>
      <w:r w:rsidR="009117FB" w:rsidRPr="00E7089A">
        <w:t>or to perform its obligations under</w:t>
      </w:r>
      <w:r w:rsidR="007029B0" w:rsidRPr="00E7089A">
        <w:t xml:space="preserve"> </w:t>
      </w:r>
      <w:r w:rsidR="00A1125B" w:rsidRPr="00E7089A">
        <w:t>a</w:t>
      </w:r>
      <w:r w:rsidR="0010148D" w:rsidRPr="00E7089A">
        <w:t xml:space="preserve"> </w:t>
      </w:r>
      <w:r w:rsidR="003B58B3" w:rsidRPr="00E7089A">
        <w:t>Document</w:t>
      </w:r>
      <w:r w:rsidR="002D51E3" w:rsidRPr="00E7089A">
        <w:t xml:space="preserve"> </w:t>
      </w:r>
      <w:r w:rsidR="0010148D" w:rsidRPr="00E7089A">
        <w:t xml:space="preserve">or to make </w:t>
      </w:r>
      <w:r w:rsidR="009117FB" w:rsidRPr="00E7089A">
        <w:t xml:space="preserve">its </w:t>
      </w:r>
      <w:r w:rsidR="0010148D" w:rsidRPr="00E7089A">
        <w:t xml:space="preserve">obligations </w:t>
      </w:r>
      <w:r w:rsidR="009117FB" w:rsidRPr="00E7089A">
        <w:t xml:space="preserve">under </w:t>
      </w:r>
      <w:r w:rsidR="002D51E3" w:rsidRPr="00E7089A">
        <w:t xml:space="preserve">any </w:t>
      </w:r>
      <w:r w:rsidR="003B58B3" w:rsidRPr="00E7089A">
        <w:t>Document</w:t>
      </w:r>
      <w:r w:rsidR="009463BC">
        <w:t xml:space="preserve"> binding, enforceable and admissible in evidence </w:t>
      </w:r>
      <w:r w:rsidR="0010148D" w:rsidRPr="00E7089A">
        <w:t>against it in competent courts of the Relevant Jurisdictions[, other than</w:t>
      </w:r>
      <w:r w:rsidR="00D87A8B" w:rsidRPr="00E7089A">
        <w:t>:</w:t>
      </w:r>
      <w:bookmarkEnd w:id="15"/>
    </w:p>
    <w:p w:rsidR="00C30E47" w:rsidRPr="00E7089A" w:rsidRDefault="00AB61DC" w:rsidP="00D87A8B">
      <w:pPr>
        <w:pStyle w:val="Leveli"/>
        <w:rPr>
          <w:rFonts w:cs="Arial"/>
        </w:rPr>
      </w:pPr>
      <w:bookmarkStart w:id="17" w:name="_Ref428291444"/>
      <w:r w:rsidRPr="00E7089A">
        <w:t>the authorisations listed in paragraph</w:t>
      </w:r>
      <w:r w:rsidR="009A444B">
        <w:t xml:space="preserve"> </w:t>
      </w:r>
      <w:r w:rsidR="00940CCB">
        <w:t>2[</w:t>
      </w:r>
      <w:r w:rsidR="00940CCB">
        <w:fldChar w:fldCharType="begin"/>
      </w:r>
      <w:r w:rsidR="00940CCB">
        <w:instrText xml:space="preserve"> REF _Ref374544343 \n \h </w:instrText>
      </w:r>
      <w:r w:rsidR="00940CCB">
        <w:fldChar w:fldCharType="separate"/>
      </w:r>
      <w:r w:rsidR="00D12F5D">
        <w:t>(e)</w:t>
      </w:r>
      <w:r w:rsidR="00940CCB">
        <w:fldChar w:fldCharType="end"/>
      </w:r>
      <w:r w:rsidRPr="00E7089A">
        <w:t>]</w:t>
      </w:r>
      <w:bookmarkEnd w:id="16"/>
      <w:r w:rsidR="00163626" w:rsidRPr="00E7089A">
        <w:t xml:space="preserve">; </w:t>
      </w:r>
      <w:r w:rsidR="00C30E47" w:rsidRPr="00E7089A">
        <w:t>and</w:t>
      </w:r>
      <w:bookmarkEnd w:id="17"/>
    </w:p>
    <w:p w:rsidR="0010148D" w:rsidRPr="00E7089A" w:rsidRDefault="00C30E47" w:rsidP="00C30E47">
      <w:pPr>
        <w:pStyle w:val="Leveli"/>
      </w:pPr>
      <w:r w:rsidRPr="00E7089A">
        <w:t>[●]</w:t>
      </w:r>
      <w:r w:rsidR="002A75BF">
        <w:t>]</w:t>
      </w:r>
      <w:r w:rsidR="0010148D" w:rsidRPr="00E7089A">
        <w:t>.</w:t>
      </w:r>
      <w:r w:rsidR="0010148D" w:rsidRPr="00E7089A">
        <w:rPr>
          <w:rStyle w:val="EndnoteReference"/>
          <w:rFonts w:cs="Arial"/>
        </w:rPr>
        <w:endnoteReference w:id="22"/>
      </w:r>
    </w:p>
    <w:p w:rsidR="0010148D" w:rsidRPr="00E7089A" w:rsidRDefault="0010148D" w:rsidP="008E6603">
      <w:pPr>
        <w:pStyle w:val="Levela"/>
      </w:pPr>
      <w:bookmarkStart w:id="18" w:name="_Ref267891435"/>
      <w:r w:rsidRPr="00E7089A">
        <w:t xml:space="preserve">It is not necessary to file, register or record </w:t>
      </w:r>
      <w:r w:rsidR="002D51E3" w:rsidRPr="00E7089A">
        <w:t xml:space="preserve">any </w:t>
      </w:r>
      <w:r w:rsidR="003B58B3" w:rsidRPr="00E7089A">
        <w:t>Document</w:t>
      </w:r>
      <w:r w:rsidRPr="00E7089A">
        <w:t xml:space="preserve"> </w:t>
      </w:r>
      <w:r w:rsidR="00AB61DC" w:rsidRPr="00E7089A">
        <w:t xml:space="preserve">[or Power of Attorney] </w:t>
      </w:r>
      <w:r w:rsidRPr="00E7089A">
        <w:t xml:space="preserve">with any government agency </w:t>
      </w:r>
      <w:r w:rsidR="006D3E63">
        <w:t xml:space="preserve">of a Relevant Jurisdiction </w:t>
      </w:r>
      <w:r w:rsidRPr="00E7089A">
        <w:t xml:space="preserve">to ensure </w:t>
      </w:r>
      <w:r w:rsidR="00F0583D" w:rsidRPr="00E7089A">
        <w:t xml:space="preserve">a </w:t>
      </w:r>
      <w:r w:rsidR="003B58B3" w:rsidRPr="00E7089A">
        <w:t>Document</w:t>
      </w:r>
      <w:r w:rsidRPr="00E7089A">
        <w:t xml:space="preserve"> is binding, enforceable and admissible in evidence </w:t>
      </w:r>
      <w:r w:rsidR="00A85285" w:rsidRPr="00E7089A">
        <w:t xml:space="preserve">against </w:t>
      </w:r>
      <w:r w:rsidR="00125E9A" w:rsidRPr="00E7089A">
        <w:t>the</w:t>
      </w:r>
      <w:r w:rsidR="002D51E3" w:rsidRPr="00E7089A">
        <w:t xml:space="preserve"> </w:t>
      </w:r>
      <w:r w:rsidR="00417B8A" w:rsidRPr="00E7089A">
        <w:t>Company</w:t>
      </w:r>
      <w:bookmarkEnd w:id="18"/>
      <w:r w:rsidR="005013D1">
        <w:t xml:space="preserve"> in competent courts of the Relevant Jurisdictions[</w:t>
      </w:r>
      <w:r w:rsidR="00BE6804" w:rsidRPr="00E7089A">
        <w:t>,</w:t>
      </w:r>
      <w:r w:rsidR="00D12C2E" w:rsidRPr="00E7089A">
        <w:t xml:space="preserve"> other than</w:t>
      </w:r>
      <w:r w:rsidR="00125E9A" w:rsidRPr="00E7089A">
        <w:t>:</w:t>
      </w:r>
    </w:p>
    <w:p w:rsidR="00125E9A" w:rsidRPr="00E7089A" w:rsidRDefault="008D7082" w:rsidP="00125E9A">
      <w:pPr>
        <w:pStyle w:val="Leveli"/>
      </w:pPr>
      <w:r w:rsidRPr="00E7089A">
        <w:t xml:space="preserve">registration </w:t>
      </w:r>
      <w:r w:rsidR="00125E9A" w:rsidRPr="00E7089A">
        <w:t xml:space="preserve">of </w:t>
      </w:r>
      <w:r w:rsidR="001A5578" w:rsidRPr="00E7089A">
        <w:t>a financing statement</w:t>
      </w:r>
      <w:r w:rsidR="00AC2939" w:rsidRPr="00E7089A">
        <w:t xml:space="preserve"> under the PPSA</w:t>
      </w:r>
      <w:r w:rsidR="001A5578" w:rsidRPr="00E7089A">
        <w:t xml:space="preserve"> </w:t>
      </w:r>
      <w:r w:rsidR="00BE6804" w:rsidRPr="00E7089A">
        <w:t>to perfect</w:t>
      </w:r>
      <w:r w:rsidR="001A5578" w:rsidRPr="00E7089A">
        <w:t xml:space="preserve"> </w:t>
      </w:r>
      <w:r w:rsidR="00125E9A" w:rsidRPr="00E7089A">
        <w:t xml:space="preserve">each PPSA Security Interest </w:t>
      </w:r>
      <w:r w:rsidRPr="00E7089A">
        <w:t>created by a Document</w:t>
      </w:r>
      <w:r w:rsidR="00FC3909" w:rsidRPr="00E7089A">
        <w:t xml:space="preserve">, </w:t>
      </w:r>
      <w:r w:rsidRPr="00E7089A">
        <w:t xml:space="preserve">unless that PPSA Security Interest is otherwise perfected by possession or </w:t>
      </w:r>
      <w:r w:rsidR="00125E9A" w:rsidRPr="00E7089A">
        <w:t>control</w:t>
      </w:r>
      <w:r w:rsidR="006B2E2A">
        <w:t>;</w:t>
      </w:r>
    </w:p>
    <w:p w:rsidR="00125E9A" w:rsidRPr="00E7089A" w:rsidRDefault="004A43C6" w:rsidP="00931F82">
      <w:pPr>
        <w:pStyle w:val="Leveli"/>
      </w:pPr>
      <w:r>
        <w:t>[</w:t>
      </w:r>
      <w:r w:rsidR="00125E9A" w:rsidRPr="00E7089A">
        <w:t xml:space="preserve">registration of </w:t>
      </w:r>
      <w:r>
        <w:t>[</w:t>
      </w:r>
      <w:r w:rsidR="00931F82" w:rsidRPr="00E7089A">
        <w:rPr>
          <w:b/>
          <w:i/>
        </w:rPr>
        <w:t xml:space="preserve">describe any prior dealings required to be registered to enable the Company </w:t>
      </w:r>
      <w:r w:rsidR="00040835" w:rsidRPr="00E7089A">
        <w:rPr>
          <w:b/>
          <w:i/>
        </w:rPr>
        <w:t xml:space="preserve">to </w:t>
      </w:r>
      <w:r w:rsidR="00931F82" w:rsidRPr="00E7089A">
        <w:rPr>
          <w:b/>
          <w:i/>
        </w:rPr>
        <w:t>become the registered proprietor/lessee before a Mortgage can be registered</w:t>
      </w:r>
      <w:r>
        <w:t>] [and]</w:t>
      </w:r>
      <w:r w:rsidR="00931F82" w:rsidRPr="00E7089A">
        <w:t xml:space="preserve"> </w:t>
      </w:r>
      <w:r w:rsidR="00125E9A" w:rsidRPr="00E7089A">
        <w:t xml:space="preserve">[the/each] Mortgage with the [Land Titles Office] of </w:t>
      </w:r>
      <w:r w:rsidR="008D7082" w:rsidRPr="00E7089A">
        <w:t>[●]</w:t>
      </w:r>
      <w:r w:rsidR="00125E9A" w:rsidRPr="00E7089A">
        <w:t>;</w:t>
      </w:r>
      <w:r>
        <w:t>]</w:t>
      </w:r>
      <w:r w:rsidR="00125E9A" w:rsidRPr="00E7089A">
        <w:t xml:space="preserve"> and</w:t>
      </w:r>
      <w:r w:rsidR="009034F4" w:rsidRPr="00E7089A">
        <w:rPr>
          <w:rStyle w:val="EndnoteReference"/>
        </w:rPr>
        <w:endnoteReference w:id="23"/>
      </w:r>
    </w:p>
    <w:p w:rsidR="00931F82" w:rsidRPr="00E7089A" w:rsidRDefault="00125E9A" w:rsidP="004F0DA4">
      <w:pPr>
        <w:pStyle w:val="Leveli"/>
      </w:pPr>
      <w:r w:rsidRPr="00E7089A">
        <w:t>[●].</w:t>
      </w:r>
      <w:r w:rsidR="002A75BF">
        <w:t>]</w:t>
      </w:r>
      <w:r w:rsidR="009034F4" w:rsidRPr="00E7089A">
        <w:rPr>
          <w:rStyle w:val="EndnoteReference"/>
        </w:rPr>
        <w:endnoteReference w:id="24"/>
      </w:r>
    </w:p>
    <w:p w:rsidR="0010148D" w:rsidRPr="00E7089A" w:rsidRDefault="00125E9A" w:rsidP="0025314D">
      <w:pPr>
        <w:pStyle w:val="Levela"/>
      </w:pPr>
      <w:r w:rsidRPr="00E7089A">
        <w:t xml:space="preserve">The </w:t>
      </w:r>
      <w:r w:rsidR="00417B8A" w:rsidRPr="00E7089A">
        <w:t>Company</w:t>
      </w:r>
      <w:r w:rsidR="0010148D" w:rsidRPr="00E7089A">
        <w:t>'s payment obligations under</w:t>
      </w:r>
      <w:r w:rsidR="00DD714E" w:rsidRPr="00E7089A">
        <w:t xml:space="preserve"> the</w:t>
      </w:r>
      <w:r w:rsidR="0010148D" w:rsidRPr="00E7089A">
        <w:t xml:space="preserve"> </w:t>
      </w:r>
      <w:r w:rsidR="003B58B3" w:rsidRPr="00E7089A">
        <w:t>Document</w:t>
      </w:r>
      <w:r w:rsidR="002D51E3" w:rsidRPr="00E7089A">
        <w:t>s</w:t>
      </w:r>
      <w:r w:rsidR="0010148D" w:rsidRPr="00E7089A">
        <w:t xml:space="preserve"> rank at least equally with its unsecured and unsubordinated payment obligations, other than payment obligations that are mandatorily preferred by law.</w:t>
      </w:r>
    </w:p>
    <w:p w:rsidR="0010148D" w:rsidRPr="00E7089A" w:rsidRDefault="0010148D" w:rsidP="008A1E63">
      <w:pPr>
        <w:pStyle w:val="Levela"/>
      </w:pPr>
      <w:bookmarkStart w:id="19" w:name="_Ref267890965"/>
      <w:bookmarkStart w:id="20" w:name="_Ref370560069"/>
      <w:r w:rsidRPr="00E7089A">
        <w:t xml:space="preserve">No stamp duty or other documentary tax is payable on </w:t>
      </w:r>
      <w:r w:rsidR="002D51E3" w:rsidRPr="00E7089A">
        <w:t xml:space="preserve">any </w:t>
      </w:r>
      <w:r w:rsidR="003B58B3" w:rsidRPr="00E7089A">
        <w:t>Document</w:t>
      </w:r>
      <w:r w:rsidRPr="00E7089A">
        <w:t xml:space="preserve"> or in respect of any transaction effected by </w:t>
      </w:r>
      <w:r w:rsidR="002D51E3" w:rsidRPr="00E7089A">
        <w:t>a</w:t>
      </w:r>
      <w:r w:rsidR="00F0583D" w:rsidRPr="00E7089A">
        <w:t>ny</w:t>
      </w:r>
      <w:r w:rsidR="002D51E3" w:rsidRPr="00E7089A">
        <w:t xml:space="preserve"> </w:t>
      </w:r>
      <w:r w:rsidR="003B58B3" w:rsidRPr="00E7089A">
        <w:t>Document</w:t>
      </w:r>
      <w:r w:rsidR="00F5203E" w:rsidRPr="00E7089A">
        <w:t>[</w:t>
      </w:r>
      <w:r w:rsidRPr="00E7089A">
        <w:t>, other than any nominal duty</w:t>
      </w:r>
      <w:r w:rsidR="00F5203E" w:rsidRPr="00E7089A">
        <w:t>]</w:t>
      </w:r>
      <w:bookmarkEnd w:id="19"/>
      <w:r w:rsidR="00957397" w:rsidRPr="00E7089A">
        <w:t xml:space="preserve"> </w:t>
      </w:r>
      <w:r w:rsidR="000B12AA" w:rsidRPr="00E7089A">
        <w:t>[</w:t>
      </w:r>
      <w:r w:rsidR="00957397" w:rsidRPr="00E7089A">
        <w:t>and ad valorem mortgage duty</w:t>
      </w:r>
      <w:r w:rsidR="009B5592" w:rsidRPr="00E7089A">
        <w:t xml:space="preserve"> in New South Wales</w:t>
      </w:r>
      <w:r w:rsidR="00957397" w:rsidRPr="00E7089A">
        <w:t xml:space="preserve"> on the [</w:t>
      </w:r>
      <w:r w:rsidR="00957397" w:rsidRPr="00E7089A">
        <w:rPr>
          <w:b/>
          <w:bCs/>
          <w:i/>
          <w:iCs/>
        </w:rPr>
        <w:t xml:space="preserve">list relevant  </w:t>
      </w:r>
      <w:r w:rsidR="002D51E3" w:rsidRPr="00E7089A">
        <w:rPr>
          <w:b/>
          <w:bCs/>
          <w:i/>
          <w:iCs/>
        </w:rPr>
        <w:t>D</w:t>
      </w:r>
      <w:r w:rsidR="00957397" w:rsidRPr="00E7089A">
        <w:rPr>
          <w:b/>
          <w:bCs/>
          <w:i/>
          <w:iCs/>
        </w:rPr>
        <w:t>ocuments</w:t>
      </w:r>
      <w:r w:rsidR="00957397" w:rsidRPr="00E7089A">
        <w:t>]</w:t>
      </w:r>
      <w:r w:rsidR="000B12AA" w:rsidRPr="00E7089A">
        <w:t>]</w:t>
      </w:r>
      <w:r w:rsidR="00957397" w:rsidRPr="00E7089A">
        <w:t>.</w:t>
      </w:r>
      <w:bookmarkEnd w:id="20"/>
    </w:p>
    <w:p w:rsidR="00887324" w:rsidRPr="00E7089A" w:rsidRDefault="009034F4" w:rsidP="0022698C">
      <w:pPr>
        <w:pStyle w:val="Levela"/>
      </w:pPr>
      <w:r w:rsidRPr="00E7089A">
        <w:t xml:space="preserve">Each Document creates the Security Interests that are expressed </w:t>
      </w:r>
      <w:r w:rsidR="001A6030">
        <w:t xml:space="preserve">in it </w:t>
      </w:r>
      <w:r w:rsidRPr="00E7089A">
        <w:t xml:space="preserve">to be </w:t>
      </w:r>
      <w:r w:rsidR="001A6030">
        <w:t>granted</w:t>
      </w:r>
      <w:r w:rsidR="00ED3E10">
        <w:t xml:space="preserve"> by the Company.</w:t>
      </w:r>
      <w:r w:rsidR="00056F5E" w:rsidRPr="00E7089A">
        <w:rPr>
          <w:rStyle w:val="EndnoteReference"/>
        </w:rPr>
        <w:endnoteReference w:id="25"/>
      </w:r>
      <w:r w:rsidR="0022698C">
        <w:t xml:space="preserve"> </w:t>
      </w:r>
    </w:p>
    <w:p w:rsidR="00122DEA" w:rsidRPr="00E7089A" w:rsidRDefault="003F3010" w:rsidP="00BE6804">
      <w:pPr>
        <w:pStyle w:val="Levela"/>
      </w:pPr>
      <w:bookmarkStart w:id="21" w:name="_Ref374544424"/>
      <w:bookmarkStart w:id="22" w:name="_Ref372886017"/>
      <w:r w:rsidRPr="00E7089A">
        <w:t>[</w:t>
      </w:r>
      <w:r w:rsidR="00BE6804" w:rsidRPr="00E7089A">
        <w:t>[</w:t>
      </w:r>
      <w:r w:rsidR="001C59AC" w:rsidRPr="00E7089A">
        <w:t xml:space="preserve">Each financing statement referred to in </w:t>
      </w:r>
      <w:r w:rsidR="00AC2718" w:rsidRPr="00E7089A">
        <w:t>Schedule 3</w:t>
      </w:r>
      <w:r w:rsidR="001C59AC" w:rsidRPr="00E7089A">
        <w:t xml:space="preserve"> has been registered </w:t>
      </w:r>
      <w:r w:rsidR="0078632B" w:rsidRPr="00E7089A">
        <w:t>under the PPSA.</w:t>
      </w:r>
      <w:r w:rsidR="00BE6804" w:rsidRPr="00E7089A">
        <w:t>]</w:t>
      </w:r>
      <w:r w:rsidR="001C59AC" w:rsidRPr="00E7089A">
        <w:t xml:space="preserve"> </w:t>
      </w:r>
      <w:r w:rsidR="006838A6" w:rsidRPr="00E7089A">
        <w:rPr>
          <w:b/>
        </w:rPr>
        <w:t xml:space="preserve">OR </w:t>
      </w:r>
      <w:r w:rsidR="00BE6804" w:rsidRPr="00E7089A">
        <w:t xml:space="preserve">[You have instructed us to register </w:t>
      </w:r>
      <w:r w:rsidR="00533333" w:rsidRPr="00E7089A">
        <w:t xml:space="preserve">each </w:t>
      </w:r>
      <w:r w:rsidR="00BE6804" w:rsidRPr="00E7089A">
        <w:t>financing statement referred to in Schedule 3.]</w:t>
      </w:r>
      <w:bookmarkEnd w:id="21"/>
      <w:r w:rsidR="00BE6804" w:rsidRPr="00E7089A">
        <w:t xml:space="preserve">  </w:t>
      </w:r>
    </w:p>
    <w:p w:rsidR="001C59AC" w:rsidRPr="00E7089A" w:rsidRDefault="00BE6804" w:rsidP="00122DEA">
      <w:pPr>
        <w:pStyle w:val="Levela"/>
        <w:numPr>
          <w:ilvl w:val="0"/>
          <w:numId w:val="0"/>
        </w:numPr>
        <w:ind w:left="1440"/>
        <w:rPr>
          <w:vertAlign w:val="superscript"/>
        </w:rPr>
      </w:pPr>
      <w:r w:rsidRPr="00E7089A">
        <w:t xml:space="preserve">Those registrations [perfect/ will perfect] </w:t>
      </w:r>
      <w:r w:rsidR="001C59AC" w:rsidRPr="00E7089A">
        <w:t xml:space="preserve">the </w:t>
      </w:r>
      <w:r w:rsidR="00AC2718" w:rsidRPr="00E7089A">
        <w:t>PPSA Security Interest</w:t>
      </w:r>
      <w:r w:rsidRPr="00E7089A">
        <w:t xml:space="preserve">s </w:t>
      </w:r>
      <w:r w:rsidR="005013D1">
        <w:t>granted</w:t>
      </w:r>
      <w:r w:rsidR="008075B2" w:rsidRPr="00E7089A">
        <w:t xml:space="preserve"> by the Company </w:t>
      </w:r>
      <w:r w:rsidR="00C01FBD" w:rsidRPr="00E7089A">
        <w:t xml:space="preserve">under </w:t>
      </w:r>
      <w:r w:rsidR="000F049B" w:rsidRPr="00E7089A">
        <w:t xml:space="preserve">the Documents </w:t>
      </w:r>
      <w:r w:rsidR="00AC2718" w:rsidRPr="00E7089A">
        <w:t>over the personal property</w:t>
      </w:r>
      <w:r w:rsidR="00BA1BC4" w:rsidRPr="00E7089A">
        <w:t xml:space="preserve"> described in the financing statement</w:t>
      </w:r>
      <w:r w:rsidRPr="00E7089A">
        <w:t>s</w:t>
      </w:r>
      <w:r w:rsidR="003F3010" w:rsidRPr="00E7089A">
        <w:t>,</w:t>
      </w:r>
      <w:r w:rsidR="00AC2718" w:rsidRPr="00E7089A">
        <w:t xml:space="preserve"> </w:t>
      </w:r>
      <w:r w:rsidR="00BA1BC4" w:rsidRPr="00E7089A">
        <w:t xml:space="preserve">to the </w:t>
      </w:r>
      <w:r w:rsidR="00BA1BC4" w:rsidRPr="00E7089A">
        <w:lastRenderedPageBreak/>
        <w:t>extent</w:t>
      </w:r>
      <w:r w:rsidR="000F049B" w:rsidRPr="00E7089A">
        <w:t xml:space="preserve"> the personal property </w:t>
      </w:r>
      <w:r w:rsidR="003B0E9F" w:rsidRPr="00E7089A">
        <w:t xml:space="preserve">subject to the PPSA Security Interests </w:t>
      </w:r>
      <w:r w:rsidR="000F049B" w:rsidRPr="00E7089A">
        <w:t xml:space="preserve">is </w:t>
      </w:r>
      <w:r w:rsidR="00AC2718" w:rsidRPr="00E7089A">
        <w:t>within the collateral class</w:t>
      </w:r>
      <w:r w:rsidRPr="00E7089A">
        <w:t>es</w:t>
      </w:r>
      <w:r w:rsidR="00AC2718" w:rsidRPr="00E7089A">
        <w:t xml:space="preserve"> the subject of </w:t>
      </w:r>
      <w:r w:rsidRPr="00E7089A">
        <w:t xml:space="preserve">those </w:t>
      </w:r>
      <w:r w:rsidR="00AC2718" w:rsidRPr="00E7089A">
        <w:t>registration</w:t>
      </w:r>
      <w:r w:rsidRPr="00E7089A">
        <w:t>s</w:t>
      </w:r>
      <w:r w:rsidR="004F0DA4" w:rsidRPr="00E7089A">
        <w:t xml:space="preserve">, except as </w:t>
      </w:r>
      <w:r w:rsidR="00122DEA" w:rsidRPr="00E7089A">
        <w:t>noted</w:t>
      </w:r>
      <w:r w:rsidR="004F0DA4" w:rsidRPr="00E7089A">
        <w:t xml:space="preserve"> in Schedule 3</w:t>
      </w:r>
      <w:r w:rsidRPr="00E7089A">
        <w:t>.</w:t>
      </w:r>
      <w:bookmarkEnd w:id="22"/>
      <w:r w:rsidR="003F3010" w:rsidRPr="00E7089A">
        <w:t>]</w:t>
      </w:r>
      <w:r w:rsidR="00122DEA" w:rsidRPr="00E7089A">
        <w:rPr>
          <w:vertAlign w:val="superscript"/>
        </w:rPr>
        <w:t xml:space="preserve"> [optional – see endnote </w:t>
      </w:r>
      <w:bookmarkStart w:id="23" w:name="_Ref389472560"/>
      <w:r w:rsidR="003F3010" w:rsidRPr="00E7089A">
        <w:rPr>
          <w:rStyle w:val="EndnoteReference"/>
        </w:rPr>
        <w:endnoteReference w:id="26"/>
      </w:r>
      <w:bookmarkEnd w:id="23"/>
      <w:r w:rsidR="00122DEA" w:rsidRPr="00E7089A">
        <w:rPr>
          <w:vertAlign w:val="superscript"/>
        </w:rPr>
        <w:t>]</w:t>
      </w:r>
    </w:p>
    <w:p w:rsidR="0010148D" w:rsidRPr="00E7089A" w:rsidRDefault="0010148D" w:rsidP="0056422D">
      <w:pPr>
        <w:pStyle w:val="Level1"/>
        <w:keepNext/>
        <w:rPr>
          <w:b/>
        </w:rPr>
      </w:pPr>
      <w:r w:rsidRPr="00E7089A">
        <w:rPr>
          <w:b/>
        </w:rPr>
        <w:t>BENEFIT</w:t>
      </w:r>
    </w:p>
    <w:p w:rsidR="00022920" w:rsidRPr="00E7089A" w:rsidRDefault="00022920" w:rsidP="001E08B7">
      <w:pPr>
        <w:pStyle w:val="Level1fo"/>
      </w:pPr>
      <w:r w:rsidRPr="00E7089A">
        <w:t xml:space="preserve">We are providing this opinion for your sole benefit in connection with the </w:t>
      </w:r>
      <w:r w:rsidR="003B58B3" w:rsidRPr="00E7089A">
        <w:t>Document</w:t>
      </w:r>
      <w:r w:rsidR="002D51E3" w:rsidRPr="00E7089A">
        <w:t>s</w:t>
      </w:r>
      <w:r w:rsidRPr="00E7089A">
        <w:t xml:space="preserve">.  It is not to be used or relied on by any other person or for any other purpose without our written consent.  </w:t>
      </w:r>
    </w:p>
    <w:p w:rsidR="00022920" w:rsidRPr="00E7089A" w:rsidRDefault="00022920" w:rsidP="0023122A">
      <w:pPr>
        <w:pStyle w:val="Level1fo"/>
        <w:keepNext/>
      </w:pPr>
      <w:r w:rsidRPr="00E7089A">
        <w:t xml:space="preserve">This opinion is confidential.  It may not be disclosed to any </w:t>
      </w:r>
      <w:r w:rsidR="00396A59" w:rsidRPr="00E7089A">
        <w:t xml:space="preserve">government agency or </w:t>
      </w:r>
      <w:r w:rsidRPr="00E7089A">
        <w:t>other person, quoted in any public do</w:t>
      </w:r>
      <w:r w:rsidR="00781006" w:rsidRPr="00E7089A">
        <w:t>cument or otherwise referred to</w:t>
      </w:r>
      <w:r w:rsidRPr="00E7089A">
        <w:t xml:space="preserve"> without our written </w:t>
      </w:r>
      <w:r w:rsidR="009A0513" w:rsidRPr="00E7089A">
        <w:t>consent</w:t>
      </w:r>
      <w:r w:rsidRPr="00E7089A">
        <w:t xml:space="preserve">, </w:t>
      </w:r>
      <w:r w:rsidR="00994C2C" w:rsidRPr="00E7089A">
        <w:t xml:space="preserve">except that it may be </w:t>
      </w:r>
      <w:r w:rsidRPr="00E7089A">
        <w:t>disclosed (on a no-reliance basis):</w:t>
      </w:r>
    </w:p>
    <w:p w:rsidR="00022920" w:rsidRPr="00E7089A" w:rsidRDefault="00022920" w:rsidP="00022920">
      <w:pPr>
        <w:pStyle w:val="Levela"/>
      </w:pPr>
      <w:r w:rsidRPr="00E7089A">
        <w:t xml:space="preserve">to any person who proposes to become a [Finance Party] under the </w:t>
      </w:r>
      <w:r w:rsidR="002D51E3" w:rsidRPr="00E7089A">
        <w:t>Agreement</w:t>
      </w:r>
      <w:r w:rsidRPr="00E7089A">
        <w:t>;</w:t>
      </w:r>
    </w:p>
    <w:p w:rsidR="00022920" w:rsidRPr="00E7089A" w:rsidRDefault="005A7D28" w:rsidP="00022920">
      <w:pPr>
        <w:pStyle w:val="Levela"/>
      </w:pPr>
      <w:bookmarkStart w:id="24" w:name="_Ref268505772"/>
      <w:r w:rsidRPr="00E7089A">
        <w:t>as required by law (including</w:t>
      </w:r>
      <w:r w:rsidR="00A967CA">
        <w:t>,</w:t>
      </w:r>
      <w:r w:rsidRPr="00E7089A">
        <w:t xml:space="preserve"> </w:t>
      </w:r>
      <w:r w:rsidR="003A2735">
        <w:t>without limitation</w:t>
      </w:r>
      <w:r w:rsidR="00A967CA">
        <w:t>,</w:t>
      </w:r>
      <w:r w:rsidR="003A2735">
        <w:t xml:space="preserve"> </w:t>
      </w:r>
      <w:r w:rsidRPr="00E7089A">
        <w:t>the rules of a recognised stock exchange) or to any regulator having jurisdiction over your affairs</w:t>
      </w:r>
      <w:r w:rsidR="00022920" w:rsidRPr="00E7089A">
        <w:t>;</w:t>
      </w:r>
      <w:bookmarkEnd w:id="24"/>
    </w:p>
    <w:p w:rsidR="00022920" w:rsidRPr="00E7089A" w:rsidRDefault="008A1E63" w:rsidP="00022920">
      <w:pPr>
        <w:pStyle w:val="Levela"/>
      </w:pPr>
      <w:r w:rsidRPr="00E7089A">
        <w:t xml:space="preserve">to any person who </w:t>
      </w:r>
      <w:r w:rsidR="00022920" w:rsidRPr="00E7089A">
        <w:t>in the ordinary course has access to your papers and rec</w:t>
      </w:r>
      <w:r w:rsidRPr="00E7089A">
        <w:t>ords on the basis that the</w:t>
      </w:r>
      <w:r w:rsidR="00022920" w:rsidRPr="00E7089A">
        <w:t xml:space="preserve"> person makes no further disclosure; or</w:t>
      </w:r>
    </w:p>
    <w:p w:rsidR="0010148D" w:rsidRPr="00E7089A" w:rsidRDefault="00022920" w:rsidP="00022920">
      <w:pPr>
        <w:pStyle w:val="Levela"/>
      </w:pPr>
      <w:bookmarkStart w:id="25" w:name="_Ref268505776"/>
      <w:r w:rsidRPr="00E7089A">
        <w:t>as required in connection with</w:t>
      </w:r>
      <w:r w:rsidR="00AB61DC" w:rsidRPr="00E7089A">
        <w:t xml:space="preserve"> any actual or contemplated</w:t>
      </w:r>
      <w:r w:rsidRPr="00E7089A">
        <w:t xml:space="preserve"> legal proceedings relating to </w:t>
      </w:r>
      <w:r w:rsidR="002D51E3" w:rsidRPr="00E7089A">
        <w:t xml:space="preserve">a </w:t>
      </w:r>
      <w:r w:rsidR="003B58B3" w:rsidRPr="00E7089A">
        <w:t>Document</w:t>
      </w:r>
      <w:r w:rsidRPr="00E7089A">
        <w:t xml:space="preserve"> or this opinion</w:t>
      </w:r>
      <w:r w:rsidR="00396A59" w:rsidRPr="00E7089A">
        <w:t>.</w:t>
      </w:r>
      <w:bookmarkEnd w:id="25"/>
    </w:p>
    <w:p w:rsidR="009117FB" w:rsidRPr="00E7089A" w:rsidRDefault="009117FB" w:rsidP="009117FB">
      <w:r w:rsidRPr="00E7089A">
        <w:t>Yours faithfully</w:t>
      </w:r>
    </w:p>
    <w:p w:rsidR="0010148D" w:rsidRPr="00E7089A" w:rsidRDefault="0010148D" w:rsidP="00204AA3">
      <w:pPr>
        <w:pStyle w:val="Title"/>
      </w:pPr>
      <w:r w:rsidRPr="00E7089A">
        <w:br w:type="page"/>
      </w:r>
      <w:r w:rsidRPr="00E7089A">
        <w:lastRenderedPageBreak/>
        <w:t>Schedule 1</w:t>
      </w:r>
    </w:p>
    <w:p w:rsidR="0010148D" w:rsidRPr="00E7089A" w:rsidRDefault="0010148D" w:rsidP="00204AA3">
      <w:pPr>
        <w:pStyle w:val="Subtitle"/>
      </w:pPr>
      <w:r w:rsidRPr="00E7089A">
        <w:t>Assumptions</w:t>
      </w:r>
    </w:p>
    <w:p w:rsidR="0010148D" w:rsidRPr="00E7089A" w:rsidRDefault="0010148D" w:rsidP="009F636D">
      <w:pPr>
        <w:pStyle w:val="Level1"/>
        <w:numPr>
          <w:ilvl w:val="0"/>
          <w:numId w:val="25"/>
        </w:numPr>
      </w:pPr>
      <w:r w:rsidRPr="00E7089A">
        <w:t>All dates, signatures, seals and duty markings are authentic.</w:t>
      </w:r>
    </w:p>
    <w:p w:rsidR="0010148D" w:rsidRPr="00E7089A" w:rsidRDefault="0010148D" w:rsidP="009F636D">
      <w:pPr>
        <w:pStyle w:val="Level1"/>
      </w:pPr>
      <w:r w:rsidRPr="00E7089A">
        <w:t>If we have reviewed a copy of a document, it is a</w:t>
      </w:r>
      <w:r w:rsidR="005A7D28" w:rsidRPr="00E7089A">
        <w:t xml:space="preserve"> correct and</w:t>
      </w:r>
      <w:r w:rsidRPr="00E7089A">
        <w:t xml:space="preserve"> complete copy of the original.</w:t>
      </w:r>
    </w:p>
    <w:p w:rsidR="0010148D" w:rsidRPr="00E7089A" w:rsidRDefault="0010148D" w:rsidP="009F636D">
      <w:pPr>
        <w:pStyle w:val="Level1"/>
      </w:pPr>
      <w:r w:rsidRPr="00E7089A">
        <w:t>If we have reviewed only a draft of a document, it has been or will be executed in the form of that draft.</w:t>
      </w:r>
    </w:p>
    <w:p w:rsidR="0010148D" w:rsidRPr="00E7089A" w:rsidRDefault="00DE1D8C" w:rsidP="009F636D">
      <w:pPr>
        <w:pStyle w:val="Level1"/>
      </w:pPr>
      <w:r w:rsidRPr="00E7089A">
        <w:t xml:space="preserve">No </w:t>
      </w:r>
      <w:r w:rsidR="003B58B3" w:rsidRPr="00E7089A">
        <w:t>Document</w:t>
      </w:r>
      <w:r w:rsidR="00381427" w:rsidRPr="00E7089A">
        <w:t xml:space="preserve"> has </w:t>
      </w:r>
      <w:r w:rsidR="0010148D" w:rsidRPr="00E7089A">
        <w:t>been amended, released or terminated.</w:t>
      </w:r>
    </w:p>
    <w:p w:rsidR="00396A59" w:rsidRPr="00E7089A" w:rsidRDefault="0010148D" w:rsidP="009F636D">
      <w:pPr>
        <w:pStyle w:val="Level1"/>
      </w:pPr>
      <w:r w:rsidRPr="00E7089A">
        <w:t>No person has engaged or will engage in unconscionable, misleading or deceptive conduct (by act or omission)</w:t>
      </w:r>
      <w:r w:rsidR="001D164C" w:rsidRPr="00E7089A">
        <w:t xml:space="preserve"> that might make any part of this opinion incorrect</w:t>
      </w:r>
      <w:r w:rsidR="008D318D" w:rsidRPr="00E7089A">
        <w:t>.  No person has engaged or will engage</w:t>
      </w:r>
      <w:r w:rsidRPr="00E7089A">
        <w:t xml:space="preserve"> in any other conduct</w:t>
      </w:r>
      <w:r w:rsidR="005A7D28" w:rsidRPr="00E7089A">
        <w:t>, and there are no</w:t>
      </w:r>
      <w:r w:rsidR="008D318D" w:rsidRPr="00E7089A">
        <w:t xml:space="preserve"> facts or circumstances not eviden</w:t>
      </w:r>
      <w:r w:rsidR="005A7D28" w:rsidRPr="00E7089A">
        <w:t>t</w:t>
      </w:r>
      <w:r w:rsidR="008D318D" w:rsidRPr="00E7089A">
        <w:t xml:space="preserve"> from the face of the documents listed in </w:t>
      </w:r>
      <w:r w:rsidR="008D7082" w:rsidRPr="00E7089A">
        <w:t>paragraph</w:t>
      </w:r>
      <w:r w:rsidR="008D318D" w:rsidRPr="00E7089A">
        <w:t xml:space="preserve"> </w:t>
      </w:r>
      <w:r w:rsidR="00F15AE9" w:rsidRPr="00E7089A">
        <w:fldChar w:fldCharType="begin"/>
      </w:r>
      <w:r w:rsidR="00F15AE9" w:rsidRPr="00E7089A">
        <w:instrText xml:space="preserve"> REF _Ref374544369 \w \h </w:instrText>
      </w:r>
      <w:r w:rsidR="00E7089A">
        <w:instrText xml:space="preserve"> \* MERGEFORMAT </w:instrText>
      </w:r>
      <w:r w:rsidR="00F15AE9" w:rsidRPr="00E7089A">
        <w:fldChar w:fldCharType="separate"/>
      </w:r>
      <w:r w:rsidR="00D12F5D">
        <w:t>2</w:t>
      </w:r>
      <w:r w:rsidR="00F15AE9" w:rsidRPr="00E7089A">
        <w:fldChar w:fldCharType="end"/>
      </w:r>
      <w:r w:rsidR="008D318D" w:rsidRPr="00E7089A">
        <w:t xml:space="preserve"> of this opinion,</w:t>
      </w:r>
      <w:r w:rsidRPr="00E7089A">
        <w:t xml:space="preserve"> that might make any part of this opinion incorrect</w:t>
      </w:r>
      <w:r w:rsidR="00396A59" w:rsidRPr="00E7089A">
        <w:t xml:space="preserve"> </w:t>
      </w:r>
      <w:r w:rsidR="00193A40" w:rsidRPr="00E7089A">
        <w:t>[</w:t>
      </w:r>
      <w:r w:rsidR="00396A59" w:rsidRPr="00E7089A">
        <w:t xml:space="preserve">including, without </w:t>
      </w:r>
      <w:r w:rsidR="003A2735">
        <w:t>limitation</w:t>
      </w:r>
      <w:r w:rsidR="00396A59" w:rsidRPr="00E7089A">
        <w:t xml:space="preserve">, whether </w:t>
      </w:r>
      <w:r w:rsidR="00DE1D8C" w:rsidRPr="00E7089A">
        <w:t xml:space="preserve">a </w:t>
      </w:r>
      <w:r w:rsidR="003B58B3" w:rsidRPr="00E7089A">
        <w:t>Document</w:t>
      </w:r>
      <w:r w:rsidR="00396A59" w:rsidRPr="00E7089A">
        <w:t xml:space="preserve"> or a transaction in connection </w:t>
      </w:r>
      <w:r w:rsidR="00211FDB" w:rsidRPr="00E7089A">
        <w:t xml:space="preserve">with </w:t>
      </w:r>
      <w:r w:rsidR="0082432F" w:rsidRPr="00E7089A">
        <w:t>it</w:t>
      </w:r>
      <w:r w:rsidR="00396A59" w:rsidRPr="00E7089A">
        <w:t xml:space="preserve"> will:</w:t>
      </w:r>
    </w:p>
    <w:p w:rsidR="00396A59" w:rsidRPr="00E7089A" w:rsidRDefault="00396A59" w:rsidP="00C64A97">
      <w:pPr>
        <w:pStyle w:val="Levela"/>
      </w:pPr>
      <w:r w:rsidRPr="00E7089A">
        <w:t xml:space="preserve">financially assist a person to acquire shares in </w:t>
      </w:r>
      <w:r w:rsidR="00FB3E32" w:rsidRPr="00E7089A">
        <w:t>the</w:t>
      </w:r>
      <w:r w:rsidR="00DE1D8C" w:rsidRPr="00E7089A">
        <w:t xml:space="preserve"> </w:t>
      </w:r>
      <w:r w:rsidR="00417B8A" w:rsidRPr="00E7089A">
        <w:t>Company</w:t>
      </w:r>
      <w:r w:rsidRPr="00E7089A">
        <w:t xml:space="preserve"> (or a holding </w:t>
      </w:r>
      <w:r w:rsidR="003B58B3" w:rsidRPr="00E7089A">
        <w:t>company</w:t>
      </w:r>
      <w:r w:rsidRPr="00E7089A">
        <w:t xml:space="preserve"> of </w:t>
      </w:r>
      <w:r w:rsidR="00FB3E32" w:rsidRPr="00E7089A">
        <w:t>the</w:t>
      </w:r>
      <w:r w:rsidRPr="00E7089A">
        <w:t xml:space="preserve"> </w:t>
      </w:r>
      <w:r w:rsidR="00417B8A" w:rsidRPr="00E7089A">
        <w:t>Company</w:t>
      </w:r>
      <w:r w:rsidRPr="00E7089A">
        <w:t>) in contravention of section 260A (</w:t>
      </w:r>
      <w:r w:rsidRPr="00E7089A">
        <w:rPr>
          <w:i/>
          <w:iCs/>
        </w:rPr>
        <w:t>Financial assistance for acquiring shares</w:t>
      </w:r>
      <w:r w:rsidRPr="00E7089A">
        <w:t>)</w:t>
      </w:r>
      <w:r w:rsidRPr="00E7089A">
        <w:rPr>
          <w:i/>
          <w:iCs/>
        </w:rPr>
        <w:t xml:space="preserve"> </w:t>
      </w:r>
      <w:r w:rsidRPr="00E7089A">
        <w:t>of the Corporations Act; or</w:t>
      </w:r>
    </w:p>
    <w:p w:rsidR="0010148D" w:rsidRPr="00E7089A" w:rsidRDefault="00396A59" w:rsidP="00C64A97">
      <w:pPr>
        <w:pStyle w:val="Levela"/>
      </w:pPr>
      <w:r w:rsidRPr="00E7089A">
        <w:t xml:space="preserve">constitute a financial benefit to a related party of </w:t>
      </w:r>
      <w:r w:rsidR="00FB3E32" w:rsidRPr="00E7089A">
        <w:t>the</w:t>
      </w:r>
      <w:r w:rsidR="00DE1D8C" w:rsidRPr="00E7089A">
        <w:t xml:space="preserve"> </w:t>
      </w:r>
      <w:r w:rsidR="00417B8A" w:rsidRPr="00E7089A">
        <w:t>Company</w:t>
      </w:r>
      <w:r w:rsidRPr="00E7089A">
        <w:t xml:space="preserve"> in contravention of Chapter 2E (</w:t>
      </w:r>
      <w:r w:rsidRPr="00E7089A">
        <w:rPr>
          <w:i/>
          <w:iCs/>
        </w:rPr>
        <w:t>related party transactions</w:t>
      </w:r>
      <w:r w:rsidRPr="00E7089A">
        <w:t>) of the Corporations Act.</w:t>
      </w:r>
      <w:r w:rsidR="00AB5E41" w:rsidRPr="00E7089A">
        <w:rPr>
          <w:rStyle w:val="EndnoteReference"/>
        </w:rPr>
        <w:endnoteReference w:id="27"/>
      </w:r>
      <w:r w:rsidR="00193A40" w:rsidRPr="00E7089A">
        <w:t>]</w:t>
      </w:r>
      <w:r w:rsidR="00D8511D" w:rsidRPr="00E7089A">
        <w:rPr>
          <w:rStyle w:val="EndnoteReference"/>
        </w:rPr>
        <w:endnoteReference w:id="28"/>
      </w:r>
    </w:p>
    <w:p w:rsidR="0010148D" w:rsidRPr="00E7089A" w:rsidRDefault="00FB3E32" w:rsidP="009F636D">
      <w:pPr>
        <w:pStyle w:val="Level1"/>
      </w:pPr>
      <w:r w:rsidRPr="00E7089A">
        <w:t xml:space="preserve">The </w:t>
      </w:r>
      <w:r w:rsidR="00417B8A" w:rsidRPr="00E7089A">
        <w:t>Company</w:t>
      </w:r>
      <w:r w:rsidR="0010148D" w:rsidRPr="00E7089A">
        <w:t xml:space="preserve"> enters into </w:t>
      </w:r>
      <w:r w:rsidR="00DE1D8C" w:rsidRPr="00E7089A">
        <w:t xml:space="preserve">each </w:t>
      </w:r>
      <w:r w:rsidR="003B58B3" w:rsidRPr="00E7089A">
        <w:t>Document</w:t>
      </w:r>
      <w:r w:rsidR="0010148D" w:rsidRPr="00E7089A">
        <w:t xml:space="preserve"> in its personal capacity, and not as trustee or agent or in any other capacity.</w:t>
      </w:r>
    </w:p>
    <w:p w:rsidR="0010148D" w:rsidRPr="00E7089A" w:rsidRDefault="005A7D28" w:rsidP="009F636D">
      <w:pPr>
        <w:pStyle w:val="Level1"/>
      </w:pPr>
      <w:bookmarkStart w:id="26" w:name="_Ref428436611"/>
      <w:r w:rsidRPr="00E7089A">
        <w:t xml:space="preserve">Each </w:t>
      </w:r>
      <w:r w:rsidR="00396A59" w:rsidRPr="00E7089A">
        <w:t xml:space="preserve">of </w:t>
      </w:r>
      <w:r w:rsidRPr="00E7089A">
        <w:t xml:space="preserve">the assumptions set out in section 129 of the Corporations Act </w:t>
      </w:r>
      <w:r w:rsidR="00396A59" w:rsidRPr="00E7089A">
        <w:t xml:space="preserve">is correct </w:t>
      </w:r>
      <w:r w:rsidRPr="00E7089A">
        <w:t xml:space="preserve">in relation to </w:t>
      </w:r>
      <w:r w:rsidR="003368DE" w:rsidRPr="00E7089A">
        <w:t xml:space="preserve">each </w:t>
      </w:r>
      <w:r w:rsidR="003B58B3" w:rsidRPr="00E7089A">
        <w:t>Document</w:t>
      </w:r>
      <w:r w:rsidRPr="00E7089A">
        <w:t xml:space="preserve">[, the Power of Attorney] and </w:t>
      </w:r>
      <w:r w:rsidR="00FB3E32" w:rsidRPr="00E7089A">
        <w:t xml:space="preserve">the </w:t>
      </w:r>
      <w:r w:rsidR="00417B8A" w:rsidRPr="00E7089A">
        <w:t>Company</w:t>
      </w:r>
      <w:r w:rsidRPr="00E7089A">
        <w:t>.</w:t>
      </w:r>
      <w:r w:rsidR="007359D6" w:rsidRPr="00B40AFA">
        <w:rPr>
          <w:rStyle w:val="EndnoteReference"/>
        </w:rPr>
        <w:endnoteReference w:id="29"/>
      </w:r>
      <w:bookmarkEnd w:id="26"/>
    </w:p>
    <w:p w:rsidR="00204AA3" w:rsidRPr="0013282C" w:rsidRDefault="007B4508" w:rsidP="009F636D">
      <w:pPr>
        <w:pStyle w:val="Level1"/>
      </w:pPr>
      <w:bookmarkStart w:id="27" w:name="_Ref374544656"/>
      <w:r w:rsidRPr="00B40AFA">
        <w:t>[</w:t>
      </w:r>
      <w:r w:rsidR="00E6672A" w:rsidRPr="00B40AFA">
        <w:t xml:space="preserve">[The/Each] person who executed </w:t>
      </w:r>
      <w:r w:rsidR="00B21FB3" w:rsidRPr="00B40AFA">
        <w:t xml:space="preserve">a </w:t>
      </w:r>
      <w:r w:rsidR="003B58B3" w:rsidRPr="00B40AFA">
        <w:t>Document</w:t>
      </w:r>
      <w:r w:rsidR="00E6672A" w:rsidRPr="00B40AFA">
        <w:t xml:space="preserve"> on behalf of </w:t>
      </w:r>
      <w:r w:rsidR="00FB3E32" w:rsidRPr="00B40AFA">
        <w:t>the</w:t>
      </w:r>
      <w:r w:rsidR="00B21FB3" w:rsidRPr="00B40AFA">
        <w:t xml:space="preserve"> </w:t>
      </w:r>
      <w:r w:rsidR="00417B8A" w:rsidRPr="00B40AFA">
        <w:t>Company</w:t>
      </w:r>
      <w:r w:rsidR="00E6672A" w:rsidRPr="00B40AFA">
        <w:t xml:space="preserve"> </w:t>
      </w:r>
      <w:r w:rsidR="00BA4E63" w:rsidRPr="00B40AFA">
        <w:t xml:space="preserve">held the </w:t>
      </w:r>
      <w:r w:rsidR="00C30E47" w:rsidRPr="00B40AFA">
        <w:t xml:space="preserve">position </w:t>
      </w:r>
      <w:r w:rsidR="00BA4E63" w:rsidRPr="00B40AFA">
        <w:t>they purported to hold.</w:t>
      </w:r>
      <w:r w:rsidR="00F5203E" w:rsidRPr="00B40AFA">
        <w:t xml:space="preserve">  </w:t>
      </w:r>
      <w:r w:rsidR="00204AA3" w:rsidRPr="00B40AFA">
        <w:t>The Power of Attorney has not been amended or revoked.</w:t>
      </w:r>
      <w:r w:rsidR="00C666D4" w:rsidRPr="00B40AFA">
        <w:rPr>
          <w:rStyle w:val="EndnoteReference"/>
        </w:rPr>
        <w:endnoteReference w:id="30"/>
      </w:r>
      <w:bookmarkEnd w:id="27"/>
      <w:r w:rsidR="00303CE5" w:rsidRPr="00B40AFA">
        <w:t xml:space="preserve"> </w:t>
      </w:r>
      <w:r w:rsidR="00303CE5" w:rsidRPr="0013282C">
        <w:t xml:space="preserve"> </w:t>
      </w:r>
    </w:p>
    <w:p w:rsidR="00204AA3" w:rsidRPr="00E7089A" w:rsidRDefault="003C4962" w:rsidP="009F636D">
      <w:pPr>
        <w:pStyle w:val="Level1"/>
      </w:pPr>
      <w:r w:rsidRPr="00E7089A">
        <w:t>[</w:t>
      </w:r>
      <w:r w:rsidR="00BA4E63" w:rsidRPr="00E7089A">
        <w:t>The auth</w:t>
      </w:r>
      <w:r w:rsidRPr="00E7089A">
        <w:t xml:space="preserve">orisations </w:t>
      </w:r>
      <w:r w:rsidR="00BE6804" w:rsidRPr="00E7089A">
        <w:t xml:space="preserve">listed </w:t>
      </w:r>
      <w:r w:rsidRPr="00E7089A">
        <w:t xml:space="preserve">in paragraph </w:t>
      </w:r>
      <w:r w:rsidR="009A444B">
        <w:t>2[</w:t>
      </w:r>
      <w:r w:rsidR="009A444B">
        <w:fldChar w:fldCharType="begin"/>
      </w:r>
      <w:r w:rsidR="009A444B">
        <w:instrText xml:space="preserve"> REF _Ref374544343 \n \h </w:instrText>
      </w:r>
      <w:r w:rsidR="009A444B">
        <w:fldChar w:fldCharType="separate"/>
      </w:r>
      <w:r w:rsidR="00D12F5D">
        <w:t>(e)</w:t>
      </w:r>
      <w:r w:rsidR="009A444B">
        <w:fldChar w:fldCharType="end"/>
      </w:r>
      <w:r w:rsidR="009A444B">
        <w:t>]</w:t>
      </w:r>
      <w:r w:rsidR="00F15AE9" w:rsidRPr="00E7089A">
        <w:t xml:space="preserve"> </w:t>
      </w:r>
      <w:r w:rsidR="00BA4E63" w:rsidRPr="00E7089A">
        <w:t>remain in effect.</w:t>
      </w:r>
      <w:r w:rsidRPr="00E7089A">
        <w:t>]</w:t>
      </w:r>
      <w:r w:rsidR="00FB3E32" w:rsidRPr="00E7089A">
        <w:rPr>
          <w:rStyle w:val="EndnoteReference"/>
        </w:rPr>
        <w:endnoteReference w:id="31"/>
      </w:r>
    </w:p>
    <w:p w:rsidR="00204AA3" w:rsidRPr="00E7089A" w:rsidRDefault="00B21FB3" w:rsidP="009F636D">
      <w:pPr>
        <w:pStyle w:val="Level1"/>
      </w:pPr>
      <w:r w:rsidRPr="00E7089A">
        <w:t xml:space="preserve">Each </w:t>
      </w:r>
      <w:r w:rsidR="003B58B3" w:rsidRPr="00E7089A">
        <w:t>Document</w:t>
      </w:r>
      <w:r w:rsidR="00381427" w:rsidRPr="00E7089A">
        <w:t>:</w:t>
      </w:r>
    </w:p>
    <w:p w:rsidR="00204AA3" w:rsidRPr="00E7089A" w:rsidRDefault="00381427" w:rsidP="00C64A97">
      <w:pPr>
        <w:pStyle w:val="Levela"/>
      </w:pPr>
      <w:r w:rsidRPr="00E7089A">
        <w:t>has</w:t>
      </w:r>
      <w:r w:rsidR="00204AA3" w:rsidRPr="00E7089A">
        <w:t xml:space="preserve"> been or will be validly authorised and entered into by each party to </w:t>
      </w:r>
      <w:r w:rsidRPr="00E7089A">
        <w:t>it</w:t>
      </w:r>
      <w:r w:rsidR="00204AA3" w:rsidRPr="00E7089A">
        <w:t xml:space="preserve"> other than the </w:t>
      </w:r>
      <w:r w:rsidR="00417B8A" w:rsidRPr="00E7089A">
        <w:t>Company</w:t>
      </w:r>
      <w:r w:rsidR="00204AA3" w:rsidRPr="00E7089A">
        <w:t xml:space="preserve">, and </w:t>
      </w:r>
      <w:r w:rsidRPr="00E7089A">
        <w:t>is</w:t>
      </w:r>
      <w:r w:rsidR="00204AA3" w:rsidRPr="00E7089A">
        <w:t xml:space="preserve"> binding on each </w:t>
      </w:r>
      <w:r w:rsidR="00994C2C" w:rsidRPr="00E7089A">
        <w:t xml:space="preserve">such </w:t>
      </w:r>
      <w:r w:rsidR="00204AA3" w:rsidRPr="00E7089A">
        <w:t>party under all applicable laws; and</w:t>
      </w:r>
    </w:p>
    <w:p w:rsidR="00204AA3" w:rsidRPr="00E7089A" w:rsidRDefault="00381427" w:rsidP="00C64A97">
      <w:pPr>
        <w:pStyle w:val="Levela"/>
      </w:pPr>
      <w:r w:rsidRPr="00E7089A">
        <w:t>is</w:t>
      </w:r>
      <w:r w:rsidR="00204AA3" w:rsidRPr="00E7089A">
        <w:t xml:space="preserve"> binding on the </w:t>
      </w:r>
      <w:r w:rsidR="00417B8A" w:rsidRPr="00E7089A">
        <w:t>Company</w:t>
      </w:r>
      <w:r w:rsidR="00204AA3" w:rsidRPr="00E7089A">
        <w:t xml:space="preserve"> under all applicable laws other than the laws </w:t>
      </w:r>
      <w:r w:rsidR="00193A40" w:rsidRPr="00E7089A">
        <w:t xml:space="preserve">of </w:t>
      </w:r>
      <w:r w:rsidR="00204AA3" w:rsidRPr="00E7089A">
        <w:t>the Relevant Jurisdictions.</w:t>
      </w:r>
    </w:p>
    <w:p w:rsidR="00204AA3" w:rsidRPr="00E7089A" w:rsidRDefault="00204AA3" w:rsidP="009F636D">
      <w:pPr>
        <w:pStyle w:val="Level1"/>
      </w:pPr>
      <w:r w:rsidRPr="00E7089A">
        <w:t xml:space="preserve">If </w:t>
      </w:r>
      <w:r w:rsidR="00B21FB3" w:rsidRPr="00E7089A">
        <w:t xml:space="preserve">a </w:t>
      </w:r>
      <w:r w:rsidR="003B58B3" w:rsidRPr="00E7089A">
        <w:t>Document</w:t>
      </w:r>
      <w:r w:rsidR="00381427" w:rsidRPr="00E7089A">
        <w:t xml:space="preserve"> </w:t>
      </w:r>
      <w:r w:rsidRPr="00E7089A">
        <w:t xml:space="preserve">is to be performed in a jurisdiction other than </w:t>
      </w:r>
      <w:r w:rsidR="00396A59" w:rsidRPr="00E7089A">
        <w:t>[</w:t>
      </w:r>
      <w:r w:rsidR="00396A59" w:rsidRPr="00E7089A">
        <w:rPr>
          <w:b/>
          <w:i/>
        </w:rPr>
        <w:t>list states/territories</w:t>
      </w:r>
      <w:r w:rsidR="00396A59" w:rsidRPr="00E7089A">
        <w:t>]</w:t>
      </w:r>
      <w:r w:rsidRPr="00E7089A">
        <w:t>, its performance will not be illegal under the laws of that jurisdiction.</w:t>
      </w:r>
    </w:p>
    <w:p w:rsidR="00204AA3" w:rsidRPr="00E7089A" w:rsidRDefault="0095481D" w:rsidP="0095481D">
      <w:pPr>
        <w:pStyle w:val="Level1"/>
      </w:pPr>
      <w:r w:rsidRPr="0095481D">
        <w:t xml:space="preserve">The Company </w:t>
      </w:r>
      <w:r w:rsidR="00CA31A7">
        <w:t>was</w:t>
      </w:r>
      <w:r w:rsidR="007177A5">
        <w:t xml:space="preserve"> solvent</w:t>
      </w:r>
      <w:r w:rsidR="0045026B">
        <w:t xml:space="preserve"> when and immediately after it entered into </w:t>
      </w:r>
      <w:r w:rsidR="007177A5">
        <w:t>the Documents</w:t>
      </w:r>
      <w:r w:rsidR="000D2E91">
        <w:t>.</w:t>
      </w:r>
      <w:r w:rsidR="000D2E91" w:rsidRPr="00E7089A">
        <w:rPr>
          <w:rStyle w:val="EndnoteReference"/>
        </w:rPr>
        <w:endnoteReference w:id="32"/>
      </w:r>
    </w:p>
    <w:p w:rsidR="00204AA3" w:rsidRPr="00E7089A" w:rsidRDefault="00204AA3" w:rsidP="009F636D">
      <w:pPr>
        <w:pStyle w:val="Level1"/>
      </w:pPr>
      <w:r w:rsidRPr="00E7089A">
        <w:t>The Code of Banking Pr</w:t>
      </w:r>
      <w:r w:rsidR="00381427" w:rsidRPr="00E7089A">
        <w:t>actice of the Australian Bankers</w:t>
      </w:r>
      <w:r w:rsidR="008D318D" w:rsidRPr="00E7089A">
        <w:t>'</w:t>
      </w:r>
      <w:r w:rsidRPr="00E7089A">
        <w:t xml:space="preserve"> Association does not apply to </w:t>
      </w:r>
      <w:r w:rsidR="00F3404F" w:rsidRPr="00E7089A">
        <w:t>a</w:t>
      </w:r>
      <w:r w:rsidR="00631BE7" w:rsidRPr="00E7089A">
        <w:t xml:space="preserve"> </w:t>
      </w:r>
      <w:r w:rsidR="003B58B3" w:rsidRPr="00E7089A">
        <w:t>Document</w:t>
      </w:r>
      <w:r w:rsidRPr="00E7089A">
        <w:t>.</w:t>
      </w:r>
    </w:p>
    <w:p w:rsidR="00AB5661" w:rsidRPr="00AB5661" w:rsidRDefault="00F3404F" w:rsidP="00887324">
      <w:pPr>
        <w:pStyle w:val="Level1"/>
      </w:pPr>
      <w:r w:rsidRPr="00E7089A">
        <w:t xml:space="preserve">The Company </w:t>
      </w:r>
      <w:r w:rsidR="00887324" w:rsidRPr="00E7089A">
        <w:t>has</w:t>
      </w:r>
      <w:r w:rsidR="008D7082" w:rsidRPr="00E7089A">
        <w:t>,</w:t>
      </w:r>
      <w:r w:rsidR="00887324" w:rsidRPr="00E7089A">
        <w:t xml:space="preserve"> </w:t>
      </w:r>
      <w:r w:rsidRPr="00E7089A">
        <w:t>or at the relevant time will have</w:t>
      </w:r>
      <w:r w:rsidR="008D7082" w:rsidRPr="00E7089A">
        <w:t>,</w:t>
      </w:r>
      <w:r w:rsidRPr="00E7089A">
        <w:t xml:space="preserve"> </w:t>
      </w:r>
      <w:r w:rsidR="00887324" w:rsidRPr="00E7089A">
        <w:t>sufficient rights in the</w:t>
      </w:r>
      <w:r w:rsidR="00422206" w:rsidRPr="00E7089A">
        <w:t xml:space="preserve"> property expressed to </w:t>
      </w:r>
      <w:r w:rsidR="00EE3F49" w:rsidRPr="00E7089A">
        <w:t xml:space="preserve">be subject to a Security Interest </w:t>
      </w:r>
      <w:r w:rsidR="00594887">
        <w:t>granted</w:t>
      </w:r>
      <w:r w:rsidR="00EE3F49" w:rsidRPr="00E7089A">
        <w:t xml:space="preserve"> by it</w:t>
      </w:r>
      <w:r w:rsidR="00887324" w:rsidRPr="00E7089A">
        <w:t xml:space="preserve"> for the </w:t>
      </w:r>
      <w:r w:rsidR="00B2089A" w:rsidRPr="00E7089A">
        <w:t>Security Interest</w:t>
      </w:r>
      <w:r w:rsidR="00887324" w:rsidRPr="00E7089A">
        <w:t xml:space="preserve"> to attach to</w:t>
      </w:r>
      <w:r w:rsidR="00EE3F49" w:rsidRPr="00E7089A">
        <w:t xml:space="preserve"> the property</w:t>
      </w:r>
      <w:r w:rsidR="008D7082" w:rsidRPr="00E7089A">
        <w:t>.</w:t>
      </w:r>
      <w:r w:rsidR="00457570" w:rsidRPr="00E7089A">
        <w:t xml:space="preserve"> [In relation to the real property subject to the Mortgage, the title search referred to in paragraph [4(a)(</w:t>
      </w:r>
      <w:r w:rsidR="00457570" w:rsidRPr="00A26473">
        <w:t>ii</w:t>
      </w:r>
      <w:r w:rsidR="00303CE5" w:rsidRPr="00A26473">
        <w:t>i</w:t>
      </w:r>
      <w:r w:rsidR="00A26473" w:rsidRPr="00A26473">
        <w:t>)</w:t>
      </w:r>
      <w:r w:rsidR="00457570" w:rsidRPr="00A26473">
        <w:t>]</w:t>
      </w:r>
      <w:r w:rsidR="00457570" w:rsidRPr="00E7089A">
        <w:t xml:space="preserve">  discloses that the </w:t>
      </w:r>
      <w:r w:rsidR="003D0890">
        <w:t>Company</w:t>
      </w:r>
      <w:r w:rsidR="00457570" w:rsidRPr="00E7089A">
        <w:t xml:space="preserve"> </w:t>
      </w:r>
      <w:r w:rsidR="00E60566" w:rsidRPr="00E7089A">
        <w:t>i</w:t>
      </w:r>
      <w:r w:rsidR="00457570" w:rsidRPr="00E7089A">
        <w:t>s the registered [proprietor/</w:t>
      </w:r>
      <w:r w:rsidR="0006271A">
        <w:t>owner/</w:t>
      </w:r>
      <w:r w:rsidR="00457570" w:rsidRPr="00E7089A">
        <w:t>lessee].]</w:t>
      </w:r>
      <w:r w:rsidR="00AC2718" w:rsidRPr="00E7089A">
        <w:rPr>
          <w:rStyle w:val="FootnoteReference"/>
        </w:rPr>
        <w:t xml:space="preserve"> </w:t>
      </w:r>
      <w:r w:rsidR="00143ADE" w:rsidRPr="00E7089A">
        <w:rPr>
          <w:rStyle w:val="EndnoteReference"/>
        </w:rPr>
        <w:endnoteReference w:id="33"/>
      </w:r>
      <w:r w:rsidR="00601B5A">
        <w:rPr>
          <w:vertAlign w:val="superscript"/>
        </w:rPr>
        <w:t>,</w:t>
      </w:r>
    </w:p>
    <w:p w:rsidR="00C6234C" w:rsidRPr="0013282C" w:rsidRDefault="006D3E63" w:rsidP="0013282C">
      <w:pPr>
        <w:pStyle w:val="Level1"/>
      </w:pPr>
      <w:r>
        <w:t xml:space="preserve">[You have complied with your verification obligations under law or administrative practice in relation to the execution </w:t>
      </w:r>
      <w:r w:rsidR="009345F6">
        <w:t>by the Company of each Mortgage</w:t>
      </w:r>
      <w:r w:rsidR="0006271A">
        <w:t>]</w:t>
      </w:r>
      <w:r>
        <w:t>.</w:t>
      </w:r>
      <w:r w:rsidR="00B40AFA">
        <w:rPr>
          <w:rStyle w:val="EndnoteReference"/>
        </w:rPr>
        <w:endnoteReference w:id="34"/>
      </w:r>
      <w:r w:rsidR="00B40AFA">
        <w:t xml:space="preserve"> </w:t>
      </w:r>
      <w:r w:rsidR="005A11D2">
        <w:t xml:space="preserve"> </w:t>
      </w:r>
      <w:r w:rsidR="0006271A">
        <w:t>[</w:t>
      </w:r>
      <w:r w:rsidR="0006271A">
        <w:rPr>
          <w:b/>
          <w:i/>
        </w:rPr>
        <w:t>delete if no Mortgage</w:t>
      </w:r>
      <w:r w:rsidR="0006271A">
        <w:t>]</w:t>
      </w:r>
    </w:p>
    <w:p w:rsidR="00887324" w:rsidRPr="00E7089A" w:rsidRDefault="008D7082" w:rsidP="00887324">
      <w:pPr>
        <w:pStyle w:val="Level1"/>
      </w:pPr>
      <w:r w:rsidRPr="00E7089A">
        <w:t>Any stam</w:t>
      </w:r>
      <w:r w:rsidR="007E0DBA" w:rsidRPr="00E7089A">
        <w:t xml:space="preserve">p duty or other documentary tax </w:t>
      </w:r>
      <w:r w:rsidR="00C16A08">
        <w:t xml:space="preserve">in connection with the </w:t>
      </w:r>
      <w:r w:rsidR="00625388">
        <w:t xml:space="preserve">Documents </w:t>
      </w:r>
      <w:r w:rsidRPr="00E7089A">
        <w:t>has been or will be paid</w:t>
      </w:r>
      <w:r w:rsidR="00887324" w:rsidRPr="00E7089A">
        <w:t>.</w:t>
      </w:r>
      <w:r w:rsidR="00B21FB3" w:rsidRPr="00E7089A">
        <w:rPr>
          <w:rStyle w:val="EndnoteReference"/>
        </w:rPr>
        <w:endnoteReference w:id="35"/>
      </w:r>
      <w:r w:rsidRPr="00E7089A">
        <w:t xml:space="preserve"> </w:t>
      </w:r>
    </w:p>
    <w:p w:rsidR="00204AA3" w:rsidRPr="00E7089A" w:rsidRDefault="00204AA3" w:rsidP="00381427">
      <w:pPr>
        <w:pStyle w:val="sch4"/>
        <w:numPr>
          <w:ilvl w:val="0"/>
          <w:numId w:val="0"/>
        </w:numPr>
      </w:pPr>
      <w:r w:rsidRPr="00E7089A">
        <w:lastRenderedPageBreak/>
        <w:t xml:space="preserve">We have not taken any step to investigate whether the assumptions </w:t>
      </w:r>
      <w:r w:rsidR="009F636D" w:rsidRPr="00E7089A">
        <w:t>in this opinion</w:t>
      </w:r>
      <w:r w:rsidR="00522359" w:rsidRPr="00E7089A">
        <w:t xml:space="preserve"> are</w:t>
      </w:r>
      <w:r w:rsidR="009F636D" w:rsidRPr="00E7089A">
        <w:t xml:space="preserve"> </w:t>
      </w:r>
      <w:r w:rsidRPr="00E7089A">
        <w:t>correct</w:t>
      </w:r>
      <w:r w:rsidR="00396A59" w:rsidRPr="00E7089A">
        <w:t>, except as expressly stated in this opinion</w:t>
      </w:r>
      <w:r w:rsidRPr="00E7089A">
        <w:t xml:space="preserve">.  However, </w:t>
      </w:r>
      <w:r w:rsidR="00396A59" w:rsidRPr="00E7089A">
        <w:t xml:space="preserve">without making any enquiries beyond the steps stated in this opinion, </w:t>
      </w:r>
      <w:r w:rsidRPr="00E7089A">
        <w:t xml:space="preserve">the </w:t>
      </w:r>
      <w:r w:rsidR="00BA4E63" w:rsidRPr="00E7089A">
        <w:t>people</w:t>
      </w:r>
      <w:r w:rsidR="00396A59" w:rsidRPr="00E7089A">
        <w:t xml:space="preserve"> </w:t>
      </w:r>
      <w:r w:rsidRPr="00E7089A">
        <w:t xml:space="preserve">primarily responsible for the preparation of this opinion </w:t>
      </w:r>
      <w:r w:rsidR="00BA4E63" w:rsidRPr="00E7089A">
        <w:t>(being [</w:t>
      </w:r>
      <w:r w:rsidR="00BA4E63" w:rsidRPr="00E7089A">
        <w:rPr>
          <w:b/>
          <w:bCs/>
          <w:i/>
          <w:iCs/>
        </w:rPr>
        <w:t>insert names of relevant individuals</w:t>
      </w:r>
      <w:r w:rsidR="00BA4E63" w:rsidRPr="00E7089A">
        <w:t xml:space="preserve">]) </w:t>
      </w:r>
      <w:r w:rsidR="000D28D9" w:rsidRPr="00E7089A">
        <w:t xml:space="preserve">are </w:t>
      </w:r>
      <w:r w:rsidR="00396A59" w:rsidRPr="00E7089A">
        <w:t>not actually aware</w:t>
      </w:r>
      <w:r w:rsidRPr="00E7089A">
        <w:t xml:space="preserve"> that any of the assumptions </w:t>
      </w:r>
      <w:r w:rsidR="000D28D9" w:rsidRPr="00E7089A">
        <w:t xml:space="preserve">are </w:t>
      </w:r>
      <w:r w:rsidRPr="00E7089A">
        <w:t>incorrect.</w:t>
      </w:r>
      <w:r w:rsidR="00E6672A" w:rsidRPr="00E7089A">
        <w:rPr>
          <w:rStyle w:val="EndnoteReference"/>
        </w:rPr>
        <w:endnoteReference w:id="36"/>
      </w:r>
    </w:p>
    <w:p w:rsidR="00000FF9" w:rsidRPr="00E7089A" w:rsidRDefault="00000FF9" w:rsidP="00204AA3">
      <w:pPr>
        <w:pStyle w:val="Title"/>
        <w:rPr>
          <w:b w:val="0"/>
        </w:rPr>
      </w:pPr>
      <w:r w:rsidRPr="00E7089A">
        <w:rPr>
          <w:b w:val="0"/>
        </w:rPr>
        <w:br w:type="page"/>
      </w:r>
      <w:r w:rsidRPr="00E7089A">
        <w:lastRenderedPageBreak/>
        <w:t>Schedule 2</w:t>
      </w:r>
    </w:p>
    <w:p w:rsidR="00000FF9" w:rsidRPr="00E7089A" w:rsidRDefault="00000FF9" w:rsidP="00204AA3">
      <w:pPr>
        <w:pStyle w:val="Subtitle"/>
        <w:rPr>
          <w:b w:val="0"/>
        </w:rPr>
      </w:pPr>
      <w:r w:rsidRPr="00E7089A">
        <w:t>Qualifications</w:t>
      </w:r>
      <w:r w:rsidR="00E15310" w:rsidRPr="00E7089A">
        <w:rPr>
          <w:rStyle w:val="EndnoteReference"/>
        </w:rPr>
        <w:endnoteReference w:id="37"/>
      </w:r>
    </w:p>
    <w:p w:rsidR="00F04B68" w:rsidRPr="00E7089A" w:rsidRDefault="00C64A97" w:rsidP="00C64A97">
      <w:pPr>
        <w:pStyle w:val="Level1"/>
        <w:numPr>
          <w:ilvl w:val="0"/>
          <w:numId w:val="26"/>
        </w:numPr>
      </w:pPr>
      <w:bookmarkStart w:id="28" w:name="_Ref389549755"/>
      <w:r w:rsidRPr="00E7089A">
        <w:t>A statement that an obligation is "binding" or "enforceable" means that the obligation is of a type and form that courts of the Relevant Jurisdictions will generally enforce.  It does not mean that the obligation</w:t>
      </w:r>
      <w:r w:rsidR="009345F6">
        <w:t xml:space="preserve"> </w:t>
      </w:r>
      <w:r w:rsidR="00A3757C">
        <w:t>and</w:t>
      </w:r>
      <w:r w:rsidR="009345F6">
        <w:t xml:space="preserve"> </w:t>
      </w:r>
      <w:r w:rsidR="006808E8">
        <w:rPr>
          <w:rFonts w:cs="Arial"/>
          <w:color w:val="000000"/>
        </w:rPr>
        <w:t xml:space="preserve">the rights of a creditor with respect to it </w:t>
      </w:r>
      <w:r w:rsidRPr="00E7089A">
        <w:t>can be enforced</w:t>
      </w:r>
      <w:r w:rsidR="006808E8">
        <w:t>,</w:t>
      </w:r>
      <w:r w:rsidRPr="00E7089A">
        <w:t xml:space="preserve"> </w:t>
      </w:r>
      <w:r w:rsidR="006808E8">
        <w:t xml:space="preserve">or that the obligation is binding, </w:t>
      </w:r>
      <w:r w:rsidRPr="00E7089A">
        <w:t>in all circumstances.  For example:</w:t>
      </w:r>
      <w:bookmarkEnd w:id="28"/>
    </w:p>
    <w:p w:rsidR="0070681C" w:rsidRPr="00E7089A" w:rsidRDefault="00C64A97" w:rsidP="00C64A97">
      <w:pPr>
        <w:pStyle w:val="Levela"/>
      </w:pPr>
      <w:r w:rsidRPr="00E7089A">
        <w:t>equitable remedies, such as injunction and specific performance, are discretionary;</w:t>
      </w:r>
    </w:p>
    <w:p w:rsidR="00B65AA7" w:rsidRPr="00E7089A" w:rsidRDefault="00BE13BD" w:rsidP="00B65AA7">
      <w:pPr>
        <w:pStyle w:val="Levela"/>
      </w:pPr>
      <w:bookmarkStart w:id="29" w:name="_Ref428436622"/>
      <w:r>
        <w:rPr>
          <w:rFonts w:cs="Arial"/>
          <w:color w:val="000000"/>
        </w:rPr>
        <w:t xml:space="preserve">an obligation and the rights of a creditor with respect to it </w:t>
      </w:r>
      <w:r w:rsidR="00C64A97" w:rsidRPr="00E7089A">
        <w:t xml:space="preserve">may be affected by laws relating to insolvency </w:t>
      </w:r>
      <w:r w:rsidR="004F0DA4" w:rsidRPr="00E7089A">
        <w:t>(including</w:t>
      </w:r>
      <w:r w:rsidR="003A2735">
        <w:t>, without limitation,</w:t>
      </w:r>
      <w:r w:rsidR="004F0DA4" w:rsidRPr="00E7089A">
        <w:t xml:space="preserve"> administration) </w:t>
      </w:r>
      <w:r w:rsidR="00C64A97" w:rsidRPr="00E7089A">
        <w:t>or other laws that affect creditors' rights generally</w:t>
      </w:r>
      <w:r w:rsidR="00DA3140" w:rsidRPr="00E7089A">
        <w:t>;</w:t>
      </w:r>
      <w:bookmarkEnd w:id="29"/>
    </w:p>
    <w:p w:rsidR="00DA3140" w:rsidRPr="00E7089A" w:rsidRDefault="00BE13BD" w:rsidP="00B65AA7">
      <w:pPr>
        <w:pStyle w:val="Levela"/>
      </w:pPr>
      <w:r>
        <w:rPr>
          <w:rFonts w:cs="Arial"/>
          <w:color w:val="000000"/>
        </w:rPr>
        <w:t xml:space="preserve">an obligation and the rights of a creditor with respect to it </w:t>
      </w:r>
      <w:r w:rsidR="00B65AA7" w:rsidRPr="00E7089A">
        <w:t>may be affected by</w:t>
      </w:r>
      <w:r w:rsidR="008D7082" w:rsidRPr="00E7089A">
        <w:t xml:space="preserve"> </w:t>
      </w:r>
      <w:r w:rsidR="00C403C2" w:rsidRPr="00E7089A">
        <w:t>general law doctrines</w:t>
      </w:r>
      <w:r w:rsidR="008D7082" w:rsidRPr="00E7089A">
        <w:t xml:space="preserve"> or statutory relief</w:t>
      </w:r>
      <w:r w:rsidR="00B65AA7" w:rsidRPr="00E7089A">
        <w:t xml:space="preserve"> </w:t>
      </w:r>
      <w:r w:rsidR="008F5B16" w:rsidRPr="00E7089A">
        <w:t xml:space="preserve">particularly </w:t>
      </w:r>
      <w:r w:rsidR="00B65AA7" w:rsidRPr="00E7089A">
        <w:t xml:space="preserve">in relation to matters such as fraud, misrepresentation, mistake, duress, unconscionable conduct, </w:t>
      </w:r>
      <w:r w:rsidR="00E72703">
        <w:t>unfair</w:t>
      </w:r>
      <w:r w:rsidR="001C4085">
        <w:t xml:space="preserve"> co</w:t>
      </w:r>
      <w:r w:rsidR="00E72703">
        <w:t xml:space="preserve">ntracts legislation, </w:t>
      </w:r>
      <w:r w:rsidR="00B65AA7" w:rsidRPr="00E7089A">
        <w:t>frustration, estoppel, wa</w:t>
      </w:r>
      <w:r w:rsidR="00DA3140" w:rsidRPr="00E7089A">
        <w:t>iver, lapse of time, penalties</w:t>
      </w:r>
      <w:r w:rsidR="00B65AA7" w:rsidRPr="00E7089A">
        <w:t xml:space="preserve">, courts retaining their ability to adjudicate, </w:t>
      </w:r>
      <w:r w:rsidR="00DA3140" w:rsidRPr="00E7089A">
        <w:t>public policy</w:t>
      </w:r>
      <w:r w:rsidR="00FF497F">
        <w:t xml:space="preserve"> or</w:t>
      </w:r>
      <w:r w:rsidR="008D7E3E">
        <w:t xml:space="preserve"> </w:t>
      </w:r>
      <w:r w:rsidR="00DA3140" w:rsidRPr="00E7089A">
        <w:t>illegality;</w:t>
      </w:r>
      <w:r w:rsidR="008F5B16" w:rsidRPr="00E7089A">
        <w:rPr>
          <w:rStyle w:val="EndnoteReference"/>
        </w:rPr>
        <w:endnoteReference w:id="38"/>
      </w:r>
    </w:p>
    <w:p w:rsidR="009034F4" w:rsidRPr="00E7089A" w:rsidRDefault="00790EED" w:rsidP="00B65AA7">
      <w:pPr>
        <w:pStyle w:val="Levela"/>
      </w:pPr>
      <w:r w:rsidRPr="00E7089A">
        <w:t xml:space="preserve">the </w:t>
      </w:r>
      <w:r w:rsidR="00DA3140" w:rsidRPr="00E7089A">
        <w:t xml:space="preserve">exercise of </w:t>
      </w:r>
      <w:r w:rsidR="00A41B74" w:rsidRPr="00E7089A">
        <w:t>right</w:t>
      </w:r>
      <w:r w:rsidRPr="00E7089A">
        <w:t>s</w:t>
      </w:r>
      <w:r w:rsidR="00C41933" w:rsidRPr="00E7089A">
        <w:t>,</w:t>
      </w:r>
      <w:r w:rsidR="00A41B74" w:rsidRPr="00E7089A">
        <w:t xml:space="preserve"> </w:t>
      </w:r>
      <w:r w:rsidR="00DA3140" w:rsidRPr="00E7089A">
        <w:t>power</w:t>
      </w:r>
      <w:r w:rsidRPr="00E7089A">
        <w:t>s</w:t>
      </w:r>
      <w:r w:rsidR="00C41933" w:rsidRPr="00E7089A">
        <w:t xml:space="preserve"> or remed</w:t>
      </w:r>
      <w:r w:rsidRPr="00E7089A">
        <w:t>ies</w:t>
      </w:r>
      <w:r w:rsidR="00DA3140" w:rsidRPr="00E7089A">
        <w:t xml:space="preserve"> under</w:t>
      </w:r>
      <w:r w:rsidR="00E60566" w:rsidRPr="00E7089A">
        <w:t>,</w:t>
      </w:r>
      <w:r w:rsidR="00DA3140" w:rsidRPr="00E7089A">
        <w:t xml:space="preserve"> </w:t>
      </w:r>
      <w:r w:rsidR="003C61EC" w:rsidRPr="00E7089A">
        <w:t>or in relation to</w:t>
      </w:r>
      <w:r w:rsidR="00E60566" w:rsidRPr="00E7089A">
        <w:t>,</w:t>
      </w:r>
      <w:r w:rsidR="003C61EC" w:rsidRPr="00E7089A">
        <w:t xml:space="preserve"> </w:t>
      </w:r>
      <w:r w:rsidR="00E60566" w:rsidRPr="00E7089A">
        <w:t xml:space="preserve">any </w:t>
      </w:r>
      <w:r w:rsidR="00D27B9B" w:rsidRPr="00E7089A">
        <w:t xml:space="preserve">Security </w:t>
      </w:r>
      <w:r w:rsidR="00C21357" w:rsidRPr="00E7089A">
        <w:t>Interests or the Documents</w:t>
      </w:r>
      <w:r w:rsidRPr="00E7089A">
        <w:t xml:space="preserve"> </w:t>
      </w:r>
      <w:r w:rsidR="00E60566" w:rsidRPr="00E7089A">
        <w:t>(including</w:t>
      </w:r>
      <w:r w:rsidR="00A967CA">
        <w:t>,</w:t>
      </w:r>
      <w:r w:rsidR="003A2735">
        <w:t xml:space="preserve"> without limitation</w:t>
      </w:r>
      <w:r w:rsidR="00A967CA">
        <w:t>,</w:t>
      </w:r>
      <w:r w:rsidR="00E60566" w:rsidRPr="00E7089A">
        <w:t xml:space="preserve"> the application of the proceeds of insurance, </w:t>
      </w:r>
      <w:r w:rsidR="00DF4E95">
        <w:t xml:space="preserve">property, </w:t>
      </w:r>
      <w:r w:rsidR="00E60566" w:rsidRPr="00E7089A">
        <w:t xml:space="preserve">sale or enforcement) </w:t>
      </w:r>
      <w:r w:rsidR="00D27B9B" w:rsidRPr="00E7089A">
        <w:t>is</w:t>
      </w:r>
      <w:r w:rsidR="00DA3140" w:rsidRPr="00E7089A">
        <w:t xml:space="preserve"> subject to a number of general law or statutory restrictions</w:t>
      </w:r>
      <w:r w:rsidR="00C403C2" w:rsidRPr="00E7089A">
        <w:t>, requirements</w:t>
      </w:r>
      <w:r w:rsidR="00DA3140" w:rsidRPr="00E7089A">
        <w:t xml:space="preserve"> </w:t>
      </w:r>
      <w:r w:rsidR="00A41B74" w:rsidRPr="00E7089A">
        <w:t>and duties</w:t>
      </w:r>
      <w:r w:rsidR="009034F4" w:rsidRPr="00E7089A">
        <w:t xml:space="preserve">; and </w:t>
      </w:r>
      <w:r w:rsidR="00917DC7" w:rsidRPr="00E7089A">
        <w:t xml:space="preserve"> </w:t>
      </w:r>
    </w:p>
    <w:p w:rsidR="00C64A97" w:rsidRPr="00E7089A" w:rsidRDefault="009034F4" w:rsidP="009034F4">
      <w:pPr>
        <w:pStyle w:val="Levela"/>
      </w:pPr>
      <w:r w:rsidRPr="00E7089A">
        <w:t>the laws of some jurisdictions limit a person's obligation to insure property, or may provide that the grant of a subsequent Security Interest cannot constitute a breach of an obligation or allow acceleration.</w:t>
      </w:r>
      <w:r w:rsidR="00CA1603" w:rsidRPr="00E7089A">
        <w:rPr>
          <w:rStyle w:val="EndnoteReference"/>
        </w:rPr>
        <w:endnoteReference w:id="39"/>
      </w:r>
    </w:p>
    <w:p w:rsidR="00C64A97" w:rsidRPr="00E7089A" w:rsidRDefault="00C64A97" w:rsidP="009F282F">
      <w:pPr>
        <w:pStyle w:val="Level1"/>
      </w:pPr>
      <w:r w:rsidRPr="00E7089A">
        <w:t>A court might decline to exercise jurisdiction</w:t>
      </w:r>
      <w:r w:rsidR="00A23C04" w:rsidRPr="00E7089A">
        <w:t xml:space="preserve"> </w:t>
      </w:r>
      <w:r w:rsidR="007E6B72" w:rsidRPr="00E7089A">
        <w:t>(</w:t>
      </w:r>
      <w:r w:rsidR="00A23C04" w:rsidRPr="00E7089A">
        <w:t>for example</w:t>
      </w:r>
      <w:r w:rsidR="00163626" w:rsidRPr="00E7089A">
        <w:t>,</w:t>
      </w:r>
      <w:r w:rsidRPr="00E7089A">
        <w:t xml:space="preserve"> if it considers that it is not the most appropriate forum</w:t>
      </w:r>
      <w:r w:rsidR="00631BE7" w:rsidRPr="00E7089A">
        <w:t>,</w:t>
      </w:r>
      <w:r w:rsidR="00E60566" w:rsidRPr="00E7089A">
        <w:t xml:space="preserve"> </w:t>
      </w:r>
      <w:r w:rsidR="00AC73F9" w:rsidRPr="00E7089A">
        <w:t>or</w:t>
      </w:r>
      <w:r w:rsidRPr="00E7089A">
        <w:t xml:space="preserve"> if the subject matter is concurrently before another court</w:t>
      </w:r>
      <w:r w:rsidR="007E6B72" w:rsidRPr="00E7089A">
        <w:t>)</w:t>
      </w:r>
      <w:r w:rsidRPr="00E7089A">
        <w:rPr>
          <w:rFonts w:cs="Arial"/>
        </w:rPr>
        <w:t>.</w:t>
      </w:r>
    </w:p>
    <w:p w:rsidR="00C64A97" w:rsidRPr="00E7089A" w:rsidRDefault="00C64A97" w:rsidP="00C64A97">
      <w:pPr>
        <w:pStyle w:val="Level1"/>
      </w:pPr>
      <w:r w:rsidRPr="00E7089A">
        <w:t xml:space="preserve">The laws of the Relevant Jurisdictions may require that parties act reasonably </w:t>
      </w:r>
      <w:r w:rsidR="00A23C04" w:rsidRPr="00E7089A">
        <w:t xml:space="preserve">or </w:t>
      </w:r>
      <w:r w:rsidRPr="00E7089A">
        <w:t>in good faith in their dealings with each other, including</w:t>
      </w:r>
      <w:r w:rsidR="00A967CA">
        <w:t>,</w:t>
      </w:r>
      <w:r w:rsidR="003A2735">
        <w:t xml:space="preserve"> without limitation</w:t>
      </w:r>
      <w:r w:rsidR="00A967CA">
        <w:t>,</w:t>
      </w:r>
      <w:r w:rsidRPr="00E7089A">
        <w:t xml:space="preserve"> in exercising </w:t>
      </w:r>
      <w:r w:rsidR="00A23C04" w:rsidRPr="00E7089A">
        <w:t xml:space="preserve">rights, powers or </w:t>
      </w:r>
      <w:r w:rsidRPr="00E7089A">
        <w:t xml:space="preserve">discretions </w:t>
      </w:r>
      <w:r w:rsidR="00A23C04" w:rsidRPr="00E7089A">
        <w:t xml:space="preserve">or </w:t>
      </w:r>
      <w:r w:rsidRPr="00E7089A">
        <w:t>forming opinions.</w:t>
      </w:r>
    </w:p>
    <w:p w:rsidR="00B65AA7" w:rsidRDefault="00C30E47" w:rsidP="00CB1519">
      <w:pPr>
        <w:pStyle w:val="Level1"/>
      </w:pPr>
      <w:r w:rsidRPr="00E7089A">
        <w:t xml:space="preserve">We express no opinion on any provision </w:t>
      </w:r>
      <w:r w:rsidR="00D87A8B" w:rsidRPr="00E7089A">
        <w:t xml:space="preserve">of </w:t>
      </w:r>
      <w:r w:rsidR="00B21FB3" w:rsidRPr="00E7089A">
        <w:t xml:space="preserve">a </w:t>
      </w:r>
      <w:r w:rsidR="003B58B3" w:rsidRPr="00E7089A">
        <w:t>Document</w:t>
      </w:r>
      <w:r w:rsidR="00D87A8B" w:rsidRPr="00E7089A">
        <w:t xml:space="preserve"> </w:t>
      </w:r>
      <w:r w:rsidRPr="00E7089A">
        <w:t xml:space="preserve">that requires a person to do or not do something that is not clearly identified in the provision, or to </w:t>
      </w:r>
      <w:r w:rsidR="00A8237B">
        <w:t>comply with another document</w:t>
      </w:r>
      <w:r w:rsidRPr="00E7089A">
        <w:t>.</w:t>
      </w:r>
      <w:bookmarkStart w:id="30" w:name="_Ref374699472"/>
      <w:r w:rsidR="0077332A" w:rsidRPr="00E7089A">
        <w:rPr>
          <w:rStyle w:val="EndnoteReference"/>
        </w:rPr>
        <w:endnoteReference w:id="40"/>
      </w:r>
      <w:bookmarkEnd w:id="30"/>
    </w:p>
    <w:p w:rsidR="00623109" w:rsidRPr="00623109" w:rsidRDefault="00623109" w:rsidP="00623109">
      <w:pPr>
        <w:pStyle w:val="Level1"/>
      </w:pPr>
      <w:bookmarkStart w:id="31" w:name="_Ref149706918"/>
      <w:r w:rsidRPr="00D650A5">
        <w:t>Laws in connection with sanctions, terrorism or money laundering may restrict or prohibit payments, transactions and dealings in certain cases</w:t>
      </w:r>
      <w:bookmarkEnd w:id="31"/>
      <w:r>
        <w:t>.</w:t>
      </w:r>
    </w:p>
    <w:p w:rsidR="00047116" w:rsidRPr="00E7089A" w:rsidRDefault="00047116" w:rsidP="00047116">
      <w:pPr>
        <w:pStyle w:val="Level1"/>
      </w:pPr>
      <w:r w:rsidRPr="00E7089A">
        <w:t>We express no opinion on:</w:t>
      </w:r>
      <w:r w:rsidR="009345F6">
        <w:t xml:space="preserve"> </w:t>
      </w:r>
    </w:p>
    <w:p w:rsidR="00047116" w:rsidRPr="00E7089A" w:rsidRDefault="00B65AA7" w:rsidP="009034F4">
      <w:pPr>
        <w:pStyle w:val="Levela"/>
      </w:pPr>
      <w:r w:rsidRPr="00E7089A">
        <w:t>the pr</w:t>
      </w:r>
      <w:r w:rsidR="00B21FB3" w:rsidRPr="00E7089A">
        <w:t xml:space="preserve">iority of any </w:t>
      </w:r>
      <w:r w:rsidR="00B2089A" w:rsidRPr="00E7089A">
        <w:t>Security Interest</w:t>
      </w:r>
      <w:r w:rsidR="009034F4" w:rsidRPr="00E7089A">
        <w:t xml:space="preserve"> or the extent to which a Security Interest may be defeated </w:t>
      </w:r>
      <w:r w:rsidR="00232338">
        <w:t xml:space="preserve">by, </w:t>
      </w:r>
      <w:r w:rsidR="009034F4" w:rsidRPr="00E7089A">
        <w:t>or postponed to</w:t>
      </w:r>
      <w:r w:rsidR="00232338">
        <w:t>,</w:t>
      </w:r>
      <w:r w:rsidR="009034F4" w:rsidRPr="00E7089A">
        <w:t xml:space="preserve"> the claims of third parties if it is not perfected </w:t>
      </w:r>
      <w:r w:rsidR="004D5C85">
        <w:t>(by registration or otherwise)</w:t>
      </w:r>
      <w:r w:rsidRPr="00E7089A">
        <w:t>;</w:t>
      </w:r>
      <w:bookmarkStart w:id="32" w:name="_Ref374546199"/>
      <w:r w:rsidR="00B21FB3" w:rsidRPr="00E7089A">
        <w:rPr>
          <w:rStyle w:val="EndnoteReference"/>
        </w:rPr>
        <w:endnoteReference w:id="41"/>
      </w:r>
      <w:bookmarkEnd w:id="32"/>
      <w:r w:rsidR="00C41933" w:rsidRPr="00E7089A">
        <w:t xml:space="preserve"> </w:t>
      </w:r>
    </w:p>
    <w:p w:rsidR="00047116" w:rsidRPr="00E7089A" w:rsidRDefault="00457570" w:rsidP="009F282F">
      <w:pPr>
        <w:pStyle w:val="Levela"/>
      </w:pPr>
      <w:r w:rsidRPr="00E7089A">
        <w:t xml:space="preserve">Security Interests to the extent they are affected by </w:t>
      </w:r>
      <w:r w:rsidR="009F282F" w:rsidRPr="00E7089A">
        <w:t xml:space="preserve">the laws of any jurisdiction other than a Relevant Jurisdiction </w:t>
      </w:r>
      <w:r w:rsidR="00B65AA7" w:rsidRPr="00E7089A">
        <w:t>(for example</w:t>
      </w:r>
      <w:r w:rsidR="00AA110D" w:rsidRPr="00E7089A">
        <w:t>,</w:t>
      </w:r>
      <w:r w:rsidR="00B65AA7" w:rsidRPr="00E7089A">
        <w:t xml:space="preserve"> </w:t>
      </w:r>
      <w:r w:rsidR="00A262C5" w:rsidRPr="00E7089A">
        <w:t xml:space="preserve">this may occur </w:t>
      </w:r>
      <w:r w:rsidR="00B65AA7" w:rsidRPr="00E7089A">
        <w:t xml:space="preserve">if the </w:t>
      </w:r>
      <w:r w:rsidR="00961E84" w:rsidRPr="00E7089A">
        <w:t>property subject to</w:t>
      </w:r>
      <w:r w:rsidR="00AC73F9" w:rsidRPr="00E7089A">
        <w:t xml:space="preserve"> </w:t>
      </w:r>
      <w:r w:rsidR="00961E84" w:rsidRPr="00E7089A">
        <w:t>a Security Interest</w:t>
      </w:r>
      <w:r w:rsidR="00B65AA7" w:rsidRPr="00E7089A">
        <w:t xml:space="preserve"> is </w:t>
      </w:r>
      <w:r w:rsidR="004049CF">
        <w:t>not in a Relevant Jurisdiction</w:t>
      </w:r>
      <w:r w:rsidR="000C24E1" w:rsidRPr="00E7089A">
        <w:t xml:space="preserve"> or </w:t>
      </w:r>
      <w:r w:rsidR="004049CF">
        <w:t xml:space="preserve">is </w:t>
      </w:r>
      <w:r w:rsidR="00A262C5" w:rsidRPr="00E7089A">
        <w:t>governed by a foreign law</w:t>
      </w:r>
      <w:r w:rsidR="00B65AA7" w:rsidRPr="00E7089A">
        <w:t>);</w:t>
      </w:r>
      <w:bookmarkStart w:id="33" w:name="_Ref374699454"/>
      <w:r w:rsidR="009F282F" w:rsidRPr="00E7089A">
        <w:rPr>
          <w:rStyle w:val="EndnoteReference"/>
        </w:rPr>
        <w:endnoteReference w:id="42"/>
      </w:r>
      <w:bookmarkEnd w:id="33"/>
      <w:r w:rsidR="00B65AA7" w:rsidRPr="00E7089A">
        <w:t xml:space="preserve"> </w:t>
      </w:r>
    </w:p>
    <w:p w:rsidR="00047116" w:rsidRPr="00E7089A" w:rsidRDefault="00B65AA7" w:rsidP="00E60566">
      <w:pPr>
        <w:pStyle w:val="Levela"/>
      </w:pPr>
      <w:r w:rsidRPr="00E7089A">
        <w:t xml:space="preserve">the extent to which a grantor of a </w:t>
      </w:r>
      <w:r w:rsidR="00B2089A" w:rsidRPr="00E7089A">
        <w:t>Security Interest</w:t>
      </w:r>
      <w:r w:rsidRPr="00E7089A">
        <w:t xml:space="preserve"> may be able to dispose of</w:t>
      </w:r>
      <w:r w:rsidR="00CB1519">
        <w:t xml:space="preserve">, </w:t>
      </w:r>
      <w:r w:rsidRPr="00E7089A">
        <w:t>or otherwise deal in</w:t>
      </w:r>
      <w:r w:rsidR="00CB1519">
        <w:t>,</w:t>
      </w:r>
      <w:r w:rsidRPr="00E7089A">
        <w:t xml:space="preserve"> </w:t>
      </w:r>
      <w:r w:rsidR="00E60566" w:rsidRPr="00E7089A">
        <w:t xml:space="preserve">the </w:t>
      </w:r>
      <w:r w:rsidR="00961E84" w:rsidRPr="00E7089A">
        <w:t>property</w:t>
      </w:r>
      <w:r w:rsidR="000C24E1" w:rsidRPr="00E7089A">
        <w:t xml:space="preserve"> subject to it</w:t>
      </w:r>
      <w:r w:rsidRPr="00E7089A">
        <w:t xml:space="preserve"> </w:t>
      </w:r>
      <w:r w:rsidR="00AA110D" w:rsidRPr="00E7089A">
        <w:t>despite a provision to the contrary in a Document</w:t>
      </w:r>
      <w:r w:rsidR="00E60566" w:rsidRPr="00E7089A">
        <w:t>,</w:t>
      </w:r>
      <w:r w:rsidR="00961E84" w:rsidRPr="00E7089A">
        <w:t xml:space="preserve"> or the extent to which </w:t>
      </w:r>
      <w:r w:rsidR="001F7143" w:rsidRPr="00E7089A">
        <w:t>a third party is able to take the</w:t>
      </w:r>
      <w:r w:rsidR="00961E84" w:rsidRPr="00E7089A">
        <w:t xml:space="preserve"> property</w:t>
      </w:r>
      <w:r w:rsidR="001F7143" w:rsidRPr="00E7089A">
        <w:t xml:space="preserve">, or an interest in it, </w:t>
      </w:r>
      <w:r w:rsidRPr="00E7089A">
        <w:t xml:space="preserve">free of </w:t>
      </w:r>
      <w:r w:rsidR="00961E84" w:rsidRPr="00E7089A">
        <w:t>a</w:t>
      </w:r>
      <w:r w:rsidR="00461473" w:rsidRPr="00E7089A">
        <w:t xml:space="preserve"> </w:t>
      </w:r>
      <w:r w:rsidR="00B2089A" w:rsidRPr="00E7089A">
        <w:t>Security Interest</w:t>
      </w:r>
      <w:r w:rsidR="00AA110D" w:rsidRPr="00E7089A">
        <w:t>;</w:t>
      </w:r>
    </w:p>
    <w:p w:rsidR="007348D3" w:rsidRPr="00E7089A" w:rsidRDefault="00CB3455" w:rsidP="00274E6E">
      <w:pPr>
        <w:pStyle w:val="Levela"/>
      </w:pPr>
      <w:r w:rsidRPr="00E7089A">
        <w:t xml:space="preserve">perfection of a </w:t>
      </w:r>
      <w:r w:rsidR="00B2089A" w:rsidRPr="00E7089A">
        <w:t>Security Interest</w:t>
      </w:r>
      <w:r w:rsidRPr="00E7089A">
        <w:t xml:space="preserve"> </w:t>
      </w:r>
      <w:r w:rsidR="00790EED" w:rsidRPr="00E7089A">
        <w:t>other than by registration</w:t>
      </w:r>
      <w:r w:rsidRPr="00E7089A">
        <w:t>;</w:t>
      </w:r>
      <w:r w:rsidR="008E6603" w:rsidRPr="00E7089A">
        <w:t xml:space="preserve"> </w:t>
      </w:r>
      <w:r w:rsidR="004049CF">
        <w:t>or</w:t>
      </w:r>
    </w:p>
    <w:p w:rsidR="00B926FE" w:rsidRPr="00E7089A" w:rsidRDefault="00B65AA7" w:rsidP="009F282F">
      <w:pPr>
        <w:pStyle w:val="Levela"/>
      </w:pPr>
      <w:bookmarkStart w:id="34" w:name="_Ref370561456"/>
      <w:r w:rsidRPr="00E7089A">
        <w:t xml:space="preserve">any </w:t>
      </w:r>
      <w:r w:rsidR="00B2089A" w:rsidRPr="00E7089A">
        <w:t>Security Interest</w:t>
      </w:r>
      <w:r w:rsidRPr="00E7089A">
        <w:t xml:space="preserve"> over any property (such as crown lands</w:t>
      </w:r>
      <w:r w:rsidR="007348D3" w:rsidRPr="00E7089A">
        <w:t>, water rights</w:t>
      </w:r>
      <w:r w:rsidR="00AC73F9" w:rsidRPr="00E7089A">
        <w:t>,</w:t>
      </w:r>
      <w:r w:rsidRPr="00E7089A">
        <w:t xml:space="preserve"> mining or petroleum titles or other statutory rights, or certain contractual rights) </w:t>
      </w:r>
      <w:r w:rsidR="001F7143" w:rsidRPr="00E7089A">
        <w:t>where</w:t>
      </w:r>
      <w:r w:rsidR="00B926FE" w:rsidRPr="00E7089A">
        <w:t>:</w:t>
      </w:r>
    </w:p>
    <w:p w:rsidR="00B926FE" w:rsidRPr="00E7089A" w:rsidRDefault="00B926FE" w:rsidP="00274E6E">
      <w:pPr>
        <w:pStyle w:val="Leveli"/>
      </w:pPr>
      <w:r w:rsidRPr="00E7089A">
        <w:lastRenderedPageBreak/>
        <w:t xml:space="preserve">the property </w:t>
      </w:r>
      <w:r w:rsidR="00DA3140" w:rsidRPr="00E7089A">
        <w:t>cannot</w:t>
      </w:r>
      <w:r w:rsidR="009B5592" w:rsidRPr="00E7089A">
        <w:t xml:space="preserve"> </w:t>
      </w:r>
      <w:r w:rsidR="00B65AA7" w:rsidRPr="00E7089A">
        <w:t xml:space="preserve">be subject to a </w:t>
      </w:r>
      <w:r w:rsidR="00B2089A" w:rsidRPr="00E7089A">
        <w:t>Security Interest</w:t>
      </w:r>
      <w:r w:rsidRPr="00E7089A">
        <w:t>;</w:t>
      </w:r>
      <w:r w:rsidR="00B65AA7" w:rsidRPr="00E7089A">
        <w:t xml:space="preserve"> or</w:t>
      </w:r>
    </w:p>
    <w:p w:rsidR="00B926FE" w:rsidRPr="00E7089A" w:rsidRDefault="007348D3" w:rsidP="00274E6E">
      <w:pPr>
        <w:pStyle w:val="Leveli"/>
      </w:pPr>
      <w:r w:rsidRPr="00E7089A">
        <w:t xml:space="preserve">the Security Interest </w:t>
      </w:r>
      <w:r w:rsidR="00B65AA7" w:rsidRPr="00E7089A">
        <w:t>needs to be in a special form or have a particular authorisation, consent or registration not referred to in this opinion</w:t>
      </w:r>
      <w:r w:rsidR="002B096C" w:rsidRPr="00E7089A">
        <w:t xml:space="preserve"> or satisfy other particular requirements</w:t>
      </w:r>
      <w:r w:rsidR="00B65AA7" w:rsidRPr="00E7089A">
        <w:t xml:space="preserve">. </w:t>
      </w:r>
    </w:p>
    <w:p w:rsidR="00B65AA7" w:rsidRPr="00E7089A" w:rsidRDefault="00B65AA7" w:rsidP="00274E6E">
      <w:pPr>
        <w:pStyle w:val="Leveli"/>
        <w:numPr>
          <w:ilvl w:val="0"/>
          <w:numId w:val="0"/>
        </w:numPr>
        <w:ind w:left="1418"/>
      </w:pPr>
      <w:r w:rsidRPr="00E7089A">
        <w:t>No property of that kind has been drawn to our attention</w:t>
      </w:r>
      <w:r w:rsidR="00461473" w:rsidRPr="00E7089A">
        <w:t xml:space="preserve"> </w:t>
      </w:r>
      <w:r w:rsidR="0001444F" w:rsidRPr="00E7089A">
        <w:t>[</w:t>
      </w:r>
      <w:r w:rsidR="00461473" w:rsidRPr="00E7089A">
        <w:t>other than</w:t>
      </w:r>
      <w:r w:rsidR="002B096C" w:rsidRPr="00E7089A">
        <w:t xml:space="preserve"> the following</w:t>
      </w:r>
      <w:r w:rsidR="00274E6E" w:rsidRPr="00E7089A">
        <w:t>:</w:t>
      </w:r>
      <w:r w:rsidR="00B21FB3" w:rsidRPr="00E7089A">
        <w:rPr>
          <w:rStyle w:val="EndnoteReference"/>
        </w:rPr>
        <w:endnoteReference w:id="43"/>
      </w:r>
      <w:bookmarkEnd w:id="34"/>
    </w:p>
    <w:p w:rsidR="009034F4" w:rsidRPr="00E7089A" w:rsidRDefault="00F3689A" w:rsidP="00E7089A">
      <w:pPr>
        <w:pStyle w:val="Leveli"/>
      </w:pPr>
      <w:r w:rsidRPr="00E7089A">
        <w:rPr>
          <w:rFonts w:hint="eastAsia"/>
        </w:rPr>
        <w:t>[</w:t>
      </w:r>
      <w:r w:rsidR="00A967CA" w:rsidRPr="00E7089A">
        <w:t>●</w:t>
      </w:r>
      <w:r w:rsidRPr="00E7089A">
        <w:rPr>
          <w:rFonts w:hint="eastAsia"/>
        </w:rPr>
        <w:t>]</w:t>
      </w:r>
      <w:r w:rsidR="009034F4" w:rsidRPr="00E7089A">
        <w:t>; and</w:t>
      </w:r>
    </w:p>
    <w:p w:rsidR="00F3689A" w:rsidRDefault="009034F4" w:rsidP="00E7089A">
      <w:pPr>
        <w:pStyle w:val="Leveli"/>
      </w:pPr>
      <w:r w:rsidRPr="00E7089A">
        <w:rPr>
          <w:rFonts w:hint="eastAsia"/>
        </w:rPr>
        <w:t>[</w:t>
      </w:r>
      <w:r w:rsidR="00A967CA" w:rsidRPr="00E7089A">
        <w:t>●</w:t>
      </w:r>
      <w:r w:rsidRPr="00E7089A">
        <w:rPr>
          <w:rFonts w:hint="eastAsia"/>
        </w:rPr>
        <w:t>]</w:t>
      </w:r>
      <w:r w:rsidR="00274E6E" w:rsidRPr="00E7089A">
        <w:t>].</w:t>
      </w:r>
    </w:p>
    <w:p w:rsidR="00CB1519" w:rsidRDefault="000122E8" w:rsidP="00CB1519">
      <w:pPr>
        <w:pStyle w:val="Level1"/>
      </w:pPr>
      <w:r w:rsidRPr="00E7089A">
        <w:t xml:space="preserve">A PPSA Security Interest may vest in the grantor on insolvency if it is not perfected, or if it is perfected by registration but the registration </w:t>
      </w:r>
      <w:r w:rsidR="007E120E">
        <w:t>i</w:t>
      </w:r>
      <w:r w:rsidRPr="00E7089A">
        <w:t>s not completed within the time required by s588FL of the Corporations Act.</w:t>
      </w:r>
    </w:p>
    <w:p w:rsidR="007B0D67" w:rsidRPr="00E7089A" w:rsidRDefault="00232338" w:rsidP="00202BFB">
      <w:pPr>
        <w:pStyle w:val="Level1"/>
      </w:pPr>
      <w:r>
        <w:t>[</w:t>
      </w:r>
      <w:r>
        <w:rPr>
          <w:rFonts w:cs="Arial"/>
          <w:color w:val="000000"/>
        </w:rPr>
        <w:t>The PPSA has radically altered the law in Australia relating to security over personal property and many of its provisions have not yet been authoritatively considered by courts in the Relevant Jurisdictions</w:t>
      </w:r>
      <w:r w:rsidR="00857A73">
        <w:t>.</w:t>
      </w:r>
      <w:r>
        <w:t>]</w:t>
      </w:r>
      <w:r w:rsidR="00F3689A" w:rsidRPr="00E7089A">
        <w:t xml:space="preserve"> </w:t>
      </w:r>
    </w:p>
    <w:p w:rsidR="00D46DB5" w:rsidRPr="00E7089A" w:rsidRDefault="00D46DB5" w:rsidP="00274E6E">
      <w:pPr>
        <w:pStyle w:val="Levela"/>
        <w:numPr>
          <w:ilvl w:val="0"/>
          <w:numId w:val="0"/>
        </w:numPr>
        <w:ind w:left="1440"/>
      </w:pPr>
    </w:p>
    <w:p w:rsidR="007B0D67" w:rsidRPr="00E7089A" w:rsidRDefault="00122DEA" w:rsidP="00122DEA">
      <w:pPr>
        <w:pStyle w:val="Level1"/>
        <w:numPr>
          <w:ilvl w:val="0"/>
          <w:numId w:val="0"/>
        </w:numPr>
        <w:rPr>
          <w:b/>
          <w:sz w:val="36"/>
        </w:rPr>
      </w:pPr>
      <w:r w:rsidRPr="00E7089A">
        <w:rPr>
          <w:b/>
          <w:i/>
        </w:rPr>
        <w:br w:type="page"/>
      </w:r>
      <w:r w:rsidR="007B0D67" w:rsidRPr="00E7089A">
        <w:rPr>
          <w:b/>
          <w:sz w:val="36"/>
        </w:rPr>
        <w:lastRenderedPageBreak/>
        <w:t>Schedule</w:t>
      </w:r>
      <w:r w:rsidR="00114C8E" w:rsidRPr="00E7089A">
        <w:rPr>
          <w:b/>
          <w:sz w:val="36"/>
        </w:rPr>
        <w:t xml:space="preserve"> 3</w:t>
      </w:r>
      <w:r w:rsidRPr="00006FF6">
        <w:rPr>
          <w:sz w:val="24"/>
          <w:szCs w:val="24"/>
          <w:vertAlign w:val="superscript"/>
        </w:rPr>
        <w:t xml:space="preserve">[optional – see endnote </w:t>
      </w:r>
      <w:r w:rsidRPr="00006FF6">
        <w:rPr>
          <w:rStyle w:val="EndnoteReference"/>
          <w:sz w:val="24"/>
          <w:szCs w:val="24"/>
        </w:rPr>
        <w:endnoteReference w:id="44"/>
      </w:r>
      <w:r w:rsidRPr="00006FF6">
        <w:rPr>
          <w:sz w:val="24"/>
          <w:szCs w:val="24"/>
          <w:vertAlign w:val="superscript"/>
        </w:rPr>
        <w:t>]</w:t>
      </w:r>
    </w:p>
    <w:p w:rsidR="007B0D67" w:rsidRPr="00E7089A" w:rsidRDefault="00DF5534" w:rsidP="007B0D67">
      <w:pPr>
        <w:spacing w:after="240"/>
        <w:rPr>
          <w:b/>
          <w:i/>
          <w:szCs w:val="22"/>
        </w:rPr>
      </w:pPr>
      <w:r w:rsidRPr="00E7089A">
        <w:rPr>
          <w:b/>
          <w:szCs w:val="22"/>
        </w:rPr>
        <w:t>PPSA</w:t>
      </w:r>
      <w:r w:rsidR="007B0D67" w:rsidRPr="00E7089A">
        <w:rPr>
          <w:b/>
          <w:szCs w:val="22"/>
        </w:rPr>
        <w:t xml:space="preserve"> Regist</w:t>
      </w:r>
      <w:r w:rsidR="00063962" w:rsidRPr="00E7089A">
        <w:rPr>
          <w:b/>
          <w:szCs w:val="22"/>
        </w:rPr>
        <w:t>rations</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373"/>
        <w:gridCol w:w="2703"/>
        <w:gridCol w:w="2244"/>
        <w:gridCol w:w="1406"/>
        <w:gridCol w:w="1334"/>
      </w:tblGrid>
      <w:tr w:rsidR="007B0D67" w:rsidRPr="00E7089A" w:rsidTr="00B26CC7">
        <w:tc>
          <w:tcPr>
            <w:tcW w:w="1179" w:type="pct"/>
            <w:vAlign w:val="center"/>
          </w:tcPr>
          <w:p w:rsidR="007B0D67" w:rsidRPr="00E7089A" w:rsidRDefault="007B0D67" w:rsidP="00381F49">
            <w:pPr>
              <w:jc w:val="center"/>
              <w:rPr>
                <w:b/>
              </w:rPr>
            </w:pPr>
            <w:r w:rsidRPr="00E7089A">
              <w:rPr>
                <w:b/>
              </w:rPr>
              <w:t>Grantor</w:t>
            </w:r>
          </w:p>
        </w:tc>
        <w:tc>
          <w:tcPr>
            <w:tcW w:w="1343" w:type="pct"/>
            <w:vAlign w:val="center"/>
          </w:tcPr>
          <w:p w:rsidR="007B0D67" w:rsidRPr="00E7089A" w:rsidRDefault="007B0D67" w:rsidP="00381F49">
            <w:pPr>
              <w:jc w:val="center"/>
              <w:rPr>
                <w:b/>
              </w:rPr>
            </w:pPr>
            <w:r w:rsidRPr="00E7089A">
              <w:rPr>
                <w:b/>
              </w:rPr>
              <w:t>Secured Party/Parties</w:t>
            </w:r>
          </w:p>
        </w:tc>
        <w:tc>
          <w:tcPr>
            <w:tcW w:w="1115" w:type="pct"/>
            <w:vAlign w:val="center"/>
          </w:tcPr>
          <w:p w:rsidR="007B0D67" w:rsidRPr="00E7089A" w:rsidRDefault="007B0D67">
            <w:pPr>
              <w:jc w:val="center"/>
            </w:pPr>
            <w:r w:rsidRPr="00E7089A">
              <w:rPr>
                <w:b/>
              </w:rPr>
              <w:t>Collateral class</w:t>
            </w:r>
            <w:r w:rsidRPr="00E7089A">
              <w:rPr>
                <w:b/>
              </w:rPr>
              <w:br/>
            </w:r>
            <w:r w:rsidR="005A11D2">
              <w:br/>
              <w:t>[</w:t>
            </w:r>
          </w:p>
        </w:tc>
        <w:tc>
          <w:tcPr>
            <w:tcW w:w="699" w:type="pct"/>
            <w:vAlign w:val="center"/>
          </w:tcPr>
          <w:p w:rsidR="007B0D67" w:rsidRPr="00E7089A" w:rsidRDefault="007B0D67" w:rsidP="00381F49">
            <w:pPr>
              <w:jc w:val="center"/>
              <w:rPr>
                <w:b/>
              </w:rPr>
            </w:pPr>
            <w:r w:rsidRPr="00E7089A">
              <w:rPr>
                <w:b/>
              </w:rPr>
              <w:t>Registration Number</w:t>
            </w:r>
          </w:p>
        </w:tc>
        <w:tc>
          <w:tcPr>
            <w:tcW w:w="663" w:type="pct"/>
            <w:vAlign w:val="center"/>
          </w:tcPr>
          <w:p w:rsidR="007B0D67" w:rsidRPr="00E7089A" w:rsidRDefault="007B0D67" w:rsidP="00381F49">
            <w:pPr>
              <w:jc w:val="center"/>
              <w:rPr>
                <w:b/>
              </w:rPr>
            </w:pPr>
            <w:r w:rsidRPr="00E7089A">
              <w:rPr>
                <w:b/>
              </w:rPr>
              <w:t>End time</w:t>
            </w:r>
          </w:p>
        </w:tc>
      </w:tr>
      <w:tr w:rsidR="007B0D67" w:rsidRPr="00E7089A" w:rsidTr="00B26CC7">
        <w:tc>
          <w:tcPr>
            <w:tcW w:w="1179" w:type="pct"/>
          </w:tcPr>
          <w:p w:rsidR="007B0D67" w:rsidRPr="00E7089A" w:rsidRDefault="007B0D67" w:rsidP="00381F49"/>
        </w:tc>
        <w:tc>
          <w:tcPr>
            <w:tcW w:w="1343" w:type="pct"/>
          </w:tcPr>
          <w:p w:rsidR="007B0D67" w:rsidRPr="00E7089A" w:rsidRDefault="007B0D67" w:rsidP="00381F49"/>
        </w:tc>
        <w:tc>
          <w:tcPr>
            <w:tcW w:w="1115" w:type="pct"/>
          </w:tcPr>
          <w:p w:rsidR="007B0D67" w:rsidRPr="00E7089A" w:rsidRDefault="007B0D67" w:rsidP="00381F49"/>
        </w:tc>
        <w:tc>
          <w:tcPr>
            <w:tcW w:w="699" w:type="pct"/>
          </w:tcPr>
          <w:p w:rsidR="007B0D67" w:rsidRPr="00E7089A" w:rsidRDefault="007B0D67" w:rsidP="00381F49"/>
        </w:tc>
        <w:tc>
          <w:tcPr>
            <w:tcW w:w="663" w:type="pct"/>
          </w:tcPr>
          <w:p w:rsidR="007B0D67" w:rsidRPr="00E7089A" w:rsidRDefault="007B0D67" w:rsidP="00381F49"/>
        </w:tc>
      </w:tr>
      <w:tr w:rsidR="009F282F" w:rsidRPr="00E7089A" w:rsidTr="00B26CC7">
        <w:tc>
          <w:tcPr>
            <w:tcW w:w="1179" w:type="pct"/>
          </w:tcPr>
          <w:p w:rsidR="009F282F" w:rsidRPr="00E7089A" w:rsidRDefault="009F282F" w:rsidP="00381F49"/>
        </w:tc>
        <w:tc>
          <w:tcPr>
            <w:tcW w:w="1343" w:type="pct"/>
          </w:tcPr>
          <w:p w:rsidR="009F282F" w:rsidRPr="00E7089A" w:rsidRDefault="009F282F" w:rsidP="00381F49"/>
        </w:tc>
        <w:tc>
          <w:tcPr>
            <w:tcW w:w="1115" w:type="pct"/>
          </w:tcPr>
          <w:p w:rsidR="009F282F" w:rsidRPr="00E7089A" w:rsidRDefault="009F282F" w:rsidP="00381F49"/>
        </w:tc>
        <w:tc>
          <w:tcPr>
            <w:tcW w:w="699" w:type="pct"/>
          </w:tcPr>
          <w:p w:rsidR="009F282F" w:rsidRPr="00E7089A" w:rsidRDefault="009F282F" w:rsidP="00381F49"/>
        </w:tc>
        <w:tc>
          <w:tcPr>
            <w:tcW w:w="663" w:type="pct"/>
          </w:tcPr>
          <w:p w:rsidR="009F282F" w:rsidRPr="00E7089A" w:rsidRDefault="009F282F" w:rsidP="00381F49"/>
        </w:tc>
      </w:tr>
      <w:tr w:rsidR="007B0D67" w:rsidRPr="00E7089A" w:rsidTr="00B26CC7">
        <w:tc>
          <w:tcPr>
            <w:tcW w:w="1179" w:type="pct"/>
          </w:tcPr>
          <w:p w:rsidR="007B0D67" w:rsidRPr="00E7089A" w:rsidRDefault="007B0D67" w:rsidP="00381F49"/>
        </w:tc>
        <w:tc>
          <w:tcPr>
            <w:tcW w:w="1343" w:type="pct"/>
          </w:tcPr>
          <w:p w:rsidR="007B0D67" w:rsidRPr="00E7089A" w:rsidRDefault="007B0D67" w:rsidP="00381F49"/>
        </w:tc>
        <w:tc>
          <w:tcPr>
            <w:tcW w:w="1115" w:type="pct"/>
          </w:tcPr>
          <w:p w:rsidR="007B0D67" w:rsidRPr="00E7089A" w:rsidRDefault="007B0D67" w:rsidP="00381F49"/>
        </w:tc>
        <w:tc>
          <w:tcPr>
            <w:tcW w:w="699" w:type="pct"/>
          </w:tcPr>
          <w:p w:rsidR="007B0D67" w:rsidRPr="00E7089A" w:rsidRDefault="007B0D67" w:rsidP="00381F49"/>
        </w:tc>
        <w:tc>
          <w:tcPr>
            <w:tcW w:w="663" w:type="pct"/>
          </w:tcPr>
          <w:p w:rsidR="007B0D67" w:rsidRPr="00E7089A" w:rsidRDefault="007B0D67" w:rsidP="00381F49"/>
        </w:tc>
      </w:tr>
    </w:tbl>
    <w:p w:rsidR="00AF1F42" w:rsidRPr="00E7089A" w:rsidRDefault="00AF1F42" w:rsidP="00063962">
      <w:pPr>
        <w:ind w:left="709" w:hanging="709"/>
      </w:pPr>
    </w:p>
    <w:p w:rsidR="004F0DA4" w:rsidRPr="00E7089A" w:rsidRDefault="004F0DA4" w:rsidP="00063962">
      <w:pPr>
        <w:ind w:left="709" w:hanging="709"/>
      </w:pPr>
      <w:r w:rsidRPr="00E7089A">
        <w:t>1.</w:t>
      </w:r>
      <w:r w:rsidRPr="00E7089A">
        <w:tab/>
        <w:t xml:space="preserve">A registration described </w:t>
      </w:r>
      <w:r w:rsidR="002320E3" w:rsidRPr="00E7089A">
        <w:t>above</w:t>
      </w:r>
      <w:r w:rsidRPr="00E7089A">
        <w:t xml:space="preserve"> may be or become ineffective</w:t>
      </w:r>
      <w:r w:rsidR="00063962" w:rsidRPr="00E7089A">
        <w:t xml:space="preserve"> (and any affected PPSA Security Interest may not be perfected)</w:t>
      </w:r>
      <w:r w:rsidRPr="00E7089A">
        <w:t>:</w:t>
      </w:r>
    </w:p>
    <w:p w:rsidR="002320E3" w:rsidRPr="00E7089A" w:rsidRDefault="004F0DA4" w:rsidP="002320E3">
      <w:pPr>
        <w:ind w:left="1418" w:hanging="709"/>
      </w:pPr>
      <w:r w:rsidRPr="00E7089A">
        <w:t>(a)</w:t>
      </w:r>
      <w:r w:rsidRPr="00E7089A">
        <w:tab/>
        <w:t xml:space="preserve">if any information </w:t>
      </w:r>
      <w:r w:rsidR="002320E3" w:rsidRPr="00E7089A">
        <w:t xml:space="preserve">supplied or confirmed to us for the purpose of making </w:t>
      </w:r>
      <w:r w:rsidR="000122E8" w:rsidRPr="00E7089A">
        <w:t>the</w:t>
      </w:r>
      <w:r w:rsidR="002320E3" w:rsidRPr="00E7089A">
        <w:t xml:space="preserve"> registration was incorrect or incomplete as at the date of registration</w:t>
      </w:r>
      <w:r w:rsidR="00D0109C" w:rsidRPr="00E7089A">
        <w:t>,</w:t>
      </w:r>
      <w:r w:rsidR="002320E3" w:rsidRPr="00E7089A">
        <w:t xml:space="preserve"> or</w:t>
      </w:r>
      <w:r w:rsidR="00D0109C" w:rsidRPr="00E7089A">
        <w:t xml:space="preserve"> if</w:t>
      </w:r>
      <w:r w:rsidR="002320E3" w:rsidRPr="00E7089A">
        <w:t xml:space="preserve"> </w:t>
      </w:r>
      <w:r w:rsidR="00D0109C" w:rsidRPr="00E7089A">
        <w:t xml:space="preserve">any information in </w:t>
      </w:r>
      <w:r w:rsidR="000122E8" w:rsidRPr="00E7089A">
        <w:t>the</w:t>
      </w:r>
      <w:r w:rsidR="00D0109C" w:rsidRPr="00E7089A">
        <w:t xml:space="preserve"> registration </w:t>
      </w:r>
      <w:r w:rsidR="002320E3" w:rsidRPr="00E7089A">
        <w:t>subsequently becomes incorrect;</w:t>
      </w:r>
    </w:p>
    <w:p w:rsidR="00CC78D7" w:rsidRPr="00E7089A" w:rsidRDefault="004F0DA4" w:rsidP="00987E87">
      <w:pPr>
        <w:ind w:left="1418" w:hanging="709"/>
      </w:pPr>
      <w:r w:rsidRPr="00B40AFA">
        <w:t>(b)</w:t>
      </w:r>
      <w:r w:rsidRPr="00B40AFA">
        <w:tab/>
      </w:r>
      <w:r w:rsidR="005629E8" w:rsidRPr="00B40AFA">
        <w:t>if</w:t>
      </w:r>
      <w:r w:rsidR="006A5433" w:rsidRPr="00B40AFA">
        <w:t xml:space="preserve"> it </w:t>
      </w:r>
      <w:r w:rsidRPr="00B40AFA">
        <w:t>indicates that a PPSA Security Interest is</w:t>
      </w:r>
      <w:r w:rsidR="002320E3" w:rsidRPr="00B40AFA">
        <w:t>,</w:t>
      </w:r>
      <w:r w:rsidRPr="00B40AFA">
        <w:t xml:space="preserve"> or is to be</w:t>
      </w:r>
      <w:r w:rsidR="002320E3" w:rsidRPr="00B40AFA">
        <w:t>,</w:t>
      </w:r>
      <w:r w:rsidRPr="00B40AFA">
        <w:t xml:space="preserve"> a purchase money security interest </w:t>
      </w:r>
      <w:r w:rsidR="00303CE5" w:rsidRPr="0013282C">
        <w:t>(</w:t>
      </w:r>
      <w:r w:rsidRPr="00B40AFA">
        <w:t xml:space="preserve">within the meaning of the PPSA) </w:t>
      </w:r>
      <w:r w:rsidR="00CC78D7" w:rsidRPr="00B40AFA">
        <w:t xml:space="preserve">and </w:t>
      </w:r>
      <w:r w:rsidRPr="00B40AFA">
        <w:t>the PPSA Security Interest is not a purchase money</w:t>
      </w:r>
      <w:r w:rsidRPr="00E7089A">
        <w:t xml:space="preserve"> security interest (to any extent) at </w:t>
      </w:r>
      <w:r w:rsidR="00CC78D7" w:rsidRPr="00E7089A">
        <w:t xml:space="preserve">any </w:t>
      </w:r>
      <w:r w:rsidRPr="00E7089A">
        <w:t>time;</w:t>
      </w:r>
    </w:p>
    <w:p w:rsidR="004F0DA4" w:rsidRPr="00E7089A" w:rsidRDefault="00A357ED" w:rsidP="002320E3">
      <w:pPr>
        <w:ind w:left="1418" w:hanging="709"/>
      </w:pPr>
      <w:r>
        <w:t>(c</w:t>
      </w:r>
      <w:r w:rsidR="004F0DA4" w:rsidRPr="00E7089A">
        <w:t>)</w:t>
      </w:r>
      <w:r w:rsidR="004F0DA4" w:rsidRPr="00E7089A">
        <w:tab/>
        <w:t xml:space="preserve">in relation to aircraft (as defined in the Personal Property Securities Regulations 2010), if the registration is not made against </w:t>
      </w:r>
      <w:r w:rsidR="00CC78D7" w:rsidRPr="00E7089A">
        <w:t xml:space="preserve">its </w:t>
      </w:r>
      <w:r w:rsidR="004F0DA4" w:rsidRPr="00E7089A">
        <w:t>serial number; and</w:t>
      </w:r>
    </w:p>
    <w:p w:rsidR="004F0DA4" w:rsidRPr="00E7089A" w:rsidRDefault="004F0DA4" w:rsidP="002320E3">
      <w:pPr>
        <w:ind w:left="1418" w:hanging="709"/>
      </w:pPr>
      <w:r w:rsidRPr="00E7089A">
        <w:t>(</w:t>
      </w:r>
      <w:r w:rsidR="00A357ED">
        <w:t>d</w:t>
      </w:r>
      <w:r w:rsidRPr="00E7089A">
        <w:t>)</w:t>
      </w:r>
      <w:r w:rsidRPr="00E7089A">
        <w:tab/>
        <w:t>after any end time stated in the relevant financing statement</w:t>
      </w:r>
      <w:r w:rsidR="00987E87" w:rsidRPr="00E7089A">
        <w:t>.</w:t>
      </w:r>
      <w:r w:rsidR="00987E87" w:rsidRPr="00E7089A">
        <w:rPr>
          <w:rStyle w:val="EndnoteReference"/>
        </w:rPr>
        <w:endnoteReference w:id="45"/>
      </w:r>
    </w:p>
    <w:p w:rsidR="002320E3" w:rsidRPr="00E7089A" w:rsidRDefault="002320E3" w:rsidP="002320E3">
      <w:pPr>
        <w:ind w:left="709"/>
      </w:pPr>
      <w:r w:rsidRPr="00E7089A">
        <w:t xml:space="preserve">We are not responsible for </w:t>
      </w:r>
      <w:r w:rsidR="00CC78D7" w:rsidRPr="00E7089A">
        <w:t xml:space="preserve">updating or </w:t>
      </w:r>
      <w:r w:rsidRPr="00E7089A">
        <w:t xml:space="preserve">renewing </w:t>
      </w:r>
      <w:r w:rsidR="00150335" w:rsidRPr="00E7089A">
        <w:t>a</w:t>
      </w:r>
      <w:r w:rsidRPr="00E7089A">
        <w:t xml:space="preserve"> registration or advising of its imminent expiry</w:t>
      </w:r>
      <w:r w:rsidR="00150335" w:rsidRPr="00E7089A">
        <w:t>.</w:t>
      </w:r>
    </w:p>
    <w:p w:rsidR="003842E9" w:rsidRPr="00E7089A" w:rsidRDefault="004F0DA4" w:rsidP="0041334F">
      <w:pPr>
        <w:ind w:left="709" w:hanging="709"/>
      </w:pPr>
      <w:r w:rsidRPr="00E7089A">
        <w:t>2.</w:t>
      </w:r>
      <w:r w:rsidRPr="00E7089A">
        <w:tab/>
      </w:r>
      <w:r w:rsidR="00797750" w:rsidRPr="00E7089A">
        <w:t xml:space="preserve">We have not made any other registrations under the PPSA. </w:t>
      </w:r>
      <w:r w:rsidR="005327DD" w:rsidRPr="00E7089A">
        <w:t xml:space="preserve"> </w:t>
      </w:r>
      <w:r w:rsidR="00CC78D7" w:rsidRPr="00E7089A">
        <w:t>T</w:t>
      </w:r>
      <w:r w:rsidR="0041334F" w:rsidRPr="00E7089A">
        <w:t xml:space="preserve">here may be other </w:t>
      </w:r>
      <w:r w:rsidR="003F229B" w:rsidRPr="00E7089A">
        <w:t xml:space="preserve">PPSA </w:t>
      </w:r>
      <w:r w:rsidR="0041334F" w:rsidRPr="00E7089A">
        <w:t>Security Interests in the Documents in respect of which no financing statement has been registered</w:t>
      </w:r>
      <w:r w:rsidR="00CC78D7" w:rsidRPr="00E7089A">
        <w:t>.</w:t>
      </w:r>
      <w:r w:rsidR="003842E9" w:rsidRPr="00E7089A">
        <w:t xml:space="preserve"> </w:t>
      </w:r>
      <w:r w:rsidR="002B46F6" w:rsidRPr="00E7089A">
        <w:t>[</w:t>
      </w:r>
      <w:r w:rsidR="00274E6E" w:rsidRPr="00E7089A">
        <w:rPr>
          <w:rFonts w:hint="eastAsia"/>
        </w:rPr>
        <w:t>In particular, on your instructions</w:t>
      </w:r>
      <w:r w:rsidR="00682A77" w:rsidRPr="00E7089A">
        <w:t>,</w:t>
      </w:r>
      <w:r w:rsidR="00274E6E" w:rsidRPr="00E7089A">
        <w:rPr>
          <w:rFonts w:hint="eastAsia"/>
        </w:rPr>
        <w:t xml:space="preserve"> we have not registered financing statements </w:t>
      </w:r>
      <w:r w:rsidR="006718F2" w:rsidRPr="00E7089A">
        <w:t xml:space="preserve">in relation to </w:t>
      </w:r>
      <w:r w:rsidR="003842E9" w:rsidRPr="00E7089A">
        <w:t>[</w:t>
      </w:r>
      <w:r w:rsidR="003842E9" w:rsidRPr="00E7089A">
        <w:rPr>
          <w:b/>
          <w:i/>
        </w:rPr>
        <w:t>describe possible unregistered PPSA Security Interests</w:t>
      </w:r>
      <w:r w:rsidR="003842E9" w:rsidRPr="00E7089A">
        <w:t>]].</w:t>
      </w:r>
    </w:p>
    <w:p w:rsidR="004F0DA4" w:rsidRPr="00B40AFA" w:rsidRDefault="003842E9" w:rsidP="0041334F">
      <w:pPr>
        <w:ind w:left="709" w:hanging="709"/>
      </w:pPr>
      <w:r w:rsidRPr="00E7089A">
        <w:t>3.</w:t>
      </w:r>
      <w:r w:rsidRPr="00E7089A">
        <w:tab/>
      </w:r>
      <w:r w:rsidR="006B2E2A">
        <w:t>[</w:t>
      </w:r>
      <w:r w:rsidR="004F0DA4" w:rsidRPr="00E7089A">
        <w:t>On your instructions we have not</w:t>
      </w:r>
      <w:r w:rsidR="006D3E63">
        <w:t>, in relation to the registrations described above</w:t>
      </w:r>
      <w:r w:rsidR="006D3E63" w:rsidRPr="00B40AFA">
        <w:t>,</w:t>
      </w:r>
      <w:r w:rsidR="004F0DA4" w:rsidRPr="00B40AFA">
        <w:t xml:space="preserve"> </w:t>
      </w:r>
      <w:r w:rsidR="00284F06" w:rsidRPr="0013282C">
        <w:t xml:space="preserve">done any of the following in a </w:t>
      </w:r>
      <w:r w:rsidR="004F0DA4" w:rsidRPr="00B40AFA">
        <w:t xml:space="preserve">registered financing statement: </w:t>
      </w:r>
    </w:p>
    <w:p w:rsidR="004F0DA4" w:rsidRPr="00B40AFA" w:rsidRDefault="003842E9" w:rsidP="00DE1006">
      <w:pPr>
        <w:ind w:left="1440" w:hanging="720"/>
      </w:pPr>
      <w:r w:rsidRPr="00B40AFA">
        <w:t>(a</w:t>
      </w:r>
      <w:r w:rsidR="004F0DA4" w:rsidRPr="00B40AFA">
        <w:t>)</w:t>
      </w:r>
      <w:r w:rsidR="004F0DA4" w:rsidRPr="00B40AFA">
        <w:tab/>
      </w:r>
      <w:r w:rsidR="002320E3" w:rsidRPr="00B40AFA">
        <w:t>[</w:t>
      </w:r>
      <w:r w:rsidR="005A11D2" w:rsidRPr="0013282C">
        <w:t>indicated whether the security interest</w:t>
      </w:r>
      <w:r w:rsidR="00514981" w:rsidRPr="0013282C">
        <w:t xml:space="preserve"> </w:t>
      </w:r>
      <w:r w:rsidR="006D3E63" w:rsidRPr="0013282C">
        <w:t xml:space="preserve">can </w:t>
      </w:r>
      <w:r w:rsidR="005A11D2" w:rsidRPr="0013282C">
        <w:t xml:space="preserve">be </w:t>
      </w:r>
      <w:r w:rsidR="004F0DA4" w:rsidRPr="00B40AFA">
        <w:t>a purchase money security interest</w:t>
      </w:r>
      <w:r w:rsidR="00AF1F42" w:rsidRPr="00B40AFA">
        <w:t xml:space="preserve"> </w:t>
      </w:r>
      <w:r w:rsidR="00A357ED" w:rsidRPr="00B40AFA">
        <w:t>(within the meaning of the PPSA)</w:t>
      </w:r>
      <w:r w:rsidR="004F0DA4" w:rsidRPr="00B40AFA">
        <w:t>;</w:t>
      </w:r>
      <w:r w:rsidR="002320E3" w:rsidRPr="00B40AFA">
        <w:t>]</w:t>
      </w:r>
      <w:r w:rsidR="004F0DA4" w:rsidRPr="00B40AFA">
        <w:t xml:space="preserve"> </w:t>
      </w:r>
    </w:p>
    <w:p w:rsidR="00AF1F42" w:rsidRPr="00B40AFA" w:rsidRDefault="003842E9" w:rsidP="002320E3">
      <w:pPr>
        <w:ind w:left="720"/>
      </w:pPr>
      <w:r w:rsidRPr="00B40AFA">
        <w:t>(b</w:t>
      </w:r>
      <w:r w:rsidR="00AF1F42" w:rsidRPr="00B40AFA">
        <w:t>)</w:t>
      </w:r>
      <w:r w:rsidR="00AF1F42" w:rsidRPr="00B40AFA">
        <w:tab/>
        <w:t>[</w:t>
      </w:r>
      <w:r w:rsidR="005A11D2" w:rsidRPr="0013282C">
        <w:t xml:space="preserve">included a </w:t>
      </w:r>
      <w:r w:rsidR="00AF1F42" w:rsidRPr="00B40AFA">
        <w:t>serial number;</w:t>
      </w:r>
      <w:r w:rsidR="006B2E2A" w:rsidRPr="00B40AFA">
        <w:t>]</w:t>
      </w:r>
      <w:r w:rsidR="00AF1F42" w:rsidRPr="00B40AFA">
        <w:t xml:space="preserve"> or</w:t>
      </w:r>
    </w:p>
    <w:p w:rsidR="004F0DA4" w:rsidRPr="00B40AFA" w:rsidRDefault="003842E9" w:rsidP="00DE1006">
      <w:pPr>
        <w:ind w:left="1440" w:hanging="720"/>
      </w:pPr>
      <w:r w:rsidRPr="00B40AFA">
        <w:t>(c</w:t>
      </w:r>
      <w:r w:rsidR="004F0DA4" w:rsidRPr="00B40AFA">
        <w:t>)</w:t>
      </w:r>
      <w:r w:rsidR="004F0DA4" w:rsidRPr="00B40AFA">
        <w:tab/>
      </w:r>
      <w:r w:rsidR="006B2E2A" w:rsidRPr="00B40AFA">
        <w:t>[</w:t>
      </w:r>
      <w:r w:rsidR="005A11D2" w:rsidRPr="0013282C">
        <w:t xml:space="preserve">noted </w:t>
      </w:r>
      <w:r w:rsidR="004F0DA4" w:rsidRPr="00B40AFA">
        <w:t xml:space="preserve">that the secured party has control of particular </w:t>
      </w:r>
      <w:r w:rsidR="003739A5" w:rsidRPr="00B40AFA">
        <w:t>co</w:t>
      </w:r>
      <w:r w:rsidR="004F0DA4" w:rsidRPr="00B40AFA">
        <w:t>llatera</w:t>
      </w:r>
      <w:r w:rsidR="003739A5" w:rsidRPr="00B40AFA">
        <w:t>l</w:t>
      </w:r>
      <w:r w:rsidR="005A11D2" w:rsidRPr="00B40AFA">
        <w:t xml:space="preserve"> for the purposes of Part</w:t>
      </w:r>
      <w:r w:rsidR="007B14F1" w:rsidRPr="0013282C">
        <w:t> </w:t>
      </w:r>
      <w:r w:rsidR="005A11D2" w:rsidRPr="0013282C">
        <w:t>9.5 of the PPSA</w:t>
      </w:r>
      <w:r w:rsidR="004F0DA4" w:rsidRPr="00B40AFA">
        <w:t>],</w:t>
      </w:r>
    </w:p>
    <w:p w:rsidR="00355A3B" w:rsidRDefault="004F0DA4" w:rsidP="002320E3">
      <w:pPr>
        <w:ind w:left="720"/>
      </w:pPr>
      <w:r w:rsidRPr="00B40AFA">
        <w:t xml:space="preserve">except to the extent (if any) disclosed </w:t>
      </w:r>
      <w:r w:rsidR="002320E3" w:rsidRPr="00B40AFA">
        <w:t>above</w:t>
      </w:r>
      <w:r w:rsidRPr="00B40AFA">
        <w:t>.</w:t>
      </w:r>
      <w:r w:rsidR="005A11D2" w:rsidRPr="0013282C">
        <w:rPr>
          <w:rStyle w:val="EndnoteReference"/>
        </w:rPr>
        <w:endnoteReference w:id="46"/>
      </w:r>
      <w:r w:rsidR="006B2E2A" w:rsidRPr="00B40AFA">
        <w:t>]</w:t>
      </w:r>
      <w:r>
        <w:t xml:space="preserve">  </w:t>
      </w:r>
    </w:p>
    <w:p w:rsidR="00355A3B" w:rsidRDefault="00355A3B">
      <w:pPr>
        <w:spacing w:before="0" w:line="240" w:lineRule="auto"/>
      </w:pPr>
      <w:r>
        <w:br w:type="page"/>
      </w:r>
    </w:p>
    <w:p w:rsidR="00FC0E04" w:rsidRPr="00C30E47" w:rsidRDefault="00FC0E04" w:rsidP="002320E3">
      <w:pPr>
        <w:ind w:left="720"/>
      </w:pPr>
    </w:p>
    <w:sectPr w:rsidR="00FC0E04" w:rsidRPr="00C30E47" w:rsidSect="00631BE7">
      <w:footerReference w:type="default" r:id="rId9"/>
      <w:headerReference w:type="first" r:id="rId10"/>
      <w:footerReference w:type="first" r:id="rId11"/>
      <w:endnotePr>
        <w:numFmt w:val="decimal"/>
      </w:endnotePr>
      <w:pgSz w:w="11906" w:h="16838" w:code="9"/>
      <w:pgMar w:top="1134" w:right="1021" w:bottom="1134" w:left="102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D4A" w:rsidRDefault="00600D4A">
      <w:r w:rsidRPr="00FC0E04">
        <w:rPr>
          <w:b/>
          <w:bCs/>
        </w:rPr>
        <w:t>Endnotes</w:t>
      </w:r>
    </w:p>
  </w:endnote>
  <w:endnote w:type="continuationSeparator" w:id="0">
    <w:p w:rsidR="00600D4A" w:rsidRDefault="00600D4A"/>
  </w:endnote>
  <w:endnote w:id="1">
    <w:p w:rsidR="00600D4A" w:rsidRPr="00334444" w:rsidRDefault="00600D4A">
      <w:pPr>
        <w:pStyle w:val="EndnoteText"/>
      </w:pPr>
      <w:r w:rsidRPr="00334444">
        <w:rPr>
          <w:rStyle w:val="EndnoteReference"/>
        </w:rPr>
        <w:endnoteRef/>
      </w:r>
      <w:r w:rsidRPr="00334444">
        <w:t xml:space="preserve"> </w:t>
      </w:r>
      <w:r w:rsidRPr="00334444">
        <w:tab/>
        <w:t>This opinion is intended for a bilateral, secured, domestic transaction.  It will need to be tailored to any specific circumstances relevant to the transaction, including</w:t>
      </w:r>
      <w:r w:rsidR="00A967CA">
        <w:t>,</w:t>
      </w:r>
      <w:r w:rsidR="003A2735">
        <w:t xml:space="preserve"> without limitation</w:t>
      </w:r>
      <w:r w:rsidR="00A967CA">
        <w:t>,</w:t>
      </w:r>
      <w:r w:rsidRPr="00334444">
        <w:t xml:space="preserve"> addressees.</w:t>
      </w:r>
    </w:p>
  </w:endnote>
  <w:endnote w:id="2">
    <w:p w:rsidR="00600D4A" w:rsidRPr="00334444" w:rsidRDefault="00600D4A" w:rsidP="00CE55BA">
      <w:pPr>
        <w:pStyle w:val="EndnoteText"/>
      </w:pPr>
      <w:r w:rsidRPr="00334444">
        <w:rPr>
          <w:rStyle w:val="EndnoteReference"/>
        </w:rPr>
        <w:endnoteRef/>
      </w:r>
      <w:r w:rsidRPr="00334444">
        <w:t xml:space="preserve"> </w:t>
      </w:r>
      <w:r w:rsidRPr="00334444">
        <w:tab/>
        <w:t xml:space="preserve">Only PPSA Security Interests should be listed in paragraph </w:t>
      </w:r>
      <w:r w:rsidRPr="00334444">
        <w:fldChar w:fldCharType="begin"/>
      </w:r>
      <w:r w:rsidRPr="00334444">
        <w:instrText xml:space="preserve"> REF _Ref390275299 \w \h </w:instrText>
      </w:r>
      <w:r>
        <w:instrText xml:space="preserve"> \* MERGEFORMAT </w:instrText>
      </w:r>
      <w:r w:rsidRPr="00334444">
        <w:fldChar w:fldCharType="separate"/>
      </w:r>
      <w:r w:rsidR="00D12F5D">
        <w:t>1(c)(ii)</w:t>
      </w:r>
      <w:r w:rsidRPr="00334444">
        <w:fldChar w:fldCharType="end"/>
      </w:r>
      <w:r w:rsidRPr="00334444">
        <w:t xml:space="preserve">.  Non-PPSA Security Interests should be listed in paragraphs </w:t>
      </w:r>
      <w:r w:rsidRPr="00334444">
        <w:fldChar w:fldCharType="begin"/>
      </w:r>
      <w:r w:rsidRPr="00334444">
        <w:instrText xml:space="preserve"> REF _Ref390275372 \w \h </w:instrText>
      </w:r>
      <w:r>
        <w:instrText xml:space="preserve"> \* MERGEFORMAT </w:instrText>
      </w:r>
      <w:r w:rsidRPr="00334444">
        <w:fldChar w:fldCharType="separate"/>
      </w:r>
      <w:r w:rsidR="00D12F5D">
        <w:t>1(c)(iii)</w:t>
      </w:r>
      <w:r w:rsidRPr="00334444">
        <w:fldChar w:fldCharType="end"/>
      </w:r>
      <w:r w:rsidRPr="00334444">
        <w:t xml:space="preserve"> (</w:t>
      </w:r>
      <w:proofErr w:type="spellStart"/>
      <w:r w:rsidRPr="00334444">
        <w:t>ie</w:t>
      </w:r>
      <w:proofErr w:type="spellEnd"/>
      <w:r w:rsidRPr="00334444">
        <w:t xml:space="preserve"> any Mortgage as defined) and </w:t>
      </w:r>
      <w:r w:rsidRPr="00334444">
        <w:fldChar w:fldCharType="begin"/>
      </w:r>
      <w:r w:rsidRPr="00334444">
        <w:instrText xml:space="preserve"> REF _Ref389549159 \w \h </w:instrText>
      </w:r>
      <w:r>
        <w:instrText xml:space="preserve"> \* MERGEFORMAT </w:instrText>
      </w:r>
      <w:r w:rsidRPr="00334444">
        <w:fldChar w:fldCharType="separate"/>
      </w:r>
      <w:r w:rsidR="00D12F5D">
        <w:t>1(c)(iv)</w:t>
      </w:r>
      <w:r w:rsidRPr="00334444">
        <w:fldChar w:fldCharType="end"/>
      </w:r>
      <w:r w:rsidRPr="00334444">
        <w:t xml:space="preserve">. </w:t>
      </w:r>
    </w:p>
  </w:endnote>
  <w:endnote w:id="3">
    <w:p w:rsidR="00600D4A" w:rsidRPr="00334444" w:rsidRDefault="00600D4A" w:rsidP="00CE55BA">
      <w:pPr>
        <w:pStyle w:val="EndnoteText"/>
      </w:pPr>
      <w:r w:rsidRPr="00334444">
        <w:rPr>
          <w:rStyle w:val="EndnoteReference"/>
        </w:rPr>
        <w:endnoteRef/>
      </w:r>
      <w:r w:rsidRPr="00334444">
        <w:t xml:space="preserve"> </w:t>
      </w:r>
      <w:r w:rsidRPr="00334444">
        <w:tab/>
        <w:t xml:space="preserve">If any other document creating a non-PPSA Security Interest (such as security over water rights or mining tenements), is listed in paragraph </w:t>
      </w:r>
      <w:r w:rsidRPr="00334444">
        <w:fldChar w:fldCharType="begin"/>
      </w:r>
      <w:r w:rsidRPr="00334444">
        <w:instrText xml:space="preserve"> REF _Ref389549159 \r \h </w:instrText>
      </w:r>
      <w:r>
        <w:instrText xml:space="preserve"> \* MERGEFORMAT </w:instrText>
      </w:r>
      <w:r w:rsidRPr="00334444">
        <w:fldChar w:fldCharType="separate"/>
      </w:r>
      <w:r w:rsidR="00D12F5D">
        <w:t>1(c)(iv)</w:t>
      </w:r>
      <w:r w:rsidRPr="00334444">
        <w:fldChar w:fldCharType="end"/>
      </w:r>
      <w:r w:rsidRPr="00334444">
        <w:t>, then the definitions and paragraphs, assumptions and qualifications relating to Security Interests should be carefully reviewed.</w:t>
      </w:r>
    </w:p>
  </w:endnote>
  <w:endnote w:id="4">
    <w:p w:rsidR="00600D4A" w:rsidRPr="00334444" w:rsidRDefault="00600D4A">
      <w:pPr>
        <w:pStyle w:val="EndnoteText"/>
      </w:pPr>
      <w:r w:rsidRPr="00334444">
        <w:rPr>
          <w:rStyle w:val="EndnoteReference"/>
        </w:rPr>
        <w:endnoteRef/>
      </w:r>
      <w:r w:rsidRPr="00334444">
        <w:t xml:space="preserve"> </w:t>
      </w:r>
      <w:r w:rsidRPr="00334444">
        <w:tab/>
        <w:t xml:space="preserve">If a document is listed in paragraph </w:t>
      </w:r>
      <w:r w:rsidRPr="00334444">
        <w:fldChar w:fldCharType="begin"/>
      </w:r>
      <w:r w:rsidRPr="00334444">
        <w:instrText xml:space="preserve"> REF _Ref389549226 \w \h </w:instrText>
      </w:r>
      <w:r>
        <w:instrText xml:space="preserve"> \* MERGEFORMAT </w:instrText>
      </w:r>
      <w:r w:rsidRPr="00334444">
        <w:fldChar w:fldCharType="separate"/>
      </w:r>
      <w:r w:rsidR="00D12F5D">
        <w:t>1(c)(v)</w:t>
      </w:r>
      <w:r w:rsidRPr="00334444">
        <w:fldChar w:fldCharType="end"/>
      </w:r>
      <w:r w:rsidRPr="00334444">
        <w:t>, the opining firm should carefully consider whether there are any embedded or other Security Interests in that document and, if so, the extent to which the opinion is to cover those Security Interests.  The definitions and paragraphs, assumptions and qualifications relating to Security Interests should be carefully reviewed if a document is listed in paragraph 1(c)(v) and changes may be required depending on whether or not the opinion is to cover those Security Interests.</w:t>
      </w:r>
    </w:p>
  </w:endnote>
  <w:endnote w:id="5">
    <w:p w:rsidR="00600D4A" w:rsidRPr="00334444" w:rsidRDefault="00600D4A" w:rsidP="002F3374">
      <w:pPr>
        <w:pStyle w:val="EndnoteText"/>
      </w:pPr>
      <w:r w:rsidRPr="00334444">
        <w:rPr>
          <w:rStyle w:val="EndnoteReference"/>
        </w:rPr>
        <w:endnoteRef/>
      </w:r>
      <w:r w:rsidRPr="00334444">
        <w:t xml:space="preserve"> </w:t>
      </w:r>
      <w:r w:rsidRPr="00334444">
        <w:tab/>
        <w:t>The drafting of the opinion assumes that this definition of "Security Interest" is used.</w:t>
      </w:r>
    </w:p>
    <w:p w:rsidR="00600D4A" w:rsidRPr="00334444" w:rsidRDefault="00600D4A" w:rsidP="002F3374">
      <w:pPr>
        <w:pStyle w:val="EndnoteText"/>
        <w:ind w:hanging="11"/>
      </w:pPr>
      <w:r w:rsidRPr="00334444">
        <w:t xml:space="preserve">Care should be taken if it is suggested that a different definition, such as the definition of "Security Interest" (or similar) in the underlying documents, be used instead, as that different definition may have a broader reach. In such circumstances the paragraphs, assumptions and qualifications relating to Security Interests should be carefully reviewed to ensure that they operate consistently with the definition, and that it is appropriate to give the opinion in relation to that broader term. </w:t>
      </w:r>
    </w:p>
    <w:p w:rsidR="00600D4A" w:rsidRPr="00334444" w:rsidRDefault="00600D4A" w:rsidP="002F3374">
      <w:pPr>
        <w:pStyle w:val="EndnoteText"/>
        <w:ind w:hanging="11"/>
      </w:pPr>
      <w:r w:rsidRPr="00334444">
        <w:t>This definition includes "deemed" security interests under section 12(3) of the PPSA.  See also paragraph 2 of Schedule 3.</w:t>
      </w:r>
      <w:r w:rsidRPr="00334444">
        <w:rPr>
          <w:b/>
          <w:i/>
          <w:sz w:val="14"/>
        </w:rPr>
        <w:t xml:space="preserve">  </w:t>
      </w:r>
    </w:p>
  </w:endnote>
  <w:endnote w:id="6">
    <w:p w:rsidR="00600D4A" w:rsidRPr="00CA1EAA" w:rsidRDefault="00600D4A" w:rsidP="00B37BBC">
      <w:pPr>
        <w:pStyle w:val="EndnoteText"/>
        <w:rPr>
          <w:b/>
          <w:i/>
        </w:rPr>
      </w:pPr>
      <w:r w:rsidRPr="00334444">
        <w:rPr>
          <w:rStyle w:val="EndnoteReference"/>
        </w:rPr>
        <w:endnoteRef/>
      </w:r>
      <w:r w:rsidRPr="00334444">
        <w:t xml:space="preserve"> </w:t>
      </w:r>
      <w:r w:rsidRPr="00334444">
        <w:tab/>
      </w:r>
      <w:r w:rsidR="008C1392">
        <w:t>I</w:t>
      </w:r>
      <w:r w:rsidRPr="0013282C">
        <w:t xml:space="preserve">f the </w:t>
      </w:r>
      <w:r w:rsidR="008C1392">
        <w:t>opining</w:t>
      </w:r>
      <w:r w:rsidR="008C1392" w:rsidRPr="0013282C">
        <w:t xml:space="preserve"> </w:t>
      </w:r>
      <w:r w:rsidRPr="0013282C">
        <w:t xml:space="preserve">firm has reviewed </w:t>
      </w:r>
      <w:r w:rsidR="008C1392">
        <w:t>board resolutions or constitutions</w:t>
      </w:r>
      <w:r w:rsidRPr="0013282C">
        <w:t>, they should be listed here.</w:t>
      </w:r>
    </w:p>
  </w:endnote>
  <w:endnote w:id="7">
    <w:p w:rsidR="00600D4A" w:rsidRPr="00154D69" w:rsidRDefault="00600D4A">
      <w:pPr>
        <w:pStyle w:val="EndnoteText"/>
      </w:pPr>
      <w:r w:rsidRPr="00154D69">
        <w:rPr>
          <w:rStyle w:val="EndnoteReference"/>
        </w:rPr>
        <w:endnoteRef/>
      </w:r>
      <w:r w:rsidRPr="00154D69">
        <w:t xml:space="preserve"> </w:t>
      </w:r>
      <w:r w:rsidRPr="00154D69">
        <w:tab/>
        <w:t xml:space="preserve">Include this paragraph if the opinion will identify PPSA Security Interests which have been perfected by registration (see paragraph </w:t>
      </w:r>
      <w:r w:rsidRPr="0013282C">
        <w:fldChar w:fldCharType="begin"/>
      </w:r>
      <w:r w:rsidRPr="00154D69">
        <w:instrText xml:space="preserve"> REF _Ref374544424 \w \h </w:instrText>
      </w:r>
      <w:r>
        <w:instrText xml:space="preserve"> \* MERGEFORMAT </w:instrText>
      </w:r>
      <w:r w:rsidRPr="0013282C">
        <w:fldChar w:fldCharType="separate"/>
      </w:r>
      <w:r w:rsidR="00D12F5D">
        <w:t>5(j)</w:t>
      </w:r>
      <w:r w:rsidRPr="0013282C">
        <w:fldChar w:fldCharType="end"/>
      </w:r>
      <w:r w:rsidRPr="00154D69">
        <w:t xml:space="preserve">) and you want to rely on verification statements rather than search results to confirm the registrations which have been made in relation to those PPSA Security Interests. This language is optional as an alternative to specifying that the opining firm has relied upon searches as described in paragraph </w:t>
      </w:r>
      <w:r w:rsidRPr="0013282C">
        <w:fldChar w:fldCharType="begin"/>
      </w:r>
      <w:r w:rsidRPr="00154D69">
        <w:instrText xml:space="preserve"> REF _Ref374544530 \w \h </w:instrText>
      </w:r>
      <w:r>
        <w:instrText xml:space="preserve"> \* MERGEFORMAT </w:instrText>
      </w:r>
      <w:r w:rsidRPr="0013282C">
        <w:fldChar w:fldCharType="separate"/>
      </w:r>
      <w:r w:rsidR="00D12F5D">
        <w:t>4(b)</w:t>
      </w:r>
      <w:r w:rsidRPr="0013282C">
        <w:fldChar w:fldCharType="end"/>
      </w:r>
      <w:r w:rsidRPr="00154D69">
        <w:t xml:space="preserve">. </w:t>
      </w:r>
    </w:p>
    <w:p w:rsidR="00600D4A" w:rsidRPr="00154D69" w:rsidRDefault="00600D4A" w:rsidP="00392DE7">
      <w:pPr>
        <w:pStyle w:val="EndnoteText"/>
        <w:ind w:hanging="11"/>
      </w:pPr>
      <w:r w:rsidRPr="00154D69">
        <w:t xml:space="preserve">Some firms prefer to advise on registration matters in a separate document.  For that reason, this text (and the other text that relates to it) is optional. </w:t>
      </w:r>
    </w:p>
  </w:endnote>
  <w:endnote w:id="8">
    <w:p w:rsidR="00600D4A" w:rsidRPr="00154D69" w:rsidRDefault="00600D4A">
      <w:pPr>
        <w:pStyle w:val="EndnoteText"/>
      </w:pPr>
      <w:r w:rsidRPr="00154D69">
        <w:rPr>
          <w:rStyle w:val="EndnoteReference"/>
        </w:rPr>
        <w:endnoteRef/>
      </w:r>
      <w:r w:rsidRPr="00154D69">
        <w:t xml:space="preserve"> </w:t>
      </w:r>
      <w:r w:rsidRPr="00154D69">
        <w:tab/>
        <w:t xml:space="preserve">While it is customary in banking opinions to identify whether additional authorisations (such as FIRB or ACCC) are required, it is not market practice to opine on whether any particular such authorisation is effective and sufficient.  If the opinion is to follow the customary approach, refer to those authorisations in paragraph </w:t>
      </w:r>
      <w:r w:rsidRPr="0013282C">
        <w:fldChar w:fldCharType="begin"/>
      </w:r>
      <w:r w:rsidRPr="00154D69">
        <w:instrText xml:space="preserve"> REF _Ref372885986 \r \h </w:instrText>
      </w:r>
      <w:r>
        <w:instrText xml:space="preserve"> \* MERGEFORMAT </w:instrText>
      </w:r>
      <w:r w:rsidRPr="0013282C">
        <w:fldChar w:fldCharType="separate"/>
      </w:r>
      <w:r w:rsidR="00D12F5D">
        <w:t>5(e)</w:t>
      </w:r>
      <w:r w:rsidRPr="0013282C">
        <w:fldChar w:fldCharType="end"/>
      </w:r>
      <w:r w:rsidRPr="00154D69">
        <w:t>, not here.  If you do need to opine on the effectiveness of additional authorisations, however, list them here.  You may then need to include additional assumptions or qualifications.</w:t>
      </w:r>
    </w:p>
  </w:endnote>
  <w:endnote w:id="9">
    <w:p w:rsidR="00600D4A" w:rsidRPr="00154D69" w:rsidRDefault="00600D4A" w:rsidP="00880868">
      <w:pPr>
        <w:pStyle w:val="EndnoteText"/>
      </w:pPr>
      <w:r w:rsidRPr="00154D69">
        <w:rPr>
          <w:rStyle w:val="EndnoteReference"/>
        </w:rPr>
        <w:endnoteRef/>
      </w:r>
      <w:r w:rsidRPr="00154D69">
        <w:t xml:space="preserve"> </w:t>
      </w:r>
      <w:r w:rsidRPr="00154D69">
        <w:tab/>
        <w:t>Consideration should be given to whether there are any laws in force that may not have commenced full operation yet, and whether those laws should be excluded from the scope of the opinion.  In some circumstances, it may be appropriate to include a qualification specifically addressing laws that are not in full operation or effect.</w:t>
      </w:r>
    </w:p>
  </w:endnote>
  <w:endnote w:id="10">
    <w:p w:rsidR="00600D4A" w:rsidRPr="00154D69" w:rsidRDefault="00600D4A">
      <w:pPr>
        <w:pStyle w:val="EndnoteText"/>
      </w:pPr>
      <w:r w:rsidRPr="00154D69">
        <w:rPr>
          <w:rStyle w:val="EndnoteReference"/>
        </w:rPr>
        <w:endnoteRef/>
      </w:r>
      <w:r w:rsidRPr="00154D69">
        <w:t xml:space="preserve"> </w:t>
      </w:r>
      <w:r w:rsidRPr="00154D69">
        <w:tab/>
        <w:t>The law firm may choose its preferred alternative for the transaction.</w:t>
      </w:r>
    </w:p>
  </w:endnote>
  <w:endnote w:id="11">
    <w:p w:rsidR="00600D4A" w:rsidRPr="00154D69" w:rsidRDefault="00600D4A">
      <w:pPr>
        <w:pStyle w:val="EndnoteText"/>
      </w:pPr>
      <w:r w:rsidRPr="00154D69">
        <w:rPr>
          <w:rStyle w:val="EndnoteReference"/>
        </w:rPr>
        <w:endnoteRef/>
      </w:r>
      <w:r w:rsidRPr="00154D69">
        <w:t xml:space="preserve"> </w:t>
      </w:r>
      <w:r w:rsidRPr="00154D69">
        <w:tab/>
        <w:t>A firm may wish to insert the time of the relevant search (for example, if it has conducted multiple searches on the same day, or if the opinion is addressed to parties in different time zones).</w:t>
      </w:r>
    </w:p>
  </w:endnote>
  <w:endnote w:id="12">
    <w:p w:rsidR="00600D4A" w:rsidRPr="00154D69" w:rsidRDefault="00600D4A">
      <w:pPr>
        <w:pStyle w:val="EndnoteText"/>
      </w:pPr>
      <w:r w:rsidRPr="00154D69">
        <w:rPr>
          <w:rStyle w:val="EndnoteReference"/>
        </w:rPr>
        <w:endnoteRef/>
      </w:r>
      <w:r w:rsidRPr="00154D69">
        <w:t xml:space="preserve"> </w:t>
      </w:r>
      <w:r w:rsidRPr="00154D69">
        <w:tab/>
        <w:t>A firm may wish to insert the time of the relevant search, (for example, if it has conducted multiple searches on the same day, or if the opinion is addressed to parties in different time zones).</w:t>
      </w:r>
    </w:p>
  </w:endnote>
  <w:endnote w:id="13">
    <w:p w:rsidR="00600D4A" w:rsidRPr="00154D69" w:rsidRDefault="00600D4A">
      <w:pPr>
        <w:pStyle w:val="EndnoteText"/>
      </w:pPr>
      <w:r w:rsidRPr="00154D69">
        <w:rPr>
          <w:rStyle w:val="EndnoteReference"/>
        </w:rPr>
        <w:endnoteRef/>
      </w:r>
      <w:r w:rsidRPr="00154D69">
        <w:t xml:space="preserve"> </w:t>
      </w:r>
      <w:r w:rsidRPr="00154D69">
        <w:tab/>
        <w:t xml:space="preserve">Include this paragraph if the opinion will identify PPSA Security Interests which have been perfected by registration (see paragraph </w:t>
      </w:r>
      <w:r w:rsidRPr="0013282C">
        <w:fldChar w:fldCharType="begin"/>
      </w:r>
      <w:r w:rsidRPr="00154D69">
        <w:instrText xml:space="preserve"> REF _Ref372886017 \r \h  \* MERGEFORMAT </w:instrText>
      </w:r>
      <w:r w:rsidRPr="0013282C">
        <w:fldChar w:fldCharType="separate"/>
      </w:r>
      <w:r w:rsidR="00D12F5D">
        <w:t>5(j)</w:t>
      </w:r>
      <w:r w:rsidRPr="0013282C">
        <w:fldChar w:fldCharType="end"/>
      </w:r>
      <w:r w:rsidRPr="00154D69">
        <w:t xml:space="preserve">) and you want to rely on search results rather than copies of the verification statements to confirm the registrations which have been made in relation to those PPSA Security Interests. This language is optional as an alternative to specifying that the opining firm has relied upon verification statements as described in paragraph </w:t>
      </w:r>
      <w:r w:rsidRPr="0013282C">
        <w:fldChar w:fldCharType="begin"/>
      </w:r>
      <w:r w:rsidRPr="00154D69">
        <w:instrText xml:space="preserve"> REF _Ref374544555 \w \h </w:instrText>
      </w:r>
      <w:r>
        <w:instrText xml:space="preserve"> \* MERGEFORMAT </w:instrText>
      </w:r>
      <w:r w:rsidRPr="0013282C">
        <w:fldChar w:fldCharType="separate"/>
      </w:r>
      <w:r w:rsidR="00D12F5D">
        <w:t>2(d)</w:t>
      </w:r>
      <w:r w:rsidRPr="0013282C">
        <w:fldChar w:fldCharType="end"/>
      </w:r>
      <w:r w:rsidRPr="00154D69">
        <w:t>.</w:t>
      </w:r>
    </w:p>
    <w:p w:rsidR="00600D4A" w:rsidRPr="00154D69" w:rsidRDefault="00600D4A" w:rsidP="00392DE7">
      <w:pPr>
        <w:pStyle w:val="EndnoteText"/>
        <w:ind w:left="709" w:firstLine="0"/>
      </w:pPr>
      <w:r w:rsidRPr="00154D69">
        <w:t>Some firms prefer to advise on registration matters in a separate document.  For that reason, this text (and the other text that relates to it) is optional.</w:t>
      </w:r>
    </w:p>
  </w:endnote>
  <w:endnote w:id="14">
    <w:p w:rsidR="00600D4A" w:rsidRPr="00154D69" w:rsidRDefault="00600D4A">
      <w:pPr>
        <w:pStyle w:val="EndnoteText"/>
      </w:pPr>
      <w:r w:rsidRPr="00154D69">
        <w:rPr>
          <w:rStyle w:val="EndnoteReference"/>
        </w:rPr>
        <w:endnoteRef/>
      </w:r>
      <w:r w:rsidRPr="00154D69">
        <w:t xml:space="preserve"> </w:t>
      </w:r>
      <w:r w:rsidRPr="00154D69">
        <w:tab/>
        <w:t>A firm may wish to insert the time of the relevant search, (for example, if it has conducted multiple searches on the same day, or if the opinion is addressed to parties in different time zones).</w:t>
      </w:r>
    </w:p>
  </w:endnote>
  <w:endnote w:id="15">
    <w:p w:rsidR="00600D4A" w:rsidRPr="00154D69" w:rsidRDefault="00600D4A" w:rsidP="006348B4">
      <w:pPr>
        <w:pStyle w:val="EndnoteText"/>
      </w:pPr>
      <w:r w:rsidRPr="00154D69">
        <w:rPr>
          <w:rStyle w:val="EndnoteReference"/>
        </w:rPr>
        <w:endnoteRef/>
      </w:r>
      <w:r w:rsidRPr="00154D69">
        <w:t xml:space="preserve"> </w:t>
      </w:r>
      <w:r w:rsidRPr="00154D69">
        <w:tab/>
        <w:t xml:space="preserve">This register was established under the </w:t>
      </w:r>
      <w:r w:rsidRPr="00154D69">
        <w:rPr>
          <w:i/>
          <w:iCs/>
        </w:rPr>
        <w:t>Corporations Regulations 2001</w:t>
      </w:r>
      <w:r w:rsidRPr="00154D69">
        <w:t xml:space="preserve"> (</w:t>
      </w:r>
      <w:proofErr w:type="spellStart"/>
      <w:r w:rsidRPr="00154D69">
        <w:t>Cth</w:t>
      </w:r>
      <w:proofErr w:type="spellEnd"/>
      <w:r w:rsidRPr="00154D69">
        <w:t xml:space="preserve">) – see regulation 5.6.75. It can be accessed at </w:t>
      </w:r>
      <w:hyperlink r:id="rId1" w:history="1">
        <w:r w:rsidRPr="00154D69">
          <w:rPr>
            <w:rStyle w:val="Hyperlink"/>
          </w:rPr>
          <w:t>https://insolvencynotices.asic.gov.au/</w:t>
        </w:r>
      </w:hyperlink>
      <w:r w:rsidRPr="00154D69">
        <w:t xml:space="preserve"> and can be searched by company name or ACN.  Notices lodged on this register will make their way to the ASIC records which would appear on your ASIC search.  However, it is not clear whether notices may appear on the insolvency register earlier than the ASIC register. However, given the availability of this register and the ease of searching, it may be prudent to do so.</w:t>
      </w:r>
    </w:p>
    <w:p w:rsidR="00600D4A" w:rsidRPr="00154D69" w:rsidRDefault="00600D4A" w:rsidP="006348B4">
      <w:pPr>
        <w:pStyle w:val="EndnoteText"/>
        <w:ind w:firstLine="0"/>
      </w:pPr>
      <w:r w:rsidRPr="00154D69">
        <w:t>A firm may wish to insert the time of the relevant search (for example, if it has conducted multiple searches on the same day, or if the opinion is addressed to parties in different time zones).</w:t>
      </w:r>
    </w:p>
  </w:endnote>
  <w:endnote w:id="16">
    <w:p w:rsidR="00600D4A" w:rsidRPr="00154D69" w:rsidRDefault="00600D4A" w:rsidP="00F5203E">
      <w:pPr>
        <w:spacing w:line="240" w:lineRule="auto"/>
        <w:ind w:left="720" w:hanging="720"/>
        <w:rPr>
          <w:bCs/>
          <w:sz w:val="16"/>
          <w:szCs w:val="16"/>
        </w:rPr>
      </w:pPr>
      <w:r w:rsidRPr="00154D69">
        <w:rPr>
          <w:rStyle w:val="EndnoteReference"/>
        </w:rPr>
        <w:endnoteRef/>
      </w:r>
      <w:r w:rsidRPr="00154D69">
        <w:t xml:space="preserve"> </w:t>
      </w:r>
      <w:r w:rsidRPr="00154D69">
        <w:tab/>
      </w:r>
      <w:r w:rsidRPr="00154D69">
        <w:rPr>
          <w:bCs/>
          <w:sz w:val="16"/>
          <w:szCs w:val="16"/>
        </w:rPr>
        <w:t>The opinion does not expressly comment on a number of matters that opinions have commonly addressed in the past:</w:t>
      </w:r>
    </w:p>
    <w:p w:rsidR="00600D4A" w:rsidRPr="00154D69" w:rsidRDefault="00600D4A" w:rsidP="00F5203E">
      <w:pPr>
        <w:spacing w:line="240" w:lineRule="auto"/>
        <w:ind w:left="720"/>
        <w:rPr>
          <w:b/>
          <w:bCs/>
          <w:sz w:val="16"/>
          <w:szCs w:val="16"/>
        </w:rPr>
      </w:pPr>
      <w:r w:rsidRPr="00154D69">
        <w:rPr>
          <w:b/>
          <w:bCs/>
          <w:sz w:val="16"/>
          <w:szCs w:val="16"/>
        </w:rPr>
        <w:t>Corporate action</w:t>
      </w:r>
    </w:p>
    <w:p w:rsidR="00600D4A" w:rsidRPr="00154D69" w:rsidRDefault="00600D4A" w:rsidP="00F5203E">
      <w:pPr>
        <w:spacing w:line="240" w:lineRule="auto"/>
        <w:ind w:left="720"/>
        <w:rPr>
          <w:sz w:val="16"/>
          <w:szCs w:val="16"/>
        </w:rPr>
      </w:pPr>
      <w:r w:rsidRPr="00154D69">
        <w:rPr>
          <w:sz w:val="16"/>
          <w:szCs w:val="16"/>
        </w:rPr>
        <w:t>In the past, it has not been uncommon for an opinion to include a paragraph along the following lines:</w:t>
      </w:r>
    </w:p>
    <w:p w:rsidR="00600D4A" w:rsidRPr="00154D69" w:rsidRDefault="00600D4A" w:rsidP="00F5203E">
      <w:pPr>
        <w:spacing w:line="240" w:lineRule="auto"/>
        <w:ind w:left="1440"/>
        <w:rPr>
          <w:sz w:val="16"/>
          <w:szCs w:val="16"/>
        </w:rPr>
      </w:pPr>
      <w:r w:rsidRPr="00154D69">
        <w:rPr>
          <w:sz w:val="16"/>
          <w:szCs w:val="16"/>
        </w:rPr>
        <w:t>"The Company has taken all corporate action for it to enter into each Document and to perform its obligations under it."</w:t>
      </w:r>
    </w:p>
    <w:p w:rsidR="00600D4A" w:rsidRPr="00154D69" w:rsidRDefault="00600D4A" w:rsidP="00F5203E">
      <w:pPr>
        <w:spacing w:line="240" w:lineRule="auto"/>
        <w:ind w:left="720"/>
        <w:rPr>
          <w:sz w:val="16"/>
          <w:szCs w:val="16"/>
        </w:rPr>
      </w:pPr>
      <w:r w:rsidRPr="00154D69">
        <w:rPr>
          <w:sz w:val="16"/>
          <w:szCs w:val="16"/>
        </w:rPr>
        <w:t>That paragraph is unnecessary, as it is covered by the opinion that the Document is binding on the Company and enforceable against it.   The party relying on the opinion is concerned whether the Document is binding and enforceable against the Company.  Corporate authorisations are merely a step in the process of making them binding, but in Australia they are not a necessary step because of the operation of the statutory assumptions in section 129 of the Corporations Act.</w:t>
      </w:r>
    </w:p>
    <w:p w:rsidR="00600D4A" w:rsidRPr="00154D69" w:rsidRDefault="00600D4A" w:rsidP="00F5203E">
      <w:pPr>
        <w:spacing w:line="240" w:lineRule="auto"/>
        <w:ind w:left="720"/>
        <w:rPr>
          <w:sz w:val="16"/>
          <w:szCs w:val="16"/>
        </w:rPr>
      </w:pPr>
      <w:r w:rsidRPr="00154D69">
        <w:rPr>
          <w:sz w:val="16"/>
          <w:szCs w:val="16"/>
        </w:rPr>
        <w:t>If in fact there was a missed necessary corporate authorisation (for example, because directors did not authorise entry into the Document), then the Document would not be binding on the Company, unless the other party could rely on the statutory assumptions, and the opining counsel would be held responsible under the "obligations binding" paragraph.</w:t>
      </w:r>
    </w:p>
    <w:p w:rsidR="00600D4A" w:rsidRPr="00154D69" w:rsidRDefault="00600D4A" w:rsidP="00F5203E">
      <w:pPr>
        <w:spacing w:line="240" w:lineRule="auto"/>
        <w:ind w:left="720"/>
        <w:rPr>
          <w:sz w:val="16"/>
          <w:szCs w:val="16"/>
        </w:rPr>
      </w:pPr>
      <w:r w:rsidRPr="00154D69">
        <w:rPr>
          <w:sz w:val="16"/>
          <w:szCs w:val="16"/>
        </w:rPr>
        <w:t>Further, the traditional wording of the paragraph connotes a heavy degree of due diligence, which may go beyond merely checking the minutes or extracts of minutes sometimes seen by opining counsel.  It deals with "all" authorisations, which can include</w:t>
      </w:r>
      <w:r w:rsidR="003A2735">
        <w:rPr>
          <w:sz w:val="16"/>
          <w:szCs w:val="16"/>
        </w:rPr>
        <w:t xml:space="preserve"> </w:t>
      </w:r>
      <w:r w:rsidRPr="00154D69">
        <w:rPr>
          <w:sz w:val="16"/>
          <w:szCs w:val="16"/>
        </w:rPr>
        <w:t>all management processes and any necessary processes for the relevant directors' meeting to be effective, for instance, proper appointment of the relevant directors and all steps necessary to call a proper meeting.  Opining counsel should only need to see whatever documents are sufficient for it to give the opinion that the Document is binding and enforceable, given the assumptions in section 129 of the Corporations Act.</w:t>
      </w:r>
    </w:p>
    <w:p w:rsidR="00600D4A" w:rsidRPr="00154D69" w:rsidRDefault="00600D4A" w:rsidP="00F5203E">
      <w:pPr>
        <w:spacing w:line="240" w:lineRule="auto"/>
        <w:ind w:left="720"/>
        <w:rPr>
          <w:sz w:val="16"/>
          <w:szCs w:val="16"/>
        </w:rPr>
      </w:pPr>
      <w:r w:rsidRPr="00154D69">
        <w:rPr>
          <w:sz w:val="16"/>
          <w:szCs w:val="16"/>
        </w:rPr>
        <w:t>Where the opining firm or the opinion recipient has been provided with the board minutes or extracts of minutes then the opining firm must review them, but it is still necessary to include the statutory assumptions to cover issues that may not be apparent from the minutes</w:t>
      </w:r>
      <w:r w:rsidR="00FF497F">
        <w:rPr>
          <w:sz w:val="16"/>
          <w:szCs w:val="16"/>
        </w:rPr>
        <w:t xml:space="preserve"> or extracts</w:t>
      </w:r>
      <w:r w:rsidRPr="00154D69">
        <w:rPr>
          <w:sz w:val="16"/>
          <w:szCs w:val="16"/>
        </w:rPr>
        <w:t xml:space="preserve">.  </w:t>
      </w:r>
    </w:p>
    <w:p w:rsidR="00600D4A" w:rsidRPr="00154D69" w:rsidRDefault="00600D4A" w:rsidP="00F5203E">
      <w:pPr>
        <w:spacing w:line="240" w:lineRule="auto"/>
        <w:ind w:left="720"/>
        <w:rPr>
          <w:b/>
          <w:bCs/>
          <w:sz w:val="16"/>
          <w:szCs w:val="16"/>
        </w:rPr>
      </w:pPr>
      <w:r w:rsidRPr="00154D69">
        <w:rPr>
          <w:b/>
          <w:bCs/>
          <w:sz w:val="16"/>
          <w:szCs w:val="16"/>
        </w:rPr>
        <w:t>Sovereign immunity</w:t>
      </w:r>
    </w:p>
    <w:p w:rsidR="00600D4A" w:rsidRPr="00154D69" w:rsidRDefault="00600D4A" w:rsidP="00F5203E">
      <w:pPr>
        <w:spacing w:line="240" w:lineRule="auto"/>
        <w:ind w:left="720"/>
        <w:rPr>
          <w:sz w:val="16"/>
          <w:szCs w:val="16"/>
        </w:rPr>
      </w:pPr>
      <w:r w:rsidRPr="00154D69">
        <w:rPr>
          <w:sz w:val="16"/>
          <w:szCs w:val="16"/>
        </w:rPr>
        <w:t>An opinion on sovereign immunity is not relevant in a domestic transaction where the borrower is incorporated under the Corporations Act.  In offshore transactions, however, a paragraph could be given in these terms:</w:t>
      </w:r>
    </w:p>
    <w:p w:rsidR="00600D4A" w:rsidRPr="00154D69" w:rsidRDefault="00600D4A" w:rsidP="00F5203E">
      <w:pPr>
        <w:spacing w:line="240" w:lineRule="auto"/>
        <w:ind w:left="1440"/>
        <w:rPr>
          <w:sz w:val="16"/>
          <w:szCs w:val="16"/>
        </w:rPr>
      </w:pPr>
      <w:r w:rsidRPr="00154D69">
        <w:rPr>
          <w:sz w:val="16"/>
          <w:szCs w:val="16"/>
        </w:rPr>
        <w:t>"The Company is not entitled to claim sovereign or other general immunity from suit or execution for itself or its assets."</w:t>
      </w:r>
    </w:p>
    <w:p w:rsidR="00600D4A" w:rsidRPr="00154D69" w:rsidRDefault="00600D4A" w:rsidP="00F5203E">
      <w:pPr>
        <w:spacing w:line="240" w:lineRule="auto"/>
        <w:ind w:left="720"/>
        <w:rPr>
          <w:sz w:val="16"/>
          <w:szCs w:val="16"/>
        </w:rPr>
      </w:pPr>
      <w:r w:rsidRPr="00154D69">
        <w:rPr>
          <w:sz w:val="16"/>
          <w:szCs w:val="16"/>
        </w:rPr>
        <w:t>If the opinion is given, it should refer to "general immunity" rather than just "immunity".  For example, the Company might own some assets that are protected from execution by statute, and the opining firm should not be required to conduct an exhaustive investigation of all the Company's assets to determine whether this might be the case.</w:t>
      </w:r>
    </w:p>
    <w:p w:rsidR="00600D4A" w:rsidRPr="00154D69" w:rsidRDefault="00600D4A" w:rsidP="0056693C">
      <w:pPr>
        <w:spacing w:line="240" w:lineRule="auto"/>
        <w:ind w:left="720"/>
        <w:rPr>
          <w:b/>
          <w:bCs/>
          <w:sz w:val="16"/>
          <w:szCs w:val="16"/>
        </w:rPr>
      </w:pPr>
      <w:r w:rsidRPr="00154D69">
        <w:rPr>
          <w:b/>
          <w:bCs/>
          <w:sz w:val="16"/>
          <w:szCs w:val="16"/>
        </w:rPr>
        <w:t>Governing law</w:t>
      </w:r>
    </w:p>
    <w:p w:rsidR="00600D4A" w:rsidRPr="00154D69" w:rsidRDefault="00600D4A" w:rsidP="0056693C">
      <w:pPr>
        <w:spacing w:line="240" w:lineRule="auto"/>
        <w:ind w:left="720"/>
        <w:rPr>
          <w:sz w:val="16"/>
          <w:szCs w:val="16"/>
        </w:rPr>
      </w:pPr>
      <w:r w:rsidRPr="00154D69">
        <w:rPr>
          <w:sz w:val="16"/>
          <w:szCs w:val="16"/>
        </w:rPr>
        <w:t>It should not be necessary in an opinion on a domestic transaction to opine on the effectiveness of the governing law clause.  In offshore transactions, however, a paragraph could be included in these terms:</w:t>
      </w:r>
    </w:p>
    <w:p w:rsidR="00600D4A" w:rsidRPr="00154D69" w:rsidRDefault="00600D4A" w:rsidP="0056693C">
      <w:pPr>
        <w:spacing w:line="240" w:lineRule="auto"/>
        <w:ind w:left="1440"/>
        <w:rPr>
          <w:sz w:val="16"/>
          <w:szCs w:val="16"/>
        </w:rPr>
      </w:pPr>
      <w:r w:rsidRPr="00154D69">
        <w:rPr>
          <w:sz w:val="16"/>
          <w:szCs w:val="16"/>
        </w:rPr>
        <w:t>"Courts of the Relevant Jurisdictions will give effect to:</w:t>
      </w:r>
    </w:p>
    <w:p w:rsidR="00600D4A" w:rsidRPr="0056693C" w:rsidRDefault="0056693C" w:rsidP="0056693C">
      <w:pPr>
        <w:pStyle w:val="EndnoteText"/>
        <w:ind w:left="2160"/>
      </w:pPr>
      <w:r>
        <w:t>(a)</w:t>
      </w:r>
      <w:r>
        <w:tab/>
      </w:r>
      <w:r w:rsidR="00600D4A" w:rsidRPr="0056693C">
        <w:t>the choice of governing law specified in the Document; and</w:t>
      </w:r>
    </w:p>
    <w:p w:rsidR="00600D4A" w:rsidRPr="00154D69" w:rsidRDefault="00600D4A" w:rsidP="00A17500">
      <w:pPr>
        <w:pStyle w:val="EndnoteText"/>
        <w:ind w:left="2160"/>
      </w:pPr>
      <w:r w:rsidRPr="00154D69">
        <w:t>(b)</w:t>
      </w:r>
      <w:r w:rsidRPr="00154D69">
        <w:tab/>
        <w:t>the submission by the Company in a Document to the jurisdiction of the courts specified in the Document."</w:t>
      </w:r>
    </w:p>
    <w:p w:rsidR="00600D4A" w:rsidRPr="00154D69" w:rsidRDefault="00600D4A" w:rsidP="0056693C">
      <w:pPr>
        <w:spacing w:line="240" w:lineRule="auto"/>
        <w:ind w:left="720"/>
        <w:rPr>
          <w:b/>
          <w:bCs/>
          <w:sz w:val="16"/>
          <w:szCs w:val="16"/>
        </w:rPr>
      </w:pPr>
      <w:r w:rsidRPr="00154D69">
        <w:rPr>
          <w:b/>
          <w:bCs/>
          <w:sz w:val="16"/>
          <w:szCs w:val="16"/>
        </w:rPr>
        <w:t>Enforcement of foreign judgments</w:t>
      </w:r>
    </w:p>
    <w:p w:rsidR="00600D4A" w:rsidRPr="00154D69" w:rsidRDefault="00600D4A" w:rsidP="00AF1F42">
      <w:pPr>
        <w:pStyle w:val="EndnoteText"/>
        <w:ind w:left="709" w:firstLine="11"/>
      </w:pPr>
      <w:r w:rsidRPr="00154D69">
        <w:t>It should not be necessary in an opinion on a domestic transaction to opine on the enforcement of foreign judgments.</w:t>
      </w:r>
    </w:p>
    <w:p w:rsidR="00600D4A" w:rsidRPr="00154D69" w:rsidRDefault="00600D4A" w:rsidP="00982164">
      <w:pPr>
        <w:pStyle w:val="EndnoteText"/>
        <w:ind w:left="709" w:firstLine="11"/>
      </w:pPr>
      <w:r w:rsidRPr="00154D69">
        <w:t>However, if an asset subject to a Security Interest is known to be located outside Australia, and security over that asset is an important factor in your transaction, consider whether a paragraph relating to the enforcement of foreign judgments should be included.</w:t>
      </w:r>
    </w:p>
  </w:endnote>
  <w:endnote w:id="17">
    <w:p w:rsidR="00600D4A" w:rsidRPr="00154D69" w:rsidRDefault="00600D4A" w:rsidP="0025314D">
      <w:pPr>
        <w:pStyle w:val="EndnoteText"/>
      </w:pPr>
      <w:r w:rsidRPr="00154D69">
        <w:rPr>
          <w:rStyle w:val="EndnoteReference"/>
        </w:rPr>
        <w:endnoteRef/>
      </w:r>
      <w:r w:rsidRPr="00154D69">
        <w:t xml:space="preserve"> </w:t>
      </w:r>
      <w:r w:rsidRPr="00154D69">
        <w:tab/>
        <w:t>An opining firm may be asked to state that the Company is "duly" incorporated, or "validly" existing, or both.  These words (or similar) are not considered to add anything to the meaning of the opinion statement.</w:t>
      </w:r>
    </w:p>
    <w:p w:rsidR="00600D4A" w:rsidRPr="00154D69" w:rsidRDefault="00600D4A" w:rsidP="0025314D">
      <w:pPr>
        <w:pStyle w:val="EndnoteText"/>
        <w:rPr>
          <w:rFonts w:cs="Arial"/>
        </w:rPr>
      </w:pPr>
      <w:r w:rsidRPr="00154D69">
        <w:tab/>
        <w:t>An</w:t>
      </w:r>
      <w:r w:rsidRPr="00154D69">
        <w:rPr>
          <w:rFonts w:cs="Arial"/>
        </w:rPr>
        <w:t xml:space="preserve"> opining firm may also be asked to expand the paragraph to state that </w:t>
      </w:r>
      <w:r w:rsidRPr="00154D69">
        <w:t>the</w:t>
      </w:r>
      <w:r w:rsidRPr="00154D69">
        <w:rPr>
          <w:rFonts w:cs="Arial"/>
        </w:rPr>
        <w:t xml:space="preserve"> Company is incorporated and existing under the Corporations Act "as a company with limited liability", or to go on to say that </w:t>
      </w:r>
      <w:r w:rsidRPr="00154D69">
        <w:t>the</w:t>
      </w:r>
      <w:r w:rsidRPr="00154D69">
        <w:rPr>
          <w:rFonts w:cs="Arial"/>
        </w:rPr>
        <w:t xml:space="preserve"> Company "is capable of suing and being sued in its corporate </w:t>
      </w:r>
      <w:r w:rsidRPr="00154D69">
        <w:t>name</w:t>
      </w:r>
      <w:r w:rsidRPr="00154D69">
        <w:rPr>
          <w:rFonts w:cs="Arial"/>
        </w:rPr>
        <w:t xml:space="preserve">".  These attributes are necessary incidents of the fact that the Company is incorporated under the Corporations Act, so additional wording along these lines will not add to the scope of the opinion statement.  Also, whether or not </w:t>
      </w:r>
      <w:r w:rsidRPr="00154D69">
        <w:t>the</w:t>
      </w:r>
      <w:r w:rsidRPr="00154D69">
        <w:rPr>
          <w:rFonts w:cs="Arial"/>
        </w:rPr>
        <w:t xml:space="preserve"> Company operates with limited liability should not impact on </w:t>
      </w:r>
      <w:r w:rsidRPr="00154D69">
        <w:t>the</w:t>
      </w:r>
      <w:r w:rsidRPr="00154D69">
        <w:rPr>
          <w:rFonts w:cs="Arial"/>
        </w:rPr>
        <w:t xml:space="preserve"> Company's obligations under the Document, and so is not relevant for the purposes of the opinion.</w:t>
      </w:r>
    </w:p>
    <w:p w:rsidR="00600D4A" w:rsidRPr="00154D69" w:rsidRDefault="00600D4A" w:rsidP="0025314D">
      <w:pPr>
        <w:pStyle w:val="EndnoteText"/>
        <w:rPr>
          <w:rFonts w:cs="Arial"/>
        </w:rPr>
      </w:pPr>
      <w:r w:rsidRPr="00154D69">
        <w:rPr>
          <w:rFonts w:cs="Arial"/>
        </w:rPr>
        <w:tab/>
        <w:t>It may however be appropriate to include text along these lines in an opinion where the addressees are not familiar with Australian law.</w:t>
      </w:r>
    </w:p>
    <w:p w:rsidR="00600D4A" w:rsidRPr="00154D69" w:rsidRDefault="00600D4A" w:rsidP="0025314D">
      <w:pPr>
        <w:pStyle w:val="EndnoteText"/>
      </w:pPr>
      <w:r w:rsidRPr="00154D69">
        <w:tab/>
        <w:t>An opining firm may also be asked to expand this paragraph to state that the Company "has all requisite power to carry on its business and own its property".  If this simply restated the principle that a company under the Corporations Act has all the powers of a natural person (and more), then this would be unobjectionable.  However, it could be read as suggesting that the opining firm has undertaken a broader investigation of the Company's operations and assets, and of all the laws that apply to all the industries in which the Company is operating, to determine whether there are any regulatory restrictions on what businesses in that industry may or may not do.  This is likely to be outside the scope of the opining firm's opinion-giving responsibilities.</w:t>
      </w:r>
    </w:p>
  </w:endnote>
  <w:endnote w:id="18">
    <w:p w:rsidR="00600D4A" w:rsidRPr="00154D69" w:rsidRDefault="00600D4A">
      <w:pPr>
        <w:pStyle w:val="EndnoteText"/>
      </w:pPr>
      <w:r w:rsidRPr="00154D69">
        <w:rPr>
          <w:rStyle w:val="EndnoteReference"/>
        </w:rPr>
        <w:endnoteRef/>
      </w:r>
      <w:r w:rsidRPr="00154D69">
        <w:t xml:space="preserve"> </w:t>
      </w:r>
      <w:r w:rsidRPr="00154D69">
        <w:tab/>
        <w:t xml:space="preserve">This paragraph is limited to "corporate" power. The Company's power to enter into a Document and to perform its obligations under it under law generally is covered by paragraphs </w:t>
      </w:r>
      <w:r w:rsidRPr="0013282C">
        <w:fldChar w:fldCharType="begin"/>
      </w:r>
      <w:r w:rsidRPr="00154D69">
        <w:instrText xml:space="preserve"> REF _Ref374544598 \w \h </w:instrText>
      </w:r>
      <w:r>
        <w:instrText xml:space="preserve"> \* MERGEFORMAT </w:instrText>
      </w:r>
      <w:r w:rsidRPr="0013282C">
        <w:fldChar w:fldCharType="separate"/>
      </w:r>
      <w:r w:rsidR="00D12F5D">
        <w:t>5(c)</w:t>
      </w:r>
      <w:r w:rsidRPr="0013282C">
        <w:fldChar w:fldCharType="end"/>
      </w:r>
      <w:r w:rsidRPr="00154D69">
        <w:t xml:space="preserve"> and </w:t>
      </w:r>
      <w:r w:rsidRPr="0013282C">
        <w:fldChar w:fldCharType="begin"/>
      </w:r>
      <w:r w:rsidRPr="00154D69">
        <w:instrText xml:space="preserve"> REF _Ref372885986 \w \h </w:instrText>
      </w:r>
      <w:r>
        <w:instrText xml:space="preserve"> \* MERGEFORMAT </w:instrText>
      </w:r>
      <w:r w:rsidRPr="0013282C">
        <w:fldChar w:fldCharType="separate"/>
      </w:r>
      <w:r w:rsidR="00D12F5D">
        <w:t>5(e)</w:t>
      </w:r>
      <w:r w:rsidRPr="0013282C">
        <w:fldChar w:fldCharType="end"/>
      </w:r>
      <w:r w:rsidRPr="00154D69">
        <w:t>.</w:t>
      </w:r>
    </w:p>
    <w:p w:rsidR="00600D4A" w:rsidRPr="00154D69" w:rsidRDefault="00600D4A">
      <w:pPr>
        <w:pStyle w:val="EndnoteText"/>
      </w:pPr>
      <w:r w:rsidRPr="00154D69">
        <w:tab/>
        <w:t>An opining firm may also be asked to state that the Company has the power "to exercise its rights under each Document".  This should not be necessary, as the addressees of the opinion should be interested in whether the Document is binding on the Company, not whether the Company is able to take full advantage of it.</w:t>
      </w:r>
    </w:p>
    <w:p w:rsidR="00600D4A" w:rsidRPr="00154D69" w:rsidRDefault="00600D4A">
      <w:pPr>
        <w:pStyle w:val="EndnoteText"/>
      </w:pPr>
      <w:r w:rsidRPr="00154D69">
        <w:tab/>
        <w:t xml:space="preserve">If the Company executes the Document under a power of attorney, the opining firm may be asked to include a reference to that power of attorney in this paragraph.  It is not necessary to include reference to the power of attorney, as it is the mechanism through which the Company becomes bound by its substantive obligations under the Document, rather than being a source of those substantive obligations in its own right.  </w:t>
      </w:r>
    </w:p>
  </w:endnote>
  <w:endnote w:id="19">
    <w:p w:rsidR="00600D4A" w:rsidRPr="00154D69" w:rsidRDefault="00600D4A" w:rsidP="005268B8">
      <w:pPr>
        <w:pStyle w:val="EndnoteText"/>
      </w:pPr>
      <w:r w:rsidRPr="00154D69">
        <w:rPr>
          <w:rStyle w:val="EndnoteReference"/>
        </w:rPr>
        <w:endnoteRef/>
      </w:r>
      <w:r w:rsidRPr="00154D69">
        <w:tab/>
        <w:t xml:space="preserve">An opining firm may be asked to extend this opinion to refer to the Company's constitution.  In the normal course, this should not be necessary, as parties will be entitled under section 129(1) of the Corporations Act to assume that the Company's constitution has been complied with, unless they know or suspect that this assumption is incorrect.  </w:t>
      </w:r>
    </w:p>
  </w:endnote>
  <w:endnote w:id="20">
    <w:p w:rsidR="00600D4A" w:rsidRPr="00154D69" w:rsidRDefault="00600D4A" w:rsidP="00F5203E">
      <w:pPr>
        <w:pStyle w:val="EndnoteText"/>
      </w:pPr>
      <w:r w:rsidRPr="00154D69">
        <w:rPr>
          <w:rStyle w:val="EndnoteReference"/>
        </w:rPr>
        <w:endnoteRef/>
      </w:r>
      <w:r w:rsidRPr="00154D69">
        <w:t xml:space="preserve"> </w:t>
      </w:r>
      <w:r w:rsidRPr="00154D69">
        <w:tab/>
        <w:t xml:space="preserve">These words are strictly not necessary, as their content is covered by the remainder of paragraph </w:t>
      </w:r>
      <w:r w:rsidRPr="0013282C">
        <w:fldChar w:fldCharType="begin"/>
      </w:r>
      <w:r w:rsidRPr="00154D69">
        <w:instrText xml:space="preserve"> REF _Ref287278957 \w \h </w:instrText>
      </w:r>
      <w:r>
        <w:instrText xml:space="preserve"> \* MERGEFORMAT </w:instrText>
      </w:r>
      <w:r w:rsidRPr="0013282C">
        <w:fldChar w:fldCharType="separate"/>
      </w:r>
      <w:r w:rsidR="00D12F5D">
        <w:t>5(d)</w:t>
      </w:r>
      <w:r w:rsidRPr="0013282C">
        <w:fldChar w:fldCharType="end"/>
      </w:r>
      <w:r w:rsidRPr="00154D69">
        <w:t>.  An opining firm may include them if requested</w:t>
      </w:r>
      <w:r w:rsidR="00E72703">
        <w:t>.</w:t>
      </w:r>
    </w:p>
    <w:p w:rsidR="00600D4A" w:rsidRPr="00154D69" w:rsidRDefault="00600D4A" w:rsidP="004A0098">
      <w:pPr>
        <w:pStyle w:val="EndnoteText"/>
        <w:ind w:firstLine="0"/>
      </w:pPr>
      <w:r w:rsidRPr="00154D69">
        <w:t xml:space="preserve">If a Document is being signed under a Power of Attorney, include the optional assumption </w:t>
      </w:r>
      <w:r w:rsidRPr="0013282C">
        <w:fldChar w:fldCharType="begin"/>
      </w:r>
      <w:r w:rsidRPr="00154D69">
        <w:instrText xml:space="preserve"> REF _Ref374544656 \w \h </w:instrText>
      </w:r>
      <w:r>
        <w:instrText xml:space="preserve"> \* MERGEFORMAT </w:instrText>
      </w:r>
      <w:r w:rsidRPr="0013282C">
        <w:fldChar w:fldCharType="separate"/>
      </w:r>
      <w:r w:rsidR="00D12F5D">
        <w:t>8</w:t>
      </w:r>
      <w:r w:rsidRPr="0013282C">
        <w:fldChar w:fldCharType="end"/>
      </w:r>
      <w:r w:rsidRPr="00154D69">
        <w:t xml:space="preserve"> in Schedule 1 as well.</w:t>
      </w:r>
    </w:p>
  </w:endnote>
  <w:endnote w:id="21">
    <w:p w:rsidR="00600D4A" w:rsidRPr="00154D69" w:rsidRDefault="00600D4A">
      <w:pPr>
        <w:pStyle w:val="EndnoteText"/>
      </w:pPr>
      <w:r w:rsidRPr="00154D69">
        <w:rPr>
          <w:rStyle w:val="EndnoteReference"/>
        </w:rPr>
        <w:endnoteRef/>
      </w:r>
      <w:r w:rsidRPr="00154D69">
        <w:t xml:space="preserve"> </w:t>
      </w:r>
      <w:r w:rsidRPr="00154D69">
        <w:tab/>
        <w:t xml:space="preserve">An opining firm may be asked to expand this paragraph to state that each Document constitutes "legal, valid and" binding obligations.  These words have not been included because they do not add anything to the statement that the Document constitutes the Company's "binding obligations".  </w:t>
      </w:r>
      <w:r w:rsidR="008C1392">
        <w:t xml:space="preserve">If "validity" is included, the opining firm may need to amend Qualification </w:t>
      </w:r>
      <w:r w:rsidR="008C1392">
        <w:fldChar w:fldCharType="begin"/>
      </w:r>
      <w:r w:rsidR="008C1392">
        <w:instrText xml:space="preserve"> REF _Ref389549755 \w \h </w:instrText>
      </w:r>
      <w:r w:rsidR="008C1392">
        <w:fldChar w:fldCharType="separate"/>
      </w:r>
      <w:r w:rsidR="00D12F5D">
        <w:t>1</w:t>
      </w:r>
      <w:r w:rsidR="008C1392">
        <w:fldChar w:fldCharType="end"/>
      </w:r>
      <w:r w:rsidR="008C1392">
        <w:t xml:space="preserve"> in Schedule 2 to refer to obligations being valid as well as binding and enforceable. </w:t>
      </w:r>
    </w:p>
    <w:p w:rsidR="00600D4A" w:rsidRPr="00154D69" w:rsidRDefault="00600D4A" w:rsidP="005268B8">
      <w:pPr>
        <w:pStyle w:val="EndnoteText"/>
      </w:pPr>
      <w:r w:rsidRPr="00154D69">
        <w:tab/>
        <w:t>An opining firm may also be asked to expand this paragraph to state that a Document is enforceable “in accordance with its terms”.  Again, these words have not been included because they do not add anything and their meaning is unclear.</w:t>
      </w:r>
    </w:p>
  </w:endnote>
  <w:endnote w:id="22">
    <w:p w:rsidR="00600D4A" w:rsidRPr="00154D69" w:rsidRDefault="00600D4A">
      <w:pPr>
        <w:pStyle w:val="EndnoteText"/>
      </w:pPr>
      <w:r w:rsidRPr="00154D69">
        <w:rPr>
          <w:rStyle w:val="EndnoteReference"/>
        </w:rPr>
        <w:endnoteRef/>
      </w:r>
      <w:r w:rsidRPr="00154D69">
        <w:t xml:space="preserve"> </w:t>
      </w:r>
      <w:r w:rsidRPr="00154D69">
        <w:tab/>
        <w:t xml:space="preserve">An opining firm may be asked to convert this paragraph into a statement in the positive, so that the opinion states that all necessary authorisations have been obtained.  This should be outside the scope of the opining firm's responsibilities, as it would impose on the opining firm the obligation not just to determine what authorisations are required, but also to confirm as a matter of fact that the authorisations held by the Company are genuine and adequate and have been properly obtained.  </w:t>
      </w:r>
    </w:p>
    <w:p w:rsidR="00600D4A" w:rsidRPr="00154D69" w:rsidRDefault="00600D4A" w:rsidP="0070681C">
      <w:pPr>
        <w:pStyle w:val="EndnoteText"/>
        <w:ind w:firstLine="0"/>
      </w:pPr>
      <w:r w:rsidRPr="00154D69">
        <w:t xml:space="preserve">An opining firm may be asked to expand this paragraph to refer not just to “authorisations”, but also to similar terms such as “consents” or “approvals”.  The word “authorisation” is intended to be broad enough to cover similar terms as well.  </w:t>
      </w:r>
    </w:p>
    <w:p w:rsidR="00600D4A" w:rsidRPr="00154D69" w:rsidRDefault="00600D4A" w:rsidP="005268B8">
      <w:pPr>
        <w:pStyle w:val="EndnoteText"/>
      </w:pPr>
      <w:r w:rsidRPr="00154D69">
        <w:tab/>
        <w:t>In the same way, the phrase “government agency” is intended to cover the appropriate government bodies, and avoids the need to incorporate a corresponding defined term from the Document.</w:t>
      </w:r>
    </w:p>
  </w:endnote>
  <w:endnote w:id="23">
    <w:p w:rsidR="00600D4A" w:rsidRPr="00154D69" w:rsidRDefault="00600D4A">
      <w:pPr>
        <w:pStyle w:val="EndnoteText"/>
      </w:pPr>
      <w:r w:rsidRPr="00154D69">
        <w:rPr>
          <w:rStyle w:val="EndnoteReference"/>
        </w:rPr>
        <w:endnoteRef/>
      </w:r>
      <w:r w:rsidRPr="00154D69">
        <w:t xml:space="preserve"> </w:t>
      </w:r>
      <w:r w:rsidRPr="00154D69">
        <w:tab/>
        <w:t>If appropriate, include the following additional text:</w:t>
      </w:r>
      <w:r w:rsidRPr="00154D69">
        <w:tab/>
      </w:r>
    </w:p>
    <w:p w:rsidR="00600D4A" w:rsidRPr="00154D69" w:rsidRDefault="00600D4A" w:rsidP="00E7089A">
      <w:pPr>
        <w:pStyle w:val="EndnoteText"/>
        <w:ind w:left="1451" w:hanging="11"/>
      </w:pPr>
      <w:r w:rsidRPr="00154D69">
        <w:t>“You have instructed us to so register [those documents/ [the/each] Mortgage].”</w:t>
      </w:r>
    </w:p>
  </w:endnote>
  <w:endnote w:id="24">
    <w:p w:rsidR="00600D4A" w:rsidRPr="00154D69" w:rsidRDefault="00600D4A">
      <w:pPr>
        <w:pStyle w:val="EndnoteText"/>
      </w:pPr>
      <w:r w:rsidRPr="00154D69">
        <w:rPr>
          <w:rStyle w:val="EndnoteReference"/>
        </w:rPr>
        <w:endnoteRef/>
      </w:r>
      <w:r w:rsidRPr="00154D69">
        <w:t xml:space="preserve"> </w:t>
      </w:r>
      <w:r w:rsidRPr="00154D69">
        <w:tab/>
        <w:t xml:space="preserve">Consider also including a reference to any </w:t>
      </w:r>
      <w:r w:rsidRPr="0013282C">
        <w:t xml:space="preserve">other </w:t>
      </w:r>
      <w:r w:rsidRPr="00154D69">
        <w:t>specific registrations relevant to the property subject to the Security Interests on other registers such as with respect to intellectual property and mining rights.</w:t>
      </w:r>
      <w:r>
        <w:t xml:space="preserve"> Consider including a reference to registering the Power of Attorney, if relevant, especially if the transaction involves dealings with real property signed under the Power of Attorney or jurisdictions where the registration of powers of attorney is </w:t>
      </w:r>
      <w:r w:rsidR="004616F3">
        <w:t>required</w:t>
      </w:r>
      <w:r>
        <w:t xml:space="preserve">, such as Tasmania. </w:t>
      </w:r>
    </w:p>
  </w:endnote>
  <w:endnote w:id="25">
    <w:p w:rsidR="00056F5E" w:rsidRDefault="00056F5E" w:rsidP="00056F5E">
      <w:pPr>
        <w:pStyle w:val="EndnoteText"/>
      </w:pPr>
      <w:r w:rsidRPr="00154D69">
        <w:rPr>
          <w:rStyle w:val="EndnoteReference"/>
        </w:rPr>
        <w:endnoteRef/>
      </w:r>
      <w:r w:rsidRPr="00154D69">
        <w:t xml:space="preserve"> </w:t>
      </w:r>
      <w:r w:rsidRPr="00154D69">
        <w:tab/>
      </w:r>
      <w:r>
        <w:t xml:space="preserve">In complex documentation at the request of clients the opining law firm may add the following: </w:t>
      </w:r>
    </w:p>
    <w:p w:rsidR="00056F5E" w:rsidRPr="00154D69" w:rsidRDefault="00056F5E" w:rsidP="00056F5E">
      <w:pPr>
        <w:pStyle w:val="EndnoteText"/>
        <w:ind w:left="1451" w:hanging="11"/>
      </w:pPr>
      <w:r>
        <w:t>"</w:t>
      </w:r>
      <w:r w:rsidRPr="0022698C">
        <w:t xml:space="preserve">Amounts owing under the Agreement to a </w:t>
      </w:r>
      <w:r>
        <w:t>[</w:t>
      </w:r>
      <w:r w:rsidRPr="0022698C">
        <w:t>Finance Party</w:t>
      </w:r>
      <w:r>
        <w:t>]</w:t>
      </w:r>
      <w:r w:rsidRPr="0022698C">
        <w:t xml:space="preserve"> are within the meaning of </w:t>
      </w:r>
      <w:r>
        <w:t>[</w:t>
      </w:r>
      <w:r w:rsidRPr="0022698C">
        <w:t>"Secured Money"</w:t>
      </w:r>
      <w:r>
        <w:t>]</w:t>
      </w:r>
      <w:r w:rsidRPr="0022698C">
        <w:t xml:space="preserve"> in each </w:t>
      </w:r>
      <w:r>
        <w:t>[</w:t>
      </w:r>
      <w:r w:rsidRPr="0022698C">
        <w:t>Security</w:t>
      </w:r>
      <w:r>
        <w:t>] [and the Security Trust Deed].</w:t>
      </w:r>
      <w:r w:rsidRPr="00154D69">
        <w:t>].”</w:t>
      </w:r>
    </w:p>
  </w:endnote>
  <w:endnote w:id="26">
    <w:p w:rsidR="00600D4A" w:rsidRPr="00154D69" w:rsidRDefault="00600D4A">
      <w:pPr>
        <w:pStyle w:val="EndnoteText"/>
      </w:pPr>
      <w:r w:rsidRPr="00154D69">
        <w:rPr>
          <w:rStyle w:val="EndnoteReference"/>
        </w:rPr>
        <w:endnoteRef/>
      </w:r>
      <w:r w:rsidR="005554A2">
        <w:t xml:space="preserve"> </w:t>
      </w:r>
      <w:r w:rsidR="005554A2">
        <w:tab/>
      </w:r>
      <w:r w:rsidRPr="00154D69">
        <w:t>Some firms prefer to advise on registration matters in a separate document.  For that reason, this text (and the other text that relates to it) is optional.</w:t>
      </w:r>
    </w:p>
  </w:endnote>
  <w:endnote w:id="27">
    <w:p w:rsidR="00600D4A" w:rsidRPr="00154D69" w:rsidRDefault="00600D4A">
      <w:pPr>
        <w:pStyle w:val="EndnoteText"/>
      </w:pPr>
      <w:r w:rsidRPr="00154D69">
        <w:rPr>
          <w:rStyle w:val="EndnoteReference"/>
        </w:rPr>
        <w:endnoteRef/>
      </w:r>
      <w:r w:rsidRPr="00154D69">
        <w:t xml:space="preserve"> </w:t>
      </w:r>
      <w:r w:rsidRPr="00154D69">
        <w:tab/>
        <w:t>When dealing with a transaction that involves a managed investment scheme, this should also refer to Part 5C.7 of the Corporations Act which applies Chapter 2E (with modifications) to managed investment schemes.</w:t>
      </w:r>
    </w:p>
  </w:endnote>
  <w:endnote w:id="28">
    <w:p w:rsidR="00600D4A" w:rsidRPr="00154D69" w:rsidRDefault="00600D4A">
      <w:pPr>
        <w:pStyle w:val="EndnoteText"/>
      </w:pPr>
      <w:r w:rsidRPr="00154D69">
        <w:rPr>
          <w:rStyle w:val="EndnoteReference"/>
        </w:rPr>
        <w:endnoteRef/>
      </w:r>
      <w:r w:rsidRPr="00154D69">
        <w:t xml:space="preserve"> </w:t>
      </w:r>
      <w:r w:rsidRPr="00154D69">
        <w:tab/>
        <w:t>If a transaction involves financial assistance or financial benefit, the relevant part of the assumption may not be able to be made.  In those circumstances the assumption should be tailored to the transaction and evidence of compliance with financial assistance and financial benefit legislation received.</w:t>
      </w:r>
    </w:p>
  </w:endnote>
  <w:endnote w:id="29">
    <w:p w:rsidR="00600D4A" w:rsidRPr="00154D69" w:rsidRDefault="00600D4A" w:rsidP="007359D6">
      <w:pPr>
        <w:pStyle w:val="EndnoteText"/>
      </w:pPr>
      <w:r w:rsidRPr="00154D69">
        <w:rPr>
          <w:rStyle w:val="EndnoteReference"/>
        </w:rPr>
        <w:endnoteRef/>
      </w:r>
      <w:r>
        <w:t xml:space="preserve"> </w:t>
      </w:r>
      <w:r>
        <w:tab/>
      </w:r>
      <w:r w:rsidR="00B90741">
        <w:t xml:space="preserve">Strictly, it is the counterparty that relies on the assumptions, but the opining firm is asked to opine as to various statements that strictly rely on the same assumptions.   </w:t>
      </w:r>
      <w:r w:rsidRPr="00154D69">
        <w:t>An opining firm may be asked to expand this paragraph to</w:t>
      </w:r>
      <w:r>
        <w:t xml:space="preserve"> say that the </w:t>
      </w:r>
      <w:r w:rsidR="00FF497F">
        <w:t xml:space="preserve">addressee </w:t>
      </w:r>
      <w:r>
        <w:t xml:space="preserve">may make the assumptions unless they "knew or suspected that the assumption was incorrect". As this merely restates the language in section 128(4) of the Corporations Act, the </w:t>
      </w:r>
      <w:r w:rsidRPr="00154D69">
        <w:t xml:space="preserve">opining </w:t>
      </w:r>
      <w:r>
        <w:t xml:space="preserve">firm may be prepared to expand the paragraph accordingly. </w:t>
      </w:r>
    </w:p>
  </w:endnote>
  <w:endnote w:id="30">
    <w:p w:rsidR="00600D4A" w:rsidRPr="00154D69" w:rsidRDefault="00600D4A" w:rsidP="00C666D4">
      <w:pPr>
        <w:pStyle w:val="EndnoteText"/>
      </w:pPr>
      <w:r w:rsidRPr="00154D69">
        <w:rPr>
          <w:rStyle w:val="EndnoteReference"/>
        </w:rPr>
        <w:endnoteRef/>
      </w:r>
      <w:r w:rsidRPr="00154D69">
        <w:t xml:space="preserve"> </w:t>
      </w:r>
      <w:r w:rsidRPr="00154D69">
        <w:tab/>
        <w:t>Retain this text if the opinion is executed by the Company under a Power of Attorney.</w:t>
      </w:r>
    </w:p>
  </w:endnote>
  <w:endnote w:id="31">
    <w:p w:rsidR="00600D4A" w:rsidRPr="00154D69" w:rsidRDefault="00600D4A">
      <w:pPr>
        <w:pStyle w:val="EndnoteText"/>
      </w:pPr>
      <w:r w:rsidRPr="00154D69">
        <w:rPr>
          <w:rStyle w:val="EndnoteReference"/>
        </w:rPr>
        <w:endnoteRef/>
      </w:r>
      <w:r w:rsidRPr="00154D69">
        <w:t xml:space="preserve"> </w:t>
      </w:r>
      <w:r w:rsidRPr="00154D69">
        <w:tab/>
        <w:t xml:space="preserve">If the opinion follows the customary approach of identifying whether additional authorisations (such as FIRB or ACCC) are required, refer to those authorisations in this paragraph.  See also note </w:t>
      </w:r>
      <w:r w:rsidRPr="0013282C">
        <w:fldChar w:fldCharType="begin"/>
      </w:r>
      <w:r w:rsidRPr="00154D69">
        <w:instrText xml:space="preserve"> NOTEREF _Ref372813265 \h </w:instrText>
      </w:r>
      <w:r>
        <w:instrText xml:space="preserve"> \* MERGEFORMAT </w:instrText>
      </w:r>
      <w:r w:rsidRPr="0013282C">
        <w:fldChar w:fldCharType="separate"/>
      </w:r>
      <w:r w:rsidR="00D12F5D">
        <w:t>8</w:t>
      </w:r>
      <w:r w:rsidRPr="0013282C">
        <w:fldChar w:fldCharType="end"/>
      </w:r>
      <w:r w:rsidRPr="00154D69">
        <w:t>.</w:t>
      </w:r>
    </w:p>
  </w:endnote>
  <w:endnote w:id="32">
    <w:p w:rsidR="00EE36CD" w:rsidRDefault="000D2E91" w:rsidP="000D2E91">
      <w:pPr>
        <w:pStyle w:val="EndnoteText"/>
      </w:pPr>
      <w:r w:rsidRPr="00154D69">
        <w:rPr>
          <w:rStyle w:val="EndnoteReference"/>
        </w:rPr>
        <w:endnoteRef/>
      </w:r>
      <w:r w:rsidRPr="00154D69">
        <w:t xml:space="preserve"> </w:t>
      </w:r>
      <w:r w:rsidRPr="00154D69">
        <w:tab/>
      </w:r>
      <w:r w:rsidRPr="000D2E91">
        <w:t xml:space="preserve">Solvency is </w:t>
      </w:r>
      <w:r w:rsidR="0000203B">
        <w:t xml:space="preserve">a question of fact. It is </w:t>
      </w:r>
      <w:r w:rsidRPr="000D2E91">
        <w:t>relevant to</w:t>
      </w:r>
      <w:r w:rsidR="00EE36CD">
        <w:t>:</w:t>
      </w:r>
    </w:p>
    <w:p w:rsidR="00EE36CD" w:rsidRDefault="006C7D04" w:rsidP="006C7D04">
      <w:pPr>
        <w:pStyle w:val="EndnoteText"/>
        <w:ind w:left="2160"/>
      </w:pPr>
      <w:r>
        <w:t xml:space="preserve">(a) </w:t>
      </w:r>
      <w:r>
        <w:tab/>
        <w:t>"c</w:t>
      </w:r>
      <w:r w:rsidR="000D2E91" w:rsidRPr="000D2E91">
        <w:t xml:space="preserve">orporate benefit" and </w:t>
      </w:r>
      <w:r w:rsidR="00205E4E">
        <w:t xml:space="preserve">to </w:t>
      </w:r>
      <w:r w:rsidR="000D2E91" w:rsidRPr="000D2E91">
        <w:t xml:space="preserve">the use of s 187 </w:t>
      </w:r>
      <w:r w:rsidR="000D2E91">
        <w:t xml:space="preserve">of the </w:t>
      </w:r>
      <w:r w:rsidR="00EE36CD">
        <w:t>Corporations Act;</w:t>
      </w:r>
      <w:r w:rsidR="000D2E91" w:rsidRPr="000D2E91">
        <w:t xml:space="preserve"> </w:t>
      </w:r>
      <w:r w:rsidR="005E7DB4">
        <w:t>and</w:t>
      </w:r>
    </w:p>
    <w:p w:rsidR="00EE36CD" w:rsidRDefault="006C7D04" w:rsidP="006C7D04">
      <w:pPr>
        <w:pStyle w:val="EndnoteText"/>
        <w:ind w:left="2160"/>
      </w:pPr>
      <w:r>
        <w:t xml:space="preserve">(b) </w:t>
      </w:r>
      <w:r>
        <w:tab/>
      </w:r>
      <w:r w:rsidR="000D2E91" w:rsidRPr="000D2E91">
        <w:t>the impact of insolvency provisions under the Corporations Act (</w:t>
      </w:r>
      <w:r w:rsidR="00205E4E">
        <w:t>including</w:t>
      </w:r>
      <w:r w:rsidR="00D5475E">
        <w:t>, without limitation,</w:t>
      </w:r>
      <w:r w:rsidR="000D2E91" w:rsidRPr="000D2E91">
        <w:t xml:space="preserve"> the voidable transactions provisions in Division 2 of Part 5.7 of the Corporations Act</w:t>
      </w:r>
      <w:r w:rsidR="00EE36CD">
        <w:t>, which</w:t>
      </w:r>
      <w:r w:rsidR="000D2E91" w:rsidRPr="000D2E91">
        <w:t xml:space="preserve"> look at insolvency at various times, not just when the transaction is entered into).</w:t>
      </w:r>
    </w:p>
    <w:p w:rsidR="000D2E91" w:rsidRPr="00154D69" w:rsidRDefault="00BE13BD" w:rsidP="00EE36CD">
      <w:pPr>
        <w:pStyle w:val="EndnoteText"/>
        <w:ind w:firstLine="0"/>
      </w:pPr>
      <w:r>
        <w:t>This assumption has been limited to apply at the date of entry into the documents</w:t>
      </w:r>
      <w:r w:rsidR="00833DD8">
        <w:t xml:space="preserve">, allowing </w:t>
      </w:r>
      <w:r w:rsidR="00BD650C">
        <w:t>lender</w:t>
      </w:r>
      <w:r>
        <w:t>s</w:t>
      </w:r>
      <w:r w:rsidR="00BD650C">
        <w:t xml:space="preserve"> </w:t>
      </w:r>
      <w:r>
        <w:t xml:space="preserve">to </w:t>
      </w:r>
      <w:r w:rsidR="00BD650C">
        <w:t>perform due diligence</w:t>
      </w:r>
      <w:r w:rsidR="00833DD8">
        <w:t xml:space="preserve"> before entering into the documents</w:t>
      </w:r>
      <w:r w:rsidR="00BD650C">
        <w:t xml:space="preserve">  to satisfy </w:t>
      </w:r>
      <w:r>
        <w:t xml:space="preserve">themselves </w:t>
      </w:r>
      <w:r w:rsidR="00BD650C">
        <w:t xml:space="preserve">as to the solvency of the </w:t>
      </w:r>
      <w:r w:rsidR="0000203B">
        <w:t>Company</w:t>
      </w:r>
      <w:r w:rsidR="00BD650C">
        <w:t xml:space="preserve"> as a factual matter. </w:t>
      </w:r>
      <w:r>
        <w:t>I</w:t>
      </w:r>
      <w:r w:rsidR="00D124AB" w:rsidRPr="000D2E91">
        <w:t>t can be argued that this assumption is not strictly necessary</w:t>
      </w:r>
      <w:r w:rsidR="00D124AB">
        <w:t xml:space="preserve"> </w:t>
      </w:r>
      <w:r w:rsidR="00BD650C" w:rsidRPr="000D2E91">
        <w:t>and is only there to reinforce the point that opining counsel is not examining this important fact</w:t>
      </w:r>
      <w:r w:rsidR="00BD650C">
        <w:t xml:space="preserve">, </w:t>
      </w:r>
      <w:r w:rsidR="00D124AB">
        <w:t xml:space="preserve">for the following reasons. </w:t>
      </w:r>
      <w:r w:rsidR="0095481D">
        <w:t>T</w:t>
      </w:r>
      <w:r w:rsidR="000D2E91" w:rsidRPr="000D2E91">
        <w:t xml:space="preserve">he </w:t>
      </w:r>
      <w:r w:rsidR="00173789">
        <w:t>"corporate benefit" iss</w:t>
      </w:r>
      <w:r w:rsidR="0095481D">
        <w:t xml:space="preserve">ue </w:t>
      </w:r>
      <w:r w:rsidR="00EE36CD">
        <w:t xml:space="preserve">is </w:t>
      </w:r>
      <w:r w:rsidR="000D2E91" w:rsidRPr="000D2E91">
        <w:t xml:space="preserve">covered by Assumption </w:t>
      </w:r>
      <w:r w:rsidR="000D2E91">
        <w:fldChar w:fldCharType="begin"/>
      </w:r>
      <w:r w:rsidR="000D2E91">
        <w:instrText xml:space="preserve"> REF _Ref428436611 \w \h </w:instrText>
      </w:r>
      <w:r w:rsidR="000D2E91">
        <w:fldChar w:fldCharType="separate"/>
      </w:r>
      <w:r w:rsidR="00D12F5D">
        <w:t>7</w:t>
      </w:r>
      <w:r w:rsidR="000D2E91">
        <w:fldChar w:fldCharType="end"/>
      </w:r>
      <w:r w:rsidR="000D2E91" w:rsidRPr="000D2E91">
        <w:t xml:space="preserve"> in Schedule 1</w:t>
      </w:r>
      <w:r w:rsidR="0095481D">
        <w:t xml:space="preserve">. In relation to the </w:t>
      </w:r>
      <w:r w:rsidR="00173789">
        <w:t>impact of insolvency provisions under the Corporations Act</w:t>
      </w:r>
      <w:r w:rsidR="0095481D">
        <w:t xml:space="preserve">, </w:t>
      </w:r>
      <w:r w:rsidR="000D2E91" w:rsidRPr="000D2E91">
        <w:t xml:space="preserve">Qualification </w:t>
      </w:r>
      <w:r w:rsidR="000D2E91">
        <w:fldChar w:fldCharType="begin"/>
      </w:r>
      <w:r w:rsidR="000D2E91">
        <w:instrText xml:space="preserve"> REF _Ref428436622 \w \h </w:instrText>
      </w:r>
      <w:r w:rsidR="000D2E91">
        <w:fldChar w:fldCharType="separate"/>
      </w:r>
      <w:r w:rsidR="00D12F5D">
        <w:t>1(b)</w:t>
      </w:r>
      <w:r w:rsidR="000D2E91">
        <w:fldChar w:fldCharType="end"/>
      </w:r>
      <w:r w:rsidR="000D2E91">
        <w:t xml:space="preserve"> </w:t>
      </w:r>
      <w:r w:rsidR="000D2E91" w:rsidRPr="000D2E91">
        <w:t xml:space="preserve">in Schedule 2 </w:t>
      </w:r>
      <w:r w:rsidR="00D124AB">
        <w:t xml:space="preserve">makes </w:t>
      </w:r>
      <w:r w:rsidR="0095481D">
        <w:t xml:space="preserve">it </w:t>
      </w:r>
      <w:r w:rsidR="000D2E91" w:rsidRPr="000D2E91">
        <w:t>clear that the opinion excludes laws relating to insolvency</w:t>
      </w:r>
      <w:r w:rsidR="0095481D">
        <w:t>.</w:t>
      </w:r>
      <w:r w:rsidR="000D2E91" w:rsidRPr="000D2E91">
        <w:t xml:space="preserve"> </w:t>
      </w:r>
      <w:r w:rsidR="00BD650C">
        <w:t>Accordingly, o</w:t>
      </w:r>
      <w:r w:rsidR="000D2E91" w:rsidRPr="000D2E91">
        <w:t>pining firms may choose a different approach with this assumption</w:t>
      </w:r>
      <w:r w:rsidR="000D2E91" w:rsidRPr="00154D69">
        <w:t>.</w:t>
      </w:r>
    </w:p>
  </w:endnote>
  <w:endnote w:id="33">
    <w:p w:rsidR="00600D4A" w:rsidRPr="00154D69" w:rsidRDefault="00600D4A">
      <w:pPr>
        <w:pStyle w:val="EndnoteText"/>
      </w:pPr>
      <w:r w:rsidRPr="00154D69">
        <w:rPr>
          <w:rStyle w:val="EndnoteReference"/>
        </w:rPr>
        <w:endnoteRef/>
      </w:r>
      <w:r w:rsidRPr="00154D69">
        <w:t xml:space="preserve"> </w:t>
      </w:r>
      <w:r w:rsidRPr="00154D69">
        <w:tab/>
        <w:t>Consider whether it will be necessary to register other dealings before the Mortgage or instrument can be registered. If so those dealings will need to be described, with suitable assumptions and qualifications.</w:t>
      </w:r>
    </w:p>
    <w:p w:rsidR="00600D4A" w:rsidRPr="00154D69" w:rsidRDefault="00600D4A">
      <w:pPr>
        <w:pStyle w:val="EndnoteText"/>
      </w:pPr>
      <w:r w:rsidRPr="00154D69">
        <w:tab/>
        <w:t>Consider whether any other type of property or instrument (for example, a transfer of a mining lease) needs to be referred to in this assumption.</w:t>
      </w:r>
    </w:p>
  </w:endnote>
  <w:endnote w:id="34">
    <w:p w:rsidR="00600D4A" w:rsidRPr="00154D69" w:rsidRDefault="00600D4A" w:rsidP="00D30EA1">
      <w:pPr>
        <w:pStyle w:val="EndnoteText"/>
      </w:pPr>
      <w:r w:rsidRPr="00154D69">
        <w:rPr>
          <w:rStyle w:val="EndnoteReference"/>
        </w:rPr>
        <w:endnoteRef/>
      </w:r>
      <w:r w:rsidRPr="00154D69">
        <w:t xml:space="preserve"> </w:t>
      </w:r>
      <w:r w:rsidRPr="00154D69">
        <w:tab/>
      </w:r>
      <w:r w:rsidR="004616F3">
        <w:t xml:space="preserve">A number of jurisdictions </w:t>
      </w:r>
      <w:r w:rsidR="004E6AC3">
        <w:t xml:space="preserve">impose requirements on </w:t>
      </w:r>
      <w:r w:rsidR="004E6AC3" w:rsidRPr="00943CEB">
        <w:t>registered proprietors</w:t>
      </w:r>
      <w:r w:rsidR="004E6AC3">
        <w:t xml:space="preserve">, mortgagees or </w:t>
      </w:r>
      <w:r w:rsidR="00F62C94">
        <w:t xml:space="preserve">others </w:t>
      </w:r>
      <w:r w:rsidR="004E6AC3" w:rsidRPr="00943CEB">
        <w:t>who sign</w:t>
      </w:r>
      <w:r w:rsidR="004E6AC3">
        <w:t xml:space="preserve"> </w:t>
      </w:r>
      <w:r w:rsidR="004E6AC3" w:rsidRPr="00943CEB">
        <w:t>a real property mortgage</w:t>
      </w:r>
      <w:r w:rsidR="004E6AC3">
        <w:t xml:space="preserve"> or other dealing relating to real property, to verify</w:t>
      </w:r>
      <w:r w:rsidR="004E6AC3" w:rsidRPr="00943CEB">
        <w:t xml:space="preserve"> </w:t>
      </w:r>
      <w:r w:rsidR="004E6AC3">
        <w:t xml:space="preserve">the </w:t>
      </w:r>
      <w:r w:rsidR="004E6AC3" w:rsidRPr="00943CEB">
        <w:t>identity</w:t>
      </w:r>
      <w:r w:rsidR="004E6AC3">
        <w:t xml:space="preserve"> of the mortgagor or others who sign</w:t>
      </w:r>
      <w:r w:rsidR="00F62C94">
        <w:t xml:space="preserve"> the dealing</w:t>
      </w:r>
      <w:r w:rsidR="004E6AC3">
        <w:t>.</w:t>
      </w:r>
    </w:p>
  </w:endnote>
  <w:endnote w:id="35">
    <w:p w:rsidR="00600D4A" w:rsidRPr="00154D69" w:rsidRDefault="00600D4A">
      <w:pPr>
        <w:pStyle w:val="EndnoteText"/>
      </w:pPr>
      <w:r w:rsidRPr="00154D69">
        <w:rPr>
          <w:rStyle w:val="EndnoteReference"/>
        </w:rPr>
        <w:endnoteRef/>
      </w:r>
      <w:r w:rsidRPr="00154D69">
        <w:t xml:space="preserve"> </w:t>
      </w:r>
      <w:r w:rsidRPr="00154D69">
        <w:tab/>
        <w:t xml:space="preserve">It is rare for stamp duty or any other documentary tax to have been paid by </w:t>
      </w:r>
      <w:r w:rsidR="00216044">
        <w:t>the date the opinion is given.</w:t>
      </w:r>
      <w:r w:rsidR="007A2320">
        <w:t xml:space="preserve"> Stamp duty may also depend on questions of fact, like values or amounts secured.</w:t>
      </w:r>
      <w:r w:rsidR="00216044">
        <w:t xml:space="preserve"> </w:t>
      </w:r>
      <w:r w:rsidRPr="00154D69">
        <w:t xml:space="preserve">In more complicated transactions, stamp duty or other documentary tax may be </w:t>
      </w:r>
      <w:r w:rsidR="007A2320">
        <w:t xml:space="preserve">the </w:t>
      </w:r>
      <w:r w:rsidRPr="00154D69">
        <w:t>subject of separate advice or a separate specific opinion, not necessarily in the standard form closing opinion.</w:t>
      </w:r>
      <w:r w:rsidR="00216044">
        <w:t xml:space="preserve"> </w:t>
      </w:r>
      <w:r w:rsidR="00636F19">
        <w:t xml:space="preserve">The opining firm may wish to include an appropriate exclusion from this assumption if it is opining on stamp duty in this opinion. </w:t>
      </w:r>
    </w:p>
  </w:endnote>
  <w:endnote w:id="36">
    <w:p w:rsidR="00600D4A" w:rsidRPr="00154D69" w:rsidRDefault="00600D4A">
      <w:pPr>
        <w:pStyle w:val="EndnoteText"/>
      </w:pPr>
      <w:r w:rsidRPr="00154D69">
        <w:rPr>
          <w:rStyle w:val="EndnoteReference"/>
        </w:rPr>
        <w:endnoteRef/>
      </w:r>
      <w:r w:rsidRPr="00154D69">
        <w:t xml:space="preserve"> </w:t>
      </w:r>
      <w:r w:rsidRPr="00154D69">
        <w:tab/>
        <w:t>If the opinion is being given to multiple addressees, the opining firm could consider including the following sentence at the end of this paragraph:</w:t>
      </w:r>
    </w:p>
    <w:p w:rsidR="00600D4A" w:rsidRPr="00154D69" w:rsidRDefault="00600D4A" w:rsidP="00175E11">
      <w:pPr>
        <w:pStyle w:val="EndnoteText"/>
        <w:ind w:left="1440" w:firstLine="0"/>
      </w:pPr>
      <w:r w:rsidRPr="00154D69">
        <w:t>"We have also assumed, with respect to each addressee of this opinion, that that addressee does not know or suspect that any of the assumptions is incorrect."</w:t>
      </w:r>
    </w:p>
    <w:p w:rsidR="00600D4A" w:rsidRPr="00154D69" w:rsidRDefault="00600D4A" w:rsidP="00175E11">
      <w:pPr>
        <w:pStyle w:val="EndnoteText"/>
        <w:ind w:firstLine="0"/>
      </w:pPr>
      <w:r w:rsidRPr="00154D69">
        <w:t>Strictly, however, the sentence is not necessary – as the opinion firm is assuming that the matters set out in Schedule 1 are in fact correct, nothing is added by a further assumption that an addressee of the opinion is not aware of any assumption being incorrect.</w:t>
      </w:r>
    </w:p>
  </w:endnote>
  <w:endnote w:id="37">
    <w:p w:rsidR="00600D4A" w:rsidRPr="00154D69" w:rsidRDefault="00600D4A" w:rsidP="00E15310">
      <w:pPr>
        <w:pStyle w:val="EndnoteText"/>
      </w:pPr>
      <w:r w:rsidRPr="00154D69">
        <w:rPr>
          <w:rStyle w:val="EndnoteReference"/>
        </w:rPr>
        <w:endnoteRef/>
      </w:r>
      <w:r w:rsidRPr="00154D69">
        <w:t xml:space="preserve"> </w:t>
      </w:r>
      <w:r w:rsidRPr="00154D69">
        <w:tab/>
        <w:t>It has been common practice in the past for opinions to include a (sometimes extensive) list of additional qualifications.  The opinion is prepared on the "less is more" principle, and avoids the risk that a list of specific qualifications covering specific examples of generally applicable issues could raise questions as to whether other examples also need to be covered.  Qualification 1 of Schedule 2 makes it clear that it applies generally.</w:t>
      </w:r>
    </w:p>
  </w:endnote>
  <w:endnote w:id="38">
    <w:p w:rsidR="00600D4A" w:rsidRPr="00154D69" w:rsidRDefault="00600D4A" w:rsidP="00FB3311">
      <w:pPr>
        <w:pStyle w:val="EndnoteText"/>
      </w:pPr>
      <w:r w:rsidRPr="00154D69">
        <w:rPr>
          <w:rStyle w:val="EndnoteReference"/>
        </w:rPr>
        <w:endnoteRef/>
      </w:r>
      <w:r w:rsidRPr="00154D69">
        <w:t xml:space="preserve"> </w:t>
      </w:r>
      <w:r w:rsidRPr="00154D69">
        <w:tab/>
        <w:t>The reference to "courts retaining their ability to adjudicate" recognises the fact that courts may reserve the right to adjudicate on matters such as whether the court should give full effect to: (a) an indemnity for legal costs; (b) a provision that states that a calculation, determination or certificate will be conclusive and binding; or (c) a provision that allows an illegal, invalid or unenforceable provision to be severed from a document.</w:t>
      </w:r>
      <w:r>
        <w:t xml:space="preserve">. </w:t>
      </w:r>
    </w:p>
  </w:endnote>
  <w:endnote w:id="39">
    <w:p w:rsidR="00E72703" w:rsidRDefault="00600D4A" w:rsidP="00CA1603">
      <w:pPr>
        <w:pStyle w:val="EndnoteText"/>
      </w:pPr>
      <w:r w:rsidRPr="00154D69">
        <w:rPr>
          <w:rStyle w:val="EndnoteReference"/>
        </w:rPr>
        <w:endnoteRef/>
      </w:r>
      <w:r w:rsidRPr="00154D69">
        <w:t xml:space="preserve"> </w:t>
      </w:r>
      <w:r w:rsidRPr="00154D69">
        <w:tab/>
      </w:r>
      <w:r w:rsidR="00E72703">
        <w:t>This is designed to cover (briefly) some general restrictions apply</w:t>
      </w:r>
      <w:r w:rsidR="00FF497F">
        <w:t>ing</w:t>
      </w:r>
      <w:r w:rsidR="003C7D5C">
        <w:t xml:space="preserve"> under statute law. In particular</w:t>
      </w:r>
      <w:r w:rsidR="00DF450E">
        <w:t xml:space="preserve">: </w:t>
      </w:r>
      <w:r w:rsidR="00E72703">
        <w:t xml:space="preserve"> </w:t>
      </w:r>
    </w:p>
    <w:p w:rsidR="00600D4A" w:rsidRDefault="00600D4A" w:rsidP="00DF450E">
      <w:pPr>
        <w:pStyle w:val="EndnoteText"/>
        <w:ind w:left="1440" w:firstLine="0"/>
      </w:pPr>
      <w:r>
        <w:t xml:space="preserve">Under </w:t>
      </w:r>
      <w:r w:rsidR="00E72703">
        <w:t xml:space="preserve">s80(4) of the </w:t>
      </w:r>
      <w:r w:rsidR="00E72703" w:rsidRPr="00FB3311">
        <w:rPr>
          <w:i/>
        </w:rPr>
        <w:t>Property Law Ac</w:t>
      </w:r>
      <w:r w:rsidR="002A5F71" w:rsidRPr="00FB3311">
        <w:rPr>
          <w:i/>
        </w:rPr>
        <w:t>t</w:t>
      </w:r>
      <w:r w:rsidR="00E72703">
        <w:t xml:space="preserve"> </w:t>
      </w:r>
      <w:r w:rsidR="008A6F64">
        <w:t>(Qld</w:t>
      </w:r>
      <w:r w:rsidR="002A5F71">
        <w:t>)</w:t>
      </w:r>
      <w:r w:rsidR="00E72703">
        <w:t xml:space="preserve"> </w:t>
      </w:r>
      <w:r w:rsidR="008A6F64">
        <w:t>t</w:t>
      </w:r>
      <w:r>
        <w:t>he giving of a subsequent mortgage or charge cannot constitute an event of default or an event ac</w:t>
      </w:r>
      <w:r w:rsidR="00DF450E">
        <w:t xml:space="preserve">celerating payment of a debt.  </w:t>
      </w:r>
    </w:p>
    <w:p w:rsidR="009D070D" w:rsidRDefault="009D070D" w:rsidP="009D070D">
      <w:pPr>
        <w:pStyle w:val="EndnoteText"/>
        <w:ind w:left="1440" w:firstLine="0"/>
      </w:pPr>
      <w:r>
        <w:t xml:space="preserve">Similarly, under s127A of the </w:t>
      </w:r>
      <w:r w:rsidRPr="00907FF9">
        <w:t>Transfer of Land Act 1893 (</w:t>
      </w:r>
      <w:r>
        <w:t>WA):</w:t>
      </w:r>
    </w:p>
    <w:p w:rsidR="009D070D" w:rsidRDefault="009D070D" w:rsidP="009D070D">
      <w:pPr>
        <w:pStyle w:val="EndnoteText"/>
        <w:ind w:left="2160"/>
      </w:pPr>
      <w:r>
        <w:t>(a)</w:t>
      </w:r>
      <w:r>
        <w:tab/>
        <w:t>the registration of a subsequent mortgage does not require the consent of the existing mortgagee; and</w:t>
      </w:r>
    </w:p>
    <w:p w:rsidR="009D070D" w:rsidRDefault="009D070D" w:rsidP="00907FF9">
      <w:pPr>
        <w:pStyle w:val="EndnoteText"/>
        <w:ind w:left="2160"/>
      </w:pPr>
      <w:r>
        <w:t>(b)</w:t>
      </w:r>
      <w:r>
        <w:tab/>
        <w:t>the execution o</w:t>
      </w:r>
      <w:r w:rsidR="00907FF9">
        <w:t>f</w:t>
      </w:r>
      <w:r>
        <w:t xml:space="preserve"> a subsequent mortgage </w:t>
      </w:r>
      <w:r w:rsidR="00EB31F8">
        <w:t>can</w:t>
      </w:r>
      <w:r>
        <w:t>not</w:t>
      </w:r>
      <w:r w:rsidR="004371FF">
        <w:t xml:space="preserve"> </w:t>
      </w:r>
      <w:r>
        <w:t xml:space="preserve">constitute a breach of </w:t>
      </w:r>
      <w:r w:rsidR="004371FF">
        <w:t>the existing mortgage</w:t>
      </w:r>
      <w:r w:rsidR="00907FF9">
        <w:t>,</w:t>
      </w:r>
      <w:r w:rsidR="004371FF">
        <w:t xml:space="preserve"> </w:t>
      </w:r>
      <w:r>
        <w:t>give rise to any forfeiture or penalty</w:t>
      </w:r>
      <w:r w:rsidR="00907FF9">
        <w:t>,</w:t>
      </w:r>
      <w:r>
        <w:t xml:space="preserve"> or accelerate the time for payment.</w:t>
      </w:r>
    </w:p>
    <w:p w:rsidR="00600D4A" w:rsidRDefault="00600D4A" w:rsidP="00DF450E">
      <w:pPr>
        <w:pStyle w:val="EndnoteText"/>
        <w:ind w:left="1440"/>
      </w:pPr>
      <w:r>
        <w:tab/>
        <w:t xml:space="preserve">Under </w:t>
      </w:r>
      <w:r w:rsidR="008E5E42">
        <w:t>s</w:t>
      </w:r>
      <w:r w:rsidR="002F21D6">
        <w:t xml:space="preserve">s58 and </w:t>
      </w:r>
      <w:r w:rsidR="008E5E42">
        <w:t>91(5)</w:t>
      </w:r>
      <w:r w:rsidR="002F21D6">
        <w:t xml:space="preserve"> </w:t>
      </w:r>
      <w:r w:rsidR="008E5E42">
        <w:t xml:space="preserve">of the </w:t>
      </w:r>
      <w:r w:rsidR="008E5E42" w:rsidRPr="00577C42">
        <w:rPr>
          <w:i/>
        </w:rPr>
        <w:t>Property Law Act</w:t>
      </w:r>
      <w:r w:rsidR="008A6F64">
        <w:t xml:space="preserve"> </w:t>
      </w:r>
      <w:r w:rsidR="00202BFB">
        <w:t>(Qld)</w:t>
      </w:r>
      <w:r>
        <w:t xml:space="preserve"> a provision enabling a mortgagee or </w:t>
      </w:r>
      <w:proofErr w:type="spellStart"/>
      <w:r>
        <w:t>chargee</w:t>
      </w:r>
      <w:proofErr w:type="spellEnd"/>
      <w:r>
        <w:t xml:space="preserve"> to apply insurance proceeds in reduction of debt, rather than in reinstatement (if the policy is for reinstatement rather than insurable value) may not be enforceable without the consent of the insurer and the mortgagor or </w:t>
      </w:r>
      <w:proofErr w:type="spellStart"/>
      <w:r>
        <w:t>chargor</w:t>
      </w:r>
      <w:proofErr w:type="spellEnd"/>
      <w:r>
        <w:t>.  In the case of insurance relating to improvements on land, other parties having an interest in the improvements may be entitled to require that insurance proceeds be applied to reinstatement.</w:t>
      </w:r>
    </w:p>
    <w:p w:rsidR="00600D4A" w:rsidRDefault="00600D4A" w:rsidP="00DF450E">
      <w:pPr>
        <w:pStyle w:val="EndnoteText"/>
        <w:ind w:left="1440"/>
      </w:pPr>
      <w:r>
        <w:tab/>
      </w:r>
      <w:r w:rsidR="00202BFB">
        <w:t>Under</w:t>
      </w:r>
      <w:r w:rsidR="00E54792">
        <w:t xml:space="preserve"> </w:t>
      </w:r>
      <w:r w:rsidR="008E5E42">
        <w:t>s</w:t>
      </w:r>
      <w:r w:rsidR="00E54792">
        <w:t>s91(6)</w:t>
      </w:r>
      <w:r w:rsidR="008E5E42">
        <w:t xml:space="preserve"> and 91(6A)</w:t>
      </w:r>
      <w:r w:rsidR="00E54792">
        <w:t xml:space="preserve"> of the </w:t>
      </w:r>
      <w:r w:rsidR="00E54792" w:rsidRPr="0025178C">
        <w:rPr>
          <w:i/>
        </w:rPr>
        <w:t>Property Law Act</w:t>
      </w:r>
      <w:r w:rsidR="00202BFB">
        <w:t xml:space="preserve"> (Qld) a</w:t>
      </w:r>
      <w:r>
        <w:t xml:space="preserve">ny obligation of a mortgagor or </w:t>
      </w:r>
      <w:proofErr w:type="spellStart"/>
      <w:r>
        <w:t>chargor</w:t>
      </w:r>
      <w:proofErr w:type="spellEnd"/>
      <w:r>
        <w:t xml:space="preserve"> to insure or continue to insure </w:t>
      </w:r>
      <w:r w:rsidRPr="00E7089A">
        <w:t xml:space="preserve">the property expressed to be subject to a </w:t>
      </w:r>
      <w:r w:rsidR="00FF497F" w:rsidRPr="00E7089A">
        <w:t xml:space="preserve">security interest </w:t>
      </w:r>
      <w:r w:rsidR="00594887">
        <w:t>granted</w:t>
      </w:r>
      <w:r w:rsidRPr="00E7089A">
        <w:t xml:space="preserve"> by </w:t>
      </w:r>
      <w:r>
        <w:t>it in Queensland on a reinstatement or replacement basis will be suspended (but an obligation to insure for full insurable value will not be suspended) to the extent that it ceases:</w:t>
      </w:r>
    </w:p>
    <w:p w:rsidR="00600D4A" w:rsidRDefault="00600D4A" w:rsidP="00DF450E">
      <w:pPr>
        <w:pStyle w:val="EndnoteText"/>
        <w:ind w:left="2160"/>
      </w:pPr>
      <w:r>
        <w:t>(a)</w:t>
      </w:r>
      <w:r>
        <w:tab/>
        <w:t xml:space="preserve">to be possible to effect the reinstatement or replacement of the </w:t>
      </w:r>
      <w:r w:rsidR="00FF497F">
        <w:t>secured property</w:t>
      </w:r>
      <w:r>
        <w:t>;</w:t>
      </w:r>
    </w:p>
    <w:p w:rsidR="00600D4A" w:rsidRDefault="00600D4A" w:rsidP="00DF450E">
      <w:pPr>
        <w:pStyle w:val="EndnoteText"/>
        <w:ind w:left="2160"/>
      </w:pPr>
      <w:r>
        <w:t>(b)</w:t>
      </w:r>
      <w:r>
        <w:tab/>
        <w:t xml:space="preserve">to be lawful to use the </w:t>
      </w:r>
      <w:r w:rsidR="00FF497F">
        <w:t xml:space="preserve">secured property </w:t>
      </w:r>
      <w:r>
        <w:t>for a use to which, before such reinstatement or replacement, that property was being put; or</w:t>
      </w:r>
    </w:p>
    <w:p w:rsidR="00DF450E" w:rsidRPr="00154D69" w:rsidRDefault="00600D4A" w:rsidP="00A24DAD">
      <w:pPr>
        <w:pStyle w:val="EndnoteText"/>
        <w:ind w:left="2694" w:hanging="534"/>
      </w:pPr>
      <w:r>
        <w:t>(c)</w:t>
      </w:r>
      <w:r>
        <w:tab/>
        <w:t xml:space="preserve">to be lawful to use the </w:t>
      </w:r>
      <w:r w:rsidR="00FF497F">
        <w:t xml:space="preserve">secured property </w:t>
      </w:r>
      <w:r>
        <w:t>for that use without the approval of the local authority, or any other authority having power to grant or withhold approval to that use, and such approval is withheld.</w:t>
      </w:r>
    </w:p>
  </w:endnote>
  <w:endnote w:id="40">
    <w:p w:rsidR="00600D4A" w:rsidRPr="00154D69" w:rsidRDefault="00600D4A">
      <w:pPr>
        <w:pStyle w:val="EndnoteText"/>
      </w:pPr>
      <w:r w:rsidRPr="00154D69">
        <w:rPr>
          <w:rStyle w:val="EndnoteReference"/>
        </w:rPr>
        <w:endnoteRef/>
      </w:r>
      <w:r w:rsidRPr="00154D69">
        <w:t xml:space="preserve"> </w:t>
      </w:r>
      <w:r w:rsidRPr="00154D69">
        <w:tab/>
        <w:t xml:space="preserve">This is designed to cover general undertakings (for example, as to the conduct of its business, or to comply with other agreements). The extent of such obligations will not be possible to determine without extensive due diligence which is beyond the scope of the opinion. </w:t>
      </w:r>
    </w:p>
  </w:endnote>
  <w:endnote w:id="41">
    <w:p w:rsidR="00600D4A" w:rsidRDefault="00C875B5" w:rsidP="00EB1AA7">
      <w:pPr>
        <w:pStyle w:val="EndnoteText"/>
      </w:pPr>
      <w:r>
        <w:rPr>
          <w:rStyle w:val="EndnoteReference"/>
        </w:rPr>
        <w:endnoteRef/>
      </w:r>
      <w:r w:rsidR="00600D4A" w:rsidRPr="00154D69">
        <w:t xml:space="preserve"> </w:t>
      </w:r>
      <w:r w:rsidR="00600D4A" w:rsidRPr="00154D69">
        <w:tab/>
        <w:t xml:space="preserve">It </w:t>
      </w:r>
      <w:r w:rsidR="007F2EF4">
        <w:t xml:space="preserve">is </w:t>
      </w:r>
      <w:r w:rsidR="00600D4A" w:rsidRPr="00154D69">
        <w:t xml:space="preserve">now general practice in Australia not </w:t>
      </w:r>
      <w:r w:rsidR="003C7D5C">
        <w:t xml:space="preserve">to </w:t>
      </w:r>
      <w:r w:rsidR="00600D4A" w:rsidRPr="00154D69">
        <w:t xml:space="preserve">opine on priority. This is also consistent with practice in other jurisdictions. However, if the </w:t>
      </w:r>
      <w:r w:rsidR="00202BFB">
        <w:t xml:space="preserve">opining </w:t>
      </w:r>
      <w:r w:rsidR="00600D4A" w:rsidRPr="00154D69">
        <w:t>firm is prepared to opine on priority in rel</w:t>
      </w:r>
      <w:r w:rsidR="00C06BE2">
        <w:t xml:space="preserve">ation to Torrens Title security, </w:t>
      </w:r>
      <w:r w:rsidR="007F2EF4">
        <w:t xml:space="preserve">an </w:t>
      </w:r>
      <w:r w:rsidR="00C06BE2">
        <w:t xml:space="preserve">example opinion, assumption and qualification </w:t>
      </w:r>
      <w:r w:rsidR="00600D4A">
        <w:t>paragraph</w:t>
      </w:r>
      <w:r w:rsidR="00C06BE2">
        <w:t>s</w:t>
      </w:r>
      <w:r w:rsidR="00600D4A">
        <w:t xml:space="preserve"> are set out below.</w:t>
      </w:r>
    </w:p>
    <w:p w:rsidR="00001236" w:rsidRDefault="00001236" w:rsidP="001C4085">
      <w:pPr>
        <w:pStyle w:val="EndnoteText"/>
        <w:ind w:left="1440" w:firstLine="0"/>
      </w:pPr>
      <w:r>
        <w:t>OPINION</w:t>
      </w:r>
    </w:p>
    <w:p w:rsidR="00600D4A" w:rsidRPr="00C351EF" w:rsidRDefault="00001236" w:rsidP="001C4085">
      <w:pPr>
        <w:pStyle w:val="EndnoteText"/>
        <w:ind w:left="1440" w:firstLine="0"/>
      </w:pPr>
      <w:r>
        <w:t>"</w:t>
      </w:r>
      <w:r w:rsidR="008A6F64">
        <w:t xml:space="preserve">To the extent it is over </w:t>
      </w:r>
      <w:r w:rsidR="00A60C0F">
        <w:t xml:space="preserve">the </w:t>
      </w:r>
      <w:r w:rsidR="008A6F64">
        <w:t xml:space="preserve">Company's </w:t>
      </w:r>
      <w:r w:rsidR="002D0159">
        <w:t xml:space="preserve">estate or </w:t>
      </w:r>
      <w:r w:rsidR="008A6F64">
        <w:t>interest in land under [</w:t>
      </w:r>
      <w:r w:rsidR="008A6F64" w:rsidRPr="006545CD">
        <w:rPr>
          <w:b/>
        </w:rPr>
        <w:t>insert name of relevant Torrens Title statute</w:t>
      </w:r>
      <w:r w:rsidR="008A6F64">
        <w:t>] (</w:t>
      </w:r>
      <w:r w:rsidR="00215DB9">
        <w:t xml:space="preserve">that </w:t>
      </w:r>
      <w:r w:rsidR="00A60C0F">
        <w:t xml:space="preserve">estate or </w:t>
      </w:r>
      <w:r w:rsidR="00215DB9">
        <w:t xml:space="preserve">interest being </w:t>
      </w:r>
      <w:r w:rsidR="008A6F64">
        <w:t xml:space="preserve">the </w:t>
      </w:r>
      <w:r w:rsidR="008A6F64" w:rsidRPr="00FB3311">
        <w:rPr>
          <w:b/>
          <w:i/>
        </w:rPr>
        <w:t>Mortga</w:t>
      </w:r>
      <w:r w:rsidR="00D030FE" w:rsidRPr="00FB3311">
        <w:rPr>
          <w:b/>
          <w:i/>
        </w:rPr>
        <w:t>g</w:t>
      </w:r>
      <w:r w:rsidR="008A6F64" w:rsidRPr="00FB3311">
        <w:rPr>
          <w:b/>
          <w:i/>
        </w:rPr>
        <w:t>ed Property</w:t>
      </w:r>
      <w:r w:rsidR="00A60C0F" w:rsidRPr="0006271A">
        <w:t>),</w:t>
      </w:r>
      <w:r w:rsidR="00A60C0F">
        <w:rPr>
          <w:b/>
        </w:rPr>
        <w:t xml:space="preserve"> </w:t>
      </w:r>
      <w:r w:rsidR="0006271A">
        <w:t>[the / each]</w:t>
      </w:r>
      <w:r w:rsidR="00600D4A">
        <w:t xml:space="preserve"> Mortgage </w:t>
      </w:r>
      <w:r w:rsidR="008A6F64">
        <w:t>[</w:t>
      </w:r>
      <w:r w:rsidR="0006271A">
        <w:t>has</w:t>
      </w:r>
      <w:r w:rsidR="00CA56EA">
        <w:t xml:space="preserve"> / </w:t>
      </w:r>
      <w:r w:rsidR="00600D4A">
        <w:t xml:space="preserve">will on </w:t>
      </w:r>
      <w:r w:rsidR="008A6F64">
        <w:t>registration under that Act</w:t>
      </w:r>
      <w:r w:rsidR="0006271A">
        <w:t xml:space="preserve"> have</w:t>
      </w:r>
      <w:r w:rsidR="008A6F64" w:rsidRPr="00FB3311">
        <w:rPr>
          <w:b/>
        </w:rPr>
        <w:t>]</w:t>
      </w:r>
      <w:r w:rsidR="006C18B3">
        <w:rPr>
          <w:b/>
        </w:rPr>
        <w:t xml:space="preserve">  [</w:t>
      </w:r>
      <w:r w:rsidR="006C18B3" w:rsidRPr="006545CD">
        <w:rPr>
          <w:b/>
          <w:i/>
        </w:rPr>
        <w:t>Inser</w:t>
      </w:r>
      <w:r w:rsidR="00932065" w:rsidRPr="006545CD">
        <w:rPr>
          <w:b/>
          <w:i/>
        </w:rPr>
        <w:t>t</w:t>
      </w:r>
      <w:r w:rsidR="006C18B3" w:rsidRPr="006545CD">
        <w:rPr>
          <w:b/>
          <w:i/>
        </w:rPr>
        <w:t xml:space="preserve"> '</w:t>
      </w:r>
      <w:r w:rsidR="0006271A" w:rsidRPr="006545CD">
        <w:rPr>
          <w:b/>
          <w:i/>
        </w:rPr>
        <w:t>has</w:t>
      </w:r>
      <w:r w:rsidR="006C18B3" w:rsidRPr="006545CD">
        <w:rPr>
          <w:b/>
          <w:i/>
        </w:rPr>
        <w:t>' if it is already registered</w:t>
      </w:r>
      <w:r w:rsidR="00600D4A" w:rsidRPr="00FB3311">
        <w:rPr>
          <w:b/>
        </w:rPr>
        <w:t>]</w:t>
      </w:r>
      <w:r w:rsidR="00600D4A">
        <w:t xml:space="preserve"> </w:t>
      </w:r>
      <w:r w:rsidR="00CA56EA">
        <w:t>priority over all</w:t>
      </w:r>
      <w:r w:rsidR="006C18B3">
        <w:t xml:space="preserve"> </w:t>
      </w:r>
      <w:r w:rsidR="00CA56EA">
        <w:t>other Security Interests</w:t>
      </w:r>
      <w:r w:rsidR="00600D4A">
        <w:t xml:space="preserve"> </w:t>
      </w:r>
      <w:r w:rsidR="00215DB9">
        <w:t>over the Mortgaged Property</w:t>
      </w:r>
      <w:r w:rsidR="00C875B5">
        <w:t xml:space="preserve"> [except [</w:t>
      </w:r>
      <w:r w:rsidR="00A967CA" w:rsidRPr="00E7089A">
        <w:t>●</w:t>
      </w:r>
      <w:r w:rsidR="00C875B5">
        <w:t>]]</w:t>
      </w:r>
      <w:r w:rsidR="00C82381">
        <w:t>.</w:t>
      </w:r>
      <w:r w:rsidR="00600D4A">
        <w:t>"</w:t>
      </w:r>
    </w:p>
    <w:p w:rsidR="00001236" w:rsidRDefault="00600D4A" w:rsidP="001C4085">
      <w:pPr>
        <w:pStyle w:val="EndnoteText"/>
        <w:ind w:left="1440"/>
      </w:pPr>
      <w:r>
        <w:tab/>
      </w:r>
      <w:r w:rsidR="00001236">
        <w:t>ASSUMPTION</w:t>
      </w:r>
    </w:p>
    <w:p w:rsidR="00600D4A" w:rsidRPr="001C4085" w:rsidRDefault="00600D4A" w:rsidP="00FB3311">
      <w:pPr>
        <w:pStyle w:val="EndnoteText"/>
        <w:ind w:left="1440" w:hanging="22"/>
        <w:rPr>
          <w:b/>
          <w:i/>
        </w:rPr>
      </w:pPr>
      <w:r>
        <w:t>"</w:t>
      </w:r>
      <w:r w:rsidR="00CA56EA">
        <w:t>For the purposes of our opinion</w:t>
      </w:r>
      <w:r>
        <w:t xml:space="preserve"> in paragraph [</w:t>
      </w:r>
      <w:r w:rsidRPr="006545CD">
        <w:rPr>
          <w:b/>
          <w:i/>
        </w:rPr>
        <w:t>Insert reference to paragraph containing Torrens Title priority opinion</w:t>
      </w:r>
      <w:r w:rsidR="00932065">
        <w:t>]</w:t>
      </w:r>
      <w:r>
        <w:t>.</w:t>
      </w:r>
    </w:p>
    <w:p w:rsidR="00932065" w:rsidRPr="00FB3311" w:rsidRDefault="00600D4A" w:rsidP="009B7393">
      <w:pPr>
        <w:pStyle w:val="EndnoteText"/>
        <w:ind w:left="2160"/>
      </w:pPr>
      <w:r>
        <w:t>(</w:t>
      </w:r>
      <w:proofErr w:type="spellStart"/>
      <w:r>
        <w:t>i</w:t>
      </w:r>
      <w:proofErr w:type="spellEnd"/>
      <w:r>
        <w:t>)</w:t>
      </w:r>
      <w:r>
        <w:tab/>
        <w:t xml:space="preserve">The </w:t>
      </w:r>
      <w:r w:rsidR="003D0890">
        <w:t xml:space="preserve">Company </w:t>
      </w:r>
      <w:r w:rsidR="00C77639">
        <w:t>[</w:t>
      </w:r>
      <w:r>
        <w:t>i</w:t>
      </w:r>
      <w:r w:rsidR="00A60C0F">
        <w:t>s</w:t>
      </w:r>
      <w:r>
        <w:t xml:space="preserve"> </w:t>
      </w:r>
      <w:r w:rsidR="00B52705">
        <w:t>|</w:t>
      </w:r>
      <w:r w:rsidR="00D030FE">
        <w:t xml:space="preserve"> will on registration be</w:t>
      </w:r>
      <w:r w:rsidR="00B52705">
        <w:t xml:space="preserve"> registered as</w:t>
      </w:r>
      <w:r w:rsidR="003D0890">
        <w:t>] [[</w:t>
      </w:r>
      <w:r w:rsidR="003D0890" w:rsidRPr="006545CD">
        <w:rPr>
          <w:b/>
          <w:i/>
        </w:rPr>
        <w:t>delete words in square brackets if the Company on the opinion date is registered as proprietor</w:t>
      </w:r>
      <w:r w:rsidR="00E92FBC" w:rsidRPr="006545CD">
        <w:rPr>
          <w:b/>
          <w:i/>
        </w:rPr>
        <w:t xml:space="preserve"> / owner</w:t>
      </w:r>
      <w:r w:rsidR="003D0890">
        <w:t>]</w:t>
      </w:r>
      <w:r w:rsidR="003D0890" w:rsidRPr="003D0890">
        <w:t>]</w:t>
      </w:r>
      <w:r w:rsidR="00D030FE">
        <w:t xml:space="preserve"> </w:t>
      </w:r>
      <w:r>
        <w:t xml:space="preserve">the registered </w:t>
      </w:r>
      <w:r w:rsidR="00E92FBC">
        <w:t>[</w:t>
      </w:r>
      <w:r>
        <w:t>proprietor</w:t>
      </w:r>
      <w:r w:rsidR="00D030FE">
        <w:t xml:space="preserve"> </w:t>
      </w:r>
      <w:r w:rsidR="00E92FBC">
        <w:t>/ owner</w:t>
      </w:r>
      <w:r w:rsidR="00B52705">
        <w:t xml:space="preserve"> / holder</w:t>
      </w:r>
      <w:r w:rsidR="00E92FBC">
        <w:t xml:space="preserve">] </w:t>
      </w:r>
      <w:r>
        <w:t>of the Mortgaged Property</w:t>
      </w:r>
      <w:r w:rsidR="00932065">
        <w:t>.</w:t>
      </w:r>
      <w:r w:rsidR="005274B8">
        <w:t xml:space="preserve">] </w:t>
      </w:r>
    </w:p>
    <w:p w:rsidR="00600D4A" w:rsidRDefault="00932065" w:rsidP="009B7393">
      <w:pPr>
        <w:pStyle w:val="EndnoteText"/>
        <w:ind w:left="2160"/>
      </w:pPr>
      <w:r>
        <w:t xml:space="preserve">(ii) </w:t>
      </w:r>
      <w:r>
        <w:tab/>
      </w:r>
      <w:r w:rsidR="005274B8">
        <w:t>[</w:t>
      </w:r>
      <w:r>
        <w:t>No other Security Interest over the Mortgaged Property is</w:t>
      </w:r>
      <w:r w:rsidR="00B52705">
        <w:t xml:space="preserve"> or will be</w:t>
      </w:r>
      <w:r>
        <w:t xml:space="preserve"> lodged for registration before the Mortgage</w:t>
      </w:r>
      <w:r w:rsidR="00E92FBC">
        <w:t>[ and the Security Interests currently registered are released and the release registered]].</w:t>
      </w:r>
    </w:p>
    <w:p w:rsidR="00600D4A" w:rsidRPr="00E217BD" w:rsidRDefault="00600D4A" w:rsidP="009B7393">
      <w:pPr>
        <w:pStyle w:val="EndnoteText"/>
        <w:ind w:left="2160"/>
        <w:rPr>
          <w:b/>
          <w:i/>
        </w:rPr>
      </w:pPr>
      <w:r>
        <w:t>(</w:t>
      </w:r>
      <w:r w:rsidR="006C18B3">
        <w:t>iii</w:t>
      </w:r>
      <w:r>
        <w:t>)</w:t>
      </w:r>
      <w:r>
        <w:tab/>
      </w:r>
      <w:r w:rsidR="001825F1">
        <w:t xml:space="preserve">The </w:t>
      </w:r>
      <w:r w:rsidR="001825F1" w:rsidRPr="001825F1">
        <w:t xml:space="preserve">interest in the Mortgaged Property </w:t>
      </w:r>
      <w:r w:rsidR="001825F1">
        <w:t xml:space="preserve">of </w:t>
      </w:r>
      <w:r w:rsidR="00EB31F8">
        <w:t>[</w:t>
      </w:r>
      <w:r w:rsidR="001825F1">
        <w:t>t</w:t>
      </w:r>
      <w:r>
        <w:t>he</w:t>
      </w:r>
      <w:r w:rsidR="006545CD">
        <w:t>/each]</w:t>
      </w:r>
      <w:r>
        <w:t xml:space="preserve"> </w:t>
      </w:r>
      <w:r w:rsidR="001825F1">
        <w:t>Mortgagee</w:t>
      </w:r>
      <w:r w:rsidR="001825F1" w:rsidRPr="001825F1">
        <w:t xml:space="preserve"> </w:t>
      </w:r>
      <w:r w:rsidR="001825F1">
        <w:t xml:space="preserve">(as defined in the Mortgage) </w:t>
      </w:r>
      <w:r w:rsidR="00E92FBC">
        <w:t>is and</w:t>
      </w:r>
      <w:r>
        <w:t xml:space="preserve"> will be free of any personal equities affecting </w:t>
      </w:r>
      <w:r w:rsidR="001825F1">
        <w:t xml:space="preserve">the </w:t>
      </w:r>
      <w:r>
        <w:t xml:space="preserve"> Mortgagee</w:t>
      </w:r>
      <w:r w:rsidR="003D0890">
        <w:t xml:space="preserve"> </w:t>
      </w:r>
      <w:r>
        <w:t xml:space="preserve">and </w:t>
      </w:r>
      <w:r w:rsidR="00E92FBC">
        <w:t xml:space="preserve">is and </w:t>
      </w:r>
      <w:r>
        <w:t xml:space="preserve">will be free of any constructive or other trust. </w:t>
      </w:r>
    </w:p>
    <w:p w:rsidR="00600D4A" w:rsidRDefault="00600D4A" w:rsidP="001C4085">
      <w:pPr>
        <w:pStyle w:val="EndnoteText"/>
        <w:ind w:left="2160"/>
        <w:rPr>
          <w:b/>
          <w:i/>
        </w:rPr>
      </w:pPr>
      <w:r>
        <w:t>(</w:t>
      </w:r>
      <w:r w:rsidR="006C18B3">
        <w:t>iv</w:t>
      </w:r>
      <w:r>
        <w:t>)</w:t>
      </w:r>
      <w:r>
        <w:tab/>
      </w:r>
      <w:r w:rsidR="003D0890">
        <w:t xml:space="preserve">[No Mortgagee is or will be / the </w:t>
      </w:r>
      <w:r>
        <w:t>Mortgagee</w:t>
      </w:r>
      <w:r w:rsidR="006C18B3">
        <w:t xml:space="preserve"> </w:t>
      </w:r>
      <w:r w:rsidR="003D0890">
        <w:t xml:space="preserve">is not, nor will be] </w:t>
      </w:r>
      <w:r>
        <w:t xml:space="preserve">guilty of fraud, or otherwise affected by fraud, within the meaning of </w:t>
      </w:r>
      <w:r w:rsidR="00001236">
        <w:t>[</w:t>
      </w:r>
      <w:r w:rsidR="00001236" w:rsidRPr="006545CD">
        <w:rPr>
          <w:b/>
          <w:i/>
        </w:rPr>
        <w:t>insert name of relevant Torrens Title statute</w:t>
      </w:r>
      <w:r w:rsidR="00001236">
        <w:t>]</w:t>
      </w:r>
      <w:r w:rsidR="00932065">
        <w:rPr>
          <w:b/>
          <w:i/>
        </w:rPr>
        <w:t>.</w:t>
      </w:r>
    </w:p>
    <w:p w:rsidR="005274B8" w:rsidRDefault="005274B8" w:rsidP="001C4085">
      <w:pPr>
        <w:pStyle w:val="EndnoteText"/>
        <w:ind w:left="2160"/>
      </w:pPr>
      <w:r>
        <w:t>[</w:t>
      </w:r>
      <w:r w:rsidRPr="006545CD">
        <w:rPr>
          <w:b/>
          <w:i/>
        </w:rPr>
        <w:t>Delete (</w:t>
      </w:r>
      <w:proofErr w:type="spellStart"/>
      <w:r w:rsidRPr="006545CD">
        <w:rPr>
          <w:b/>
          <w:i/>
        </w:rPr>
        <w:t>i</w:t>
      </w:r>
      <w:proofErr w:type="spellEnd"/>
      <w:r w:rsidRPr="006545CD">
        <w:rPr>
          <w:b/>
          <w:i/>
        </w:rPr>
        <w:t>) and (ii) if the Mort</w:t>
      </w:r>
      <w:r w:rsidR="002F186B" w:rsidRPr="006545CD">
        <w:rPr>
          <w:b/>
          <w:i/>
        </w:rPr>
        <w:t>g</w:t>
      </w:r>
      <w:r w:rsidRPr="006545CD">
        <w:rPr>
          <w:b/>
          <w:i/>
        </w:rPr>
        <w:t>age is already registered</w:t>
      </w:r>
      <w:r>
        <w:rPr>
          <w:i/>
        </w:rPr>
        <w:t>.</w:t>
      </w:r>
      <w:r>
        <w:t>]</w:t>
      </w:r>
    </w:p>
    <w:p w:rsidR="00001236" w:rsidRDefault="00001236" w:rsidP="001C4085">
      <w:pPr>
        <w:pStyle w:val="EndnoteText"/>
        <w:ind w:left="1440" w:firstLine="0"/>
      </w:pPr>
      <w:r>
        <w:t>QUALIFICATION</w:t>
      </w:r>
    </w:p>
    <w:p w:rsidR="00600D4A" w:rsidRDefault="00600D4A" w:rsidP="001C4085">
      <w:pPr>
        <w:pStyle w:val="EndnoteText"/>
        <w:ind w:left="1440" w:firstLine="0"/>
      </w:pPr>
      <w:r>
        <w:t>"</w:t>
      </w:r>
      <w:r w:rsidR="00001236">
        <w:t>O</w:t>
      </w:r>
      <w:r w:rsidR="006C18B3">
        <w:t>ur opinion in paragraph [</w:t>
      </w:r>
      <w:r w:rsidR="006545CD" w:rsidRPr="006545CD">
        <w:rPr>
          <w:b/>
          <w:i/>
        </w:rPr>
        <w:t xml:space="preserve">insert </w:t>
      </w:r>
      <w:r w:rsidR="006C18B3" w:rsidRPr="006545CD">
        <w:rPr>
          <w:b/>
          <w:i/>
        </w:rPr>
        <w:t>reference to paragraph containing Torrens Title priority opinion</w:t>
      </w:r>
      <w:r w:rsidR="005A397E">
        <w:t>]</w:t>
      </w:r>
      <w:r w:rsidR="006C18B3">
        <w:rPr>
          <w:b/>
          <w:i/>
        </w:rPr>
        <w:t xml:space="preserve"> </w:t>
      </w:r>
      <w:r>
        <w:t xml:space="preserve">is also qualified to the extent that  certain other </w:t>
      </w:r>
      <w:r w:rsidR="006C18B3">
        <w:t xml:space="preserve">Security Interests </w:t>
      </w:r>
      <w:r>
        <w:t xml:space="preserve"> may have or obtain priority over [the </w:t>
      </w:r>
      <w:r w:rsidR="006C18B3">
        <w:t>/</w:t>
      </w:r>
      <w:r>
        <w:t xml:space="preserve"> each] Mortgage:</w:t>
      </w:r>
    </w:p>
    <w:p w:rsidR="00600D4A" w:rsidRDefault="00600D4A" w:rsidP="00762429">
      <w:pPr>
        <w:pStyle w:val="EndnoteText"/>
        <w:ind w:left="2160"/>
      </w:pPr>
      <w:r>
        <w:t>(</w:t>
      </w:r>
      <w:proofErr w:type="spellStart"/>
      <w:r>
        <w:t>i</w:t>
      </w:r>
      <w:proofErr w:type="spellEnd"/>
      <w:r>
        <w:t>)</w:t>
      </w:r>
      <w:r>
        <w:tab/>
        <w:t>by virtue of statute (</w:t>
      </w:r>
      <w:proofErr w:type="spellStart"/>
      <w:r>
        <w:t>eg</w:t>
      </w:r>
      <w:proofErr w:type="spellEnd"/>
      <w:r>
        <w:t xml:space="preserve">, </w:t>
      </w:r>
      <w:r w:rsidR="00174C29">
        <w:t xml:space="preserve">charges for </w:t>
      </w:r>
      <w:r>
        <w:t>certain rates and taxes);</w:t>
      </w:r>
      <w:r w:rsidR="00174C29">
        <w:t xml:space="preserve"> or</w:t>
      </w:r>
    </w:p>
    <w:p w:rsidR="00670E21" w:rsidRDefault="00600D4A" w:rsidP="00762429">
      <w:pPr>
        <w:pStyle w:val="EndnoteText"/>
        <w:ind w:left="2160"/>
        <w:rPr>
          <w:i/>
        </w:rPr>
      </w:pPr>
      <w:r>
        <w:t>(ii)</w:t>
      </w:r>
      <w:r>
        <w:tab/>
        <w:t xml:space="preserve">because a mortgagee may in certain circumstances lose its priority." </w:t>
      </w:r>
      <w:r w:rsidRPr="006545CD">
        <w:rPr>
          <w:i/>
        </w:rPr>
        <w:t>[</w:t>
      </w:r>
      <w:proofErr w:type="spellStart"/>
      <w:r w:rsidRPr="006545CD">
        <w:rPr>
          <w:b/>
          <w:i/>
        </w:rPr>
        <w:t>Eg</w:t>
      </w:r>
      <w:proofErr w:type="spellEnd"/>
      <w:r w:rsidRPr="006545CD">
        <w:rPr>
          <w:b/>
          <w:i/>
        </w:rPr>
        <w:t xml:space="preserve">, over the holder of a subsequent Security Interest in respect of advances made after notice of the subsequent Security Interest; </w:t>
      </w:r>
      <w:r w:rsidR="00A60C0F" w:rsidRPr="006545CD">
        <w:rPr>
          <w:b/>
          <w:i/>
        </w:rPr>
        <w:t xml:space="preserve">where the mortgagee agrees, or </w:t>
      </w:r>
      <w:r w:rsidRPr="006545CD">
        <w:rPr>
          <w:b/>
          <w:i/>
        </w:rPr>
        <w:t>where the holder of a subsequent Security Interest incurs cos</w:t>
      </w:r>
      <w:r w:rsidR="0054483D">
        <w:rPr>
          <w:b/>
          <w:i/>
        </w:rPr>
        <w:t>ts in preserving or realising collateral</w:t>
      </w:r>
      <w:r w:rsidR="00907FF9" w:rsidRPr="006545CD">
        <w:rPr>
          <w:b/>
          <w:i/>
        </w:rPr>
        <w:t>.</w:t>
      </w:r>
      <w:r w:rsidR="00670E21">
        <w:rPr>
          <w:i/>
        </w:rPr>
        <w:t>]</w:t>
      </w:r>
      <w:r w:rsidR="002B7973">
        <w:rPr>
          <w:i/>
        </w:rPr>
        <w:t xml:space="preserve"> </w:t>
      </w:r>
    </w:p>
    <w:p w:rsidR="002B7973" w:rsidRDefault="006545CD" w:rsidP="00670E21">
      <w:pPr>
        <w:pStyle w:val="EndnoteText"/>
        <w:ind w:left="2880"/>
        <w:rPr>
          <w:b/>
          <w:i/>
        </w:rPr>
      </w:pPr>
      <w:r>
        <w:rPr>
          <w:b/>
          <w:i/>
        </w:rPr>
        <w:t>[</w:t>
      </w:r>
      <w:r w:rsidR="002B7973" w:rsidRPr="006545CD">
        <w:rPr>
          <w:b/>
          <w:i/>
        </w:rPr>
        <w:t>The examples in (ii) may be added to the opinion sentence.</w:t>
      </w:r>
      <w:r>
        <w:rPr>
          <w:b/>
          <w:i/>
        </w:rPr>
        <w:t>]</w:t>
      </w:r>
    </w:p>
    <w:p w:rsidR="00293BDF" w:rsidRPr="0056693C" w:rsidRDefault="00293BDF" w:rsidP="0056693C">
      <w:pPr>
        <w:pStyle w:val="EndnoteText"/>
        <w:ind w:left="2160"/>
        <w:rPr>
          <w:b/>
          <w:i/>
        </w:rPr>
      </w:pPr>
      <w:r w:rsidRPr="0056693C">
        <w:rPr>
          <w:b/>
          <w:i/>
        </w:rPr>
        <w:t>[Insert the following additional qualification at the end of qualification 6.]</w:t>
      </w:r>
    </w:p>
    <w:p w:rsidR="00293BDF" w:rsidRPr="0056693C" w:rsidRDefault="00293BDF" w:rsidP="0056693C">
      <w:pPr>
        <w:pStyle w:val="EndnoteText"/>
        <w:ind w:left="2160"/>
      </w:pPr>
      <w:r w:rsidRPr="0056693C">
        <w:t>"(a)</w:t>
      </w:r>
      <w:r w:rsidRPr="0056693C">
        <w:tab/>
        <w:t>[the extent to which interests other than Security Interests might take priority over [the/a] Mortgage]."</w:t>
      </w:r>
    </w:p>
  </w:endnote>
  <w:endnote w:id="42">
    <w:p w:rsidR="00600D4A" w:rsidRPr="00154D69" w:rsidRDefault="00600D4A">
      <w:pPr>
        <w:pStyle w:val="EndnoteText"/>
      </w:pPr>
      <w:r w:rsidRPr="00907FF9">
        <w:rPr>
          <w:rStyle w:val="EndnoteReference"/>
        </w:rPr>
        <w:endnoteRef/>
      </w:r>
      <w:r w:rsidRPr="00907FF9">
        <w:t xml:space="preserve"> </w:t>
      </w:r>
      <w:r w:rsidRPr="00907FF9">
        <w:tab/>
        <w:t>If property which is subject to a Security Interest is known</w:t>
      </w:r>
      <w:r w:rsidRPr="00154D69">
        <w:t xml:space="preserve"> to be located outside Australia, and security over that property is an important factor in </w:t>
      </w:r>
      <w:r w:rsidR="00B52705">
        <w:t>the</w:t>
      </w:r>
      <w:r w:rsidRPr="00154D69">
        <w:t xml:space="preserve"> transaction, </w:t>
      </w:r>
      <w:r w:rsidR="00B52705">
        <w:t xml:space="preserve">the opining firm should </w:t>
      </w:r>
      <w:r w:rsidR="00B52705" w:rsidRPr="00154D69">
        <w:t xml:space="preserve">consider whether </w:t>
      </w:r>
      <w:r w:rsidRPr="00154D69">
        <w:t xml:space="preserve">this qualification should be amended.  See also note </w:t>
      </w:r>
      <w:r w:rsidRPr="0013282C">
        <w:fldChar w:fldCharType="begin"/>
      </w:r>
      <w:r w:rsidRPr="00154D69">
        <w:instrText xml:space="preserve"> NOTEREF _Ref372812015 \h  \* MERGEFORMAT </w:instrText>
      </w:r>
      <w:r w:rsidRPr="0013282C">
        <w:fldChar w:fldCharType="separate"/>
      </w:r>
      <w:r w:rsidR="00D12F5D">
        <w:t>16</w:t>
      </w:r>
      <w:r w:rsidRPr="0013282C">
        <w:fldChar w:fldCharType="end"/>
      </w:r>
      <w:r w:rsidRPr="00154D69">
        <w:t>.</w:t>
      </w:r>
    </w:p>
  </w:endnote>
  <w:endnote w:id="43">
    <w:p w:rsidR="00600D4A" w:rsidRPr="00154D69" w:rsidRDefault="00600D4A">
      <w:pPr>
        <w:pStyle w:val="EndnoteText"/>
      </w:pPr>
      <w:r w:rsidRPr="00154D69">
        <w:rPr>
          <w:rStyle w:val="EndnoteReference"/>
        </w:rPr>
        <w:endnoteRef/>
      </w:r>
      <w:r w:rsidRPr="00154D69">
        <w:t xml:space="preserve"> </w:t>
      </w:r>
      <w:r w:rsidRPr="00154D69">
        <w:tab/>
        <w:t xml:space="preserve">It will be necessary for an opining firm to discuss with their client the extent of due diligence (if any) required in respect of the items mentioned in qualification </w:t>
      </w:r>
      <w:r w:rsidRPr="0013282C">
        <w:fldChar w:fldCharType="begin"/>
      </w:r>
      <w:r w:rsidRPr="00154D69">
        <w:instrText xml:space="preserve"> REF _Ref370561456 \w \h  \* MERGEFORMAT </w:instrText>
      </w:r>
      <w:r w:rsidRPr="0013282C">
        <w:fldChar w:fldCharType="separate"/>
      </w:r>
      <w:r w:rsidR="00D12F5D">
        <w:t>6(e)</w:t>
      </w:r>
      <w:r w:rsidRPr="0013282C">
        <w:fldChar w:fldCharType="end"/>
      </w:r>
      <w:r w:rsidRPr="00154D69">
        <w:t xml:space="preserve"> in Schedule 2.  This paragraph may need amendment if a document creating a non-PPSA Security Interest is listed in paragraph 1(</w:t>
      </w:r>
      <w:r w:rsidRPr="0013282C">
        <w:t>c)(iv</w:t>
      </w:r>
      <w:r w:rsidRPr="00154D69">
        <w:t>) and is intended to be the subject of the opinion.</w:t>
      </w:r>
    </w:p>
    <w:p w:rsidR="00600D4A" w:rsidRPr="00154D69" w:rsidRDefault="00600D4A">
      <w:pPr>
        <w:pStyle w:val="EndnoteText"/>
      </w:pPr>
      <w:r w:rsidRPr="00154D69">
        <w:tab/>
        <w:t>If any relevant property is identified, then the opining firm will need to discuss with the client what steps will be required in respect of it. The opinion may need amendment.</w:t>
      </w:r>
    </w:p>
  </w:endnote>
  <w:endnote w:id="44">
    <w:p w:rsidR="00600D4A" w:rsidRPr="00154D69" w:rsidRDefault="00600D4A" w:rsidP="00E7089A">
      <w:pPr>
        <w:pStyle w:val="Level1"/>
        <w:numPr>
          <w:ilvl w:val="0"/>
          <w:numId w:val="0"/>
        </w:numPr>
        <w:spacing w:line="240" w:lineRule="auto"/>
        <w:ind w:left="709" w:hanging="709"/>
        <w:rPr>
          <w:sz w:val="16"/>
        </w:rPr>
      </w:pPr>
      <w:r w:rsidRPr="00154D69">
        <w:rPr>
          <w:rStyle w:val="EndnoteReference"/>
        </w:rPr>
        <w:endnoteRef/>
      </w:r>
      <w:r w:rsidRPr="00154D69">
        <w:t xml:space="preserve"> </w:t>
      </w:r>
      <w:r w:rsidRPr="00154D69">
        <w:tab/>
      </w:r>
      <w:r w:rsidRPr="00154D69">
        <w:rPr>
          <w:sz w:val="16"/>
        </w:rPr>
        <w:t>Some firms prefer to advise on registration matters in a separate document.  For that reason, this text (and the other text that relates to it) is optional.</w:t>
      </w:r>
    </w:p>
  </w:endnote>
  <w:endnote w:id="45">
    <w:p w:rsidR="00600D4A" w:rsidRPr="00154D69" w:rsidRDefault="00600D4A">
      <w:pPr>
        <w:pStyle w:val="EndnoteText"/>
      </w:pPr>
      <w:r w:rsidRPr="00154D69">
        <w:rPr>
          <w:rStyle w:val="EndnoteReference"/>
        </w:rPr>
        <w:endnoteRef/>
      </w:r>
      <w:r w:rsidRPr="00154D69">
        <w:t xml:space="preserve"> </w:t>
      </w:r>
      <w:r w:rsidRPr="00154D69">
        <w:tab/>
        <w:t>If the secured party is a foreign company or entity with its name (or part of its name) in a foreign alphabet, it may be necessary to add the following as a further subparagraph:</w:t>
      </w:r>
    </w:p>
    <w:p w:rsidR="00600D4A" w:rsidRPr="00154D69" w:rsidRDefault="00600D4A" w:rsidP="00E7089A">
      <w:pPr>
        <w:pStyle w:val="EndnoteText"/>
        <w:ind w:left="1418" w:firstLine="0"/>
      </w:pPr>
      <w:r w:rsidRPr="00154D69">
        <w:t>"In relation to [</w:t>
      </w:r>
      <w:r w:rsidR="006545CD" w:rsidRPr="006545CD">
        <w:rPr>
          <w:b/>
          <w:i/>
        </w:rPr>
        <w:t>insert name of par</w:t>
      </w:r>
      <w:r w:rsidR="006545CD">
        <w:rPr>
          <w:b/>
          <w:i/>
        </w:rPr>
        <w:t>ty</w:t>
      </w:r>
      <w:r w:rsidRPr="00154D69">
        <w:t xml:space="preserve">], because it is not possible to register the relevant PPSA Security Interest with its exact name.” </w:t>
      </w:r>
    </w:p>
  </w:endnote>
  <w:endnote w:id="46">
    <w:p w:rsidR="00600D4A" w:rsidRPr="00154D69" w:rsidRDefault="00600D4A">
      <w:pPr>
        <w:pStyle w:val="EndnoteText"/>
      </w:pPr>
      <w:r w:rsidRPr="0013282C">
        <w:rPr>
          <w:rStyle w:val="EndnoteReference"/>
        </w:rPr>
        <w:endnoteRef/>
      </w:r>
      <w:r w:rsidRPr="0013282C">
        <w:tab/>
        <w:t>If any purchase money security interest, serial number or control-based registrations have been made</w:t>
      </w:r>
      <w:r>
        <w:t xml:space="preserve"> or i</w:t>
      </w:r>
      <w:r w:rsidRPr="00154D69">
        <w:t xml:space="preserve">f any text has been </w:t>
      </w:r>
      <w:r>
        <w:t>included in the free text field</w:t>
      </w:r>
      <w:r w:rsidRPr="0013282C">
        <w:t>,</w:t>
      </w:r>
      <w:r>
        <w:t xml:space="preserve"> </w:t>
      </w:r>
      <w:r w:rsidRPr="0013282C">
        <w:t>additional columns for these matters should be added to the table.</w:t>
      </w:r>
    </w:p>
    <w:p w:rsidR="00600D4A" w:rsidRDefault="00600D4A" w:rsidP="00B40AF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4A" w:rsidRDefault="00600D4A" w:rsidP="003B0E9F">
    <w:pPr>
      <w:pStyle w:val="Footer"/>
      <w:tabs>
        <w:tab w:val="right" w:pos="0"/>
        <w:tab w:val="left" w:pos="9356"/>
      </w:tabs>
      <w:ind w:left="0"/>
      <w:jc w:val="both"/>
    </w:pPr>
    <w:r>
      <w:tab/>
    </w:r>
    <w:r>
      <w:tab/>
      <w:t xml:space="preserve">      </w:t>
    </w:r>
    <w:r>
      <w:fldChar w:fldCharType="begin"/>
    </w:r>
    <w:r>
      <w:instrText xml:space="preserve"> page </w:instrText>
    </w:r>
    <w:r>
      <w:fldChar w:fldCharType="separate"/>
    </w:r>
    <w:r w:rsidR="00967CAA">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7" w:type="dxa"/>
      <w:tblInd w:w="-142" w:type="dxa"/>
      <w:tblBorders>
        <w:top w:val="single" w:sz="4" w:space="0" w:color="auto"/>
      </w:tblBorders>
      <w:tblLayout w:type="fixed"/>
      <w:tblCellMar>
        <w:left w:w="0" w:type="dxa"/>
        <w:right w:w="0" w:type="dxa"/>
      </w:tblCellMar>
      <w:tblLook w:val="0000" w:firstRow="0" w:lastRow="0" w:firstColumn="0" w:lastColumn="0" w:noHBand="0" w:noVBand="0"/>
    </w:tblPr>
    <w:tblGrid>
      <w:gridCol w:w="8964"/>
      <w:gridCol w:w="1323"/>
    </w:tblGrid>
    <w:tr w:rsidR="00600D4A" w:rsidTr="00334444">
      <w:tc>
        <w:tcPr>
          <w:tcW w:w="8647" w:type="dxa"/>
        </w:tcPr>
        <w:p w:rsidR="00600D4A" w:rsidRDefault="00600D4A" w:rsidP="0088559D">
          <w:pPr>
            <w:pStyle w:val="Footer"/>
          </w:pPr>
          <w:r>
            <w:tab/>
          </w:r>
          <w:r>
            <w:tab/>
          </w:r>
        </w:p>
      </w:tc>
      <w:tc>
        <w:tcPr>
          <w:tcW w:w="1276" w:type="dxa"/>
        </w:tcPr>
        <w:p w:rsidR="00600D4A" w:rsidRDefault="00600D4A">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967CAA">
            <w:rPr>
              <w:noProof/>
              <w:snapToGrid w:val="0"/>
            </w:rPr>
            <w:t>1</w:t>
          </w:r>
          <w:r>
            <w:rPr>
              <w:snapToGrid w:val="0"/>
            </w:rPr>
            <w:fldChar w:fldCharType="end"/>
          </w:r>
        </w:p>
      </w:tc>
    </w:tr>
  </w:tbl>
  <w:p w:rsidR="00600D4A" w:rsidRDefault="00600D4A">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D4A" w:rsidRDefault="00600D4A">
      <w:r>
        <w:separator/>
      </w:r>
    </w:p>
  </w:footnote>
  <w:footnote w:type="continuationSeparator" w:id="0">
    <w:p w:rsidR="00600D4A" w:rsidRDefault="00600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4A" w:rsidRPr="00BE6804" w:rsidRDefault="00600D4A" w:rsidP="00BE6804">
    <w:pPr>
      <w:pStyle w:val="Header"/>
      <w:ind w:left="0"/>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52198E"/>
    <w:lvl w:ilvl="0">
      <w:start w:val="1"/>
      <w:numFmt w:val="lowerLetter"/>
      <w:pStyle w:val="ListNumber5"/>
      <w:lvlText w:val="(%1)"/>
      <w:lvlJc w:val="left"/>
      <w:pPr>
        <w:tabs>
          <w:tab w:val="num" w:pos="720"/>
        </w:tabs>
        <w:ind w:left="720" w:hanging="720"/>
      </w:pPr>
      <w:rPr>
        <w:rFonts w:cs="Times New Roman" w:hint="default"/>
      </w:rPr>
    </w:lvl>
  </w:abstractNum>
  <w:abstractNum w:abstractNumId="1">
    <w:nsid w:val="FFFFFF7D"/>
    <w:multiLevelType w:val="singleLevel"/>
    <w:tmpl w:val="06F2D9F4"/>
    <w:lvl w:ilvl="0">
      <w:start w:val="1"/>
      <w:numFmt w:val="upperRoman"/>
      <w:pStyle w:val="ListNumber4"/>
      <w:lvlText w:val="%1."/>
      <w:lvlJc w:val="left"/>
      <w:pPr>
        <w:tabs>
          <w:tab w:val="num" w:pos="720"/>
        </w:tabs>
        <w:ind w:left="720" w:hanging="720"/>
      </w:pPr>
      <w:rPr>
        <w:rFonts w:cs="Times New Roman" w:hint="default"/>
      </w:rPr>
    </w:lvl>
  </w:abstractNum>
  <w:abstractNum w:abstractNumId="2">
    <w:nsid w:val="FFFFFF7E"/>
    <w:multiLevelType w:val="singleLevel"/>
    <w:tmpl w:val="D0421448"/>
    <w:lvl w:ilvl="0">
      <w:start w:val="1"/>
      <w:numFmt w:val="upperLetter"/>
      <w:pStyle w:val="ListNumber3"/>
      <w:lvlText w:val="%1."/>
      <w:lvlJc w:val="left"/>
      <w:pPr>
        <w:tabs>
          <w:tab w:val="num" w:pos="720"/>
        </w:tabs>
        <w:ind w:left="720" w:hanging="720"/>
      </w:pPr>
      <w:rPr>
        <w:rFonts w:cs="Times New Roman" w:hint="default"/>
      </w:rPr>
    </w:lvl>
  </w:abstractNum>
  <w:abstractNum w:abstractNumId="3">
    <w:nsid w:val="FFFFFF7F"/>
    <w:multiLevelType w:val="singleLevel"/>
    <w:tmpl w:val="8130A1E4"/>
    <w:lvl w:ilvl="0">
      <w:start w:val="1"/>
      <w:numFmt w:val="decimal"/>
      <w:pStyle w:val="ListNumber2"/>
      <w:lvlText w:val="(%1)"/>
      <w:lvlJc w:val="left"/>
      <w:pPr>
        <w:tabs>
          <w:tab w:val="num" w:pos="720"/>
        </w:tabs>
        <w:ind w:left="720" w:hanging="720"/>
      </w:pPr>
      <w:rPr>
        <w:rFonts w:cs="Times New Roman" w:hint="default"/>
      </w:rPr>
    </w:lvl>
  </w:abstractNum>
  <w:abstractNum w:abstractNumId="4">
    <w:nsid w:val="FFFFFF80"/>
    <w:multiLevelType w:val="singleLevel"/>
    <w:tmpl w:val="978C7C96"/>
    <w:lvl w:ilvl="0">
      <w:start w:val="1"/>
      <w:numFmt w:val="bullet"/>
      <w:pStyle w:val="ListBullet5"/>
      <w:lvlText w:val=""/>
      <w:lvlJc w:val="left"/>
      <w:pPr>
        <w:tabs>
          <w:tab w:val="num" w:pos="720"/>
        </w:tabs>
        <w:ind w:left="720" w:hanging="720"/>
      </w:pPr>
      <w:rPr>
        <w:rFonts w:ascii="Wingdings" w:hAnsi="Wingdings" w:hint="default"/>
      </w:rPr>
    </w:lvl>
  </w:abstractNum>
  <w:abstractNum w:abstractNumId="5">
    <w:nsid w:val="FFFFFF81"/>
    <w:multiLevelType w:val="singleLevel"/>
    <w:tmpl w:val="6C0C83E0"/>
    <w:lvl w:ilvl="0">
      <w:start w:val="1"/>
      <w:numFmt w:val="bullet"/>
      <w:pStyle w:val="ListBullet4"/>
      <w:lvlText w:val=""/>
      <w:lvlJc w:val="left"/>
      <w:pPr>
        <w:tabs>
          <w:tab w:val="num" w:pos="720"/>
        </w:tabs>
        <w:ind w:left="720" w:hanging="720"/>
      </w:pPr>
      <w:rPr>
        <w:rFonts w:ascii="Wingdings" w:hAnsi="Wingdings" w:hint="default"/>
      </w:rPr>
    </w:lvl>
  </w:abstractNum>
  <w:abstractNum w:abstractNumId="6">
    <w:nsid w:val="FFFFFF82"/>
    <w:multiLevelType w:val="singleLevel"/>
    <w:tmpl w:val="78023F7E"/>
    <w:lvl w:ilvl="0">
      <w:start w:val="1"/>
      <w:numFmt w:val="bullet"/>
      <w:pStyle w:val="ListBullet3"/>
      <w:lvlText w:val=""/>
      <w:lvlJc w:val="left"/>
      <w:pPr>
        <w:tabs>
          <w:tab w:val="num" w:pos="720"/>
        </w:tabs>
        <w:ind w:left="720" w:hanging="720"/>
      </w:pPr>
      <w:rPr>
        <w:rFonts w:ascii="Wingdings" w:hAnsi="Wingdings" w:hint="default"/>
      </w:rPr>
    </w:lvl>
  </w:abstractNum>
  <w:abstractNum w:abstractNumId="7">
    <w:nsid w:val="FFFFFF83"/>
    <w:multiLevelType w:val="singleLevel"/>
    <w:tmpl w:val="5A6A21AA"/>
    <w:lvl w:ilvl="0">
      <w:start w:val="1"/>
      <w:numFmt w:val="bullet"/>
      <w:pStyle w:val="ListBullet2"/>
      <w:lvlText w:val=""/>
      <w:lvlJc w:val="left"/>
      <w:pPr>
        <w:tabs>
          <w:tab w:val="num" w:pos="720"/>
        </w:tabs>
        <w:ind w:left="720" w:hanging="720"/>
      </w:pPr>
      <w:rPr>
        <w:rFonts w:ascii="Symbol" w:hAnsi="Symbol" w:hint="default"/>
        <w:color w:val="auto"/>
      </w:rPr>
    </w:lvl>
  </w:abstractNum>
  <w:abstractNum w:abstractNumId="8">
    <w:nsid w:val="FFFFFF88"/>
    <w:multiLevelType w:val="singleLevel"/>
    <w:tmpl w:val="02D4BE2E"/>
    <w:lvl w:ilvl="0">
      <w:start w:val="1"/>
      <w:numFmt w:val="decimal"/>
      <w:pStyle w:val="ListNumber"/>
      <w:lvlText w:val="%1."/>
      <w:lvlJc w:val="left"/>
      <w:pPr>
        <w:tabs>
          <w:tab w:val="num" w:pos="720"/>
        </w:tabs>
        <w:ind w:left="720" w:hanging="720"/>
      </w:pPr>
      <w:rPr>
        <w:rFonts w:cs="Times New Roman" w:hint="default"/>
      </w:rPr>
    </w:lvl>
  </w:abstractNum>
  <w:abstractNum w:abstractNumId="9">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15B912D9"/>
    <w:multiLevelType w:val="multilevel"/>
    <w:tmpl w:val="159E925C"/>
    <w:lvl w:ilvl="0">
      <w:start w:val="1"/>
      <w:numFmt w:val="decimal"/>
      <w:suff w:val="nothing"/>
      <w:lvlText w:val="Schedule %1"/>
      <w:lvlJc w:val="left"/>
      <w:pPr>
        <w:ind w:left="709" w:hanging="709"/>
      </w:pPr>
      <w:rPr>
        <w:rFonts w:cs="Times New Roman" w:hint="default"/>
      </w:rPr>
    </w:lvl>
    <w:lvl w:ilvl="1">
      <w:start w:val="1"/>
      <w:numFmt w:val="none"/>
      <w:suff w:val="nothing"/>
      <w:lvlText w:val=""/>
      <w:lvlJc w:val="left"/>
      <w:pPr>
        <w:ind w:left="709" w:hanging="709"/>
      </w:pPr>
      <w:rPr>
        <w:rFonts w:cs="Times New Roman" w:hint="default"/>
      </w:rPr>
    </w:lvl>
    <w:lvl w:ilvl="2">
      <w:start w:val="1"/>
      <w:numFmt w:val="decimal"/>
      <w:lvlRestart w:val="0"/>
      <w:lvlText w:val="%3"/>
      <w:lvlJc w:val="left"/>
      <w:pPr>
        <w:tabs>
          <w:tab w:val="num" w:pos="709"/>
        </w:tabs>
        <w:ind w:left="709" w:hanging="709"/>
      </w:pPr>
      <w:rPr>
        <w:rFonts w:cs="Times New Roman" w:hint="default"/>
      </w:rPr>
    </w:lvl>
    <w:lvl w:ilvl="3">
      <w:start w:val="1"/>
      <w:numFmt w:val="decimal"/>
      <w:lvlText w:val="%3.%4"/>
      <w:lvlJc w:val="left"/>
      <w:pPr>
        <w:tabs>
          <w:tab w:val="num" w:pos="709"/>
        </w:tabs>
        <w:ind w:left="709" w:hanging="709"/>
      </w:pPr>
      <w:rPr>
        <w:rFonts w:cs="Times New Roman" w:hint="default"/>
      </w:rPr>
    </w:lvl>
    <w:lvl w:ilvl="4">
      <w:start w:val="1"/>
      <w:numFmt w:val="lowerLetter"/>
      <w:lvlText w:val="(%5)"/>
      <w:lvlJc w:val="left"/>
      <w:pPr>
        <w:tabs>
          <w:tab w:val="num" w:pos="1418"/>
        </w:tabs>
        <w:ind w:left="1418" w:hanging="709"/>
      </w:pPr>
      <w:rPr>
        <w:rFonts w:cs="Times New Roman" w:hint="default"/>
      </w:rPr>
    </w:lvl>
    <w:lvl w:ilvl="5">
      <w:start w:val="1"/>
      <w:numFmt w:val="lowerRoman"/>
      <w:lvlText w:val="(%6)"/>
      <w:lvlJc w:val="left"/>
      <w:pPr>
        <w:tabs>
          <w:tab w:val="num" w:pos="2126"/>
        </w:tabs>
        <w:ind w:left="2126" w:hanging="708"/>
      </w:pPr>
      <w:rPr>
        <w:rFonts w:cs="Times New Roman" w:hint="default"/>
      </w:rPr>
    </w:lvl>
    <w:lvl w:ilvl="6">
      <w:start w:val="1"/>
      <w:numFmt w:val="upperLetter"/>
      <w:lvlText w:val="(%7)"/>
      <w:lvlJc w:val="left"/>
      <w:pPr>
        <w:tabs>
          <w:tab w:val="num" w:pos="2835"/>
        </w:tabs>
        <w:ind w:left="2835" w:hanging="709"/>
      </w:pPr>
      <w:rPr>
        <w:rFonts w:cs="Times New Roman" w:hint="default"/>
      </w:rPr>
    </w:lvl>
    <w:lvl w:ilvl="7">
      <w:start w:val="1"/>
      <w:numFmt w:val="decimal"/>
      <w:lvlText w:val="(%8)"/>
      <w:lvlJc w:val="left"/>
      <w:pPr>
        <w:tabs>
          <w:tab w:val="num" w:pos="3544"/>
        </w:tabs>
        <w:ind w:left="3544" w:hanging="709"/>
      </w:pPr>
      <w:rPr>
        <w:rFonts w:cs="Times New Roman" w:hint="default"/>
      </w:rPr>
    </w:lvl>
    <w:lvl w:ilvl="8">
      <w:start w:val="1"/>
      <w:numFmt w:val="decimal"/>
      <w:lvlText w:val="%1"/>
      <w:lvlJc w:val="left"/>
      <w:pPr>
        <w:tabs>
          <w:tab w:val="num" w:pos="6120"/>
        </w:tabs>
        <w:ind w:left="4320" w:hanging="1440"/>
      </w:pPr>
      <w:rPr>
        <w:rFonts w:cs="Times New Roman" w:hint="default"/>
      </w:rPr>
    </w:lvl>
  </w:abstractNum>
  <w:abstractNum w:abstractNumId="11">
    <w:nsid w:val="19C13D34"/>
    <w:multiLevelType w:val="singleLevel"/>
    <w:tmpl w:val="7DBAC4B6"/>
    <w:lvl w:ilvl="0">
      <w:start w:val="1"/>
      <w:numFmt w:val="bullet"/>
      <w:lvlText w:val=""/>
      <w:lvlJc w:val="left"/>
      <w:pPr>
        <w:tabs>
          <w:tab w:val="num" w:pos="737"/>
        </w:tabs>
        <w:ind w:left="737" w:hanging="737"/>
      </w:pPr>
      <w:rPr>
        <w:rFonts w:ascii="Symbol" w:hAnsi="Symbol" w:hint="default"/>
      </w:rPr>
    </w:lvl>
  </w:abstractNum>
  <w:abstractNum w:abstractNumId="12">
    <w:nsid w:val="2CE22027"/>
    <w:multiLevelType w:val="hybridMultilevel"/>
    <w:tmpl w:val="4A4CB2EA"/>
    <w:lvl w:ilvl="0" w:tplc="CFEE9A62">
      <w:start w:val="1"/>
      <w:numFmt w:val="bullet"/>
      <w:lvlText w:val="•"/>
      <w:lvlJc w:val="left"/>
      <w:pPr>
        <w:ind w:left="2880" w:hanging="360"/>
      </w:pPr>
      <w:rPr>
        <w:rFonts w:ascii="Arial" w:hAnsi="Aria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nsid w:val="39890AAF"/>
    <w:multiLevelType w:val="multilevel"/>
    <w:tmpl w:val="159E925C"/>
    <w:lvl w:ilvl="0">
      <w:start w:val="1"/>
      <w:numFmt w:val="decimal"/>
      <w:suff w:val="nothing"/>
      <w:lvlText w:val="Schedule %1"/>
      <w:lvlJc w:val="left"/>
      <w:pPr>
        <w:ind w:left="709" w:hanging="709"/>
      </w:pPr>
      <w:rPr>
        <w:rFonts w:cs="Times New Roman" w:hint="default"/>
      </w:rPr>
    </w:lvl>
    <w:lvl w:ilvl="1">
      <w:start w:val="1"/>
      <w:numFmt w:val="none"/>
      <w:suff w:val="nothing"/>
      <w:lvlText w:val=""/>
      <w:lvlJc w:val="left"/>
      <w:pPr>
        <w:ind w:left="709" w:hanging="709"/>
      </w:pPr>
      <w:rPr>
        <w:rFonts w:cs="Times New Roman" w:hint="default"/>
      </w:rPr>
    </w:lvl>
    <w:lvl w:ilvl="2">
      <w:start w:val="1"/>
      <w:numFmt w:val="decimal"/>
      <w:lvlRestart w:val="0"/>
      <w:lvlText w:val="%3"/>
      <w:lvlJc w:val="left"/>
      <w:pPr>
        <w:tabs>
          <w:tab w:val="num" w:pos="709"/>
        </w:tabs>
        <w:ind w:left="709" w:hanging="709"/>
      </w:pPr>
      <w:rPr>
        <w:rFonts w:cs="Times New Roman" w:hint="default"/>
      </w:rPr>
    </w:lvl>
    <w:lvl w:ilvl="3">
      <w:start w:val="1"/>
      <w:numFmt w:val="decimal"/>
      <w:lvlText w:val="%3.%4"/>
      <w:lvlJc w:val="left"/>
      <w:pPr>
        <w:tabs>
          <w:tab w:val="num" w:pos="709"/>
        </w:tabs>
        <w:ind w:left="709" w:hanging="709"/>
      </w:pPr>
      <w:rPr>
        <w:rFonts w:cs="Times New Roman" w:hint="default"/>
      </w:rPr>
    </w:lvl>
    <w:lvl w:ilvl="4">
      <w:start w:val="1"/>
      <w:numFmt w:val="lowerLetter"/>
      <w:lvlText w:val="(%5)"/>
      <w:lvlJc w:val="left"/>
      <w:pPr>
        <w:tabs>
          <w:tab w:val="num" w:pos="1418"/>
        </w:tabs>
        <w:ind w:left="1418" w:hanging="709"/>
      </w:pPr>
      <w:rPr>
        <w:rFonts w:cs="Times New Roman" w:hint="default"/>
      </w:rPr>
    </w:lvl>
    <w:lvl w:ilvl="5">
      <w:start w:val="1"/>
      <w:numFmt w:val="lowerRoman"/>
      <w:lvlText w:val="(%6)"/>
      <w:lvlJc w:val="left"/>
      <w:pPr>
        <w:tabs>
          <w:tab w:val="num" w:pos="2126"/>
        </w:tabs>
        <w:ind w:left="2126" w:hanging="708"/>
      </w:pPr>
      <w:rPr>
        <w:rFonts w:cs="Times New Roman" w:hint="default"/>
      </w:rPr>
    </w:lvl>
    <w:lvl w:ilvl="6">
      <w:start w:val="1"/>
      <w:numFmt w:val="upperLetter"/>
      <w:lvlText w:val="(%7)"/>
      <w:lvlJc w:val="left"/>
      <w:pPr>
        <w:tabs>
          <w:tab w:val="num" w:pos="2835"/>
        </w:tabs>
        <w:ind w:left="2835" w:hanging="709"/>
      </w:pPr>
      <w:rPr>
        <w:rFonts w:cs="Times New Roman" w:hint="default"/>
      </w:rPr>
    </w:lvl>
    <w:lvl w:ilvl="7">
      <w:start w:val="1"/>
      <w:numFmt w:val="decimal"/>
      <w:lvlText w:val="(%8)"/>
      <w:lvlJc w:val="left"/>
      <w:pPr>
        <w:tabs>
          <w:tab w:val="num" w:pos="3544"/>
        </w:tabs>
        <w:ind w:left="3544" w:hanging="709"/>
      </w:pPr>
      <w:rPr>
        <w:rFonts w:cs="Times New Roman" w:hint="default"/>
      </w:rPr>
    </w:lvl>
    <w:lvl w:ilvl="8">
      <w:start w:val="1"/>
      <w:numFmt w:val="decimal"/>
      <w:lvlText w:val="%1"/>
      <w:lvlJc w:val="left"/>
      <w:pPr>
        <w:tabs>
          <w:tab w:val="num" w:pos="6120"/>
        </w:tabs>
        <w:ind w:left="4320" w:hanging="1440"/>
      </w:pPr>
      <w:rPr>
        <w:rFonts w:cs="Times New Roman" w:hint="default"/>
      </w:rPr>
    </w:lvl>
  </w:abstractNum>
  <w:abstractNum w:abstractNumId="14">
    <w:nsid w:val="3D7E39C9"/>
    <w:multiLevelType w:val="multilevel"/>
    <w:tmpl w:val="159E925C"/>
    <w:lvl w:ilvl="0">
      <w:start w:val="1"/>
      <w:numFmt w:val="decimal"/>
      <w:pStyle w:val="Schedule"/>
      <w:suff w:val="nothing"/>
      <w:lvlText w:val="Schedule %1"/>
      <w:lvlJc w:val="left"/>
      <w:pPr>
        <w:ind w:left="709" w:hanging="709"/>
      </w:pPr>
      <w:rPr>
        <w:rFonts w:cs="Times New Roman" w:hint="default"/>
      </w:rPr>
    </w:lvl>
    <w:lvl w:ilvl="1">
      <w:start w:val="1"/>
      <w:numFmt w:val="none"/>
      <w:pStyle w:val="ScheduleHeading"/>
      <w:suff w:val="nothing"/>
      <w:lvlText w:val=""/>
      <w:lvlJc w:val="left"/>
      <w:pPr>
        <w:ind w:left="709" w:hanging="709"/>
      </w:pPr>
      <w:rPr>
        <w:rFonts w:cs="Times New Roman" w:hint="default"/>
      </w:rPr>
    </w:lvl>
    <w:lvl w:ilvl="2">
      <w:start w:val="1"/>
      <w:numFmt w:val="decimal"/>
      <w:lvlRestart w:val="0"/>
      <w:pStyle w:val="Schedule1"/>
      <w:lvlText w:val="%3"/>
      <w:lvlJc w:val="left"/>
      <w:pPr>
        <w:tabs>
          <w:tab w:val="num" w:pos="709"/>
        </w:tabs>
        <w:ind w:left="709" w:hanging="709"/>
      </w:pPr>
      <w:rPr>
        <w:rFonts w:cs="Times New Roman" w:hint="default"/>
      </w:rPr>
    </w:lvl>
    <w:lvl w:ilvl="3">
      <w:start w:val="1"/>
      <w:numFmt w:val="decimal"/>
      <w:pStyle w:val="Schedule2"/>
      <w:lvlText w:val="%3.%4"/>
      <w:lvlJc w:val="left"/>
      <w:pPr>
        <w:tabs>
          <w:tab w:val="num" w:pos="709"/>
        </w:tabs>
        <w:ind w:left="709" w:hanging="709"/>
      </w:pPr>
      <w:rPr>
        <w:rFonts w:cs="Times New Roman" w:hint="default"/>
      </w:rPr>
    </w:lvl>
    <w:lvl w:ilvl="4">
      <w:start w:val="1"/>
      <w:numFmt w:val="lowerLetter"/>
      <w:pStyle w:val="Schedule3"/>
      <w:lvlText w:val="(%5)"/>
      <w:lvlJc w:val="left"/>
      <w:pPr>
        <w:tabs>
          <w:tab w:val="num" w:pos="1418"/>
        </w:tabs>
        <w:ind w:left="1418" w:hanging="709"/>
      </w:pPr>
      <w:rPr>
        <w:rFonts w:cs="Times New Roman" w:hint="default"/>
      </w:rPr>
    </w:lvl>
    <w:lvl w:ilvl="5">
      <w:start w:val="1"/>
      <w:numFmt w:val="lowerRoman"/>
      <w:pStyle w:val="Schedule4"/>
      <w:lvlText w:val="(%6)"/>
      <w:lvlJc w:val="left"/>
      <w:pPr>
        <w:tabs>
          <w:tab w:val="num" w:pos="2126"/>
        </w:tabs>
        <w:ind w:left="2126" w:hanging="708"/>
      </w:pPr>
      <w:rPr>
        <w:rFonts w:cs="Times New Roman" w:hint="default"/>
      </w:rPr>
    </w:lvl>
    <w:lvl w:ilvl="6">
      <w:start w:val="1"/>
      <w:numFmt w:val="upperLetter"/>
      <w:pStyle w:val="Schedule5"/>
      <w:lvlText w:val="(%7)"/>
      <w:lvlJc w:val="left"/>
      <w:pPr>
        <w:tabs>
          <w:tab w:val="num" w:pos="2835"/>
        </w:tabs>
        <w:ind w:left="2835" w:hanging="709"/>
      </w:pPr>
      <w:rPr>
        <w:rFonts w:cs="Times New Roman" w:hint="default"/>
      </w:rPr>
    </w:lvl>
    <w:lvl w:ilvl="7">
      <w:start w:val="1"/>
      <w:numFmt w:val="decimal"/>
      <w:pStyle w:val="Schedule6"/>
      <w:lvlText w:val="(%8)"/>
      <w:lvlJc w:val="left"/>
      <w:pPr>
        <w:tabs>
          <w:tab w:val="num" w:pos="3544"/>
        </w:tabs>
        <w:ind w:left="3544" w:hanging="709"/>
      </w:pPr>
      <w:rPr>
        <w:rFonts w:cs="Times New Roman" w:hint="default"/>
      </w:rPr>
    </w:lvl>
    <w:lvl w:ilvl="8">
      <w:start w:val="1"/>
      <w:numFmt w:val="decimal"/>
      <w:lvlText w:val="%1"/>
      <w:lvlJc w:val="left"/>
      <w:pPr>
        <w:tabs>
          <w:tab w:val="num" w:pos="6120"/>
        </w:tabs>
        <w:ind w:left="4320" w:hanging="1440"/>
      </w:pPr>
      <w:rPr>
        <w:rFonts w:cs="Times New Roman" w:hint="default"/>
      </w:rPr>
    </w:lvl>
  </w:abstractNum>
  <w:abstractNum w:abstractNumId="15">
    <w:nsid w:val="40F65817"/>
    <w:multiLevelType w:val="hybridMultilevel"/>
    <w:tmpl w:val="79F2BB2C"/>
    <w:lvl w:ilvl="0" w:tplc="EDF46004">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nsid w:val="41173ED0"/>
    <w:multiLevelType w:val="multilevel"/>
    <w:tmpl w:val="AEC2DA00"/>
    <w:lvl w:ilvl="0">
      <w:start w:val="1"/>
      <w:numFmt w:val="decimal"/>
      <w:pStyle w:val="Level1"/>
      <w:lvlText w:val="%1."/>
      <w:lvlJc w:val="left"/>
      <w:pPr>
        <w:tabs>
          <w:tab w:val="num" w:pos="720"/>
        </w:tabs>
        <w:ind w:left="720" w:hanging="720"/>
      </w:pPr>
      <w:rPr>
        <w:rFonts w:cs="Times New Roman" w:hint="default"/>
      </w:rPr>
    </w:lvl>
    <w:lvl w:ilvl="1">
      <w:start w:val="1"/>
      <w:numFmt w:val="decimal"/>
      <w:pStyle w:val="Level11"/>
      <w:lvlText w:val="%1.%2"/>
      <w:lvlJc w:val="left"/>
      <w:pPr>
        <w:tabs>
          <w:tab w:val="num" w:pos="720"/>
        </w:tabs>
        <w:ind w:left="72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i w:val="0"/>
      </w:rPr>
    </w:lvl>
    <w:lvl w:ilvl="3">
      <w:start w:val="1"/>
      <w:numFmt w:val="lowerRoman"/>
      <w:pStyle w:val="Leveli"/>
      <w:lvlText w:val="(%4)"/>
      <w:lvlJc w:val="left"/>
      <w:pPr>
        <w:tabs>
          <w:tab w:val="num" w:pos="2160"/>
        </w:tabs>
        <w:ind w:left="2160" w:hanging="720"/>
      </w:pPr>
      <w:rPr>
        <w:rFonts w:cs="Times New Roman" w:hint="default"/>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
    <w:nsid w:val="47FE13B0"/>
    <w:multiLevelType w:val="multilevel"/>
    <w:tmpl w:val="9E6636B2"/>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none"/>
      <w:suff w:val="nothing"/>
      <w:lvlText w:val=""/>
      <w:lvlJc w:val="left"/>
      <w:rPr>
        <w:rFonts w:cs="Times New Roman" w:hint="default"/>
      </w:rPr>
    </w:lvl>
    <w:lvl w:ilvl="6">
      <w:start w:val="1"/>
      <w:numFmt w:val="decimal"/>
      <w:lvlText w:val="%7"/>
      <w:lvlJc w:val="left"/>
      <w:pPr>
        <w:tabs>
          <w:tab w:val="num" w:pos="737"/>
        </w:tabs>
        <w:ind w:left="737" w:hanging="737"/>
      </w:pPr>
      <w:rPr>
        <w:rFonts w:cs="Times New Roman" w:hint="default"/>
      </w:rPr>
    </w:lvl>
    <w:lvl w:ilvl="7">
      <w:start w:val="1"/>
      <w:numFmt w:val="lowerLetter"/>
      <w:lvlText w:val="(%8)"/>
      <w:lvlJc w:val="left"/>
      <w:pPr>
        <w:tabs>
          <w:tab w:val="num" w:pos="1474"/>
        </w:tabs>
        <w:ind w:left="1474" w:hanging="737"/>
      </w:pPr>
      <w:rPr>
        <w:rFonts w:cs="Times New Roman" w:hint="default"/>
      </w:rPr>
    </w:lvl>
    <w:lvl w:ilvl="8">
      <w:start w:val="1"/>
      <w:numFmt w:val="lowerRoman"/>
      <w:lvlText w:val="(%9)"/>
      <w:lvlJc w:val="left"/>
      <w:pPr>
        <w:tabs>
          <w:tab w:val="num" w:pos="2211"/>
        </w:tabs>
        <w:ind w:left="2211" w:hanging="737"/>
      </w:pPr>
      <w:rPr>
        <w:rFonts w:cs="Times New Roman" w:hint="default"/>
      </w:rPr>
    </w:lvl>
  </w:abstractNum>
  <w:abstractNum w:abstractNumId="18">
    <w:nsid w:val="565F3A05"/>
    <w:multiLevelType w:val="hybridMultilevel"/>
    <w:tmpl w:val="0FC0B674"/>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9">
    <w:nsid w:val="61764796"/>
    <w:multiLevelType w:val="multilevel"/>
    <w:tmpl w:val="91FA86B0"/>
    <w:lvl w:ilvl="0">
      <w:start w:val="1"/>
      <w:numFmt w:val="none"/>
      <w:pStyle w:val="sch1"/>
      <w:suff w:val="nothing"/>
      <w:lvlText w:val=""/>
      <w:lvlJc w:val="left"/>
      <w:rPr>
        <w:rFonts w:cs="Times New Roman" w:hint="default"/>
      </w:rPr>
    </w:lvl>
    <w:lvl w:ilvl="1">
      <w:start w:val="1"/>
      <w:numFmt w:val="decimal"/>
      <w:pStyle w:val="sch2"/>
      <w:lvlText w:val="%2."/>
      <w:lvlJc w:val="left"/>
      <w:pPr>
        <w:tabs>
          <w:tab w:val="num" w:pos="720"/>
        </w:tabs>
        <w:ind w:left="720" w:hanging="720"/>
      </w:pPr>
      <w:rPr>
        <w:rFonts w:cs="Times New Roman" w:hint="default"/>
      </w:rPr>
    </w:lvl>
    <w:lvl w:ilvl="2">
      <w:start w:val="1"/>
      <w:numFmt w:val="decimal"/>
      <w:pStyle w:val="sch3"/>
      <w:lvlText w:val="%2.%3"/>
      <w:lvlJc w:val="left"/>
      <w:pPr>
        <w:tabs>
          <w:tab w:val="num" w:pos="720"/>
        </w:tabs>
        <w:ind w:left="720" w:hanging="720"/>
      </w:pPr>
      <w:rPr>
        <w:rFonts w:cs="Times New Roman" w:hint="default"/>
      </w:rPr>
    </w:lvl>
    <w:lvl w:ilvl="3">
      <w:start w:val="1"/>
      <w:numFmt w:val="lowerLetter"/>
      <w:pStyle w:val="sch4"/>
      <w:lvlText w:val="(%4)"/>
      <w:lvlJc w:val="left"/>
      <w:pPr>
        <w:tabs>
          <w:tab w:val="num" w:pos="1440"/>
        </w:tabs>
        <w:ind w:left="1440" w:hanging="720"/>
      </w:pPr>
      <w:rPr>
        <w:rFonts w:cs="Times New Roman" w:hint="default"/>
      </w:rPr>
    </w:lvl>
    <w:lvl w:ilvl="4">
      <w:start w:val="1"/>
      <w:numFmt w:val="lowerRoman"/>
      <w:pStyle w:val="sch5"/>
      <w:lvlText w:val="(%5)"/>
      <w:lvlJc w:val="left"/>
      <w:pPr>
        <w:tabs>
          <w:tab w:val="num" w:pos="2160"/>
        </w:tabs>
        <w:ind w:left="2160" w:hanging="720"/>
      </w:pPr>
      <w:rPr>
        <w:rFonts w:cs="Times New Roman" w:hint="default"/>
      </w:rPr>
    </w:lvl>
    <w:lvl w:ilvl="5">
      <w:start w:val="1"/>
      <w:numFmt w:val="upperLetter"/>
      <w:pStyle w:val="sch6"/>
      <w:lvlText w:val="(%6)"/>
      <w:lvlJc w:val="left"/>
      <w:pPr>
        <w:tabs>
          <w:tab w:val="num" w:pos="2880"/>
        </w:tabs>
        <w:ind w:left="2880" w:hanging="720"/>
      </w:pPr>
      <w:rPr>
        <w:rFonts w:cs="Times New Roman" w:hint="default"/>
      </w:rPr>
    </w:lvl>
    <w:lvl w:ilvl="6">
      <w:start w:val="1"/>
      <w:numFmt w:val="upperRoman"/>
      <w:pStyle w:val="sch7"/>
      <w:lvlText w:val="(%7)"/>
      <w:lvlJc w:val="left"/>
      <w:pPr>
        <w:tabs>
          <w:tab w:val="num" w:pos="3600"/>
        </w:tabs>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0">
    <w:nsid w:val="7421546F"/>
    <w:multiLevelType w:val="multilevel"/>
    <w:tmpl w:val="BCB29E80"/>
    <w:lvl w:ilvl="0">
      <w:start w:val="1"/>
      <w:numFmt w:val="bullet"/>
      <w:lvlText w:val="•"/>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upperRoman"/>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1">
    <w:nsid w:val="74802A16"/>
    <w:multiLevelType w:val="multilevel"/>
    <w:tmpl w:val="277C4BE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upperRoman"/>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2">
    <w:nsid w:val="7783243B"/>
    <w:multiLevelType w:val="multilevel"/>
    <w:tmpl w:val="8076C908"/>
    <w:lvl w:ilvl="0">
      <w:start w:val="1"/>
      <w:numFmt w:val="none"/>
      <w:pStyle w:val="Heading1"/>
      <w:suff w:val="nothing"/>
      <w:lvlText w:val=""/>
      <w:lvlJc w:val="left"/>
      <w:pPr>
        <w:ind w:left="720"/>
      </w:pPr>
      <w:rPr>
        <w:rFonts w:cs="Times New Roman" w:hint="default"/>
      </w:rPr>
    </w:lvl>
    <w:lvl w:ilvl="1">
      <w:start w:val="1"/>
      <w:numFmt w:val="decimal"/>
      <w:pStyle w:val="Heading2"/>
      <w:lvlText w:val="%2."/>
      <w:lvlJc w:val="left"/>
      <w:pPr>
        <w:tabs>
          <w:tab w:val="num" w:pos="1440"/>
        </w:tabs>
        <w:ind w:left="1440" w:hanging="720"/>
      </w:pPr>
      <w:rPr>
        <w:rFonts w:cs="Times New Roman" w:hint="default"/>
      </w:rPr>
    </w:lvl>
    <w:lvl w:ilvl="2">
      <w:start w:val="1"/>
      <w:numFmt w:val="decimal"/>
      <w:pStyle w:val="Heading3"/>
      <w:lvlText w:val="%2.%3"/>
      <w:lvlJc w:val="left"/>
      <w:pPr>
        <w:tabs>
          <w:tab w:val="num" w:pos="1440"/>
        </w:tabs>
        <w:ind w:left="1440" w:hanging="720"/>
      </w:pPr>
      <w:rPr>
        <w:rFonts w:cs="Times New Roman" w:hint="default"/>
      </w:rPr>
    </w:lvl>
    <w:lvl w:ilvl="3">
      <w:start w:val="1"/>
      <w:numFmt w:val="lowerLetter"/>
      <w:pStyle w:val="Heading4"/>
      <w:lvlText w:val="(%4)"/>
      <w:lvlJc w:val="left"/>
      <w:pPr>
        <w:tabs>
          <w:tab w:val="num" w:pos="2160"/>
        </w:tabs>
        <w:ind w:left="2160" w:hanging="720"/>
      </w:pPr>
      <w:rPr>
        <w:rFonts w:cs="Times New Roman" w:hint="default"/>
      </w:rPr>
    </w:lvl>
    <w:lvl w:ilvl="4">
      <w:start w:val="1"/>
      <w:numFmt w:val="lowerRoman"/>
      <w:pStyle w:val="Heading5"/>
      <w:lvlText w:val="(%5)"/>
      <w:lvlJc w:val="left"/>
      <w:pPr>
        <w:tabs>
          <w:tab w:val="num" w:pos="2880"/>
        </w:tabs>
        <w:ind w:left="2880" w:hanging="720"/>
      </w:pPr>
      <w:rPr>
        <w:rFonts w:cs="Times New Roman" w:hint="default"/>
      </w:rPr>
    </w:lvl>
    <w:lvl w:ilvl="5">
      <w:start w:val="1"/>
      <w:numFmt w:val="upperLetter"/>
      <w:pStyle w:val="Heading6"/>
      <w:lvlText w:val="(%6)"/>
      <w:lvlJc w:val="left"/>
      <w:pPr>
        <w:tabs>
          <w:tab w:val="num" w:pos="3600"/>
        </w:tabs>
        <w:ind w:left="3600" w:hanging="720"/>
      </w:pPr>
      <w:rPr>
        <w:rFonts w:cs="Times New Roman" w:hint="default"/>
      </w:rPr>
    </w:lvl>
    <w:lvl w:ilvl="6">
      <w:start w:val="1"/>
      <w:numFmt w:val="upperRoman"/>
      <w:pStyle w:val="Heading7"/>
      <w:lvlText w:val="(%7)"/>
      <w:lvlJc w:val="left"/>
      <w:pPr>
        <w:tabs>
          <w:tab w:val="num" w:pos="4320"/>
        </w:tabs>
        <w:ind w:left="4320" w:hanging="720"/>
      </w:pPr>
      <w:rPr>
        <w:rFonts w:cs="Times New Roman" w:hint="default"/>
      </w:rPr>
    </w:lvl>
    <w:lvl w:ilvl="7">
      <w:start w:val="1"/>
      <w:numFmt w:val="none"/>
      <w:pStyle w:val="Heading8"/>
      <w:suff w:val="nothing"/>
      <w:lvlText w:val=""/>
      <w:lvlJc w:val="left"/>
      <w:pPr>
        <w:ind w:left="720"/>
      </w:pPr>
      <w:rPr>
        <w:rFonts w:cs="Times New Roman" w:hint="default"/>
      </w:rPr>
    </w:lvl>
    <w:lvl w:ilvl="8">
      <w:start w:val="1"/>
      <w:numFmt w:val="none"/>
      <w:pStyle w:val="Heading9"/>
      <w:suff w:val="nothing"/>
      <w:lvlText w:val=""/>
      <w:lvlJc w:val="left"/>
      <w:pPr>
        <w:ind w:left="72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6"/>
  </w:num>
  <w:num w:numId="23">
    <w:abstractNumId w:val="2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num>
  <w:num w:numId="29">
    <w:abstractNumId w:val="14"/>
  </w:num>
  <w:num w:numId="30">
    <w:abstractNumId w:val="10"/>
  </w:num>
  <w:num w:numId="31">
    <w:abstractNumId w:val="13"/>
  </w:num>
  <w:num w:numId="32">
    <w:abstractNumId w:val="21"/>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7"/>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6"/>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1"/>
  </w:num>
  <w:num w:numId="70">
    <w:abstractNumId w:val="16"/>
  </w:num>
  <w:num w:numId="71">
    <w:abstractNumId w:val="16"/>
  </w:num>
  <w:num w:numId="72">
    <w:abstractNumId w:val="16"/>
  </w:num>
  <w:num w:numId="73">
    <w:abstractNumId w:val="12"/>
  </w:num>
  <w:num w:numId="74">
    <w:abstractNumId w:val="20"/>
  </w:num>
  <w:num w:numId="75">
    <w:abstractNumId w:val="16"/>
  </w:num>
  <w:num w:numId="76">
    <w:abstractNumId w:val="16"/>
  </w:num>
  <w:num w:numId="77">
    <w:abstractNumId w:val="15"/>
  </w:num>
  <w:num w:numId="78">
    <w:abstractNumId w:val="16"/>
  </w:num>
  <w:num w:numId="79">
    <w:abstractNumId w:val="16"/>
  </w:num>
  <w:num w:numId="80">
    <w:abstractNumId w:val="16"/>
  </w:num>
  <w:num w:numId="81">
    <w:abstractNumId w:val="16"/>
  </w:num>
  <w:num w:numId="82">
    <w:abstractNumId w:val="16"/>
  </w:num>
  <w:num w:numId="83">
    <w:abstractNumId w:val="16"/>
  </w:num>
  <w:num w:numId="84">
    <w:abstractNumId w:val="16"/>
  </w:num>
  <w:num w:numId="85">
    <w:abstractNumId w:val="16"/>
  </w:num>
  <w:num w:numId="86">
    <w:abstractNumId w:val="16"/>
  </w:num>
  <w:num w:numId="87">
    <w:abstractNumId w:val="16"/>
  </w:num>
  <w:num w:numId="88">
    <w:abstractNumId w:val="16"/>
  </w:num>
  <w:num w:numId="89">
    <w:abstractNumId w:val="16"/>
  </w:num>
  <w:num w:numId="90">
    <w:abstractNumId w:val="18"/>
  </w:num>
  <w:num w:numId="91">
    <w:abstractNumId w:val="16"/>
  </w:num>
  <w:num w:numId="92">
    <w:abstractNumId w:val="1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475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15"/>
    <w:rsid w:val="00000FF9"/>
    <w:rsid w:val="00001236"/>
    <w:rsid w:val="0000203B"/>
    <w:rsid w:val="00006FF6"/>
    <w:rsid w:val="000070B2"/>
    <w:rsid w:val="00007CED"/>
    <w:rsid w:val="00007DC0"/>
    <w:rsid w:val="000122E8"/>
    <w:rsid w:val="0001444F"/>
    <w:rsid w:val="00021616"/>
    <w:rsid w:val="00022920"/>
    <w:rsid w:val="00024833"/>
    <w:rsid w:val="00030B23"/>
    <w:rsid w:val="00031533"/>
    <w:rsid w:val="000319FF"/>
    <w:rsid w:val="00040835"/>
    <w:rsid w:val="000419D2"/>
    <w:rsid w:val="00041EBA"/>
    <w:rsid w:val="0004206F"/>
    <w:rsid w:val="0004271D"/>
    <w:rsid w:val="00042EAB"/>
    <w:rsid w:val="00047116"/>
    <w:rsid w:val="0005169D"/>
    <w:rsid w:val="00052590"/>
    <w:rsid w:val="00053FBE"/>
    <w:rsid w:val="00055DCD"/>
    <w:rsid w:val="00056F5E"/>
    <w:rsid w:val="00061705"/>
    <w:rsid w:val="0006271A"/>
    <w:rsid w:val="00063962"/>
    <w:rsid w:val="00065C7F"/>
    <w:rsid w:val="000714EC"/>
    <w:rsid w:val="000774BC"/>
    <w:rsid w:val="00083948"/>
    <w:rsid w:val="00085174"/>
    <w:rsid w:val="000856B4"/>
    <w:rsid w:val="00085CB9"/>
    <w:rsid w:val="000A3C1E"/>
    <w:rsid w:val="000A5987"/>
    <w:rsid w:val="000B12AA"/>
    <w:rsid w:val="000B44F8"/>
    <w:rsid w:val="000B6EC0"/>
    <w:rsid w:val="000B78A8"/>
    <w:rsid w:val="000C094D"/>
    <w:rsid w:val="000C18C2"/>
    <w:rsid w:val="000C24E1"/>
    <w:rsid w:val="000C537C"/>
    <w:rsid w:val="000C7962"/>
    <w:rsid w:val="000D0E32"/>
    <w:rsid w:val="000D28D9"/>
    <w:rsid w:val="000D2E91"/>
    <w:rsid w:val="000D5195"/>
    <w:rsid w:val="000D6A96"/>
    <w:rsid w:val="000E2130"/>
    <w:rsid w:val="000E2164"/>
    <w:rsid w:val="000E2E5D"/>
    <w:rsid w:val="000E41DC"/>
    <w:rsid w:val="000F049B"/>
    <w:rsid w:val="000F212B"/>
    <w:rsid w:val="000F7C0B"/>
    <w:rsid w:val="0010148D"/>
    <w:rsid w:val="00101BD1"/>
    <w:rsid w:val="0010212F"/>
    <w:rsid w:val="001027B9"/>
    <w:rsid w:val="00106279"/>
    <w:rsid w:val="00114C84"/>
    <w:rsid w:val="00114C8E"/>
    <w:rsid w:val="001162B2"/>
    <w:rsid w:val="00116CAD"/>
    <w:rsid w:val="00120844"/>
    <w:rsid w:val="00122DEA"/>
    <w:rsid w:val="00125E9A"/>
    <w:rsid w:val="00127DEC"/>
    <w:rsid w:val="0013282C"/>
    <w:rsid w:val="00133958"/>
    <w:rsid w:val="00136622"/>
    <w:rsid w:val="00143ADE"/>
    <w:rsid w:val="00150335"/>
    <w:rsid w:val="00150E98"/>
    <w:rsid w:val="00153050"/>
    <w:rsid w:val="00153788"/>
    <w:rsid w:val="00154A03"/>
    <w:rsid w:val="00154D69"/>
    <w:rsid w:val="00155D35"/>
    <w:rsid w:val="001631E0"/>
    <w:rsid w:val="00163626"/>
    <w:rsid w:val="00167235"/>
    <w:rsid w:val="00173789"/>
    <w:rsid w:val="00174C29"/>
    <w:rsid w:val="00175E11"/>
    <w:rsid w:val="00180479"/>
    <w:rsid w:val="001819A2"/>
    <w:rsid w:val="00181DD1"/>
    <w:rsid w:val="001825F1"/>
    <w:rsid w:val="001903BE"/>
    <w:rsid w:val="00192592"/>
    <w:rsid w:val="00192B0C"/>
    <w:rsid w:val="00193A40"/>
    <w:rsid w:val="00196B35"/>
    <w:rsid w:val="00197746"/>
    <w:rsid w:val="001A5578"/>
    <w:rsid w:val="001A6030"/>
    <w:rsid w:val="001B0BE9"/>
    <w:rsid w:val="001B1C20"/>
    <w:rsid w:val="001C4085"/>
    <w:rsid w:val="001C59AC"/>
    <w:rsid w:val="001D0833"/>
    <w:rsid w:val="001D158C"/>
    <w:rsid w:val="001D164C"/>
    <w:rsid w:val="001D3621"/>
    <w:rsid w:val="001D52EF"/>
    <w:rsid w:val="001D5887"/>
    <w:rsid w:val="001E08B7"/>
    <w:rsid w:val="001E179C"/>
    <w:rsid w:val="001E6C23"/>
    <w:rsid w:val="001F09D0"/>
    <w:rsid w:val="001F0D93"/>
    <w:rsid w:val="001F7143"/>
    <w:rsid w:val="00202BFB"/>
    <w:rsid w:val="00204AA3"/>
    <w:rsid w:val="00204EF5"/>
    <w:rsid w:val="00205E4E"/>
    <w:rsid w:val="00211FDB"/>
    <w:rsid w:val="00212E75"/>
    <w:rsid w:val="00215DB9"/>
    <w:rsid w:val="00216044"/>
    <w:rsid w:val="00220315"/>
    <w:rsid w:val="00224FAA"/>
    <w:rsid w:val="0022698C"/>
    <w:rsid w:val="0023122A"/>
    <w:rsid w:val="002320E3"/>
    <w:rsid w:val="00232338"/>
    <w:rsid w:val="002335A8"/>
    <w:rsid w:val="00234767"/>
    <w:rsid w:val="0023649C"/>
    <w:rsid w:val="00237CBF"/>
    <w:rsid w:val="002408C9"/>
    <w:rsid w:val="002420F2"/>
    <w:rsid w:val="0025249B"/>
    <w:rsid w:val="0025314D"/>
    <w:rsid w:val="00253421"/>
    <w:rsid w:val="002568AF"/>
    <w:rsid w:val="00256F13"/>
    <w:rsid w:val="0026166B"/>
    <w:rsid w:val="00264BD5"/>
    <w:rsid w:val="00266257"/>
    <w:rsid w:val="002710BA"/>
    <w:rsid w:val="00274E6E"/>
    <w:rsid w:val="00274ECF"/>
    <w:rsid w:val="00284F06"/>
    <w:rsid w:val="00293BDF"/>
    <w:rsid w:val="0029463E"/>
    <w:rsid w:val="002960B1"/>
    <w:rsid w:val="00296F9A"/>
    <w:rsid w:val="00297E57"/>
    <w:rsid w:val="002A5F71"/>
    <w:rsid w:val="002A75BF"/>
    <w:rsid w:val="002B0056"/>
    <w:rsid w:val="002B096C"/>
    <w:rsid w:val="002B24BA"/>
    <w:rsid w:val="002B46F6"/>
    <w:rsid w:val="002B6510"/>
    <w:rsid w:val="002B7973"/>
    <w:rsid w:val="002C19F8"/>
    <w:rsid w:val="002D0159"/>
    <w:rsid w:val="002D030A"/>
    <w:rsid w:val="002D51E3"/>
    <w:rsid w:val="002F186B"/>
    <w:rsid w:val="002F21D6"/>
    <w:rsid w:val="002F3374"/>
    <w:rsid w:val="002F52EC"/>
    <w:rsid w:val="00303CE5"/>
    <w:rsid w:val="003129BA"/>
    <w:rsid w:val="003149EA"/>
    <w:rsid w:val="00316450"/>
    <w:rsid w:val="00324C59"/>
    <w:rsid w:val="00325558"/>
    <w:rsid w:val="00325996"/>
    <w:rsid w:val="00330645"/>
    <w:rsid w:val="00332EC8"/>
    <w:rsid w:val="00334444"/>
    <w:rsid w:val="00334778"/>
    <w:rsid w:val="003358DB"/>
    <w:rsid w:val="00335B57"/>
    <w:rsid w:val="003368DE"/>
    <w:rsid w:val="0034097E"/>
    <w:rsid w:val="00342003"/>
    <w:rsid w:val="00347EEE"/>
    <w:rsid w:val="00355906"/>
    <w:rsid w:val="00355A3B"/>
    <w:rsid w:val="00363A03"/>
    <w:rsid w:val="00366F80"/>
    <w:rsid w:val="00370412"/>
    <w:rsid w:val="00373329"/>
    <w:rsid w:val="003739A5"/>
    <w:rsid w:val="00377DFF"/>
    <w:rsid w:val="00381427"/>
    <w:rsid w:val="0038185D"/>
    <w:rsid w:val="00381F49"/>
    <w:rsid w:val="003834B4"/>
    <w:rsid w:val="003842E9"/>
    <w:rsid w:val="00387DCF"/>
    <w:rsid w:val="00392DE7"/>
    <w:rsid w:val="003958E3"/>
    <w:rsid w:val="00396A59"/>
    <w:rsid w:val="003A021D"/>
    <w:rsid w:val="003A2735"/>
    <w:rsid w:val="003A364F"/>
    <w:rsid w:val="003A633D"/>
    <w:rsid w:val="003B0E9F"/>
    <w:rsid w:val="003B45A8"/>
    <w:rsid w:val="003B58B3"/>
    <w:rsid w:val="003B615C"/>
    <w:rsid w:val="003B6C31"/>
    <w:rsid w:val="003B740A"/>
    <w:rsid w:val="003C054B"/>
    <w:rsid w:val="003C3FCF"/>
    <w:rsid w:val="003C4962"/>
    <w:rsid w:val="003C501A"/>
    <w:rsid w:val="003C61EC"/>
    <w:rsid w:val="003C7D5C"/>
    <w:rsid w:val="003D0890"/>
    <w:rsid w:val="003D1C2F"/>
    <w:rsid w:val="003D1D45"/>
    <w:rsid w:val="003D20BB"/>
    <w:rsid w:val="003D3547"/>
    <w:rsid w:val="003D5E8C"/>
    <w:rsid w:val="003E090E"/>
    <w:rsid w:val="003E1476"/>
    <w:rsid w:val="003E248A"/>
    <w:rsid w:val="003E310E"/>
    <w:rsid w:val="003E4D06"/>
    <w:rsid w:val="003F0EC4"/>
    <w:rsid w:val="003F229B"/>
    <w:rsid w:val="003F2611"/>
    <w:rsid w:val="003F3010"/>
    <w:rsid w:val="003F632F"/>
    <w:rsid w:val="004049CF"/>
    <w:rsid w:val="004110F9"/>
    <w:rsid w:val="004132B4"/>
    <w:rsid w:val="0041334F"/>
    <w:rsid w:val="0041564F"/>
    <w:rsid w:val="00417B8A"/>
    <w:rsid w:val="00422206"/>
    <w:rsid w:val="00436552"/>
    <w:rsid w:val="004371FF"/>
    <w:rsid w:val="00440C52"/>
    <w:rsid w:val="0045026B"/>
    <w:rsid w:val="00450EF9"/>
    <w:rsid w:val="00455A01"/>
    <w:rsid w:val="00457570"/>
    <w:rsid w:val="00461473"/>
    <w:rsid w:val="004616F3"/>
    <w:rsid w:val="00467EFF"/>
    <w:rsid w:val="004709A7"/>
    <w:rsid w:val="00470A6E"/>
    <w:rsid w:val="00472067"/>
    <w:rsid w:val="00473EE8"/>
    <w:rsid w:val="0048244E"/>
    <w:rsid w:val="004825EA"/>
    <w:rsid w:val="00492A20"/>
    <w:rsid w:val="0049550E"/>
    <w:rsid w:val="004A0098"/>
    <w:rsid w:val="004A43C6"/>
    <w:rsid w:val="004B1CCC"/>
    <w:rsid w:val="004B4D56"/>
    <w:rsid w:val="004B564E"/>
    <w:rsid w:val="004C1774"/>
    <w:rsid w:val="004C38C0"/>
    <w:rsid w:val="004D5C85"/>
    <w:rsid w:val="004E24C0"/>
    <w:rsid w:val="004E40E7"/>
    <w:rsid w:val="004E6AC3"/>
    <w:rsid w:val="004E7C49"/>
    <w:rsid w:val="004F0DA4"/>
    <w:rsid w:val="004F29F0"/>
    <w:rsid w:val="004F65EC"/>
    <w:rsid w:val="005013D1"/>
    <w:rsid w:val="00504479"/>
    <w:rsid w:val="00510F19"/>
    <w:rsid w:val="00514981"/>
    <w:rsid w:val="00517D87"/>
    <w:rsid w:val="00522359"/>
    <w:rsid w:val="00525B4D"/>
    <w:rsid w:val="0052642D"/>
    <w:rsid w:val="005268B8"/>
    <w:rsid w:val="005274B8"/>
    <w:rsid w:val="00527F51"/>
    <w:rsid w:val="00530598"/>
    <w:rsid w:val="00532537"/>
    <w:rsid w:val="005327DD"/>
    <w:rsid w:val="0053284B"/>
    <w:rsid w:val="00532B03"/>
    <w:rsid w:val="00533333"/>
    <w:rsid w:val="0053371D"/>
    <w:rsid w:val="00534948"/>
    <w:rsid w:val="00534F79"/>
    <w:rsid w:val="0054483D"/>
    <w:rsid w:val="00544F6E"/>
    <w:rsid w:val="0054673D"/>
    <w:rsid w:val="00546B6C"/>
    <w:rsid w:val="00546C61"/>
    <w:rsid w:val="005554A2"/>
    <w:rsid w:val="005629E8"/>
    <w:rsid w:val="0056422D"/>
    <w:rsid w:val="0056693C"/>
    <w:rsid w:val="005759B6"/>
    <w:rsid w:val="00577A76"/>
    <w:rsid w:val="00577C42"/>
    <w:rsid w:val="00584A0D"/>
    <w:rsid w:val="00587B21"/>
    <w:rsid w:val="00591077"/>
    <w:rsid w:val="00594887"/>
    <w:rsid w:val="00596935"/>
    <w:rsid w:val="00596CDD"/>
    <w:rsid w:val="005A086A"/>
    <w:rsid w:val="005A11D2"/>
    <w:rsid w:val="005A158F"/>
    <w:rsid w:val="005A397E"/>
    <w:rsid w:val="005A50AF"/>
    <w:rsid w:val="005A7D28"/>
    <w:rsid w:val="005B02DC"/>
    <w:rsid w:val="005B2149"/>
    <w:rsid w:val="005C0A45"/>
    <w:rsid w:val="005C147D"/>
    <w:rsid w:val="005C4CA6"/>
    <w:rsid w:val="005D378A"/>
    <w:rsid w:val="005D71D4"/>
    <w:rsid w:val="005E090B"/>
    <w:rsid w:val="005E2223"/>
    <w:rsid w:val="005E7DB4"/>
    <w:rsid w:val="005F7735"/>
    <w:rsid w:val="00600D4A"/>
    <w:rsid w:val="00601B5A"/>
    <w:rsid w:val="0060533C"/>
    <w:rsid w:val="00606486"/>
    <w:rsid w:val="00623109"/>
    <w:rsid w:val="00623C5C"/>
    <w:rsid w:val="00625388"/>
    <w:rsid w:val="006277A6"/>
    <w:rsid w:val="00631BE7"/>
    <w:rsid w:val="00631DA7"/>
    <w:rsid w:val="006348B4"/>
    <w:rsid w:val="00636F19"/>
    <w:rsid w:val="006419DA"/>
    <w:rsid w:val="00641F66"/>
    <w:rsid w:val="006517BC"/>
    <w:rsid w:val="00652074"/>
    <w:rsid w:val="006545CD"/>
    <w:rsid w:val="00670E21"/>
    <w:rsid w:val="006718F2"/>
    <w:rsid w:val="00675AAC"/>
    <w:rsid w:val="006808E8"/>
    <w:rsid w:val="00682A77"/>
    <w:rsid w:val="006838A6"/>
    <w:rsid w:val="0068571D"/>
    <w:rsid w:val="00687654"/>
    <w:rsid w:val="0068776B"/>
    <w:rsid w:val="0069253F"/>
    <w:rsid w:val="006A5433"/>
    <w:rsid w:val="006B2E2A"/>
    <w:rsid w:val="006C17A1"/>
    <w:rsid w:val="006C18B3"/>
    <w:rsid w:val="006C4DFF"/>
    <w:rsid w:val="006C6977"/>
    <w:rsid w:val="006C7D04"/>
    <w:rsid w:val="006D0DF3"/>
    <w:rsid w:val="006D38FB"/>
    <w:rsid w:val="006D3E63"/>
    <w:rsid w:val="006E79E7"/>
    <w:rsid w:val="006F152E"/>
    <w:rsid w:val="006F1DE4"/>
    <w:rsid w:val="007029B0"/>
    <w:rsid w:val="00704A51"/>
    <w:rsid w:val="0070681C"/>
    <w:rsid w:val="00714680"/>
    <w:rsid w:val="00714C76"/>
    <w:rsid w:val="007177A5"/>
    <w:rsid w:val="007206D8"/>
    <w:rsid w:val="00721E8A"/>
    <w:rsid w:val="00725086"/>
    <w:rsid w:val="00725C0A"/>
    <w:rsid w:val="0072633B"/>
    <w:rsid w:val="00731ADF"/>
    <w:rsid w:val="007348D3"/>
    <w:rsid w:val="007359D6"/>
    <w:rsid w:val="00736F52"/>
    <w:rsid w:val="0074297A"/>
    <w:rsid w:val="007506F5"/>
    <w:rsid w:val="00751151"/>
    <w:rsid w:val="0075142D"/>
    <w:rsid w:val="00753700"/>
    <w:rsid w:val="00753C82"/>
    <w:rsid w:val="00762429"/>
    <w:rsid w:val="00765A87"/>
    <w:rsid w:val="00771FF7"/>
    <w:rsid w:val="0077332A"/>
    <w:rsid w:val="0077372E"/>
    <w:rsid w:val="00777982"/>
    <w:rsid w:val="00781006"/>
    <w:rsid w:val="00781306"/>
    <w:rsid w:val="00784E15"/>
    <w:rsid w:val="0078632B"/>
    <w:rsid w:val="00790EED"/>
    <w:rsid w:val="00791537"/>
    <w:rsid w:val="007939CF"/>
    <w:rsid w:val="00797750"/>
    <w:rsid w:val="007A2320"/>
    <w:rsid w:val="007A6900"/>
    <w:rsid w:val="007B0D67"/>
    <w:rsid w:val="007B14F1"/>
    <w:rsid w:val="007B4508"/>
    <w:rsid w:val="007B79B5"/>
    <w:rsid w:val="007D11A6"/>
    <w:rsid w:val="007D24D4"/>
    <w:rsid w:val="007E0DBA"/>
    <w:rsid w:val="007E120E"/>
    <w:rsid w:val="007E4059"/>
    <w:rsid w:val="007E6B72"/>
    <w:rsid w:val="007F2EF4"/>
    <w:rsid w:val="007F62B9"/>
    <w:rsid w:val="0080302F"/>
    <w:rsid w:val="008075B2"/>
    <w:rsid w:val="00810A89"/>
    <w:rsid w:val="00816354"/>
    <w:rsid w:val="00816A29"/>
    <w:rsid w:val="0082143A"/>
    <w:rsid w:val="0082381F"/>
    <w:rsid w:val="0082432F"/>
    <w:rsid w:val="00833DD8"/>
    <w:rsid w:val="008417B6"/>
    <w:rsid w:val="00842E96"/>
    <w:rsid w:val="008459B6"/>
    <w:rsid w:val="0085654C"/>
    <w:rsid w:val="00857A73"/>
    <w:rsid w:val="00861472"/>
    <w:rsid w:val="0086419D"/>
    <w:rsid w:val="00880868"/>
    <w:rsid w:val="00880F25"/>
    <w:rsid w:val="0088225F"/>
    <w:rsid w:val="0088421E"/>
    <w:rsid w:val="0088559D"/>
    <w:rsid w:val="00886F6A"/>
    <w:rsid w:val="00887324"/>
    <w:rsid w:val="00890AA9"/>
    <w:rsid w:val="008914D1"/>
    <w:rsid w:val="008941FA"/>
    <w:rsid w:val="008A1E63"/>
    <w:rsid w:val="008A3BD8"/>
    <w:rsid w:val="008A525A"/>
    <w:rsid w:val="008A6A5A"/>
    <w:rsid w:val="008A6F64"/>
    <w:rsid w:val="008A7F2B"/>
    <w:rsid w:val="008B0D0F"/>
    <w:rsid w:val="008B2B41"/>
    <w:rsid w:val="008B3969"/>
    <w:rsid w:val="008B5C8A"/>
    <w:rsid w:val="008C120E"/>
    <w:rsid w:val="008C1392"/>
    <w:rsid w:val="008C2FCA"/>
    <w:rsid w:val="008C7D3D"/>
    <w:rsid w:val="008D03BA"/>
    <w:rsid w:val="008D1D67"/>
    <w:rsid w:val="008D318D"/>
    <w:rsid w:val="008D7082"/>
    <w:rsid w:val="008D753D"/>
    <w:rsid w:val="008D7E3E"/>
    <w:rsid w:val="008E0BCF"/>
    <w:rsid w:val="008E5E42"/>
    <w:rsid w:val="008E6603"/>
    <w:rsid w:val="008E6F85"/>
    <w:rsid w:val="008E7C35"/>
    <w:rsid w:val="008F5AB1"/>
    <w:rsid w:val="008F5B16"/>
    <w:rsid w:val="00901435"/>
    <w:rsid w:val="009034F4"/>
    <w:rsid w:val="00906A5D"/>
    <w:rsid w:val="00907FF9"/>
    <w:rsid w:val="009102B4"/>
    <w:rsid w:val="009117FB"/>
    <w:rsid w:val="00914BDE"/>
    <w:rsid w:val="009166C9"/>
    <w:rsid w:val="009167F6"/>
    <w:rsid w:val="00917DC7"/>
    <w:rsid w:val="00917F79"/>
    <w:rsid w:val="009202CF"/>
    <w:rsid w:val="00924350"/>
    <w:rsid w:val="009269DE"/>
    <w:rsid w:val="009306B3"/>
    <w:rsid w:val="00931781"/>
    <w:rsid w:val="009318D6"/>
    <w:rsid w:val="00931F82"/>
    <w:rsid w:val="00932065"/>
    <w:rsid w:val="00932939"/>
    <w:rsid w:val="00933B83"/>
    <w:rsid w:val="00933E5C"/>
    <w:rsid w:val="009345F6"/>
    <w:rsid w:val="00940292"/>
    <w:rsid w:val="00940CCB"/>
    <w:rsid w:val="00942A01"/>
    <w:rsid w:val="009463BC"/>
    <w:rsid w:val="0095003D"/>
    <w:rsid w:val="009524D4"/>
    <w:rsid w:val="0095481D"/>
    <w:rsid w:val="009565B7"/>
    <w:rsid w:val="00956765"/>
    <w:rsid w:val="00957397"/>
    <w:rsid w:val="00961E84"/>
    <w:rsid w:val="00963832"/>
    <w:rsid w:val="00967CAA"/>
    <w:rsid w:val="0097143D"/>
    <w:rsid w:val="00972F33"/>
    <w:rsid w:val="009741C0"/>
    <w:rsid w:val="00975414"/>
    <w:rsid w:val="00980986"/>
    <w:rsid w:val="00982164"/>
    <w:rsid w:val="0098403C"/>
    <w:rsid w:val="00987E87"/>
    <w:rsid w:val="00990069"/>
    <w:rsid w:val="0099226D"/>
    <w:rsid w:val="00992A88"/>
    <w:rsid w:val="00993E26"/>
    <w:rsid w:val="00994C2C"/>
    <w:rsid w:val="00994C3E"/>
    <w:rsid w:val="00994CCF"/>
    <w:rsid w:val="009A0513"/>
    <w:rsid w:val="009A1EBA"/>
    <w:rsid w:val="009A2446"/>
    <w:rsid w:val="009A444B"/>
    <w:rsid w:val="009B1CB3"/>
    <w:rsid w:val="009B267B"/>
    <w:rsid w:val="009B295F"/>
    <w:rsid w:val="009B5592"/>
    <w:rsid w:val="009B7393"/>
    <w:rsid w:val="009B755C"/>
    <w:rsid w:val="009C4616"/>
    <w:rsid w:val="009C7026"/>
    <w:rsid w:val="009D025B"/>
    <w:rsid w:val="009D070D"/>
    <w:rsid w:val="009D201E"/>
    <w:rsid w:val="009D6830"/>
    <w:rsid w:val="009D7EB4"/>
    <w:rsid w:val="009F282F"/>
    <w:rsid w:val="009F3DA8"/>
    <w:rsid w:val="009F4C94"/>
    <w:rsid w:val="009F636D"/>
    <w:rsid w:val="00A068AB"/>
    <w:rsid w:val="00A1068C"/>
    <w:rsid w:val="00A1125B"/>
    <w:rsid w:val="00A128E8"/>
    <w:rsid w:val="00A13C44"/>
    <w:rsid w:val="00A17500"/>
    <w:rsid w:val="00A176AC"/>
    <w:rsid w:val="00A23C04"/>
    <w:rsid w:val="00A245DC"/>
    <w:rsid w:val="00A24DAD"/>
    <w:rsid w:val="00A262C5"/>
    <w:rsid w:val="00A26473"/>
    <w:rsid w:val="00A278AB"/>
    <w:rsid w:val="00A30CDD"/>
    <w:rsid w:val="00A357ED"/>
    <w:rsid w:val="00A36BE5"/>
    <w:rsid w:val="00A3757C"/>
    <w:rsid w:val="00A41B74"/>
    <w:rsid w:val="00A447E9"/>
    <w:rsid w:val="00A46301"/>
    <w:rsid w:val="00A511C3"/>
    <w:rsid w:val="00A51530"/>
    <w:rsid w:val="00A5609A"/>
    <w:rsid w:val="00A60C0F"/>
    <w:rsid w:val="00A610DD"/>
    <w:rsid w:val="00A71FD9"/>
    <w:rsid w:val="00A73E8C"/>
    <w:rsid w:val="00A75477"/>
    <w:rsid w:val="00A761D9"/>
    <w:rsid w:val="00A77BC4"/>
    <w:rsid w:val="00A815E1"/>
    <w:rsid w:val="00A8237B"/>
    <w:rsid w:val="00A85285"/>
    <w:rsid w:val="00A873DE"/>
    <w:rsid w:val="00A878E2"/>
    <w:rsid w:val="00A87A78"/>
    <w:rsid w:val="00A90139"/>
    <w:rsid w:val="00A967CA"/>
    <w:rsid w:val="00AA110D"/>
    <w:rsid w:val="00AA33E6"/>
    <w:rsid w:val="00AA5BB0"/>
    <w:rsid w:val="00AA7F7F"/>
    <w:rsid w:val="00AB1D4F"/>
    <w:rsid w:val="00AB5444"/>
    <w:rsid w:val="00AB5661"/>
    <w:rsid w:val="00AB5E41"/>
    <w:rsid w:val="00AB61DC"/>
    <w:rsid w:val="00AC2718"/>
    <w:rsid w:val="00AC2939"/>
    <w:rsid w:val="00AC3C22"/>
    <w:rsid w:val="00AC73F9"/>
    <w:rsid w:val="00AD3309"/>
    <w:rsid w:val="00AD66E1"/>
    <w:rsid w:val="00AE22CD"/>
    <w:rsid w:val="00AE3648"/>
    <w:rsid w:val="00AF1F42"/>
    <w:rsid w:val="00AF21BC"/>
    <w:rsid w:val="00AF419E"/>
    <w:rsid w:val="00B024F1"/>
    <w:rsid w:val="00B05E70"/>
    <w:rsid w:val="00B06A5E"/>
    <w:rsid w:val="00B2089A"/>
    <w:rsid w:val="00B21FB3"/>
    <w:rsid w:val="00B2455A"/>
    <w:rsid w:val="00B26A57"/>
    <w:rsid w:val="00B26CC7"/>
    <w:rsid w:val="00B30663"/>
    <w:rsid w:val="00B31906"/>
    <w:rsid w:val="00B328E9"/>
    <w:rsid w:val="00B3482D"/>
    <w:rsid w:val="00B35C27"/>
    <w:rsid w:val="00B37BBC"/>
    <w:rsid w:val="00B409E2"/>
    <w:rsid w:val="00B40AFA"/>
    <w:rsid w:val="00B41FD3"/>
    <w:rsid w:val="00B44D88"/>
    <w:rsid w:val="00B52705"/>
    <w:rsid w:val="00B55FBC"/>
    <w:rsid w:val="00B56EA7"/>
    <w:rsid w:val="00B56EFC"/>
    <w:rsid w:val="00B600A2"/>
    <w:rsid w:val="00B6216E"/>
    <w:rsid w:val="00B65AA7"/>
    <w:rsid w:val="00B70F6F"/>
    <w:rsid w:val="00B73C91"/>
    <w:rsid w:val="00B75A99"/>
    <w:rsid w:val="00B764C6"/>
    <w:rsid w:val="00B86B51"/>
    <w:rsid w:val="00B873D0"/>
    <w:rsid w:val="00B90741"/>
    <w:rsid w:val="00B926FE"/>
    <w:rsid w:val="00BA0329"/>
    <w:rsid w:val="00BA0666"/>
    <w:rsid w:val="00BA1BC4"/>
    <w:rsid w:val="00BA4E63"/>
    <w:rsid w:val="00BB1E44"/>
    <w:rsid w:val="00BB2FAD"/>
    <w:rsid w:val="00BB5FB9"/>
    <w:rsid w:val="00BC0CB5"/>
    <w:rsid w:val="00BD3BEC"/>
    <w:rsid w:val="00BD3FAD"/>
    <w:rsid w:val="00BD4EBD"/>
    <w:rsid w:val="00BD63CC"/>
    <w:rsid w:val="00BD650C"/>
    <w:rsid w:val="00BD7E8C"/>
    <w:rsid w:val="00BE13BD"/>
    <w:rsid w:val="00BE6804"/>
    <w:rsid w:val="00BF1378"/>
    <w:rsid w:val="00BF1842"/>
    <w:rsid w:val="00BF49C7"/>
    <w:rsid w:val="00C01FBD"/>
    <w:rsid w:val="00C06BE2"/>
    <w:rsid w:val="00C07133"/>
    <w:rsid w:val="00C07521"/>
    <w:rsid w:val="00C129A8"/>
    <w:rsid w:val="00C1535F"/>
    <w:rsid w:val="00C16A08"/>
    <w:rsid w:val="00C204E4"/>
    <w:rsid w:val="00C20C8E"/>
    <w:rsid w:val="00C21357"/>
    <w:rsid w:val="00C21742"/>
    <w:rsid w:val="00C24417"/>
    <w:rsid w:val="00C24ED8"/>
    <w:rsid w:val="00C250E1"/>
    <w:rsid w:val="00C30E47"/>
    <w:rsid w:val="00C3163A"/>
    <w:rsid w:val="00C351EF"/>
    <w:rsid w:val="00C377E9"/>
    <w:rsid w:val="00C379E8"/>
    <w:rsid w:val="00C403C2"/>
    <w:rsid w:val="00C41933"/>
    <w:rsid w:val="00C4426F"/>
    <w:rsid w:val="00C45B4B"/>
    <w:rsid w:val="00C46D4F"/>
    <w:rsid w:val="00C510EC"/>
    <w:rsid w:val="00C513EC"/>
    <w:rsid w:val="00C53F77"/>
    <w:rsid w:val="00C602A5"/>
    <w:rsid w:val="00C6234C"/>
    <w:rsid w:val="00C64A97"/>
    <w:rsid w:val="00C666D4"/>
    <w:rsid w:val="00C71030"/>
    <w:rsid w:val="00C77639"/>
    <w:rsid w:val="00C8044C"/>
    <w:rsid w:val="00C82381"/>
    <w:rsid w:val="00C8714F"/>
    <w:rsid w:val="00C875B5"/>
    <w:rsid w:val="00C91BE0"/>
    <w:rsid w:val="00C9270B"/>
    <w:rsid w:val="00C93093"/>
    <w:rsid w:val="00C932EF"/>
    <w:rsid w:val="00CA154B"/>
    <w:rsid w:val="00CA1595"/>
    <w:rsid w:val="00CA1603"/>
    <w:rsid w:val="00CA1EAA"/>
    <w:rsid w:val="00CA31A7"/>
    <w:rsid w:val="00CA56EA"/>
    <w:rsid w:val="00CA5C48"/>
    <w:rsid w:val="00CB1519"/>
    <w:rsid w:val="00CB1700"/>
    <w:rsid w:val="00CB3455"/>
    <w:rsid w:val="00CB5C2D"/>
    <w:rsid w:val="00CB79E1"/>
    <w:rsid w:val="00CC03F9"/>
    <w:rsid w:val="00CC289F"/>
    <w:rsid w:val="00CC31D6"/>
    <w:rsid w:val="00CC3A4C"/>
    <w:rsid w:val="00CC78D7"/>
    <w:rsid w:val="00CC7B9C"/>
    <w:rsid w:val="00CD3FF7"/>
    <w:rsid w:val="00CD5383"/>
    <w:rsid w:val="00CD5CEA"/>
    <w:rsid w:val="00CD79CC"/>
    <w:rsid w:val="00CD7A6E"/>
    <w:rsid w:val="00CE06C9"/>
    <w:rsid w:val="00CE3BA4"/>
    <w:rsid w:val="00CE4424"/>
    <w:rsid w:val="00CE55BA"/>
    <w:rsid w:val="00CF01FB"/>
    <w:rsid w:val="00CF1CBF"/>
    <w:rsid w:val="00CF39FF"/>
    <w:rsid w:val="00CF5C43"/>
    <w:rsid w:val="00CF7B57"/>
    <w:rsid w:val="00CF7EC1"/>
    <w:rsid w:val="00D0109C"/>
    <w:rsid w:val="00D02F92"/>
    <w:rsid w:val="00D030FE"/>
    <w:rsid w:val="00D06F1F"/>
    <w:rsid w:val="00D124AB"/>
    <w:rsid w:val="00D12C2E"/>
    <w:rsid w:val="00D12F5D"/>
    <w:rsid w:val="00D17461"/>
    <w:rsid w:val="00D211E3"/>
    <w:rsid w:val="00D22411"/>
    <w:rsid w:val="00D23807"/>
    <w:rsid w:val="00D23DC7"/>
    <w:rsid w:val="00D247F7"/>
    <w:rsid w:val="00D27B9B"/>
    <w:rsid w:val="00D30EA1"/>
    <w:rsid w:val="00D33790"/>
    <w:rsid w:val="00D35B9B"/>
    <w:rsid w:val="00D42771"/>
    <w:rsid w:val="00D42A88"/>
    <w:rsid w:val="00D42AB5"/>
    <w:rsid w:val="00D43F4A"/>
    <w:rsid w:val="00D44441"/>
    <w:rsid w:val="00D465E8"/>
    <w:rsid w:val="00D46DB5"/>
    <w:rsid w:val="00D47138"/>
    <w:rsid w:val="00D47A04"/>
    <w:rsid w:val="00D5475E"/>
    <w:rsid w:val="00D60B63"/>
    <w:rsid w:val="00D62A85"/>
    <w:rsid w:val="00D63DC5"/>
    <w:rsid w:val="00D6532C"/>
    <w:rsid w:val="00D65D09"/>
    <w:rsid w:val="00D73117"/>
    <w:rsid w:val="00D847C5"/>
    <w:rsid w:val="00D8511D"/>
    <w:rsid w:val="00D87A8B"/>
    <w:rsid w:val="00D9157B"/>
    <w:rsid w:val="00D91ACA"/>
    <w:rsid w:val="00D94201"/>
    <w:rsid w:val="00D94477"/>
    <w:rsid w:val="00D95369"/>
    <w:rsid w:val="00DA1B75"/>
    <w:rsid w:val="00DA21AB"/>
    <w:rsid w:val="00DA3140"/>
    <w:rsid w:val="00DA4D62"/>
    <w:rsid w:val="00DB0478"/>
    <w:rsid w:val="00DB2BE8"/>
    <w:rsid w:val="00DC7DA5"/>
    <w:rsid w:val="00DD48A0"/>
    <w:rsid w:val="00DD4E81"/>
    <w:rsid w:val="00DD714E"/>
    <w:rsid w:val="00DE0792"/>
    <w:rsid w:val="00DE0998"/>
    <w:rsid w:val="00DE1006"/>
    <w:rsid w:val="00DE1D8C"/>
    <w:rsid w:val="00DF16F4"/>
    <w:rsid w:val="00DF1F05"/>
    <w:rsid w:val="00DF3947"/>
    <w:rsid w:val="00DF450E"/>
    <w:rsid w:val="00DF4E95"/>
    <w:rsid w:val="00DF5534"/>
    <w:rsid w:val="00DF719C"/>
    <w:rsid w:val="00DF7DEC"/>
    <w:rsid w:val="00E00CBA"/>
    <w:rsid w:val="00E050C6"/>
    <w:rsid w:val="00E0648A"/>
    <w:rsid w:val="00E11E22"/>
    <w:rsid w:val="00E15310"/>
    <w:rsid w:val="00E15322"/>
    <w:rsid w:val="00E17A24"/>
    <w:rsid w:val="00E200C6"/>
    <w:rsid w:val="00E217BD"/>
    <w:rsid w:val="00E25BE3"/>
    <w:rsid w:val="00E33C43"/>
    <w:rsid w:val="00E36182"/>
    <w:rsid w:val="00E41795"/>
    <w:rsid w:val="00E434DD"/>
    <w:rsid w:val="00E45751"/>
    <w:rsid w:val="00E459B6"/>
    <w:rsid w:val="00E501D6"/>
    <w:rsid w:val="00E51F74"/>
    <w:rsid w:val="00E54792"/>
    <w:rsid w:val="00E56CBE"/>
    <w:rsid w:val="00E57271"/>
    <w:rsid w:val="00E60566"/>
    <w:rsid w:val="00E61860"/>
    <w:rsid w:val="00E618FB"/>
    <w:rsid w:val="00E635ED"/>
    <w:rsid w:val="00E64B30"/>
    <w:rsid w:val="00E65F9B"/>
    <w:rsid w:val="00E6672A"/>
    <w:rsid w:val="00E7089A"/>
    <w:rsid w:val="00E7101B"/>
    <w:rsid w:val="00E72703"/>
    <w:rsid w:val="00E838D5"/>
    <w:rsid w:val="00E83EA1"/>
    <w:rsid w:val="00E86ADE"/>
    <w:rsid w:val="00E91AA6"/>
    <w:rsid w:val="00E92FBC"/>
    <w:rsid w:val="00E946FE"/>
    <w:rsid w:val="00EA080E"/>
    <w:rsid w:val="00EA51F6"/>
    <w:rsid w:val="00EA66B0"/>
    <w:rsid w:val="00EB05FE"/>
    <w:rsid w:val="00EB1AA7"/>
    <w:rsid w:val="00EB31F8"/>
    <w:rsid w:val="00EB49C1"/>
    <w:rsid w:val="00EC59BB"/>
    <w:rsid w:val="00EC7E9E"/>
    <w:rsid w:val="00ED0718"/>
    <w:rsid w:val="00ED3E10"/>
    <w:rsid w:val="00ED3E60"/>
    <w:rsid w:val="00ED59FF"/>
    <w:rsid w:val="00EE1466"/>
    <w:rsid w:val="00EE1C7E"/>
    <w:rsid w:val="00EE36CD"/>
    <w:rsid w:val="00EE3F49"/>
    <w:rsid w:val="00EE44BB"/>
    <w:rsid w:val="00EE4B4F"/>
    <w:rsid w:val="00EE7392"/>
    <w:rsid w:val="00EF00D1"/>
    <w:rsid w:val="00EF059E"/>
    <w:rsid w:val="00EF16BB"/>
    <w:rsid w:val="00EF3D41"/>
    <w:rsid w:val="00EF46E5"/>
    <w:rsid w:val="00EF5148"/>
    <w:rsid w:val="00F024ED"/>
    <w:rsid w:val="00F04B68"/>
    <w:rsid w:val="00F0583D"/>
    <w:rsid w:val="00F12DE7"/>
    <w:rsid w:val="00F15AE9"/>
    <w:rsid w:val="00F22119"/>
    <w:rsid w:val="00F22EFF"/>
    <w:rsid w:val="00F304B5"/>
    <w:rsid w:val="00F317DC"/>
    <w:rsid w:val="00F31852"/>
    <w:rsid w:val="00F31DD2"/>
    <w:rsid w:val="00F3404F"/>
    <w:rsid w:val="00F34CDD"/>
    <w:rsid w:val="00F352D8"/>
    <w:rsid w:val="00F35560"/>
    <w:rsid w:val="00F3689A"/>
    <w:rsid w:val="00F5203E"/>
    <w:rsid w:val="00F62C94"/>
    <w:rsid w:val="00F70198"/>
    <w:rsid w:val="00F74BE6"/>
    <w:rsid w:val="00F76D03"/>
    <w:rsid w:val="00F76F73"/>
    <w:rsid w:val="00F8100C"/>
    <w:rsid w:val="00F81A9A"/>
    <w:rsid w:val="00F85773"/>
    <w:rsid w:val="00F904DF"/>
    <w:rsid w:val="00F93348"/>
    <w:rsid w:val="00F94523"/>
    <w:rsid w:val="00F96B28"/>
    <w:rsid w:val="00FA241F"/>
    <w:rsid w:val="00FA2839"/>
    <w:rsid w:val="00FA2C1D"/>
    <w:rsid w:val="00FA385E"/>
    <w:rsid w:val="00FA4DF5"/>
    <w:rsid w:val="00FA738E"/>
    <w:rsid w:val="00FB0846"/>
    <w:rsid w:val="00FB13CD"/>
    <w:rsid w:val="00FB3311"/>
    <w:rsid w:val="00FB34A5"/>
    <w:rsid w:val="00FB3E32"/>
    <w:rsid w:val="00FB7CEF"/>
    <w:rsid w:val="00FC0E04"/>
    <w:rsid w:val="00FC28F4"/>
    <w:rsid w:val="00FC2C23"/>
    <w:rsid w:val="00FC3702"/>
    <w:rsid w:val="00FC3909"/>
    <w:rsid w:val="00FC565F"/>
    <w:rsid w:val="00FD034B"/>
    <w:rsid w:val="00FD0675"/>
    <w:rsid w:val="00FD3514"/>
    <w:rsid w:val="00FD7D68"/>
    <w:rsid w:val="00FE3084"/>
    <w:rsid w:val="00FE3CB5"/>
    <w:rsid w:val="00FE79AF"/>
    <w:rsid w:val="00FF11F3"/>
    <w:rsid w:val="00FF497F"/>
    <w:rsid w:val="00FF5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475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0" w:line="240" w:lineRule="atLeast"/>
    </w:pPr>
    <w:rPr>
      <w:rFonts w:ascii="Arial" w:hAnsi="Arial"/>
      <w:lang w:eastAsia="zh-CN"/>
    </w:rPr>
  </w:style>
  <w:style w:type="paragraph" w:styleId="Heading1">
    <w:name w:val="heading 1"/>
    <w:basedOn w:val="Normal"/>
    <w:next w:val="Normal"/>
    <w:link w:val="Heading1Char"/>
    <w:uiPriority w:val="9"/>
    <w:qFormat/>
    <w:pPr>
      <w:keepNext/>
      <w:numPr>
        <w:numId w:val="23"/>
      </w:numPr>
      <w:outlineLvl w:val="0"/>
    </w:pPr>
    <w:rPr>
      <w:rFonts w:cs="Arial"/>
      <w:bCs/>
    </w:rPr>
  </w:style>
  <w:style w:type="paragraph" w:styleId="Heading2">
    <w:name w:val="heading 2"/>
    <w:basedOn w:val="Normal"/>
    <w:next w:val="Level1fo"/>
    <w:link w:val="Heading2Char"/>
    <w:uiPriority w:val="9"/>
    <w:qFormat/>
    <w:pPr>
      <w:numPr>
        <w:ilvl w:val="1"/>
        <w:numId w:val="23"/>
      </w:numPr>
      <w:outlineLvl w:val="1"/>
    </w:pPr>
    <w:rPr>
      <w:rFonts w:cs="Arial"/>
      <w:bCs/>
      <w:iCs/>
    </w:rPr>
  </w:style>
  <w:style w:type="paragraph" w:styleId="Heading3">
    <w:name w:val="heading 3"/>
    <w:basedOn w:val="Normal"/>
    <w:next w:val="Level11fo"/>
    <w:link w:val="Heading3Char"/>
    <w:uiPriority w:val="9"/>
    <w:qFormat/>
    <w:pPr>
      <w:numPr>
        <w:ilvl w:val="2"/>
        <w:numId w:val="23"/>
      </w:numPr>
      <w:outlineLvl w:val="2"/>
    </w:pPr>
    <w:rPr>
      <w:rFonts w:cs="Arial"/>
      <w:bCs/>
      <w:szCs w:val="26"/>
    </w:rPr>
  </w:style>
  <w:style w:type="paragraph" w:styleId="Heading4">
    <w:name w:val="heading 4"/>
    <w:basedOn w:val="Normal"/>
    <w:next w:val="Levelafo"/>
    <w:link w:val="Heading4Char"/>
    <w:uiPriority w:val="9"/>
    <w:qFormat/>
    <w:pPr>
      <w:numPr>
        <w:ilvl w:val="3"/>
        <w:numId w:val="23"/>
      </w:numPr>
      <w:outlineLvl w:val="3"/>
    </w:pPr>
    <w:rPr>
      <w:bCs/>
      <w:szCs w:val="28"/>
    </w:rPr>
  </w:style>
  <w:style w:type="paragraph" w:styleId="Heading5">
    <w:name w:val="heading 5"/>
    <w:basedOn w:val="Normal"/>
    <w:next w:val="Levelifo"/>
    <w:link w:val="Heading5Char"/>
    <w:uiPriority w:val="9"/>
    <w:qFormat/>
    <w:pPr>
      <w:numPr>
        <w:ilvl w:val="4"/>
        <w:numId w:val="23"/>
      </w:numPr>
      <w:outlineLvl w:val="4"/>
    </w:pPr>
    <w:rPr>
      <w:bCs/>
      <w:iCs/>
      <w:szCs w:val="26"/>
    </w:rPr>
  </w:style>
  <w:style w:type="paragraph" w:styleId="Heading6">
    <w:name w:val="heading 6"/>
    <w:basedOn w:val="Normal"/>
    <w:next w:val="LevelAfo0"/>
    <w:link w:val="Heading6Char"/>
    <w:uiPriority w:val="9"/>
    <w:qFormat/>
    <w:pPr>
      <w:numPr>
        <w:ilvl w:val="5"/>
        <w:numId w:val="23"/>
      </w:numPr>
      <w:outlineLvl w:val="5"/>
    </w:pPr>
    <w:rPr>
      <w:bCs/>
      <w:szCs w:val="22"/>
    </w:rPr>
  </w:style>
  <w:style w:type="paragraph" w:styleId="Heading7">
    <w:name w:val="heading 7"/>
    <w:basedOn w:val="Normal"/>
    <w:next w:val="LevelIfo0"/>
    <w:link w:val="Heading7Char"/>
    <w:uiPriority w:val="9"/>
    <w:qFormat/>
    <w:pPr>
      <w:numPr>
        <w:ilvl w:val="6"/>
        <w:numId w:val="23"/>
      </w:numPr>
      <w:outlineLvl w:val="6"/>
    </w:pPr>
  </w:style>
  <w:style w:type="paragraph" w:styleId="Heading8">
    <w:name w:val="heading 8"/>
    <w:basedOn w:val="Normal"/>
    <w:next w:val="Normal"/>
    <w:link w:val="Heading8Char"/>
    <w:uiPriority w:val="9"/>
    <w:qFormat/>
    <w:pPr>
      <w:numPr>
        <w:ilvl w:val="7"/>
        <w:numId w:val="23"/>
      </w:numPr>
      <w:outlineLvl w:val="7"/>
    </w:pPr>
    <w:rPr>
      <w:iCs/>
    </w:rPr>
  </w:style>
  <w:style w:type="paragraph" w:styleId="Heading9">
    <w:name w:val="heading 9"/>
    <w:basedOn w:val="Normal"/>
    <w:next w:val="Normal"/>
    <w:link w:val="Heading9Char"/>
    <w:uiPriority w:val="9"/>
    <w:qFormat/>
    <w:pPr>
      <w:numPr>
        <w:ilvl w:val="8"/>
        <w:numId w:val="23"/>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hAnsi="Arial" w:cs="Arial"/>
      <w:bCs/>
      <w:lang w:eastAsia="zh-CN"/>
    </w:rPr>
  </w:style>
  <w:style w:type="character" w:customStyle="1" w:styleId="Heading2Char">
    <w:name w:val="Heading 2 Char"/>
    <w:link w:val="Heading2"/>
    <w:uiPriority w:val="9"/>
    <w:rPr>
      <w:rFonts w:ascii="Arial" w:hAnsi="Arial" w:cs="Arial"/>
      <w:bCs/>
      <w:iCs/>
      <w:lang w:eastAsia="zh-CN"/>
    </w:rPr>
  </w:style>
  <w:style w:type="character" w:customStyle="1" w:styleId="Heading3Char">
    <w:name w:val="Heading 3 Char"/>
    <w:link w:val="Heading3"/>
    <w:uiPriority w:val="9"/>
    <w:rPr>
      <w:rFonts w:ascii="Arial" w:hAnsi="Arial" w:cs="Arial"/>
      <w:bCs/>
      <w:szCs w:val="26"/>
      <w:lang w:eastAsia="zh-CN"/>
    </w:rPr>
  </w:style>
  <w:style w:type="character" w:customStyle="1" w:styleId="Heading4Char">
    <w:name w:val="Heading 4 Char"/>
    <w:link w:val="Heading4"/>
    <w:uiPriority w:val="9"/>
    <w:rPr>
      <w:rFonts w:ascii="Arial" w:hAnsi="Arial"/>
      <w:bCs/>
      <w:szCs w:val="28"/>
      <w:lang w:eastAsia="zh-CN"/>
    </w:rPr>
  </w:style>
  <w:style w:type="character" w:customStyle="1" w:styleId="Heading5Char">
    <w:name w:val="Heading 5 Char"/>
    <w:link w:val="Heading5"/>
    <w:uiPriority w:val="9"/>
    <w:rPr>
      <w:rFonts w:ascii="Arial" w:hAnsi="Arial"/>
      <w:bCs/>
      <w:iCs/>
      <w:szCs w:val="26"/>
      <w:lang w:eastAsia="zh-CN"/>
    </w:rPr>
  </w:style>
  <w:style w:type="character" w:customStyle="1" w:styleId="Heading6Char">
    <w:name w:val="Heading 6 Char"/>
    <w:link w:val="Heading6"/>
    <w:uiPriority w:val="9"/>
    <w:rPr>
      <w:rFonts w:ascii="Arial" w:hAnsi="Arial"/>
      <w:bCs/>
      <w:szCs w:val="22"/>
      <w:lang w:eastAsia="zh-CN"/>
    </w:rPr>
  </w:style>
  <w:style w:type="character" w:customStyle="1" w:styleId="Heading7Char">
    <w:name w:val="Heading 7 Char"/>
    <w:link w:val="Heading7"/>
    <w:uiPriority w:val="9"/>
    <w:rPr>
      <w:rFonts w:ascii="Arial" w:hAnsi="Arial"/>
      <w:lang w:eastAsia="zh-CN"/>
    </w:rPr>
  </w:style>
  <w:style w:type="character" w:customStyle="1" w:styleId="Heading8Char">
    <w:name w:val="Heading 8 Char"/>
    <w:link w:val="Heading8"/>
    <w:uiPriority w:val="9"/>
    <w:rPr>
      <w:rFonts w:ascii="Arial" w:hAnsi="Arial"/>
      <w:iCs/>
      <w:lang w:eastAsia="zh-CN"/>
    </w:rPr>
  </w:style>
  <w:style w:type="character" w:customStyle="1" w:styleId="Heading9Char">
    <w:name w:val="Heading 9 Char"/>
    <w:link w:val="Heading9"/>
    <w:uiPriority w:val="9"/>
    <w:rPr>
      <w:rFonts w:ascii="Arial" w:hAnsi="Arial" w:cs="Arial"/>
      <w:lang w:eastAsia="zh-CN"/>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zh-CN"/>
    </w:rPr>
  </w:style>
  <w:style w:type="paragraph" w:styleId="Caption">
    <w:name w:val="caption"/>
    <w:basedOn w:val="Normal"/>
    <w:next w:val="Normal"/>
    <w:uiPriority w:val="35"/>
    <w:qFormat/>
    <w:pPr>
      <w:spacing w:before="100" w:after="100"/>
    </w:pPr>
    <w:rPr>
      <w:b/>
      <w:bCs/>
      <w:sz w:val="16"/>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line="240" w:lineRule="auto"/>
    </w:pPr>
    <w:rPr>
      <w:sz w:val="16"/>
    </w:rPr>
  </w:style>
  <w:style w:type="character" w:customStyle="1" w:styleId="CommentTextChar">
    <w:name w:val="Comment Text Char"/>
    <w:link w:val="CommentText"/>
    <w:uiPriority w:val="99"/>
    <w:semiHidden/>
    <w:rPr>
      <w:rFonts w:ascii="Arial" w:hAnsi="Arial"/>
      <w:lang w:eastAsia="zh-C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Arial" w:hAnsi="Arial"/>
      <w:b/>
      <w:bCs/>
      <w:lang w:eastAsia="zh-C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lang w:eastAsia="zh-CN"/>
    </w:rPr>
  </w:style>
  <w:style w:type="character" w:styleId="EndnoteReference">
    <w:name w:val="endnote reference"/>
    <w:uiPriority w:val="99"/>
    <w:semiHidden/>
    <w:rPr>
      <w:sz w:val="16"/>
      <w:vertAlign w:val="superscript"/>
    </w:rPr>
  </w:style>
  <w:style w:type="paragraph" w:styleId="EndnoteText">
    <w:name w:val="endnote text"/>
    <w:basedOn w:val="Normal"/>
    <w:link w:val="EndnoteTextChar"/>
    <w:uiPriority w:val="99"/>
    <w:semiHidden/>
    <w:pPr>
      <w:spacing w:line="240" w:lineRule="auto"/>
      <w:ind w:left="720" w:hanging="720"/>
    </w:pPr>
    <w:rPr>
      <w:sz w:val="16"/>
    </w:rPr>
  </w:style>
  <w:style w:type="character" w:customStyle="1" w:styleId="EndnoteTextChar">
    <w:name w:val="Endnote Text Char"/>
    <w:link w:val="EndnoteText"/>
    <w:uiPriority w:val="99"/>
    <w:semiHidden/>
    <w:rPr>
      <w:rFonts w:ascii="Arial" w:hAnsi="Arial"/>
      <w:lang w:eastAsia="zh-CN"/>
    </w:rPr>
  </w:style>
  <w:style w:type="character" w:styleId="FootnoteReference">
    <w:name w:val="footnote reference"/>
    <w:uiPriority w:val="99"/>
    <w:rPr>
      <w:sz w:val="16"/>
      <w:vertAlign w:val="superscript"/>
    </w:rPr>
  </w:style>
  <w:style w:type="paragraph" w:styleId="FootnoteText">
    <w:name w:val="footnote text"/>
    <w:aliases w:val="Car"/>
    <w:basedOn w:val="Normal"/>
    <w:link w:val="FootnoteTextChar"/>
    <w:uiPriority w:val="99"/>
    <w:pPr>
      <w:spacing w:line="240" w:lineRule="auto"/>
      <w:ind w:left="720" w:hanging="720"/>
    </w:pPr>
    <w:rPr>
      <w:sz w:val="16"/>
    </w:rPr>
  </w:style>
  <w:style w:type="character" w:customStyle="1" w:styleId="FootnoteTextChar">
    <w:name w:val="Footnote Text Char"/>
    <w:aliases w:val="Car Char"/>
    <w:link w:val="FootnoteText"/>
    <w:uiPriority w:val="99"/>
    <w:locked/>
    <w:rsid w:val="00D17461"/>
    <w:rPr>
      <w:rFonts w:ascii="Arial" w:eastAsia="SimSun" w:hAnsi="Arial"/>
      <w:sz w:val="16"/>
      <w:lang w:val="en-AU" w:eastAsia="zh-CN"/>
    </w:rPr>
  </w:style>
  <w:style w:type="paragraph" w:styleId="Index1">
    <w:name w:val="index 1"/>
    <w:basedOn w:val="Normal"/>
    <w:next w:val="Normal"/>
    <w:uiPriority w:val="99"/>
    <w:semiHidden/>
    <w:pPr>
      <w:ind w:left="200" w:hanging="200"/>
    </w:pPr>
  </w:style>
  <w:style w:type="paragraph" w:styleId="Index2">
    <w:name w:val="index 2"/>
    <w:basedOn w:val="Normal"/>
    <w:next w:val="Normal"/>
    <w:uiPriority w:val="99"/>
    <w:semiHidden/>
    <w:pPr>
      <w:ind w:left="400" w:hanging="200"/>
    </w:pPr>
  </w:style>
  <w:style w:type="paragraph" w:styleId="Index3">
    <w:name w:val="index 3"/>
    <w:basedOn w:val="Normal"/>
    <w:next w:val="Normal"/>
    <w:uiPriority w:val="99"/>
    <w:semiHidden/>
    <w:pPr>
      <w:ind w:left="600" w:hanging="200"/>
    </w:pPr>
  </w:style>
  <w:style w:type="paragraph" w:styleId="Index4">
    <w:name w:val="index 4"/>
    <w:basedOn w:val="Normal"/>
    <w:next w:val="Normal"/>
    <w:uiPriority w:val="99"/>
    <w:semiHidden/>
    <w:pPr>
      <w:ind w:left="800" w:hanging="200"/>
    </w:pPr>
  </w:style>
  <w:style w:type="paragraph" w:styleId="Index5">
    <w:name w:val="index 5"/>
    <w:basedOn w:val="Normal"/>
    <w:next w:val="Normal"/>
    <w:uiPriority w:val="99"/>
    <w:semiHidden/>
    <w:pPr>
      <w:ind w:left="1000" w:hanging="200"/>
    </w:pPr>
  </w:style>
  <w:style w:type="paragraph" w:styleId="Index6">
    <w:name w:val="index 6"/>
    <w:basedOn w:val="Normal"/>
    <w:next w:val="Normal"/>
    <w:uiPriority w:val="99"/>
    <w:semiHidden/>
    <w:pPr>
      <w:ind w:left="1200" w:hanging="200"/>
    </w:pPr>
  </w:style>
  <w:style w:type="paragraph" w:styleId="Index7">
    <w:name w:val="index 7"/>
    <w:basedOn w:val="Normal"/>
    <w:next w:val="Normal"/>
    <w:uiPriority w:val="99"/>
    <w:semiHidden/>
    <w:pPr>
      <w:ind w:left="1400" w:hanging="200"/>
    </w:pPr>
  </w:style>
  <w:style w:type="paragraph" w:styleId="Index8">
    <w:name w:val="index 8"/>
    <w:basedOn w:val="Normal"/>
    <w:next w:val="Normal"/>
    <w:uiPriority w:val="99"/>
    <w:semiHidden/>
    <w:pPr>
      <w:ind w:left="1600" w:hanging="200"/>
    </w:pPr>
  </w:style>
  <w:style w:type="paragraph" w:styleId="Index9">
    <w:name w:val="index 9"/>
    <w:basedOn w:val="Normal"/>
    <w:next w:val="Normal"/>
    <w:uiPriority w:val="99"/>
    <w:semiHidden/>
    <w:pPr>
      <w:ind w:left="1800" w:hanging="200"/>
    </w:pPr>
  </w:style>
  <w:style w:type="paragraph" w:styleId="IndexHeading">
    <w:name w:val="index heading"/>
    <w:basedOn w:val="Normal"/>
    <w:next w:val="Index1"/>
    <w:uiPriority w:val="99"/>
    <w:semiHidden/>
    <w:rPr>
      <w:rFonts w:cs="Arial"/>
      <w:b/>
      <w:bCs/>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lang w:eastAsia="zh-CN"/>
    </w:rPr>
  </w:style>
  <w:style w:type="character" w:customStyle="1" w:styleId="MacroTextChar">
    <w:name w:val="Macro Text Char"/>
    <w:link w:val="MacroText"/>
    <w:uiPriority w:val="99"/>
    <w:semiHidden/>
    <w:rPr>
      <w:rFonts w:ascii="Courier New" w:hAnsi="Courier New" w:cs="Courier New"/>
      <w:lang w:eastAsia="zh-CN"/>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style>
  <w:style w:type="paragraph" w:styleId="TOAHeading">
    <w:name w:val="toa heading"/>
    <w:basedOn w:val="Normal"/>
    <w:next w:val="Normal"/>
    <w:uiPriority w:val="99"/>
    <w:semiHidden/>
    <w:rPr>
      <w:rFonts w:cs="Arial"/>
      <w:b/>
      <w:bCs/>
      <w:szCs w:val="24"/>
    </w:rPr>
  </w:style>
  <w:style w:type="paragraph" w:styleId="TOC1">
    <w:name w:val="toc 1"/>
    <w:basedOn w:val="Normal"/>
    <w:next w:val="Normal"/>
    <w:uiPriority w:val="39"/>
    <w:semiHidden/>
    <w:pPr>
      <w:tabs>
        <w:tab w:val="right" w:pos="8820"/>
      </w:tabs>
      <w:ind w:right="867"/>
    </w:pPr>
  </w:style>
  <w:style w:type="paragraph" w:styleId="TOC2">
    <w:name w:val="toc 2"/>
    <w:basedOn w:val="TOC1"/>
    <w:next w:val="Normal"/>
    <w:uiPriority w:val="39"/>
    <w:semiHidden/>
    <w:pPr>
      <w:ind w:left="720" w:right="864" w:hanging="720"/>
    </w:pPr>
  </w:style>
  <w:style w:type="paragraph" w:styleId="TOC3">
    <w:name w:val="toc 3"/>
    <w:basedOn w:val="TOC1"/>
    <w:next w:val="Normal"/>
    <w:uiPriority w:val="39"/>
    <w:semiHidden/>
    <w:pPr>
      <w:ind w:left="1440" w:right="864" w:hanging="720"/>
    </w:pPr>
  </w:style>
  <w:style w:type="paragraph" w:styleId="TOC4">
    <w:name w:val="toc 4"/>
    <w:basedOn w:val="TOC1"/>
    <w:next w:val="Normal"/>
    <w:uiPriority w:val="39"/>
    <w:semiHidden/>
    <w:pPr>
      <w:ind w:left="2160" w:right="864" w:hanging="720"/>
    </w:pPr>
  </w:style>
  <w:style w:type="paragraph" w:styleId="TOC5">
    <w:name w:val="toc 5"/>
    <w:basedOn w:val="TOC1"/>
    <w:next w:val="Normal"/>
    <w:uiPriority w:val="39"/>
    <w:semiHidden/>
    <w:pPr>
      <w:ind w:left="2880" w:hanging="720"/>
    </w:pPr>
  </w:style>
  <w:style w:type="paragraph" w:styleId="TOC6">
    <w:name w:val="toc 6"/>
    <w:basedOn w:val="TOC1"/>
    <w:next w:val="Normal"/>
    <w:uiPriority w:val="39"/>
    <w:semiHidden/>
    <w:pPr>
      <w:ind w:left="3600" w:right="864" w:hanging="720"/>
    </w:pPr>
  </w:style>
  <w:style w:type="paragraph" w:styleId="TOC7">
    <w:name w:val="toc 7"/>
    <w:basedOn w:val="TOC1"/>
    <w:next w:val="Normal"/>
    <w:uiPriority w:val="39"/>
    <w:semiHidden/>
    <w:pPr>
      <w:ind w:left="720" w:right="864" w:hanging="720"/>
    </w:pPr>
  </w:style>
  <w:style w:type="paragraph" w:styleId="TOC8">
    <w:name w:val="toc 8"/>
    <w:basedOn w:val="TOC1"/>
    <w:next w:val="Normal"/>
    <w:uiPriority w:val="39"/>
    <w:semiHidden/>
    <w:pPr>
      <w:ind w:left="720" w:right="864" w:hanging="720"/>
    </w:pPr>
  </w:style>
  <w:style w:type="paragraph" w:styleId="TOC9">
    <w:name w:val="toc 9"/>
    <w:basedOn w:val="TOC1"/>
    <w:next w:val="Normal"/>
    <w:uiPriority w:val="39"/>
    <w:semiHidden/>
    <w:pPr>
      <w:ind w:left="720" w:right="864" w:hanging="720"/>
    </w:pPr>
  </w:style>
  <w:style w:type="paragraph" w:styleId="BlockText">
    <w:name w:val="Block Text"/>
    <w:basedOn w:val="Normal"/>
    <w:uiPriority w:val="99"/>
    <w:semiHidden/>
    <w:pPr>
      <w:ind w:left="1440" w:right="1440"/>
    </w:pPr>
  </w:style>
  <w:style w:type="paragraph" w:styleId="BodyText">
    <w:name w:val="Body Text"/>
    <w:basedOn w:val="Normal"/>
    <w:link w:val="BodyTextChar"/>
    <w:uiPriority w:val="99"/>
    <w:semiHidden/>
  </w:style>
  <w:style w:type="character" w:customStyle="1" w:styleId="BodyTextChar">
    <w:name w:val="Body Text Char"/>
    <w:link w:val="BodyText"/>
    <w:uiPriority w:val="99"/>
    <w:semiHidden/>
    <w:rPr>
      <w:rFonts w:ascii="Arial" w:hAnsi="Arial"/>
      <w:lang w:eastAsia="zh-CN"/>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link w:val="BodyText2"/>
    <w:uiPriority w:val="99"/>
    <w:semiHidden/>
    <w:rPr>
      <w:rFonts w:ascii="Arial" w:hAnsi="Arial"/>
      <w:lang w:eastAsia="zh-CN"/>
    </w:rPr>
  </w:style>
  <w:style w:type="paragraph" w:styleId="BodyText3">
    <w:name w:val="Body Text 3"/>
    <w:basedOn w:val="Normal"/>
    <w:link w:val="BodyText3Char"/>
    <w:uiPriority w:val="99"/>
    <w:semiHidden/>
    <w:rPr>
      <w:sz w:val="16"/>
      <w:szCs w:val="16"/>
    </w:rPr>
  </w:style>
  <w:style w:type="character" w:customStyle="1" w:styleId="BodyText3Char">
    <w:name w:val="Body Text 3 Char"/>
    <w:link w:val="BodyText3"/>
    <w:uiPriority w:val="99"/>
    <w:semiHidden/>
    <w:rPr>
      <w:rFonts w:ascii="Arial" w:hAnsi="Arial"/>
      <w:sz w:val="16"/>
      <w:szCs w:val="16"/>
      <w:lang w:eastAsia="zh-CN"/>
    </w:rPr>
  </w:style>
  <w:style w:type="paragraph" w:styleId="BodyTextFirstIndent">
    <w:name w:val="Body Text First Indent"/>
    <w:basedOn w:val="BodyText"/>
    <w:link w:val="BodyTextFirstIndentChar"/>
    <w:uiPriority w:val="99"/>
    <w:semiHidden/>
    <w:pPr>
      <w:ind w:firstLine="720"/>
    </w:pPr>
  </w:style>
  <w:style w:type="character" w:customStyle="1" w:styleId="BodyTextFirstIndentChar">
    <w:name w:val="Body Text First Indent Char"/>
    <w:link w:val="BodyTextFirstIndent"/>
    <w:uiPriority w:val="99"/>
    <w:semiHidden/>
  </w:style>
  <w:style w:type="paragraph" w:styleId="BodyTextIndent">
    <w:name w:val="Body Text Indent"/>
    <w:basedOn w:val="BodyText"/>
    <w:link w:val="BodyTextIndentChar"/>
    <w:uiPriority w:val="99"/>
    <w:semiHidden/>
    <w:pPr>
      <w:ind w:left="720"/>
    </w:pPr>
  </w:style>
  <w:style w:type="character" w:customStyle="1" w:styleId="BodyTextIndentChar">
    <w:name w:val="Body Text Indent Char"/>
    <w:link w:val="BodyTextIndent"/>
    <w:uiPriority w:val="99"/>
    <w:semiHidden/>
    <w:rPr>
      <w:rFonts w:ascii="Arial" w:hAnsi="Arial"/>
      <w:lang w:eastAsia="zh-CN"/>
    </w:rPr>
  </w:style>
  <w:style w:type="paragraph" w:styleId="BodyTextFirstIndent2">
    <w:name w:val="Body Text First Indent 2"/>
    <w:basedOn w:val="BodyTextIndent2"/>
    <w:link w:val="BodyTextFirstIndent2Char"/>
    <w:uiPriority w:val="99"/>
    <w:semiHidden/>
    <w:pPr>
      <w:ind w:left="0" w:firstLine="720"/>
    </w:pPr>
  </w:style>
  <w:style w:type="character" w:customStyle="1" w:styleId="BodyTextFirstIndent2Char">
    <w:name w:val="Body Text First Indent 2 Char"/>
    <w:link w:val="BodyTextFirstIndent2"/>
    <w:uiPriority w:val="99"/>
    <w:semiHidden/>
  </w:style>
  <w:style w:type="paragraph" w:styleId="BodyTextIndent3">
    <w:name w:val="Body Text Indent 3"/>
    <w:basedOn w:val="BodyText3"/>
    <w:link w:val="BodyTextIndent3Char"/>
    <w:uiPriority w:val="99"/>
    <w:semiHidden/>
    <w:pPr>
      <w:ind w:left="720"/>
    </w:pPr>
  </w:style>
  <w:style w:type="character" w:customStyle="1" w:styleId="BodyTextIndent3Char">
    <w:name w:val="Body Text Indent 3 Char"/>
    <w:link w:val="BodyTextIndent3"/>
    <w:uiPriority w:val="99"/>
    <w:semiHidden/>
    <w:rPr>
      <w:rFonts w:ascii="Arial" w:hAnsi="Arial"/>
      <w:sz w:val="16"/>
      <w:szCs w:val="16"/>
      <w:lang w:eastAsia="zh-CN"/>
    </w:rPr>
  </w:style>
  <w:style w:type="paragraph" w:styleId="BodyTextIndent2">
    <w:name w:val="Body Text Indent 2"/>
    <w:basedOn w:val="BodyText2"/>
    <w:link w:val="BodyTextIndent2Char"/>
    <w:uiPriority w:val="99"/>
    <w:semiHidden/>
    <w:pPr>
      <w:ind w:left="720"/>
    </w:pPr>
  </w:style>
  <w:style w:type="character" w:customStyle="1" w:styleId="BodyTextIndent2Char">
    <w:name w:val="Body Text Indent 2 Char"/>
    <w:link w:val="BodyTextIndent2"/>
    <w:uiPriority w:val="99"/>
    <w:semiHidden/>
    <w:rPr>
      <w:rFonts w:ascii="Arial" w:hAnsi="Arial"/>
      <w:lang w:eastAsia="zh-CN"/>
    </w:rPr>
  </w:style>
  <w:style w:type="paragraph" w:customStyle="1" w:styleId="sch1">
    <w:name w:val="sch1"/>
    <w:basedOn w:val="Normal"/>
    <w:next w:val="Normal"/>
    <w:pPr>
      <w:numPr>
        <w:numId w:val="21"/>
      </w:numPr>
    </w:pPr>
  </w:style>
  <w:style w:type="paragraph" w:customStyle="1" w:styleId="sch2">
    <w:name w:val="sch2"/>
    <w:basedOn w:val="Normal"/>
    <w:next w:val="Level1fo"/>
    <w:pPr>
      <w:numPr>
        <w:ilvl w:val="1"/>
        <w:numId w:val="21"/>
      </w:numPr>
    </w:pPr>
  </w:style>
  <w:style w:type="paragraph" w:customStyle="1" w:styleId="sch3">
    <w:name w:val="sch3"/>
    <w:basedOn w:val="Normal"/>
    <w:next w:val="Level11fo"/>
    <w:pPr>
      <w:numPr>
        <w:ilvl w:val="2"/>
        <w:numId w:val="21"/>
      </w:numPr>
    </w:pPr>
  </w:style>
  <w:style w:type="paragraph" w:customStyle="1" w:styleId="sch4">
    <w:name w:val="sch4"/>
    <w:basedOn w:val="Normal"/>
    <w:next w:val="Levelafo"/>
    <w:pPr>
      <w:numPr>
        <w:ilvl w:val="3"/>
        <w:numId w:val="21"/>
      </w:numPr>
    </w:pPr>
  </w:style>
  <w:style w:type="paragraph" w:customStyle="1" w:styleId="sch5">
    <w:name w:val="sch5"/>
    <w:basedOn w:val="Normal"/>
    <w:next w:val="Levelifo"/>
    <w:pPr>
      <w:numPr>
        <w:ilvl w:val="4"/>
        <w:numId w:val="21"/>
      </w:numPr>
    </w:pPr>
  </w:style>
  <w:style w:type="paragraph" w:customStyle="1" w:styleId="sch6">
    <w:name w:val="sch6"/>
    <w:basedOn w:val="Normal"/>
    <w:next w:val="LevelAfo0"/>
    <w:pPr>
      <w:numPr>
        <w:ilvl w:val="5"/>
        <w:numId w:val="21"/>
      </w:numPr>
    </w:pPr>
  </w:style>
  <w:style w:type="paragraph" w:customStyle="1" w:styleId="Level1fo">
    <w:name w:val="Level 1.fo"/>
    <w:basedOn w:val="Normal"/>
    <w:pPr>
      <w:ind w:left="720"/>
    </w:pPr>
  </w:style>
  <w:style w:type="paragraph" w:customStyle="1" w:styleId="Level1">
    <w:name w:val="Level 1."/>
    <w:basedOn w:val="Normal"/>
    <w:next w:val="Level1fo"/>
    <w:pPr>
      <w:numPr>
        <w:numId w:val="22"/>
      </w:numPr>
      <w:outlineLvl w:val="0"/>
    </w:pPr>
  </w:style>
  <w:style w:type="paragraph" w:customStyle="1" w:styleId="Level11fo">
    <w:name w:val="Level 1.1fo"/>
    <w:basedOn w:val="Normal"/>
    <w:pPr>
      <w:ind w:left="720"/>
    </w:pPr>
  </w:style>
  <w:style w:type="paragraph" w:customStyle="1" w:styleId="Level11">
    <w:name w:val="Level 1.1"/>
    <w:basedOn w:val="Normal"/>
    <w:next w:val="Level11fo"/>
    <w:pPr>
      <w:numPr>
        <w:ilvl w:val="1"/>
        <w:numId w:val="22"/>
      </w:numPr>
      <w:outlineLvl w:val="1"/>
    </w:pPr>
  </w:style>
  <w:style w:type="paragraph" w:customStyle="1" w:styleId="Levelafo">
    <w:name w:val="Level (a)fo"/>
    <w:basedOn w:val="Normal"/>
    <w:pPr>
      <w:ind w:left="1440"/>
    </w:pPr>
  </w:style>
  <w:style w:type="paragraph" w:customStyle="1" w:styleId="Levela">
    <w:name w:val="Level (a)"/>
    <w:basedOn w:val="Normal"/>
    <w:next w:val="Levelafo"/>
    <w:pPr>
      <w:numPr>
        <w:ilvl w:val="2"/>
        <w:numId w:val="22"/>
      </w:numPr>
      <w:outlineLvl w:val="2"/>
    </w:pPr>
  </w:style>
  <w:style w:type="paragraph" w:customStyle="1" w:styleId="Levelifo">
    <w:name w:val="Level (i)fo"/>
    <w:basedOn w:val="Normal"/>
    <w:pPr>
      <w:ind w:left="2160"/>
    </w:pPr>
  </w:style>
  <w:style w:type="paragraph" w:customStyle="1" w:styleId="Leveli">
    <w:name w:val="Level (i)"/>
    <w:basedOn w:val="Normal"/>
    <w:next w:val="Levelifo"/>
    <w:pPr>
      <w:numPr>
        <w:ilvl w:val="3"/>
        <w:numId w:val="22"/>
      </w:numPr>
      <w:outlineLvl w:val="3"/>
    </w:pPr>
  </w:style>
  <w:style w:type="paragraph" w:customStyle="1" w:styleId="LevelAfo0">
    <w:name w:val="Level(A)fo"/>
    <w:basedOn w:val="Normal"/>
    <w:pPr>
      <w:ind w:left="2880"/>
    </w:pPr>
  </w:style>
  <w:style w:type="paragraph" w:customStyle="1" w:styleId="LevelA0">
    <w:name w:val="Level(A)"/>
    <w:basedOn w:val="Normal"/>
    <w:next w:val="LevelAfo0"/>
    <w:pPr>
      <w:numPr>
        <w:ilvl w:val="4"/>
        <w:numId w:val="22"/>
      </w:numPr>
      <w:outlineLvl w:val="4"/>
    </w:pPr>
  </w:style>
  <w:style w:type="paragraph" w:customStyle="1" w:styleId="LevelIfo0">
    <w:name w:val="Level(I)fo"/>
    <w:basedOn w:val="Normal"/>
    <w:pPr>
      <w:ind w:left="3600"/>
    </w:pPr>
  </w:style>
  <w:style w:type="paragraph" w:customStyle="1" w:styleId="LevelI0">
    <w:name w:val="Level(I)"/>
    <w:basedOn w:val="Normal"/>
    <w:next w:val="LevelIfo0"/>
    <w:pPr>
      <w:numPr>
        <w:ilvl w:val="5"/>
        <w:numId w:val="22"/>
      </w:numPr>
      <w:outlineLvl w:val="5"/>
    </w:pPr>
  </w:style>
  <w:style w:type="paragraph" w:styleId="Closing">
    <w:name w:val="Closing"/>
    <w:basedOn w:val="Normal"/>
    <w:link w:val="ClosingChar"/>
    <w:uiPriority w:val="99"/>
    <w:semiHidden/>
  </w:style>
  <w:style w:type="character" w:customStyle="1" w:styleId="ClosingChar">
    <w:name w:val="Closing Char"/>
    <w:link w:val="Closing"/>
    <w:uiPriority w:val="99"/>
    <w:semiHidden/>
    <w:rPr>
      <w:rFonts w:ascii="Arial" w:hAnsi="Arial"/>
      <w:lang w:eastAsia="zh-CN"/>
    </w:rPr>
  </w:style>
  <w:style w:type="paragraph" w:styleId="EnvelopeAddress">
    <w:name w:val="envelope address"/>
    <w:basedOn w:val="Normal"/>
    <w:uiPriority w:val="99"/>
    <w:semiHidden/>
    <w:pPr>
      <w:framePr w:w="7920" w:h="1980" w:hRule="exact" w:hSpace="180" w:wrap="auto" w:hAnchor="page" w:xAlign="center" w:yAlign="bottom"/>
      <w:ind w:left="2880"/>
    </w:pPr>
    <w:rPr>
      <w:rFonts w:cs="Arial"/>
      <w:szCs w:val="24"/>
    </w:rPr>
  </w:style>
  <w:style w:type="paragraph" w:styleId="Footer">
    <w:name w:val="footer"/>
    <w:basedOn w:val="Normal"/>
    <w:link w:val="FooterChar"/>
    <w:qFormat/>
    <w:pPr>
      <w:spacing w:before="0" w:line="180" w:lineRule="atLeast"/>
      <w:ind w:left="-851"/>
    </w:pPr>
    <w:rPr>
      <w:sz w:val="14"/>
      <w:szCs w:val="14"/>
    </w:rPr>
  </w:style>
  <w:style w:type="character" w:customStyle="1" w:styleId="FooterChar">
    <w:name w:val="Footer Char"/>
    <w:link w:val="Footer"/>
    <w:locked/>
    <w:rsid w:val="004B4D56"/>
    <w:rPr>
      <w:rFonts w:ascii="Arial" w:hAnsi="Arial"/>
      <w:sz w:val="14"/>
      <w:lang w:val="x-none" w:eastAsia="zh-CN"/>
    </w:rPr>
  </w:style>
  <w:style w:type="paragraph" w:styleId="Header">
    <w:name w:val="header"/>
    <w:basedOn w:val="Normal"/>
    <w:link w:val="HeaderChar"/>
    <w:uiPriority w:val="99"/>
    <w:pPr>
      <w:spacing w:before="0" w:line="180" w:lineRule="atLeast"/>
      <w:ind w:left="-850"/>
    </w:pPr>
    <w:rPr>
      <w:sz w:val="14"/>
    </w:rPr>
  </w:style>
  <w:style w:type="character" w:customStyle="1" w:styleId="HeaderChar">
    <w:name w:val="Header Char"/>
    <w:link w:val="Header"/>
    <w:uiPriority w:val="99"/>
    <w:semiHidden/>
    <w:rPr>
      <w:rFonts w:ascii="Arial" w:hAnsi="Arial"/>
      <w:lang w:eastAsia="zh-CN"/>
    </w:rPr>
  </w:style>
  <w:style w:type="paragraph" w:styleId="List">
    <w:name w:val="List"/>
    <w:basedOn w:val="Normal"/>
    <w:uiPriority w:val="99"/>
    <w:semiHidden/>
    <w:pPr>
      <w:ind w:left="720" w:hanging="720"/>
    </w:pPr>
  </w:style>
  <w:style w:type="paragraph" w:styleId="List2">
    <w:name w:val="List 2"/>
    <w:basedOn w:val="Normal"/>
    <w:next w:val="List"/>
    <w:uiPriority w:val="99"/>
    <w:semiHidden/>
    <w:pPr>
      <w:ind w:left="1440" w:hanging="720"/>
    </w:pPr>
  </w:style>
  <w:style w:type="paragraph" w:styleId="List3">
    <w:name w:val="List 3"/>
    <w:basedOn w:val="Normal"/>
    <w:next w:val="List"/>
    <w:uiPriority w:val="99"/>
    <w:semiHidden/>
    <w:pPr>
      <w:ind w:left="2160" w:hanging="720"/>
    </w:pPr>
  </w:style>
  <w:style w:type="paragraph" w:styleId="List4">
    <w:name w:val="List 4"/>
    <w:basedOn w:val="List"/>
    <w:uiPriority w:val="99"/>
    <w:semiHidden/>
    <w:pPr>
      <w:ind w:left="2880"/>
    </w:pPr>
  </w:style>
  <w:style w:type="paragraph" w:styleId="List5">
    <w:name w:val="List 5"/>
    <w:basedOn w:val="Normal"/>
    <w:next w:val="List"/>
    <w:uiPriority w:val="99"/>
    <w:semiHidden/>
    <w:pPr>
      <w:ind w:left="3600" w:hanging="720"/>
    </w:pPr>
  </w:style>
  <w:style w:type="paragraph" w:styleId="ListBullet">
    <w:name w:val="List Bullet"/>
    <w:basedOn w:val="Normal"/>
    <w:uiPriority w:val="99"/>
    <w:pPr>
      <w:numPr>
        <w:numId w:val="11"/>
      </w:numPr>
    </w:pPr>
  </w:style>
  <w:style w:type="paragraph" w:styleId="ListBullet2">
    <w:name w:val="List Bullet 2"/>
    <w:basedOn w:val="Normal"/>
    <w:uiPriority w:val="99"/>
    <w:pPr>
      <w:numPr>
        <w:numId w:val="12"/>
      </w:numPr>
    </w:pPr>
  </w:style>
  <w:style w:type="paragraph" w:styleId="ListBullet3">
    <w:name w:val="List Bullet 3"/>
    <w:basedOn w:val="Normal"/>
    <w:uiPriority w:val="99"/>
    <w:pPr>
      <w:numPr>
        <w:numId w:val="13"/>
      </w:numPr>
    </w:pPr>
  </w:style>
  <w:style w:type="paragraph" w:styleId="ListBullet4">
    <w:name w:val="List Bullet 4"/>
    <w:basedOn w:val="Normal"/>
    <w:uiPriority w:val="99"/>
    <w:semiHidden/>
    <w:pPr>
      <w:numPr>
        <w:numId w:val="14"/>
      </w:numPr>
    </w:pPr>
  </w:style>
  <w:style w:type="paragraph" w:styleId="ListBullet5">
    <w:name w:val="List Bullet 5"/>
    <w:basedOn w:val="Normal"/>
    <w:uiPriority w:val="99"/>
    <w:semiHidden/>
    <w:pPr>
      <w:numPr>
        <w:numId w:val="15"/>
      </w:numPr>
    </w:pPr>
  </w:style>
  <w:style w:type="paragraph" w:styleId="ListContinue">
    <w:name w:val="List Continue"/>
    <w:basedOn w:val="Normal"/>
    <w:uiPriority w:val="99"/>
    <w:semiHidden/>
    <w:pPr>
      <w:ind w:left="720"/>
    </w:pPr>
  </w:style>
  <w:style w:type="paragraph" w:styleId="ListContinue2">
    <w:name w:val="List Continue 2"/>
    <w:basedOn w:val="Normal"/>
    <w:uiPriority w:val="99"/>
    <w:semiHidden/>
    <w:pPr>
      <w:ind w:left="1440"/>
    </w:pPr>
  </w:style>
  <w:style w:type="paragraph" w:styleId="ListContinue3">
    <w:name w:val="List Continue 3"/>
    <w:basedOn w:val="Normal"/>
    <w:uiPriority w:val="99"/>
    <w:semiHidden/>
    <w:pPr>
      <w:ind w:left="2160"/>
    </w:pPr>
  </w:style>
  <w:style w:type="paragraph" w:styleId="ListContinue4">
    <w:name w:val="List Continue 4"/>
    <w:basedOn w:val="Normal"/>
    <w:uiPriority w:val="99"/>
    <w:semiHidden/>
    <w:pPr>
      <w:ind w:left="2880"/>
    </w:pPr>
  </w:style>
  <w:style w:type="paragraph" w:styleId="ListContinue5">
    <w:name w:val="List Continue 5"/>
    <w:basedOn w:val="Normal"/>
    <w:uiPriority w:val="99"/>
    <w:semiHidden/>
    <w:pPr>
      <w:ind w:left="3600"/>
    </w:p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eastAsia="zh-CN"/>
    </w:rPr>
  </w:style>
  <w:style w:type="paragraph" w:styleId="NormalWeb">
    <w:name w:val="Normal (Web)"/>
    <w:basedOn w:val="Normal"/>
    <w:uiPriority w:val="99"/>
    <w:semiHidden/>
  </w:style>
  <w:style w:type="paragraph" w:styleId="Signature">
    <w:name w:val="Signature"/>
    <w:basedOn w:val="Normal"/>
    <w:link w:val="SignatureChar"/>
    <w:uiPriority w:val="99"/>
    <w:semiHidden/>
  </w:style>
  <w:style w:type="character" w:customStyle="1" w:styleId="SignatureChar">
    <w:name w:val="Signature Char"/>
    <w:link w:val="Signature"/>
    <w:uiPriority w:val="99"/>
    <w:semiHidden/>
    <w:rPr>
      <w:rFonts w:ascii="Arial" w:hAnsi="Arial"/>
      <w:lang w:eastAsia="zh-CN"/>
    </w:rPr>
  </w:style>
  <w:style w:type="paragraph" w:styleId="Subtitle">
    <w:name w:val="Subtitle"/>
    <w:basedOn w:val="Title"/>
    <w:link w:val="SubtitleChar"/>
    <w:uiPriority w:val="11"/>
    <w:qFormat/>
    <w:pPr>
      <w:keepNext/>
      <w:spacing w:line="240" w:lineRule="atLeast"/>
      <w:outlineLvl w:val="1"/>
    </w:pPr>
    <w:rPr>
      <w:sz w:val="20"/>
      <w:szCs w:val="24"/>
    </w:rPr>
  </w:style>
  <w:style w:type="character" w:customStyle="1" w:styleId="SubtitleChar">
    <w:name w:val="Subtitle Char"/>
    <w:link w:val="Subtitle"/>
    <w:uiPriority w:val="11"/>
    <w:rPr>
      <w:rFonts w:ascii="Cambria" w:eastAsia="Times New Roman" w:hAnsi="Cambria" w:cs="Times New Roman"/>
      <w:sz w:val="24"/>
      <w:szCs w:val="24"/>
      <w:lang w:eastAsia="zh-CN"/>
    </w:rPr>
  </w:style>
  <w:style w:type="paragraph" w:styleId="ListNumber">
    <w:name w:val="List Number"/>
    <w:basedOn w:val="Normal"/>
    <w:uiPriority w:val="99"/>
    <w:pPr>
      <w:numPr>
        <w:numId w:val="16"/>
      </w:numPr>
    </w:pPr>
  </w:style>
  <w:style w:type="paragraph" w:styleId="Title">
    <w:name w:val="Title"/>
    <w:basedOn w:val="Normal"/>
    <w:next w:val="Subtitle"/>
    <w:link w:val="TitleChar"/>
    <w:uiPriority w:val="10"/>
    <w:qFormat/>
    <w:pPr>
      <w:spacing w:line="440" w:lineRule="atLeast"/>
      <w:outlineLvl w:val="0"/>
    </w:pPr>
    <w:rPr>
      <w:rFonts w:cs="Arial"/>
      <w:b/>
      <w:bCs/>
      <w:sz w:val="36"/>
    </w:rPr>
  </w:style>
  <w:style w:type="character" w:customStyle="1" w:styleId="TitleChar">
    <w:name w:val="Title Char"/>
    <w:link w:val="Title"/>
    <w:uiPriority w:val="10"/>
    <w:rPr>
      <w:rFonts w:ascii="Cambria" w:eastAsia="Times New Roman" w:hAnsi="Cambria" w:cs="Times New Roman"/>
      <w:b/>
      <w:bCs/>
      <w:kern w:val="28"/>
      <w:sz w:val="32"/>
      <w:szCs w:val="32"/>
      <w:lang w:eastAsia="zh-CN"/>
    </w:rPr>
  </w:style>
  <w:style w:type="paragraph" w:styleId="ListNumber2">
    <w:name w:val="List Number 2"/>
    <w:basedOn w:val="Normal"/>
    <w:uiPriority w:val="99"/>
    <w:pPr>
      <w:numPr>
        <w:numId w:val="17"/>
      </w:numPr>
    </w:pPr>
  </w:style>
  <w:style w:type="paragraph" w:styleId="ListNumber3">
    <w:name w:val="List Number 3"/>
    <w:basedOn w:val="Normal"/>
    <w:uiPriority w:val="99"/>
    <w:pPr>
      <w:numPr>
        <w:numId w:val="18"/>
      </w:numPr>
    </w:pPr>
  </w:style>
  <w:style w:type="paragraph" w:styleId="ListNumber4">
    <w:name w:val="List Number 4"/>
    <w:basedOn w:val="Normal"/>
    <w:uiPriority w:val="99"/>
    <w:semiHidden/>
    <w:pPr>
      <w:numPr>
        <w:numId w:val="19"/>
      </w:numPr>
    </w:pPr>
  </w:style>
  <w:style w:type="paragraph" w:styleId="ListNumber5">
    <w:name w:val="List Number 5"/>
    <w:basedOn w:val="Normal"/>
    <w:uiPriority w:val="99"/>
    <w:pPr>
      <w:numPr>
        <w:numId w:val="20"/>
      </w:numPr>
    </w:pPr>
  </w:style>
  <w:style w:type="paragraph" w:customStyle="1" w:styleId="NoteParagraph">
    <w:name w:val="NoteParagraph"/>
    <w:aliases w:val="np"/>
    <w:basedOn w:val="Normal"/>
    <w:semiHidden/>
    <w:pPr>
      <w:keepNext/>
      <w:shd w:val="pct10" w:color="auto" w:fill="FFFFFF"/>
    </w:pPr>
  </w:style>
  <w:style w:type="paragraph" w:customStyle="1" w:styleId="sch7">
    <w:name w:val="sch7"/>
    <w:basedOn w:val="Normal"/>
    <w:next w:val="LevelIfo0"/>
    <w:pPr>
      <w:numPr>
        <w:ilvl w:val="6"/>
        <w:numId w:val="21"/>
      </w:numPr>
    </w:pPr>
  </w:style>
  <w:style w:type="table" w:styleId="TableGrid">
    <w:name w:val="Table Grid"/>
    <w:basedOn w:val="TableNormal"/>
    <w:uiPriority w:val="59"/>
    <w:pPr>
      <w:spacing w:before="20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style>
  <w:style w:type="character" w:customStyle="1" w:styleId="DateChar">
    <w:name w:val="Date Char"/>
    <w:link w:val="Date"/>
    <w:uiPriority w:val="99"/>
    <w:semiHidden/>
    <w:rPr>
      <w:rFonts w:ascii="Arial" w:hAnsi="Arial"/>
      <w:lang w:eastAsia="zh-CN"/>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Pr>
      <w:rFonts w:ascii="Arial" w:hAnsi="Arial"/>
      <w:lang w:eastAsia="zh-CN"/>
    </w:rPr>
  </w:style>
  <w:style w:type="character" w:styleId="Emphasis">
    <w:name w:val="Emphasis"/>
    <w:uiPriority w:val="20"/>
    <w:qFormat/>
    <w:rPr>
      <w:i/>
    </w:rPr>
  </w:style>
  <w:style w:type="paragraph" w:styleId="EnvelopeReturn">
    <w:name w:val="envelope return"/>
    <w:basedOn w:val="Normal"/>
    <w:uiPriority w:val="99"/>
    <w:semiHidden/>
    <w:rPr>
      <w:rFonts w:cs="Arial"/>
    </w:rPr>
  </w:style>
  <w:style w:type="character" w:styleId="FollowedHyperlink">
    <w:name w:val="FollowedHyperlink"/>
    <w:uiPriority w:val="99"/>
    <w:semiHidden/>
    <w:rPr>
      <w:color w:val="800080"/>
      <w:u w:val="single"/>
    </w:rPr>
  </w:style>
  <w:style w:type="character" w:styleId="HTMLAcronym">
    <w:name w:val="HTML Acronym"/>
    <w:uiPriority w:val="99"/>
    <w:semiHidden/>
    <w:rPr>
      <w:rFonts w:cs="Times New Roman"/>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Pr>
      <w:rFonts w:ascii="Arial" w:hAnsi="Arial"/>
      <w:i/>
      <w:iCs/>
      <w:lang w:eastAsia="zh-CN"/>
    </w:rPr>
  </w:style>
  <w:style w:type="character" w:styleId="HTMLCite">
    <w:name w:val="HTML Cite"/>
    <w:uiPriority w:val="99"/>
    <w:semiHidden/>
    <w:rPr>
      <w:i/>
    </w:rPr>
  </w:style>
  <w:style w:type="character" w:styleId="HTMLCode">
    <w:name w:val="HTML Code"/>
    <w:uiPriority w:val="99"/>
    <w:semiHidden/>
    <w:rPr>
      <w:rFonts w:ascii="Courier New" w:hAnsi="Courier New"/>
      <w:sz w:val="20"/>
    </w:rPr>
  </w:style>
  <w:style w:type="character" w:styleId="HTMLDefinition">
    <w:name w:val="HTML Definition"/>
    <w:uiPriority w:val="99"/>
    <w:semiHidden/>
    <w:rPr>
      <w:i/>
    </w:rPr>
  </w:style>
  <w:style w:type="character" w:styleId="HTMLKeyboard">
    <w:name w:val="HTML Keyboard"/>
    <w:uiPriority w:val="99"/>
    <w:semiHidden/>
    <w:rPr>
      <w:rFonts w:ascii="Courier New" w:hAnsi="Courier New"/>
      <w:sz w:val="20"/>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Pr>
      <w:rFonts w:ascii="Courier New" w:hAnsi="Courier New" w:cs="Courier New"/>
      <w:lang w:eastAsia="zh-CN"/>
    </w:rPr>
  </w:style>
  <w:style w:type="character" w:styleId="HTMLSample">
    <w:name w:val="HTML Sample"/>
    <w:uiPriority w:val="99"/>
    <w:semiHidden/>
    <w:rPr>
      <w:rFonts w:ascii="Courier New" w:hAnsi="Courier New"/>
    </w:rPr>
  </w:style>
  <w:style w:type="character" w:styleId="HTMLTypewriter">
    <w:name w:val="HTML Typewriter"/>
    <w:uiPriority w:val="99"/>
    <w:semiHidden/>
    <w:rPr>
      <w:rFonts w:ascii="Courier New" w:hAnsi="Courier New"/>
      <w:sz w:val="20"/>
    </w:rPr>
  </w:style>
  <w:style w:type="character" w:styleId="HTMLVariable">
    <w:name w:val="HTML Variable"/>
    <w:uiPriority w:val="99"/>
    <w:semiHidden/>
    <w:rPr>
      <w:i/>
    </w:rPr>
  </w:style>
  <w:style w:type="character" w:styleId="Hyperlink">
    <w:name w:val="Hyperlink"/>
    <w:uiPriority w:val="99"/>
    <w:semiHidden/>
    <w:rPr>
      <w:color w:val="0000FF"/>
      <w:u w:val="single"/>
    </w:rPr>
  </w:style>
  <w:style w:type="character" w:styleId="LineNumber">
    <w:name w:val="line number"/>
    <w:uiPriority w:val="99"/>
    <w:semiHidden/>
    <w:rPr>
      <w:rFonts w:cs="Times New Roman"/>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Pr>
      <w:rFonts w:ascii="Arial" w:hAnsi="Arial"/>
      <w:lang w:eastAsia="zh-CN"/>
    </w:rPr>
  </w:style>
  <w:style w:type="character" w:styleId="PageNumber">
    <w:name w:val="page number"/>
    <w:uiPriority w:val="99"/>
    <w:semiHidden/>
    <w:rPr>
      <w:rFonts w:cs="Times New Roman"/>
    </w:rPr>
  </w:style>
  <w:style w:type="paragraph" w:styleId="PlainText">
    <w:name w:val="Plain Text"/>
    <w:basedOn w:val="Normal"/>
    <w:link w:val="PlainTextChar"/>
    <w:uiPriority w:val="99"/>
    <w:semiHidden/>
    <w:rPr>
      <w:rFonts w:ascii="Courier New" w:hAnsi="Courier New" w:cs="Courier New"/>
    </w:rPr>
  </w:style>
  <w:style w:type="character" w:customStyle="1" w:styleId="PlainTextChar">
    <w:name w:val="Plain Text Char"/>
    <w:link w:val="PlainText"/>
    <w:uiPriority w:val="99"/>
    <w:semiHidden/>
    <w:rPr>
      <w:rFonts w:ascii="Courier New" w:hAnsi="Courier New" w:cs="Courier New"/>
      <w:lang w:eastAsia="zh-CN"/>
    </w:rPr>
  </w:style>
  <w:style w:type="paragraph" w:styleId="Salutation">
    <w:name w:val="Salutation"/>
    <w:basedOn w:val="Normal"/>
    <w:next w:val="Normal"/>
    <w:link w:val="SalutationChar"/>
    <w:uiPriority w:val="99"/>
    <w:semiHidden/>
  </w:style>
  <w:style w:type="character" w:customStyle="1" w:styleId="SalutationChar">
    <w:name w:val="Salutation Char"/>
    <w:link w:val="Salutation"/>
    <w:uiPriority w:val="99"/>
    <w:semiHidden/>
    <w:rPr>
      <w:rFonts w:ascii="Arial" w:hAnsi="Arial"/>
      <w:lang w:eastAsia="zh-CN"/>
    </w:rPr>
  </w:style>
  <w:style w:type="character" w:styleId="Strong">
    <w:name w:val="Strong"/>
    <w:uiPriority w:val="22"/>
    <w:qFormat/>
    <w:rPr>
      <w:b/>
    </w:rPr>
  </w:style>
  <w:style w:type="table" w:styleId="Table3Deffects1">
    <w:name w:val="Table 3D effects 1"/>
    <w:basedOn w:val="TableNormal"/>
    <w:uiPriority w:val="99"/>
    <w:semiHidden/>
    <w:pPr>
      <w:spacing w:before="200" w:line="24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before="200" w:line="24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before="200" w:line="24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before="200" w:line="24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pPr>
      <w:spacing w:before="0"/>
    </w:pPr>
  </w:style>
  <w:style w:type="paragraph" w:customStyle="1" w:styleId="HeaderLine">
    <w:name w:val="HeaderLine"/>
    <w:basedOn w:val="Header"/>
    <w:next w:val="Header"/>
    <w:pPr>
      <w:pBdr>
        <w:bottom w:val="single" w:sz="8" w:space="0" w:color="auto"/>
      </w:pBdr>
      <w:spacing w:line="240" w:lineRule="auto"/>
      <w:ind w:left="-851" w:right="28"/>
    </w:pPr>
    <w:rPr>
      <w:sz w:val="6"/>
    </w:rPr>
  </w:style>
  <w:style w:type="paragraph" w:customStyle="1" w:styleId="FooterLine">
    <w:name w:val="FooterLine"/>
    <w:basedOn w:val="Footer"/>
    <w:next w:val="Footer"/>
    <w:pPr>
      <w:pBdr>
        <w:top w:val="single" w:sz="8" w:space="0" w:color="auto"/>
      </w:pBdr>
      <w:spacing w:line="240" w:lineRule="auto"/>
      <w:ind w:right="28"/>
    </w:pPr>
    <w:rPr>
      <w:sz w:val="6"/>
    </w:rPr>
  </w:style>
  <w:style w:type="paragraph" w:customStyle="1" w:styleId="NormalNoSpaceIndent">
    <w:name w:val="Normal NoSpace Indent"/>
    <w:basedOn w:val="NormalIndent"/>
    <w:next w:val="Normal"/>
    <w:pPr>
      <w:spacing w:before="0"/>
    </w:pPr>
  </w:style>
  <w:style w:type="character" w:customStyle="1" w:styleId="AACitation">
    <w:name w:val="AACitation"/>
    <w:uiPriority w:val="1"/>
    <w:rsid w:val="00E61860"/>
    <w:rPr>
      <w:i/>
    </w:rPr>
  </w:style>
  <w:style w:type="paragraph" w:customStyle="1" w:styleId="Schedule">
    <w:name w:val="Schedule"/>
    <w:basedOn w:val="Normal"/>
    <w:next w:val="ScheduleHeading"/>
    <w:rsid w:val="00B65AA7"/>
    <w:pPr>
      <w:keepNext/>
      <w:numPr>
        <w:numId w:val="29"/>
      </w:numPr>
      <w:spacing w:line="288" w:lineRule="auto"/>
      <w:outlineLvl w:val="0"/>
    </w:pPr>
    <w:rPr>
      <w:b/>
      <w:sz w:val="22"/>
      <w:lang w:eastAsia="en-US"/>
    </w:rPr>
  </w:style>
  <w:style w:type="paragraph" w:customStyle="1" w:styleId="ScheduleHeading">
    <w:name w:val="Schedule Heading"/>
    <w:basedOn w:val="Normal"/>
    <w:next w:val="Schedule1"/>
    <w:rsid w:val="00B65AA7"/>
    <w:pPr>
      <w:keepNext/>
      <w:numPr>
        <w:ilvl w:val="1"/>
        <w:numId w:val="29"/>
      </w:numPr>
      <w:spacing w:before="160" w:line="288" w:lineRule="auto"/>
      <w:outlineLvl w:val="1"/>
    </w:pPr>
    <w:rPr>
      <w:b/>
      <w:sz w:val="22"/>
      <w:lang w:eastAsia="en-US"/>
    </w:rPr>
  </w:style>
  <w:style w:type="paragraph" w:customStyle="1" w:styleId="Schedule1">
    <w:name w:val="Schedule 1"/>
    <w:basedOn w:val="Normal"/>
    <w:next w:val="Schedule2"/>
    <w:rsid w:val="00B65AA7"/>
    <w:pPr>
      <w:keepNext/>
      <w:numPr>
        <w:ilvl w:val="2"/>
        <w:numId w:val="29"/>
      </w:numPr>
      <w:spacing w:line="288" w:lineRule="auto"/>
    </w:pPr>
    <w:rPr>
      <w:b/>
      <w:sz w:val="22"/>
      <w:lang w:eastAsia="en-US"/>
    </w:rPr>
  </w:style>
  <w:style w:type="paragraph" w:customStyle="1" w:styleId="Schedule2">
    <w:name w:val="Schedule 2"/>
    <w:basedOn w:val="Normal"/>
    <w:next w:val="NormalIndent"/>
    <w:rsid w:val="00B65AA7"/>
    <w:pPr>
      <w:keepNext/>
      <w:numPr>
        <w:ilvl w:val="3"/>
        <w:numId w:val="29"/>
      </w:numPr>
      <w:spacing w:before="160" w:line="288" w:lineRule="auto"/>
    </w:pPr>
    <w:rPr>
      <w:b/>
      <w:sz w:val="21"/>
      <w:lang w:eastAsia="en-US"/>
    </w:rPr>
  </w:style>
  <w:style w:type="paragraph" w:customStyle="1" w:styleId="Schedule3">
    <w:name w:val="Schedule 3"/>
    <w:basedOn w:val="Normal"/>
    <w:rsid w:val="00B65AA7"/>
    <w:pPr>
      <w:numPr>
        <w:ilvl w:val="4"/>
        <w:numId w:val="29"/>
      </w:numPr>
      <w:spacing w:before="100" w:line="288" w:lineRule="auto"/>
    </w:pPr>
    <w:rPr>
      <w:lang w:eastAsia="en-US"/>
    </w:rPr>
  </w:style>
  <w:style w:type="paragraph" w:customStyle="1" w:styleId="Schedule4">
    <w:name w:val="Schedule 4"/>
    <w:basedOn w:val="Normal"/>
    <w:link w:val="Schedule4Char"/>
    <w:rsid w:val="00B65AA7"/>
    <w:pPr>
      <w:numPr>
        <w:ilvl w:val="5"/>
        <w:numId w:val="29"/>
      </w:numPr>
      <w:spacing w:before="100" w:line="288" w:lineRule="auto"/>
    </w:pPr>
    <w:rPr>
      <w:lang w:eastAsia="en-US"/>
    </w:rPr>
  </w:style>
  <w:style w:type="paragraph" w:customStyle="1" w:styleId="Schedule5">
    <w:name w:val="Schedule 5"/>
    <w:basedOn w:val="Normal"/>
    <w:rsid w:val="00B65AA7"/>
    <w:pPr>
      <w:numPr>
        <w:ilvl w:val="6"/>
        <w:numId w:val="29"/>
      </w:numPr>
      <w:spacing w:before="100" w:line="288" w:lineRule="auto"/>
    </w:pPr>
    <w:rPr>
      <w:lang w:eastAsia="en-US"/>
    </w:rPr>
  </w:style>
  <w:style w:type="paragraph" w:customStyle="1" w:styleId="Schedule6">
    <w:name w:val="Schedule 6"/>
    <w:basedOn w:val="Normal"/>
    <w:rsid w:val="00B65AA7"/>
    <w:pPr>
      <w:numPr>
        <w:ilvl w:val="7"/>
        <w:numId w:val="29"/>
      </w:numPr>
      <w:spacing w:before="100" w:line="288" w:lineRule="auto"/>
    </w:pPr>
    <w:rPr>
      <w:lang w:eastAsia="en-US"/>
    </w:rPr>
  </w:style>
  <w:style w:type="character" w:customStyle="1" w:styleId="Schedule4Char">
    <w:name w:val="Schedule 4 Char"/>
    <w:link w:val="Schedule4"/>
    <w:locked/>
    <w:rsid w:val="00B65AA7"/>
    <w:rPr>
      <w:rFonts w:ascii="Arial" w:hAnsi="Arial"/>
      <w:lang w:eastAsia="en-US"/>
    </w:rPr>
  </w:style>
  <w:style w:type="character" w:customStyle="1" w:styleId="Choice">
    <w:name w:val="Choice"/>
    <w:rsid w:val="00D60B63"/>
    <w:rPr>
      <w:rFonts w:ascii="Arial" w:hAnsi="Arial"/>
      <w:b/>
      <w:sz w:val="18"/>
      <w:vertAlign w:val="baseline"/>
      <w:lang w:val="en-AU"/>
    </w:rPr>
  </w:style>
  <w:style w:type="paragraph" w:customStyle="1" w:styleId="Headersub">
    <w:name w:val="Header sub"/>
    <w:basedOn w:val="Normal"/>
    <w:rsid w:val="007B0D67"/>
    <w:pPr>
      <w:spacing w:before="0" w:after="1240" w:line="240" w:lineRule="auto"/>
    </w:pPr>
    <w:rPr>
      <w:sz w:val="36"/>
      <w:lang w:eastAsia="en-US"/>
    </w:rPr>
  </w:style>
  <w:style w:type="paragraph" w:styleId="Revision">
    <w:name w:val="Revision"/>
    <w:hidden/>
    <w:uiPriority w:val="99"/>
    <w:semiHidden/>
    <w:rsid w:val="00387DCF"/>
    <w:rPr>
      <w:rFonts w:ascii="Arial"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0" w:line="240" w:lineRule="atLeast"/>
    </w:pPr>
    <w:rPr>
      <w:rFonts w:ascii="Arial" w:hAnsi="Arial"/>
      <w:lang w:eastAsia="zh-CN"/>
    </w:rPr>
  </w:style>
  <w:style w:type="paragraph" w:styleId="Heading1">
    <w:name w:val="heading 1"/>
    <w:basedOn w:val="Normal"/>
    <w:next w:val="Normal"/>
    <w:link w:val="Heading1Char"/>
    <w:uiPriority w:val="9"/>
    <w:qFormat/>
    <w:pPr>
      <w:keepNext/>
      <w:numPr>
        <w:numId w:val="23"/>
      </w:numPr>
      <w:outlineLvl w:val="0"/>
    </w:pPr>
    <w:rPr>
      <w:rFonts w:cs="Arial"/>
      <w:bCs/>
    </w:rPr>
  </w:style>
  <w:style w:type="paragraph" w:styleId="Heading2">
    <w:name w:val="heading 2"/>
    <w:basedOn w:val="Normal"/>
    <w:next w:val="Level1fo"/>
    <w:link w:val="Heading2Char"/>
    <w:uiPriority w:val="9"/>
    <w:qFormat/>
    <w:pPr>
      <w:numPr>
        <w:ilvl w:val="1"/>
        <w:numId w:val="23"/>
      </w:numPr>
      <w:outlineLvl w:val="1"/>
    </w:pPr>
    <w:rPr>
      <w:rFonts w:cs="Arial"/>
      <w:bCs/>
      <w:iCs/>
    </w:rPr>
  </w:style>
  <w:style w:type="paragraph" w:styleId="Heading3">
    <w:name w:val="heading 3"/>
    <w:basedOn w:val="Normal"/>
    <w:next w:val="Level11fo"/>
    <w:link w:val="Heading3Char"/>
    <w:uiPriority w:val="9"/>
    <w:qFormat/>
    <w:pPr>
      <w:numPr>
        <w:ilvl w:val="2"/>
        <w:numId w:val="23"/>
      </w:numPr>
      <w:outlineLvl w:val="2"/>
    </w:pPr>
    <w:rPr>
      <w:rFonts w:cs="Arial"/>
      <w:bCs/>
      <w:szCs w:val="26"/>
    </w:rPr>
  </w:style>
  <w:style w:type="paragraph" w:styleId="Heading4">
    <w:name w:val="heading 4"/>
    <w:basedOn w:val="Normal"/>
    <w:next w:val="Levelafo"/>
    <w:link w:val="Heading4Char"/>
    <w:uiPriority w:val="9"/>
    <w:qFormat/>
    <w:pPr>
      <w:numPr>
        <w:ilvl w:val="3"/>
        <w:numId w:val="23"/>
      </w:numPr>
      <w:outlineLvl w:val="3"/>
    </w:pPr>
    <w:rPr>
      <w:bCs/>
      <w:szCs w:val="28"/>
    </w:rPr>
  </w:style>
  <w:style w:type="paragraph" w:styleId="Heading5">
    <w:name w:val="heading 5"/>
    <w:basedOn w:val="Normal"/>
    <w:next w:val="Levelifo"/>
    <w:link w:val="Heading5Char"/>
    <w:uiPriority w:val="9"/>
    <w:qFormat/>
    <w:pPr>
      <w:numPr>
        <w:ilvl w:val="4"/>
        <w:numId w:val="23"/>
      </w:numPr>
      <w:outlineLvl w:val="4"/>
    </w:pPr>
    <w:rPr>
      <w:bCs/>
      <w:iCs/>
      <w:szCs w:val="26"/>
    </w:rPr>
  </w:style>
  <w:style w:type="paragraph" w:styleId="Heading6">
    <w:name w:val="heading 6"/>
    <w:basedOn w:val="Normal"/>
    <w:next w:val="LevelAfo0"/>
    <w:link w:val="Heading6Char"/>
    <w:uiPriority w:val="9"/>
    <w:qFormat/>
    <w:pPr>
      <w:numPr>
        <w:ilvl w:val="5"/>
        <w:numId w:val="23"/>
      </w:numPr>
      <w:outlineLvl w:val="5"/>
    </w:pPr>
    <w:rPr>
      <w:bCs/>
      <w:szCs w:val="22"/>
    </w:rPr>
  </w:style>
  <w:style w:type="paragraph" w:styleId="Heading7">
    <w:name w:val="heading 7"/>
    <w:basedOn w:val="Normal"/>
    <w:next w:val="LevelIfo0"/>
    <w:link w:val="Heading7Char"/>
    <w:uiPriority w:val="9"/>
    <w:qFormat/>
    <w:pPr>
      <w:numPr>
        <w:ilvl w:val="6"/>
        <w:numId w:val="23"/>
      </w:numPr>
      <w:outlineLvl w:val="6"/>
    </w:pPr>
  </w:style>
  <w:style w:type="paragraph" w:styleId="Heading8">
    <w:name w:val="heading 8"/>
    <w:basedOn w:val="Normal"/>
    <w:next w:val="Normal"/>
    <w:link w:val="Heading8Char"/>
    <w:uiPriority w:val="9"/>
    <w:qFormat/>
    <w:pPr>
      <w:numPr>
        <w:ilvl w:val="7"/>
        <w:numId w:val="23"/>
      </w:numPr>
      <w:outlineLvl w:val="7"/>
    </w:pPr>
    <w:rPr>
      <w:iCs/>
    </w:rPr>
  </w:style>
  <w:style w:type="paragraph" w:styleId="Heading9">
    <w:name w:val="heading 9"/>
    <w:basedOn w:val="Normal"/>
    <w:next w:val="Normal"/>
    <w:link w:val="Heading9Char"/>
    <w:uiPriority w:val="9"/>
    <w:qFormat/>
    <w:pPr>
      <w:numPr>
        <w:ilvl w:val="8"/>
        <w:numId w:val="23"/>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hAnsi="Arial" w:cs="Arial"/>
      <w:bCs/>
      <w:lang w:eastAsia="zh-CN"/>
    </w:rPr>
  </w:style>
  <w:style w:type="character" w:customStyle="1" w:styleId="Heading2Char">
    <w:name w:val="Heading 2 Char"/>
    <w:link w:val="Heading2"/>
    <w:uiPriority w:val="9"/>
    <w:rPr>
      <w:rFonts w:ascii="Arial" w:hAnsi="Arial" w:cs="Arial"/>
      <w:bCs/>
      <w:iCs/>
      <w:lang w:eastAsia="zh-CN"/>
    </w:rPr>
  </w:style>
  <w:style w:type="character" w:customStyle="1" w:styleId="Heading3Char">
    <w:name w:val="Heading 3 Char"/>
    <w:link w:val="Heading3"/>
    <w:uiPriority w:val="9"/>
    <w:rPr>
      <w:rFonts w:ascii="Arial" w:hAnsi="Arial" w:cs="Arial"/>
      <w:bCs/>
      <w:szCs w:val="26"/>
      <w:lang w:eastAsia="zh-CN"/>
    </w:rPr>
  </w:style>
  <w:style w:type="character" w:customStyle="1" w:styleId="Heading4Char">
    <w:name w:val="Heading 4 Char"/>
    <w:link w:val="Heading4"/>
    <w:uiPriority w:val="9"/>
    <w:rPr>
      <w:rFonts w:ascii="Arial" w:hAnsi="Arial"/>
      <w:bCs/>
      <w:szCs w:val="28"/>
      <w:lang w:eastAsia="zh-CN"/>
    </w:rPr>
  </w:style>
  <w:style w:type="character" w:customStyle="1" w:styleId="Heading5Char">
    <w:name w:val="Heading 5 Char"/>
    <w:link w:val="Heading5"/>
    <w:uiPriority w:val="9"/>
    <w:rPr>
      <w:rFonts w:ascii="Arial" w:hAnsi="Arial"/>
      <w:bCs/>
      <w:iCs/>
      <w:szCs w:val="26"/>
      <w:lang w:eastAsia="zh-CN"/>
    </w:rPr>
  </w:style>
  <w:style w:type="character" w:customStyle="1" w:styleId="Heading6Char">
    <w:name w:val="Heading 6 Char"/>
    <w:link w:val="Heading6"/>
    <w:uiPriority w:val="9"/>
    <w:rPr>
      <w:rFonts w:ascii="Arial" w:hAnsi="Arial"/>
      <w:bCs/>
      <w:szCs w:val="22"/>
      <w:lang w:eastAsia="zh-CN"/>
    </w:rPr>
  </w:style>
  <w:style w:type="character" w:customStyle="1" w:styleId="Heading7Char">
    <w:name w:val="Heading 7 Char"/>
    <w:link w:val="Heading7"/>
    <w:uiPriority w:val="9"/>
    <w:rPr>
      <w:rFonts w:ascii="Arial" w:hAnsi="Arial"/>
      <w:lang w:eastAsia="zh-CN"/>
    </w:rPr>
  </w:style>
  <w:style w:type="character" w:customStyle="1" w:styleId="Heading8Char">
    <w:name w:val="Heading 8 Char"/>
    <w:link w:val="Heading8"/>
    <w:uiPriority w:val="9"/>
    <w:rPr>
      <w:rFonts w:ascii="Arial" w:hAnsi="Arial"/>
      <w:iCs/>
      <w:lang w:eastAsia="zh-CN"/>
    </w:rPr>
  </w:style>
  <w:style w:type="character" w:customStyle="1" w:styleId="Heading9Char">
    <w:name w:val="Heading 9 Char"/>
    <w:link w:val="Heading9"/>
    <w:uiPriority w:val="9"/>
    <w:rPr>
      <w:rFonts w:ascii="Arial" w:hAnsi="Arial" w:cs="Arial"/>
      <w:lang w:eastAsia="zh-CN"/>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zh-CN"/>
    </w:rPr>
  </w:style>
  <w:style w:type="paragraph" w:styleId="Caption">
    <w:name w:val="caption"/>
    <w:basedOn w:val="Normal"/>
    <w:next w:val="Normal"/>
    <w:uiPriority w:val="35"/>
    <w:qFormat/>
    <w:pPr>
      <w:spacing w:before="100" w:after="100"/>
    </w:pPr>
    <w:rPr>
      <w:b/>
      <w:bCs/>
      <w:sz w:val="16"/>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line="240" w:lineRule="auto"/>
    </w:pPr>
    <w:rPr>
      <w:sz w:val="16"/>
    </w:rPr>
  </w:style>
  <w:style w:type="character" w:customStyle="1" w:styleId="CommentTextChar">
    <w:name w:val="Comment Text Char"/>
    <w:link w:val="CommentText"/>
    <w:uiPriority w:val="99"/>
    <w:semiHidden/>
    <w:rPr>
      <w:rFonts w:ascii="Arial" w:hAnsi="Arial"/>
      <w:lang w:eastAsia="zh-C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Arial" w:hAnsi="Arial"/>
      <w:b/>
      <w:bCs/>
      <w:lang w:eastAsia="zh-C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lang w:eastAsia="zh-CN"/>
    </w:rPr>
  </w:style>
  <w:style w:type="character" w:styleId="EndnoteReference">
    <w:name w:val="endnote reference"/>
    <w:uiPriority w:val="99"/>
    <w:semiHidden/>
    <w:rPr>
      <w:sz w:val="16"/>
      <w:vertAlign w:val="superscript"/>
    </w:rPr>
  </w:style>
  <w:style w:type="paragraph" w:styleId="EndnoteText">
    <w:name w:val="endnote text"/>
    <w:basedOn w:val="Normal"/>
    <w:link w:val="EndnoteTextChar"/>
    <w:uiPriority w:val="99"/>
    <w:semiHidden/>
    <w:pPr>
      <w:spacing w:line="240" w:lineRule="auto"/>
      <w:ind w:left="720" w:hanging="720"/>
    </w:pPr>
    <w:rPr>
      <w:sz w:val="16"/>
    </w:rPr>
  </w:style>
  <w:style w:type="character" w:customStyle="1" w:styleId="EndnoteTextChar">
    <w:name w:val="Endnote Text Char"/>
    <w:link w:val="EndnoteText"/>
    <w:uiPriority w:val="99"/>
    <w:semiHidden/>
    <w:rPr>
      <w:rFonts w:ascii="Arial" w:hAnsi="Arial"/>
      <w:lang w:eastAsia="zh-CN"/>
    </w:rPr>
  </w:style>
  <w:style w:type="character" w:styleId="FootnoteReference">
    <w:name w:val="footnote reference"/>
    <w:uiPriority w:val="99"/>
    <w:rPr>
      <w:sz w:val="16"/>
      <w:vertAlign w:val="superscript"/>
    </w:rPr>
  </w:style>
  <w:style w:type="paragraph" w:styleId="FootnoteText">
    <w:name w:val="footnote text"/>
    <w:aliases w:val="Car"/>
    <w:basedOn w:val="Normal"/>
    <w:link w:val="FootnoteTextChar"/>
    <w:uiPriority w:val="99"/>
    <w:pPr>
      <w:spacing w:line="240" w:lineRule="auto"/>
      <w:ind w:left="720" w:hanging="720"/>
    </w:pPr>
    <w:rPr>
      <w:sz w:val="16"/>
    </w:rPr>
  </w:style>
  <w:style w:type="character" w:customStyle="1" w:styleId="FootnoteTextChar">
    <w:name w:val="Footnote Text Char"/>
    <w:aliases w:val="Car Char"/>
    <w:link w:val="FootnoteText"/>
    <w:uiPriority w:val="99"/>
    <w:locked/>
    <w:rsid w:val="00D17461"/>
    <w:rPr>
      <w:rFonts w:ascii="Arial" w:eastAsia="SimSun" w:hAnsi="Arial"/>
      <w:sz w:val="16"/>
      <w:lang w:val="en-AU" w:eastAsia="zh-CN"/>
    </w:rPr>
  </w:style>
  <w:style w:type="paragraph" w:styleId="Index1">
    <w:name w:val="index 1"/>
    <w:basedOn w:val="Normal"/>
    <w:next w:val="Normal"/>
    <w:uiPriority w:val="99"/>
    <w:semiHidden/>
    <w:pPr>
      <w:ind w:left="200" w:hanging="200"/>
    </w:pPr>
  </w:style>
  <w:style w:type="paragraph" w:styleId="Index2">
    <w:name w:val="index 2"/>
    <w:basedOn w:val="Normal"/>
    <w:next w:val="Normal"/>
    <w:uiPriority w:val="99"/>
    <w:semiHidden/>
    <w:pPr>
      <w:ind w:left="400" w:hanging="200"/>
    </w:pPr>
  </w:style>
  <w:style w:type="paragraph" w:styleId="Index3">
    <w:name w:val="index 3"/>
    <w:basedOn w:val="Normal"/>
    <w:next w:val="Normal"/>
    <w:uiPriority w:val="99"/>
    <w:semiHidden/>
    <w:pPr>
      <w:ind w:left="600" w:hanging="200"/>
    </w:pPr>
  </w:style>
  <w:style w:type="paragraph" w:styleId="Index4">
    <w:name w:val="index 4"/>
    <w:basedOn w:val="Normal"/>
    <w:next w:val="Normal"/>
    <w:uiPriority w:val="99"/>
    <w:semiHidden/>
    <w:pPr>
      <w:ind w:left="800" w:hanging="200"/>
    </w:pPr>
  </w:style>
  <w:style w:type="paragraph" w:styleId="Index5">
    <w:name w:val="index 5"/>
    <w:basedOn w:val="Normal"/>
    <w:next w:val="Normal"/>
    <w:uiPriority w:val="99"/>
    <w:semiHidden/>
    <w:pPr>
      <w:ind w:left="1000" w:hanging="200"/>
    </w:pPr>
  </w:style>
  <w:style w:type="paragraph" w:styleId="Index6">
    <w:name w:val="index 6"/>
    <w:basedOn w:val="Normal"/>
    <w:next w:val="Normal"/>
    <w:uiPriority w:val="99"/>
    <w:semiHidden/>
    <w:pPr>
      <w:ind w:left="1200" w:hanging="200"/>
    </w:pPr>
  </w:style>
  <w:style w:type="paragraph" w:styleId="Index7">
    <w:name w:val="index 7"/>
    <w:basedOn w:val="Normal"/>
    <w:next w:val="Normal"/>
    <w:uiPriority w:val="99"/>
    <w:semiHidden/>
    <w:pPr>
      <w:ind w:left="1400" w:hanging="200"/>
    </w:pPr>
  </w:style>
  <w:style w:type="paragraph" w:styleId="Index8">
    <w:name w:val="index 8"/>
    <w:basedOn w:val="Normal"/>
    <w:next w:val="Normal"/>
    <w:uiPriority w:val="99"/>
    <w:semiHidden/>
    <w:pPr>
      <w:ind w:left="1600" w:hanging="200"/>
    </w:pPr>
  </w:style>
  <w:style w:type="paragraph" w:styleId="Index9">
    <w:name w:val="index 9"/>
    <w:basedOn w:val="Normal"/>
    <w:next w:val="Normal"/>
    <w:uiPriority w:val="99"/>
    <w:semiHidden/>
    <w:pPr>
      <w:ind w:left="1800" w:hanging="200"/>
    </w:pPr>
  </w:style>
  <w:style w:type="paragraph" w:styleId="IndexHeading">
    <w:name w:val="index heading"/>
    <w:basedOn w:val="Normal"/>
    <w:next w:val="Index1"/>
    <w:uiPriority w:val="99"/>
    <w:semiHidden/>
    <w:rPr>
      <w:rFonts w:cs="Arial"/>
      <w:b/>
      <w:bCs/>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lang w:eastAsia="zh-CN"/>
    </w:rPr>
  </w:style>
  <w:style w:type="character" w:customStyle="1" w:styleId="MacroTextChar">
    <w:name w:val="Macro Text Char"/>
    <w:link w:val="MacroText"/>
    <w:uiPriority w:val="99"/>
    <w:semiHidden/>
    <w:rPr>
      <w:rFonts w:ascii="Courier New" w:hAnsi="Courier New" w:cs="Courier New"/>
      <w:lang w:eastAsia="zh-CN"/>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style>
  <w:style w:type="paragraph" w:styleId="TOAHeading">
    <w:name w:val="toa heading"/>
    <w:basedOn w:val="Normal"/>
    <w:next w:val="Normal"/>
    <w:uiPriority w:val="99"/>
    <w:semiHidden/>
    <w:rPr>
      <w:rFonts w:cs="Arial"/>
      <w:b/>
      <w:bCs/>
      <w:szCs w:val="24"/>
    </w:rPr>
  </w:style>
  <w:style w:type="paragraph" w:styleId="TOC1">
    <w:name w:val="toc 1"/>
    <w:basedOn w:val="Normal"/>
    <w:next w:val="Normal"/>
    <w:uiPriority w:val="39"/>
    <w:semiHidden/>
    <w:pPr>
      <w:tabs>
        <w:tab w:val="right" w:pos="8820"/>
      </w:tabs>
      <w:ind w:right="867"/>
    </w:pPr>
  </w:style>
  <w:style w:type="paragraph" w:styleId="TOC2">
    <w:name w:val="toc 2"/>
    <w:basedOn w:val="TOC1"/>
    <w:next w:val="Normal"/>
    <w:uiPriority w:val="39"/>
    <w:semiHidden/>
    <w:pPr>
      <w:ind w:left="720" w:right="864" w:hanging="720"/>
    </w:pPr>
  </w:style>
  <w:style w:type="paragraph" w:styleId="TOC3">
    <w:name w:val="toc 3"/>
    <w:basedOn w:val="TOC1"/>
    <w:next w:val="Normal"/>
    <w:uiPriority w:val="39"/>
    <w:semiHidden/>
    <w:pPr>
      <w:ind w:left="1440" w:right="864" w:hanging="720"/>
    </w:pPr>
  </w:style>
  <w:style w:type="paragraph" w:styleId="TOC4">
    <w:name w:val="toc 4"/>
    <w:basedOn w:val="TOC1"/>
    <w:next w:val="Normal"/>
    <w:uiPriority w:val="39"/>
    <w:semiHidden/>
    <w:pPr>
      <w:ind w:left="2160" w:right="864" w:hanging="720"/>
    </w:pPr>
  </w:style>
  <w:style w:type="paragraph" w:styleId="TOC5">
    <w:name w:val="toc 5"/>
    <w:basedOn w:val="TOC1"/>
    <w:next w:val="Normal"/>
    <w:uiPriority w:val="39"/>
    <w:semiHidden/>
    <w:pPr>
      <w:ind w:left="2880" w:hanging="720"/>
    </w:pPr>
  </w:style>
  <w:style w:type="paragraph" w:styleId="TOC6">
    <w:name w:val="toc 6"/>
    <w:basedOn w:val="TOC1"/>
    <w:next w:val="Normal"/>
    <w:uiPriority w:val="39"/>
    <w:semiHidden/>
    <w:pPr>
      <w:ind w:left="3600" w:right="864" w:hanging="720"/>
    </w:pPr>
  </w:style>
  <w:style w:type="paragraph" w:styleId="TOC7">
    <w:name w:val="toc 7"/>
    <w:basedOn w:val="TOC1"/>
    <w:next w:val="Normal"/>
    <w:uiPriority w:val="39"/>
    <w:semiHidden/>
    <w:pPr>
      <w:ind w:left="720" w:right="864" w:hanging="720"/>
    </w:pPr>
  </w:style>
  <w:style w:type="paragraph" w:styleId="TOC8">
    <w:name w:val="toc 8"/>
    <w:basedOn w:val="TOC1"/>
    <w:next w:val="Normal"/>
    <w:uiPriority w:val="39"/>
    <w:semiHidden/>
    <w:pPr>
      <w:ind w:left="720" w:right="864" w:hanging="720"/>
    </w:pPr>
  </w:style>
  <w:style w:type="paragraph" w:styleId="TOC9">
    <w:name w:val="toc 9"/>
    <w:basedOn w:val="TOC1"/>
    <w:next w:val="Normal"/>
    <w:uiPriority w:val="39"/>
    <w:semiHidden/>
    <w:pPr>
      <w:ind w:left="720" w:right="864" w:hanging="720"/>
    </w:pPr>
  </w:style>
  <w:style w:type="paragraph" w:styleId="BlockText">
    <w:name w:val="Block Text"/>
    <w:basedOn w:val="Normal"/>
    <w:uiPriority w:val="99"/>
    <w:semiHidden/>
    <w:pPr>
      <w:ind w:left="1440" w:right="1440"/>
    </w:pPr>
  </w:style>
  <w:style w:type="paragraph" w:styleId="BodyText">
    <w:name w:val="Body Text"/>
    <w:basedOn w:val="Normal"/>
    <w:link w:val="BodyTextChar"/>
    <w:uiPriority w:val="99"/>
    <w:semiHidden/>
  </w:style>
  <w:style w:type="character" w:customStyle="1" w:styleId="BodyTextChar">
    <w:name w:val="Body Text Char"/>
    <w:link w:val="BodyText"/>
    <w:uiPriority w:val="99"/>
    <w:semiHidden/>
    <w:rPr>
      <w:rFonts w:ascii="Arial" w:hAnsi="Arial"/>
      <w:lang w:eastAsia="zh-CN"/>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link w:val="BodyText2"/>
    <w:uiPriority w:val="99"/>
    <w:semiHidden/>
    <w:rPr>
      <w:rFonts w:ascii="Arial" w:hAnsi="Arial"/>
      <w:lang w:eastAsia="zh-CN"/>
    </w:rPr>
  </w:style>
  <w:style w:type="paragraph" w:styleId="BodyText3">
    <w:name w:val="Body Text 3"/>
    <w:basedOn w:val="Normal"/>
    <w:link w:val="BodyText3Char"/>
    <w:uiPriority w:val="99"/>
    <w:semiHidden/>
    <w:rPr>
      <w:sz w:val="16"/>
      <w:szCs w:val="16"/>
    </w:rPr>
  </w:style>
  <w:style w:type="character" w:customStyle="1" w:styleId="BodyText3Char">
    <w:name w:val="Body Text 3 Char"/>
    <w:link w:val="BodyText3"/>
    <w:uiPriority w:val="99"/>
    <w:semiHidden/>
    <w:rPr>
      <w:rFonts w:ascii="Arial" w:hAnsi="Arial"/>
      <w:sz w:val="16"/>
      <w:szCs w:val="16"/>
      <w:lang w:eastAsia="zh-CN"/>
    </w:rPr>
  </w:style>
  <w:style w:type="paragraph" w:styleId="BodyTextFirstIndent">
    <w:name w:val="Body Text First Indent"/>
    <w:basedOn w:val="BodyText"/>
    <w:link w:val="BodyTextFirstIndentChar"/>
    <w:uiPriority w:val="99"/>
    <w:semiHidden/>
    <w:pPr>
      <w:ind w:firstLine="720"/>
    </w:pPr>
  </w:style>
  <w:style w:type="character" w:customStyle="1" w:styleId="BodyTextFirstIndentChar">
    <w:name w:val="Body Text First Indent Char"/>
    <w:link w:val="BodyTextFirstIndent"/>
    <w:uiPriority w:val="99"/>
    <w:semiHidden/>
  </w:style>
  <w:style w:type="paragraph" w:styleId="BodyTextIndent">
    <w:name w:val="Body Text Indent"/>
    <w:basedOn w:val="BodyText"/>
    <w:link w:val="BodyTextIndentChar"/>
    <w:uiPriority w:val="99"/>
    <w:semiHidden/>
    <w:pPr>
      <w:ind w:left="720"/>
    </w:pPr>
  </w:style>
  <w:style w:type="character" w:customStyle="1" w:styleId="BodyTextIndentChar">
    <w:name w:val="Body Text Indent Char"/>
    <w:link w:val="BodyTextIndent"/>
    <w:uiPriority w:val="99"/>
    <w:semiHidden/>
    <w:rPr>
      <w:rFonts w:ascii="Arial" w:hAnsi="Arial"/>
      <w:lang w:eastAsia="zh-CN"/>
    </w:rPr>
  </w:style>
  <w:style w:type="paragraph" w:styleId="BodyTextFirstIndent2">
    <w:name w:val="Body Text First Indent 2"/>
    <w:basedOn w:val="BodyTextIndent2"/>
    <w:link w:val="BodyTextFirstIndent2Char"/>
    <w:uiPriority w:val="99"/>
    <w:semiHidden/>
    <w:pPr>
      <w:ind w:left="0" w:firstLine="720"/>
    </w:pPr>
  </w:style>
  <w:style w:type="character" w:customStyle="1" w:styleId="BodyTextFirstIndent2Char">
    <w:name w:val="Body Text First Indent 2 Char"/>
    <w:link w:val="BodyTextFirstIndent2"/>
    <w:uiPriority w:val="99"/>
    <w:semiHidden/>
  </w:style>
  <w:style w:type="paragraph" w:styleId="BodyTextIndent3">
    <w:name w:val="Body Text Indent 3"/>
    <w:basedOn w:val="BodyText3"/>
    <w:link w:val="BodyTextIndent3Char"/>
    <w:uiPriority w:val="99"/>
    <w:semiHidden/>
    <w:pPr>
      <w:ind w:left="720"/>
    </w:pPr>
  </w:style>
  <w:style w:type="character" w:customStyle="1" w:styleId="BodyTextIndent3Char">
    <w:name w:val="Body Text Indent 3 Char"/>
    <w:link w:val="BodyTextIndent3"/>
    <w:uiPriority w:val="99"/>
    <w:semiHidden/>
    <w:rPr>
      <w:rFonts w:ascii="Arial" w:hAnsi="Arial"/>
      <w:sz w:val="16"/>
      <w:szCs w:val="16"/>
      <w:lang w:eastAsia="zh-CN"/>
    </w:rPr>
  </w:style>
  <w:style w:type="paragraph" w:styleId="BodyTextIndent2">
    <w:name w:val="Body Text Indent 2"/>
    <w:basedOn w:val="BodyText2"/>
    <w:link w:val="BodyTextIndent2Char"/>
    <w:uiPriority w:val="99"/>
    <w:semiHidden/>
    <w:pPr>
      <w:ind w:left="720"/>
    </w:pPr>
  </w:style>
  <w:style w:type="character" w:customStyle="1" w:styleId="BodyTextIndent2Char">
    <w:name w:val="Body Text Indent 2 Char"/>
    <w:link w:val="BodyTextIndent2"/>
    <w:uiPriority w:val="99"/>
    <w:semiHidden/>
    <w:rPr>
      <w:rFonts w:ascii="Arial" w:hAnsi="Arial"/>
      <w:lang w:eastAsia="zh-CN"/>
    </w:rPr>
  </w:style>
  <w:style w:type="paragraph" w:customStyle="1" w:styleId="sch1">
    <w:name w:val="sch1"/>
    <w:basedOn w:val="Normal"/>
    <w:next w:val="Normal"/>
    <w:pPr>
      <w:numPr>
        <w:numId w:val="21"/>
      </w:numPr>
    </w:pPr>
  </w:style>
  <w:style w:type="paragraph" w:customStyle="1" w:styleId="sch2">
    <w:name w:val="sch2"/>
    <w:basedOn w:val="Normal"/>
    <w:next w:val="Level1fo"/>
    <w:pPr>
      <w:numPr>
        <w:ilvl w:val="1"/>
        <w:numId w:val="21"/>
      </w:numPr>
    </w:pPr>
  </w:style>
  <w:style w:type="paragraph" w:customStyle="1" w:styleId="sch3">
    <w:name w:val="sch3"/>
    <w:basedOn w:val="Normal"/>
    <w:next w:val="Level11fo"/>
    <w:pPr>
      <w:numPr>
        <w:ilvl w:val="2"/>
        <w:numId w:val="21"/>
      </w:numPr>
    </w:pPr>
  </w:style>
  <w:style w:type="paragraph" w:customStyle="1" w:styleId="sch4">
    <w:name w:val="sch4"/>
    <w:basedOn w:val="Normal"/>
    <w:next w:val="Levelafo"/>
    <w:pPr>
      <w:numPr>
        <w:ilvl w:val="3"/>
        <w:numId w:val="21"/>
      </w:numPr>
    </w:pPr>
  </w:style>
  <w:style w:type="paragraph" w:customStyle="1" w:styleId="sch5">
    <w:name w:val="sch5"/>
    <w:basedOn w:val="Normal"/>
    <w:next w:val="Levelifo"/>
    <w:pPr>
      <w:numPr>
        <w:ilvl w:val="4"/>
        <w:numId w:val="21"/>
      </w:numPr>
    </w:pPr>
  </w:style>
  <w:style w:type="paragraph" w:customStyle="1" w:styleId="sch6">
    <w:name w:val="sch6"/>
    <w:basedOn w:val="Normal"/>
    <w:next w:val="LevelAfo0"/>
    <w:pPr>
      <w:numPr>
        <w:ilvl w:val="5"/>
        <w:numId w:val="21"/>
      </w:numPr>
    </w:pPr>
  </w:style>
  <w:style w:type="paragraph" w:customStyle="1" w:styleId="Level1fo">
    <w:name w:val="Level 1.fo"/>
    <w:basedOn w:val="Normal"/>
    <w:pPr>
      <w:ind w:left="720"/>
    </w:pPr>
  </w:style>
  <w:style w:type="paragraph" w:customStyle="1" w:styleId="Level1">
    <w:name w:val="Level 1."/>
    <w:basedOn w:val="Normal"/>
    <w:next w:val="Level1fo"/>
    <w:pPr>
      <w:numPr>
        <w:numId w:val="22"/>
      </w:numPr>
      <w:outlineLvl w:val="0"/>
    </w:pPr>
  </w:style>
  <w:style w:type="paragraph" w:customStyle="1" w:styleId="Level11fo">
    <w:name w:val="Level 1.1fo"/>
    <w:basedOn w:val="Normal"/>
    <w:pPr>
      <w:ind w:left="720"/>
    </w:pPr>
  </w:style>
  <w:style w:type="paragraph" w:customStyle="1" w:styleId="Level11">
    <w:name w:val="Level 1.1"/>
    <w:basedOn w:val="Normal"/>
    <w:next w:val="Level11fo"/>
    <w:pPr>
      <w:numPr>
        <w:ilvl w:val="1"/>
        <w:numId w:val="22"/>
      </w:numPr>
      <w:outlineLvl w:val="1"/>
    </w:pPr>
  </w:style>
  <w:style w:type="paragraph" w:customStyle="1" w:styleId="Levelafo">
    <w:name w:val="Level (a)fo"/>
    <w:basedOn w:val="Normal"/>
    <w:pPr>
      <w:ind w:left="1440"/>
    </w:pPr>
  </w:style>
  <w:style w:type="paragraph" w:customStyle="1" w:styleId="Levela">
    <w:name w:val="Level (a)"/>
    <w:basedOn w:val="Normal"/>
    <w:next w:val="Levelafo"/>
    <w:pPr>
      <w:numPr>
        <w:ilvl w:val="2"/>
        <w:numId w:val="22"/>
      </w:numPr>
      <w:outlineLvl w:val="2"/>
    </w:pPr>
  </w:style>
  <w:style w:type="paragraph" w:customStyle="1" w:styleId="Levelifo">
    <w:name w:val="Level (i)fo"/>
    <w:basedOn w:val="Normal"/>
    <w:pPr>
      <w:ind w:left="2160"/>
    </w:pPr>
  </w:style>
  <w:style w:type="paragraph" w:customStyle="1" w:styleId="Leveli">
    <w:name w:val="Level (i)"/>
    <w:basedOn w:val="Normal"/>
    <w:next w:val="Levelifo"/>
    <w:pPr>
      <w:numPr>
        <w:ilvl w:val="3"/>
        <w:numId w:val="22"/>
      </w:numPr>
      <w:outlineLvl w:val="3"/>
    </w:pPr>
  </w:style>
  <w:style w:type="paragraph" w:customStyle="1" w:styleId="LevelAfo0">
    <w:name w:val="Level(A)fo"/>
    <w:basedOn w:val="Normal"/>
    <w:pPr>
      <w:ind w:left="2880"/>
    </w:pPr>
  </w:style>
  <w:style w:type="paragraph" w:customStyle="1" w:styleId="LevelA0">
    <w:name w:val="Level(A)"/>
    <w:basedOn w:val="Normal"/>
    <w:next w:val="LevelAfo0"/>
    <w:pPr>
      <w:numPr>
        <w:ilvl w:val="4"/>
        <w:numId w:val="22"/>
      </w:numPr>
      <w:outlineLvl w:val="4"/>
    </w:pPr>
  </w:style>
  <w:style w:type="paragraph" w:customStyle="1" w:styleId="LevelIfo0">
    <w:name w:val="Level(I)fo"/>
    <w:basedOn w:val="Normal"/>
    <w:pPr>
      <w:ind w:left="3600"/>
    </w:pPr>
  </w:style>
  <w:style w:type="paragraph" w:customStyle="1" w:styleId="LevelI0">
    <w:name w:val="Level(I)"/>
    <w:basedOn w:val="Normal"/>
    <w:next w:val="LevelIfo0"/>
    <w:pPr>
      <w:numPr>
        <w:ilvl w:val="5"/>
        <w:numId w:val="22"/>
      </w:numPr>
      <w:outlineLvl w:val="5"/>
    </w:pPr>
  </w:style>
  <w:style w:type="paragraph" w:styleId="Closing">
    <w:name w:val="Closing"/>
    <w:basedOn w:val="Normal"/>
    <w:link w:val="ClosingChar"/>
    <w:uiPriority w:val="99"/>
    <w:semiHidden/>
  </w:style>
  <w:style w:type="character" w:customStyle="1" w:styleId="ClosingChar">
    <w:name w:val="Closing Char"/>
    <w:link w:val="Closing"/>
    <w:uiPriority w:val="99"/>
    <w:semiHidden/>
    <w:rPr>
      <w:rFonts w:ascii="Arial" w:hAnsi="Arial"/>
      <w:lang w:eastAsia="zh-CN"/>
    </w:rPr>
  </w:style>
  <w:style w:type="paragraph" w:styleId="EnvelopeAddress">
    <w:name w:val="envelope address"/>
    <w:basedOn w:val="Normal"/>
    <w:uiPriority w:val="99"/>
    <w:semiHidden/>
    <w:pPr>
      <w:framePr w:w="7920" w:h="1980" w:hRule="exact" w:hSpace="180" w:wrap="auto" w:hAnchor="page" w:xAlign="center" w:yAlign="bottom"/>
      <w:ind w:left="2880"/>
    </w:pPr>
    <w:rPr>
      <w:rFonts w:cs="Arial"/>
      <w:szCs w:val="24"/>
    </w:rPr>
  </w:style>
  <w:style w:type="paragraph" w:styleId="Footer">
    <w:name w:val="footer"/>
    <w:basedOn w:val="Normal"/>
    <w:link w:val="FooterChar"/>
    <w:qFormat/>
    <w:pPr>
      <w:spacing w:before="0" w:line="180" w:lineRule="atLeast"/>
      <w:ind w:left="-851"/>
    </w:pPr>
    <w:rPr>
      <w:sz w:val="14"/>
      <w:szCs w:val="14"/>
    </w:rPr>
  </w:style>
  <w:style w:type="character" w:customStyle="1" w:styleId="FooterChar">
    <w:name w:val="Footer Char"/>
    <w:link w:val="Footer"/>
    <w:locked/>
    <w:rsid w:val="004B4D56"/>
    <w:rPr>
      <w:rFonts w:ascii="Arial" w:hAnsi="Arial"/>
      <w:sz w:val="14"/>
      <w:lang w:val="x-none" w:eastAsia="zh-CN"/>
    </w:rPr>
  </w:style>
  <w:style w:type="paragraph" w:styleId="Header">
    <w:name w:val="header"/>
    <w:basedOn w:val="Normal"/>
    <w:link w:val="HeaderChar"/>
    <w:uiPriority w:val="99"/>
    <w:pPr>
      <w:spacing w:before="0" w:line="180" w:lineRule="atLeast"/>
      <w:ind w:left="-850"/>
    </w:pPr>
    <w:rPr>
      <w:sz w:val="14"/>
    </w:rPr>
  </w:style>
  <w:style w:type="character" w:customStyle="1" w:styleId="HeaderChar">
    <w:name w:val="Header Char"/>
    <w:link w:val="Header"/>
    <w:uiPriority w:val="99"/>
    <w:semiHidden/>
    <w:rPr>
      <w:rFonts w:ascii="Arial" w:hAnsi="Arial"/>
      <w:lang w:eastAsia="zh-CN"/>
    </w:rPr>
  </w:style>
  <w:style w:type="paragraph" w:styleId="List">
    <w:name w:val="List"/>
    <w:basedOn w:val="Normal"/>
    <w:uiPriority w:val="99"/>
    <w:semiHidden/>
    <w:pPr>
      <w:ind w:left="720" w:hanging="720"/>
    </w:pPr>
  </w:style>
  <w:style w:type="paragraph" w:styleId="List2">
    <w:name w:val="List 2"/>
    <w:basedOn w:val="Normal"/>
    <w:next w:val="List"/>
    <w:uiPriority w:val="99"/>
    <w:semiHidden/>
    <w:pPr>
      <w:ind w:left="1440" w:hanging="720"/>
    </w:pPr>
  </w:style>
  <w:style w:type="paragraph" w:styleId="List3">
    <w:name w:val="List 3"/>
    <w:basedOn w:val="Normal"/>
    <w:next w:val="List"/>
    <w:uiPriority w:val="99"/>
    <w:semiHidden/>
    <w:pPr>
      <w:ind w:left="2160" w:hanging="720"/>
    </w:pPr>
  </w:style>
  <w:style w:type="paragraph" w:styleId="List4">
    <w:name w:val="List 4"/>
    <w:basedOn w:val="List"/>
    <w:uiPriority w:val="99"/>
    <w:semiHidden/>
    <w:pPr>
      <w:ind w:left="2880"/>
    </w:pPr>
  </w:style>
  <w:style w:type="paragraph" w:styleId="List5">
    <w:name w:val="List 5"/>
    <w:basedOn w:val="Normal"/>
    <w:next w:val="List"/>
    <w:uiPriority w:val="99"/>
    <w:semiHidden/>
    <w:pPr>
      <w:ind w:left="3600" w:hanging="720"/>
    </w:pPr>
  </w:style>
  <w:style w:type="paragraph" w:styleId="ListBullet">
    <w:name w:val="List Bullet"/>
    <w:basedOn w:val="Normal"/>
    <w:uiPriority w:val="99"/>
    <w:pPr>
      <w:numPr>
        <w:numId w:val="11"/>
      </w:numPr>
    </w:pPr>
  </w:style>
  <w:style w:type="paragraph" w:styleId="ListBullet2">
    <w:name w:val="List Bullet 2"/>
    <w:basedOn w:val="Normal"/>
    <w:uiPriority w:val="99"/>
    <w:pPr>
      <w:numPr>
        <w:numId w:val="12"/>
      </w:numPr>
    </w:pPr>
  </w:style>
  <w:style w:type="paragraph" w:styleId="ListBullet3">
    <w:name w:val="List Bullet 3"/>
    <w:basedOn w:val="Normal"/>
    <w:uiPriority w:val="99"/>
    <w:pPr>
      <w:numPr>
        <w:numId w:val="13"/>
      </w:numPr>
    </w:pPr>
  </w:style>
  <w:style w:type="paragraph" w:styleId="ListBullet4">
    <w:name w:val="List Bullet 4"/>
    <w:basedOn w:val="Normal"/>
    <w:uiPriority w:val="99"/>
    <w:semiHidden/>
    <w:pPr>
      <w:numPr>
        <w:numId w:val="14"/>
      </w:numPr>
    </w:pPr>
  </w:style>
  <w:style w:type="paragraph" w:styleId="ListBullet5">
    <w:name w:val="List Bullet 5"/>
    <w:basedOn w:val="Normal"/>
    <w:uiPriority w:val="99"/>
    <w:semiHidden/>
    <w:pPr>
      <w:numPr>
        <w:numId w:val="15"/>
      </w:numPr>
    </w:pPr>
  </w:style>
  <w:style w:type="paragraph" w:styleId="ListContinue">
    <w:name w:val="List Continue"/>
    <w:basedOn w:val="Normal"/>
    <w:uiPriority w:val="99"/>
    <w:semiHidden/>
    <w:pPr>
      <w:ind w:left="720"/>
    </w:pPr>
  </w:style>
  <w:style w:type="paragraph" w:styleId="ListContinue2">
    <w:name w:val="List Continue 2"/>
    <w:basedOn w:val="Normal"/>
    <w:uiPriority w:val="99"/>
    <w:semiHidden/>
    <w:pPr>
      <w:ind w:left="1440"/>
    </w:pPr>
  </w:style>
  <w:style w:type="paragraph" w:styleId="ListContinue3">
    <w:name w:val="List Continue 3"/>
    <w:basedOn w:val="Normal"/>
    <w:uiPriority w:val="99"/>
    <w:semiHidden/>
    <w:pPr>
      <w:ind w:left="2160"/>
    </w:pPr>
  </w:style>
  <w:style w:type="paragraph" w:styleId="ListContinue4">
    <w:name w:val="List Continue 4"/>
    <w:basedOn w:val="Normal"/>
    <w:uiPriority w:val="99"/>
    <w:semiHidden/>
    <w:pPr>
      <w:ind w:left="2880"/>
    </w:pPr>
  </w:style>
  <w:style w:type="paragraph" w:styleId="ListContinue5">
    <w:name w:val="List Continue 5"/>
    <w:basedOn w:val="Normal"/>
    <w:uiPriority w:val="99"/>
    <w:semiHidden/>
    <w:pPr>
      <w:ind w:left="3600"/>
    </w:p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eastAsia="zh-CN"/>
    </w:rPr>
  </w:style>
  <w:style w:type="paragraph" w:styleId="NormalWeb">
    <w:name w:val="Normal (Web)"/>
    <w:basedOn w:val="Normal"/>
    <w:uiPriority w:val="99"/>
    <w:semiHidden/>
  </w:style>
  <w:style w:type="paragraph" w:styleId="Signature">
    <w:name w:val="Signature"/>
    <w:basedOn w:val="Normal"/>
    <w:link w:val="SignatureChar"/>
    <w:uiPriority w:val="99"/>
    <w:semiHidden/>
  </w:style>
  <w:style w:type="character" w:customStyle="1" w:styleId="SignatureChar">
    <w:name w:val="Signature Char"/>
    <w:link w:val="Signature"/>
    <w:uiPriority w:val="99"/>
    <w:semiHidden/>
    <w:rPr>
      <w:rFonts w:ascii="Arial" w:hAnsi="Arial"/>
      <w:lang w:eastAsia="zh-CN"/>
    </w:rPr>
  </w:style>
  <w:style w:type="paragraph" w:styleId="Subtitle">
    <w:name w:val="Subtitle"/>
    <w:basedOn w:val="Title"/>
    <w:link w:val="SubtitleChar"/>
    <w:uiPriority w:val="11"/>
    <w:qFormat/>
    <w:pPr>
      <w:keepNext/>
      <w:spacing w:line="240" w:lineRule="atLeast"/>
      <w:outlineLvl w:val="1"/>
    </w:pPr>
    <w:rPr>
      <w:sz w:val="20"/>
      <w:szCs w:val="24"/>
    </w:rPr>
  </w:style>
  <w:style w:type="character" w:customStyle="1" w:styleId="SubtitleChar">
    <w:name w:val="Subtitle Char"/>
    <w:link w:val="Subtitle"/>
    <w:uiPriority w:val="11"/>
    <w:rPr>
      <w:rFonts w:ascii="Cambria" w:eastAsia="Times New Roman" w:hAnsi="Cambria" w:cs="Times New Roman"/>
      <w:sz w:val="24"/>
      <w:szCs w:val="24"/>
      <w:lang w:eastAsia="zh-CN"/>
    </w:rPr>
  </w:style>
  <w:style w:type="paragraph" w:styleId="ListNumber">
    <w:name w:val="List Number"/>
    <w:basedOn w:val="Normal"/>
    <w:uiPriority w:val="99"/>
    <w:pPr>
      <w:numPr>
        <w:numId w:val="16"/>
      </w:numPr>
    </w:pPr>
  </w:style>
  <w:style w:type="paragraph" w:styleId="Title">
    <w:name w:val="Title"/>
    <w:basedOn w:val="Normal"/>
    <w:next w:val="Subtitle"/>
    <w:link w:val="TitleChar"/>
    <w:uiPriority w:val="10"/>
    <w:qFormat/>
    <w:pPr>
      <w:spacing w:line="440" w:lineRule="atLeast"/>
      <w:outlineLvl w:val="0"/>
    </w:pPr>
    <w:rPr>
      <w:rFonts w:cs="Arial"/>
      <w:b/>
      <w:bCs/>
      <w:sz w:val="36"/>
    </w:rPr>
  </w:style>
  <w:style w:type="character" w:customStyle="1" w:styleId="TitleChar">
    <w:name w:val="Title Char"/>
    <w:link w:val="Title"/>
    <w:uiPriority w:val="10"/>
    <w:rPr>
      <w:rFonts w:ascii="Cambria" w:eastAsia="Times New Roman" w:hAnsi="Cambria" w:cs="Times New Roman"/>
      <w:b/>
      <w:bCs/>
      <w:kern w:val="28"/>
      <w:sz w:val="32"/>
      <w:szCs w:val="32"/>
      <w:lang w:eastAsia="zh-CN"/>
    </w:rPr>
  </w:style>
  <w:style w:type="paragraph" w:styleId="ListNumber2">
    <w:name w:val="List Number 2"/>
    <w:basedOn w:val="Normal"/>
    <w:uiPriority w:val="99"/>
    <w:pPr>
      <w:numPr>
        <w:numId w:val="17"/>
      </w:numPr>
    </w:pPr>
  </w:style>
  <w:style w:type="paragraph" w:styleId="ListNumber3">
    <w:name w:val="List Number 3"/>
    <w:basedOn w:val="Normal"/>
    <w:uiPriority w:val="99"/>
    <w:pPr>
      <w:numPr>
        <w:numId w:val="18"/>
      </w:numPr>
    </w:pPr>
  </w:style>
  <w:style w:type="paragraph" w:styleId="ListNumber4">
    <w:name w:val="List Number 4"/>
    <w:basedOn w:val="Normal"/>
    <w:uiPriority w:val="99"/>
    <w:semiHidden/>
    <w:pPr>
      <w:numPr>
        <w:numId w:val="19"/>
      </w:numPr>
    </w:pPr>
  </w:style>
  <w:style w:type="paragraph" w:styleId="ListNumber5">
    <w:name w:val="List Number 5"/>
    <w:basedOn w:val="Normal"/>
    <w:uiPriority w:val="99"/>
    <w:pPr>
      <w:numPr>
        <w:numId w:val="20"/>
      </w:numPr>
    </w:pPr>
  </w:style>
  <w:style w:type="paragraph" w:customStyle="1" w:styleId="NoteParagraph">
    <w:name w:val="NoteParagraph"/>
    <w:aliases w:val="np"/>
    <w:basedOn w:val="Normal"/>
    <w:semiHidden/>
    <w:pPr>
      <w:keepNext/>
      <w:shd w:val="pct10" w:color="auto" w:fill="FFFFFF"/>
    </w:pPr>
  </w:style>
  <w:style w:type="paragraph" w:customStyle="1" w:styleId="sch7">
    <w:name w:val="sch7"/>
    <w:basedOn w:val="Normal"/>
    <w:next w:val="LevelIfo0"/>
    <w:pPr>
      <w:numPr>
        <w:ilvl w:val="6"/>
        <w:numId w:val="21"/>
      </w:numPr>
    </w:pPr>
  </w:style>
  <w:style w:type="table" w:styleId="TableGrid">
    <w:name w:val="Table Grid"/>
    <w:basedOn w:val="TableNormal"/>
    <w:uiPriority w:val="59"/>
    <w:pPr>
      <w:spacing w:before="20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style>
  <w:style w:type="character" w:customStyle="1" w:styleId="DateChar">
    <w:name w:val="Date Char"/>
    <w:link w:val="Date"/>
    <w:uiPriority w:val="99"/>
    <w:semiHidden/>
    <w:rPr>
      <w:rFonts w:ascii="Arial" w:hAnsi="Arial"/>
      <w:lang w:eastAsia="zh-CN"/>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Pr>
      <w:rFonts w:ascii="Arial" w:hAnsi="Arial"/>
      <w:lang w:eastAsia="zh-CN"/>
    </w:rPr>
  </w:style>
  <w:style w:type="character" w:styleId="Emphasis">
    <w:name w:val="Emphasis"/>
    <w:uiPriority w:val="20"/>
    <w:qFormat/>
    <w:rPr>
      <w:i/>
    </w:rPr>
  </w:style>
  <w:style w:type="paragraph" w:styleId="EnvelopeReturn">
    <w:name w:val="envelope return"/>
    <w:basedOn w:val="Normal"/>
    <w:uiPriority w:val="99"/>
    <w:semiHidden/>
    <w:rPr>
      <w:rFonts w:cs="Arial"/>
    </w:rPr>
  </w:style>
  <w:style w:type="character" w:styleId="FollowedHyperlink">
    <w:name w:val="FollowedHyperlink"/>
    <w:uiPriority w:val="99"/>
    <w:semiHidden/>
    <w:rPr>
      <w:color w:val="800080"/>
      <w:u w:val="single"/>
    </w:rPr>
  </w:style>
  <w:style w:type="character" w:styleId="HTMLAcronym">
    <w:name w:val="HTML Acronym"/>
    <w:uiPriority w:val="99"/>
    <w:semiHidden/>
    <w:rPr>
      <w:rFonts w:cs="Times New Roman"/>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Pr>
      <w:rFonts w:ascii="Arial" w:hAnsi="Arial"/>
      <w:i/>
      <w:iCs/>
      <w:lang w:eastAsia="zh-CN"/>
    </w:rPr>
  </w:style>
  <w:style w:type="character" w:styleId="HTMLCite">
    <w:name w:val="HTML Cite"/>
    <w:uiPriority w:val="99"/>
    <w:semiHidden/>
    <w:rPr>
      <w:i/>
    </w:rPr>
  </w:style>
  <w:style w:type="character" w:styleId="HTMLCode">
    <w:name w:val="HTML Code"/>
    <w:uiPriority w:val="99"/>
    <w:semiHidden/>
    <w:rPr>
      <w:rFonts w:ascii="Courier New" w:hAnsi="Courier New"/>
      <w:sz w:val="20"/>
    </w:rPr>
  </w:style>
  <w:style w:type="character" w:styleId="HTMLDefinition">
    <w:name w:val="HTML Definition"/>
    <w:uiPriority w:val="99"/>
    <w:semiHidden/>
    <w:rPr>
      <w:i/>
    </w:rPr>
  </w:style>
  <w:style w:type="character" w:styleId="HTMLKeyboard">
    <w:name w:val="HTML Keyboard"/>
    <w:uiPriority w:val="99"/>
    <w:semiHidden/>
    <w:rPr>
      <w:rFonts w:ascii="Courier New" w:hAnsi="Courier New"/>
      <w:sz w:val="20"/>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Pr>
      <w:rFonts w:ascii="Courier New" w:hAnsi="Courier New" w:cs="Courier New"/>
      <w:lang w:eastAsia="zh-CN"/>
    </w:rPr>
  </w:style>
  <w:style w:type="character" w:styleId="HTMLSample">
    <w:name w:val="HTML Sample"/>
    <w:uiPriority w:val="99"/>
    <w:semiHidden/>
    <w:rPr>
      <w:rFonts w:ascii="Courier New" w:hAnsi="Courier New"/>
    </w:rPr>
  </w:style>
  <w:style w:type="character" w:styleId="HTMLTypewriter">
    <w:name w:val="HTML Typewriter"/>
    <w:uiPriority w:val="99"/>
    <w:semiHidden/>
    <w:rPr>
      <w:rFonts w:ascii="Courier New" w:hAnsi="Courier New"/>
      <w:sz w:val="20"/>
    </w:rPr>
  </w:style>
  <w:style w:type="character" w:styleId="HTMLVariable">
    <w:name w:val="HTML Variable"/>
    <w:uiPriority w:val="99"/>
    <w:semiHidden/>
    <w:rPr>
      <w:i/>
    </w:rPr>
  </w:style>
  <w:style w:type="character" w:styleId="Hyperlink">
    <w:name w:val="Hyperlink"/>
    <w:uiPriority w:val="99"/>
    <w:semiHidden/>
    <w:rPr>
      <w:color w:val="0000FF"/>
      <w:u w:val="single"/>
    </w:rPr>
  </w:style>
  <w:style w:type="character" w:styleId="LineNumber">
    <w:name w:val="line number"/>
    <w:uiPriority w:val="99"/>
    <w:semiHidden/>
    <w:rPr>
      <w:rFonts w:cs="Times New Roman"/>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Pr>
      <w:rFonts w:ascii="Arial" w:hAnsi="Arial"/>
      <w:lang w:eastAsia="zh-CN"/>
    </w:rPr>
  </w:style>
  <w:style w:type="character" w:styleId="PageNumber">
    <w:name w:val="page number"/>
    <w:uiPriority w:val="99"/>
    <w:semiHidden/>
    <w:rPr>
      <w:rFonts w:cs="Times New Roman"/>
    </w:rPr>
  </w:style>
  <w:style w:type="paragraph" w:styleId="PlainText">
    <w:name w:val="Plain Text"/>
    <w:basedOn w:val="Normal"/>
    <w:link w:val="PlainTextChar"/>
    <w:uiPriority w:val="99"/>
    <w:semiHidden/>
    <w:rPr>
      <w:rFonts w:ascii="Courier New" w:hAnsi="Courier New" w:cs="Courier New"/>
    </w:rPr>
  </w:style>
  <w:style w:type="character" w:customStyle="1" w:styleId="PlainTextChar">
    <w:name w:val="Plain Text Char"/>
    <w:link w:val="PlainText"/>
    <w:uiPriority w:val="99"/>
    <w:semiHidden/>
    <w:rPr>
      <w:rFonts w:ascii="Courier New" w:hAnsi="Courier New" w:cs="Courier New"/>
      <w:lang w:eastAsia="zh-CN"/>
    </w:rPr>
  </w:style>
  <w:style w:type="paragraph" w:styleId="Salutation">
    <w:name w:val="Salutation"/>
    <w:basedOn w:val="Normal"/>
    <w:next w:val="Normal"/>
    <w:link w:val="SalutationChar"/>
    <w:uiPriority w:val="99"/>
    <w:semiHidden/>
  </w:style>
  <w:style w:type="character" w:customStyle="1" w:styleId="SalutationChar">
    <w:name w:val="Salutation Char"/>
    <w:link w:val="Salutation"/>
    <w:uiPriority w:val="99"/>
    <w:semiHidden/>
    <w:rPr>
      <w:rFonts w:ascii="Arial" w:hAnsi="Arial"/>
      <w:lang w:eastAsia="zh-CN"/>
    </w:rPr>
  </w:style>
  <w:style w:type="character" w:styleId="Strong">
    <w:name w:val="Strong"/>
    <w:uiPriority w:val="22"/>
    <w:qFormat/>
    <w:rPr>
      <w:b/>
    </w:rPr>
  </w:style>
  <w:style w:type="table" w:styleId="Table3Deffects1">
    <w:name w:val="Table 3D effects 1"/>
    <w:basedOn w:val="TableNormal"/>
    <w:uiPriority w:val="99"/>
    <w:semiHidden/>
    <w:pPr>
      <w:spacing w:before="200" w:line="24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before="200" w:line="24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before="200" w:line="24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before="200" w:line="24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pPr>
      <w:spacing w:before="0"/>
    </w:pPr>
  </w:style>
  <w:style w:type="paragraph" w:customStyle="1" w:styleId="HeaderLine">
    <w:name w:val="HeaderLine"/>
    <w:basedOn w:val="Header"/>
    <w:next w:val="Header"/>
    <w:pPr>
      <w:pBdr>
        <w:bottom w:val="single" w:sz="8" w:space="0" w:color="auto"/>
      </w:pBdr>
      <w:spacing w:line="240" w:lineRule="auto"/>
      <w:ind w:left="-851" w:right="28"/>
    </w:pPr>
    <w:rPr>
      <w:sz w:val="6"/>
    </w:rPr>
  </w:style>
  <w:style w:type="paragraph" w:customStyle="1" w:styleId="FooterLine">
    <w:name w:val="FooterLine"/>
    <w:basedOn w:val="Footer"/>
    <w:next w:val="Footer"/>
    <w:pPr>
      <w:pBdr>
        <w:top w:val="single" w:sz="8" w:space="0" w:color="auto"/>
      </w:pBdr>
      <w:spacing w:line="240" w:lineRule="auto"/>
      <w:ind w:right="28"/>
    </w:pPr>
    <w:rPr>
      <w:sz w:val="6"/>
    </w:rPr>
  </w:style>
  <w:style w:type="paragraph" w:customStyle="1" w:styleId="NormalNoSpaceIndent">
    <w:name w:val="Normal NoSpace Indent"/>
    <w:basedOn w:val="NormalIndent"/>
    <w:next w:val="Normal"/>
    <w:pPr>
      <w:spacing w:before="0"/>
    </w:pPr>
  </w:style>
  <w:style w:type="character" w:customStyle="1" w:styleId="AACitation">
    <w:name w:val="AACitation"/>
    <w:uiPriority w:val="1"/>
    <w:rsid w:val="00E61860"/>
    <w:rPr>
      <w:i/>
    </w:rPr>
  </w:style>
  <w:style w:type="paragraph" w:customStyle="1" w:styleId="Schedule">
    <w:name w:val="Schedule"/>
    <w:basedOn w:val="Normal"/>
    <w:next w:val="ScheduleHeading"/>
    <w:rsid w:val="00B65AA7"/>
    <w:pPr>
      <w:keepNext/>
      <w:numPr>
        <w:numId w:val="29"/>
      </w:numPr>
      <w:spacing w:line="288" w:lineRule="auto"/>
      <w:outlineLvl w:val="0"/>
    </w:pPr>
    <w:rPr>
      <w:b/>
      <w:sz w:val="22"/>
      <w:lang w:eastAsia="en-US"/>
    </w:rPr>
  </w:style>
  <w:style w:type="paragraph" w:customStyle="1" w:styleId="ScheduleHeading">
    <w:name w:val="Schedule Heading"/>
    <w:basedOn w:val="Normal"/>
    <w:next w:val="Schedule1"/>
    <w:rsid w:val="00B65AA7"/>
    <w:pPr>
      <w:keepNext/>
      <w:numPr>
        <w:ilvl w:val="1"/>
        <w:numId w:val="29"/>
      </w:numPr>
      <w:spacing w:before="160" w:line="288" w:lineRule="auto"/>
      <w:outlineLvl w:val="1"/>
    </w:pPr>
    <w:rPr>
      <w:b/>
      <w:sz w:val="22"/>
      <w:lang w:eastAsia="en-US"/>
    </w:rPr>
  </w:style>
  <w:style w:type="paragraph" w:customStyle="1" w:styleId="Schedule1">
    <w:name w:val="Schedule 1"/>
    <w:basedOn w:val="Normal"/>
    <w:next w:val="Schedule2"/>
    <w:rsid w:val="00B65AA7"/>
    <w:pPr>
      <w:keepNext/>
      <w:numPr>
        <w:ilvl w:val="2"/>
        <w:numId w:val="29"/>
      </w:numPr>
      <w:spacing w:line="288" w:lineRule="auto"/>
    </w:pPr>
    <w:rPr>
      <w:b/>
      <w:sz w:val="22"/>
      <w:lang w:eastAsia="en-US"/>
    </w:rPr>
  </w:style>
  <w:style w:type="paragraph" w:customStyle="1" w:styleId="Schedule2">
    <w:name w:val="Schedule 2"/>
    <w:basedOn w:val="Normal"/>
    <w:next w:val="NormalIndent"/>
    <w:rsid w:val="00B65AA7"/>
    <w:pPr>
      <w:keepNext/>
      <w:numPr>
        <w:ilvl w:val="3"/>
        <w:numId w:val="29"/>
      </w:numPr>
      <w:spacing w:before="160" w:line="288" w:lineRule="auto"/>
    </w:pPr>
    <w:rPr>
      <w:b/>
      <w:sz w:val="21"/>
      <w:lang w:eastAsia="en-US"/>
    </w:rPr>
  </w:style>
  <w:style w:type="paragraph" w:customStyle="1" w:styleId="Schedule3">
    <w:name w:val="Schedule 3"/>
    <w:basedOn w:val="Normal"/>
    <w:rsid w:val="00B65AA7"/>
    <w:pPr>
      <w:numPr>
        <w:ilvl w:val="4"/>
        <w:numId w:val="29"/>
      </w:numPr>
      <w:spacing w:before="100" w:line="288" w:lineRule="auto"/>
    </w:pPr>
    <w:rPr>
      <w:lang w:eastAsia="en-US"/>
    </w:rPr>
  </w:style>
  <w:style w:type="paragraph" w:customStyle="1" w:styleId="Schedule4">
    <w:name w:val="Schedule 4"/>
    <w:basedOn w:val="Normal"/>
    <w:link w:val="Schedule4Char"/>
    <w:rsid w:val="00B65AA7"/>
    <w:pPr>
      <w:numPr>
        <w:ilvl w:val="5"/>
        <w:numId w:val="29"/>
      </w:numPr>
      <w:spacing w:before="100" w:line="288" w:lineRule="auto"/>
    </w:pPr>
    <w:rPr>
      <w:lang w:eastAsia="en-US"/>
    </w:rPr>
  </w:style>
  <w:style w:type="paragraph" w:customStyle="1" w:styleId="Schedule5">
    <w:name w:val="Schedule 5"/>
    <w:basedOn w:val="Normal"/>
    <w:rsid w:val="00B65AA7"/>
    <w:pPr>
      <w:numPr>
        <w:ilvl w:val="6"/>
        <w:numId w:val="29"/>
      </w:numPr>
      <w:spacing w:before="100" w:line="288" w:lineRule="auto"/>
    </w:pPr>
    <w:rPr>
      <w:lang w:eastAsia="en-US"/>
    </w:rPr>
  </w:style>
  <w:style w:type="paragraph" w:customStyle="1" w:styleId="Schedule6">
    <w:name w:val="Schedule 6"/>
    <w:basedOn w:val="Normal"/>
    <w:rsid w:val="00B65AA7"/>
    <w:pPr>
      <w:numPr>
        <w:ilvl w:val="7"/>
        <w:numId w:val="29"/>
      </w:numPr>
      <w:spacing w:before="100" w:line="288" w:lineRule="auto"/>
    </w:pPr>
    <w:rPr>
      <w:lang w:eastAsia="en-US"/>
    </w:rPr>
  </w:style>
  <w:style w:type="character" w:customStyle="1" w:styleId="Schedule4Char">
    <w:name w:val="Schedule 4 Char"/>
    <w:link w:val="Schedule4"/>
    <w:locked/>
    <w:rsid w:val="00B65AA7"/>
    <w:rPr>
      <w:rFonts w:ascii="Arial" w:hAnsi="Arial"/>
      <w:lang w:eastAsia="en-US"/>
    </w:rPr>
  </w:style>
  <w:style w:type="character" w:customStyle="1" w:styleId="Choice">
    <w:name w:val="Choice"/>
    <w:rsid w:val="00D60B63"/>
    <w:rPr>
      <w:rFonts w:ascii="Arial" w:hAnsi="Arial"/>
      <w:b/>
      <w:sz w:val="18"/>
      <w:vertAlign w:val="baseline"/>
      <w:lang w:val="en-AU"/>
    </w:rPr>
  </w:style>
  <w:style w:type="paragraph" w:customStyle="1" w:styleId="Headersub">
    <w:name w:val="Header sub"/>
    <w:basedOn w:val="Normal"/>
    <w:rsid w:val="007B0D67"/>
    <w:pPr>
      <w:spacing w:before="0" w:after="1240" w:line="240" w:lineRule="auto"/>
    </w:pPr>
    <w:rPr>
      <w:sz w:val="36"/>
      <w:lang w:eastAsia="en-US"/>
    </w:rPr>
  </w:style>
  <w:style w:type="paragraph" w:styleId="Revision">
    <w:name w:val="Revision"/>
    <w:hidden/>
    <w:uiPriority w:val="99"/>
    <w:semiHidden/>
    <w:rsid w:val="00387DCF"/>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1709">
      <w:bodyDiv w:val="1"/>
      <w:marLeft w:val="0"/>
      <w:marRight w:val="0"/>
      <w:marTop w:val="0"/>
      <w:marBottom w:val="0"/>
      <w:divBdr>
        <w:top w:val="none" w:sz="0" w:space="0" w:color="auto"/>
        <w:left w:val="none" w:sz="0" w:space="0" w:color="auto"/>
        <w:bottom w:val="none" w:sz="0" w:space="0" w:color="auto"/>
        <w:right w:val="none" w:sz="0" w:space="0" w:color="auto"/>
      </w:divBdr>
    </w:div>
    <w:div w:id="220554197">
      <w:bodyDiv w:val="1"/>
      <w:marLeft w:val="0"/>
      <w:marRight w:val="0"/>
      <w:marTop w:val="0"/>
      <w:marBottom w:val="0"/>
      <w:divBdr>
        <w:top w:val="none" w:sz="0" w:space="0" w:color="auto"/>
        <w:left w:val="none" w:sz="0" w:space="0" w:color="auto"/>
        <w:bottom w:val="none" w:sz="0" w:space="0" w:color="auto"/>
        <w:right w:val="none" w:sz="0" w:space="0" w:color="auto"/>
      </w:divBdr>
    </w:div>
    <w:div w:id="257567716">
      <w:bodyDiv w:val="1"/>
      <w:marLeft w:val="0"/>
      <w:marRight w:val="0"/>
      <w:marTop w:val="0"/>
      <w:marBottom w:val="0"/>
      <w:divBdr>
        <w:top w:val="none" w:sz="0" w:space="0" w:color="auto"/>
        <w:left w:val="none" w:sz="0" w:space="0" w:color="auto"/>
        <w:bottom w:val="none" w:sz="0" w:space="0" w:color="auto"/>
        <w:right w:val="none" w:sz="0" w:space="0" w:color="auto"/>
      </w:divBdr>
    </w:div>
    <w:div w:id="330716501">
      <w:bodyDiv w:val="1"/>
      <w:marLeft w:val="0"/>
      <w:marRight w:val="0"/>
      <w:marTop w:val="0"/>
      <w:marBottom w:val="0"/>
      <w:divBdr>
        <w:top w:val="none" w:sz="0" w:space="0" w:color="auto"/>
        <w:left w:val="none" w:sz="0" w:space="0" w:color="auto"/>
        <w:bottom w:val="none" w:sz="0" w:space="0" w:color="auto"/>
        <w:right w:val="none" w:sz="0" w:space="0" w:color="auto"/>
      </w:divBdr>
    </w:div>
    <w:div w:id="437457833">
      <w:marLeft w:val="0"/>
      <w:marRight w:val="0"/>
      <w:marTop w:val="0"/>
      <w:marBottom w:val="0"/>
      <w:divBdr>
        <w:top w:val="none" w:sz="0" w:space="0" w:color="auto"/>
        <w:left w:val="none" w:sz="0" w:space="0" w:color="auto"/>
        <w:bottom w:val="none" w:sz="0" w:space="0" w:color="auto"/>
        <w:right w:val="none" w:sz="0" w:space="0" w:color="auto"/>
      </w:divBdr>
    </w:div>
    <w:div w:id="437457834">
      <w:marLeft w:val="0"/>
      <w:marRight w:val="0"/>
      <w:marTop w:val="0"/>
      <w:marBottom w:val="0"/>
      <w:divBdr>
        <w:top w:val="none" w:sz="0" w:space="0" w:color="auto"/>
        <w:left w:val="none" w:sz="0" w:space="0" w:color="auto"/>
        <w:bottom w:val="none" w:sz="0" w:space="0" w:color="auto"/>
        <w:right w:val="none" w:sz="0" w:space="0" w:color="auto"/>
      </w:divBdr>
    </w:div>
    <w:div w:id="661082031">
      <w:bodyDiv w:val="1"/>
      <w:marLeft w:val="0"/>
      <w:marRight w:val="0"/>
      <w:marTop w:val="0"/>
      <w:marBottom w:val="0"/>
      <w:divBdr>
        <w:top w:val="none" w:sz="0" w:space="0" w:color="auto"/>
        <w:left w:val="none" w:sz="0" w:space="0" w:color="auto"/>
        <w:bottom w:val="none" w:sz="0" w:space="0" w:color="auto"/>
        <w:right w:val="none" w:sz="0" w:space="0" w:color="auto"/>
      </w:divBdr>
    </w:div>
    <w:div w:id="901209018">
      <w:bodyDiv w:val="1"/>
      <w:marLeft w:val="0"/>
      <w:marRight w:val="0"/>
      <w:marTop w:val="0"/>
      <w:marBottom w:val="0"/>
      <w:divBdr>
        <w:top w:val="none" w:sz="0" w:space="0" w:color="auto"/>
        <w:left w:val="none" w:sz="0" w:space="0" w:color="auto"/>
        <w:bottom w:val="none" w:sz="0" w:space="0" w:color="auto"/>
        <w:right w:val="none" w:sz="0" w:space="0" w:color="auto"/>
      </w:divBdr>
    </w:div>
    <w:div w:id="1117985048">
      <w:bodyDiv w:val="1"/>
      <w:marLeft w:val="0"/>
      <w:marRight w:val="0"/>
      <w:marTop w:val="0"/>
      <w:marBottom w:val="0"/>
      <w:divBdr>
        <w:top w:val="none" w:sz="0" w:space="0" w:color="auto"/>
        <w:left w:val="none" w:sz="0" w:space="0" w:color="auto"/>
        <w:bottom w:val="none" w:sz="0" w:space="0" w:color="auto"/>
        <w:right w:val="none" w:sz="0" w:space="0" w:color="auto"/>
      </w:divBdr>
    </w:div>
    <w:div w:id="1208682486">
      <w:bodyDiv w:val="1"/>
      <w:marLeft w:val="0"/>
      <w:marRight w:val="0"/>
      <w:marTop w:val="0"/>
      <w:marBottom w:val="0"/>
      <w:divBdr>
        <w:top w:val="none" w:sz="0" w:space="0" w:color="auto"/>
        <w:left w:val="none" w:sz="0" w:space="0" w:color="auto"/>
        <w:bottom w:val="none" w:sz="0" w:space="0" w:color="auto"/>
        <w:right w:val="none" w:sz="0" w:space="0" w:color="auto"/>
      </w:divBdr>
    </w:div>
    <w:div w:id="1455174230">
      <w:bodyDiv w:val="1"/>
      <w:marLeft w:val="0"/>
      <w:marRight w:val="0"/>
      <w:marTop w:val="0"/>
      <w:marBottom w:val="0"/>
      <w:divBdr>
        <w:top w:val="none" w:sz="0" w:space="0" w:color="auto"/>
        <w:left w:val="none" w:sz="0" w:space="0" w:color="auto"/>
        <w:bottom w:val="none" w:sz="0" w:space="0" w:color="auto"/>
        <w:right w:val="none" w:sz="0" w:space="0" w:color="auto"/>
      </w:divBdr>
      <w:divsChild>
        <w:div w:id="936059608">
          <w:marLeft w:val="0"/>
          <w:marRight w:val="0"/>
          <w:marTop w:val="0"/>
          <w:marBottom w:val="0"/>
          <w:divBdr>
            <w:top w:val="none" w:sz="0" w:space="0" w:color="auto"/>
            <w:left w:val="none" w:sz="0" w:space="0" w:color="auto"/>
            <w:bottom w:val="none" w:sz="0" w:space="0" w:color="auto"/>
            <w:right w:val="none" w:sz="0" w:space="0" w:color="auto"/>
          </w:divBdr>
          <w:divsChild>
            <w:div w:id="712971193">
              <w:marLeft w:val="0"/>
              <w:marRight w:val="0"/>
              <w:marTop w:val="0"/>
              <w:marBottom w:val="0"/>
              <w:divBdr>
                <w:top w:val="none" w:sz="0" w:space="0" w:color="auto"/>
                <w:left w:val="none" w:sz="0" w:space="0" w:color="auto"/>
                <w:bottom w:val="none" w:sz="0" w:space="0" w:color="auto"/>
                <w:right w:val="none" w:sz="0" w:space="0" w:color="auto"/>
              </w:divBdr>
              <w:divsChild>
                <w:div w:id="1176922390">
                  <w:marLeft w:val="0"/>
                  <w:marRight w:val="0"/>
                  <w:marTop w:val="0"/>
                  <w:marBottom w:val="0"/>
                  <w:divBdr>
                    <w:top w:val="none" w:sz="0" w:space="0" w:color="auto"/>
                    <w:left w:val="none" w:sz="0" w:space="0" w:color="auto"/>
                    <w:bottom w:val="none" w:sz="0" w:space="0" w:color="auto"/>
                    <w:right w:val="none" w:sz="0" w:space="0" w:color="auto"/>
                  </w:divBdr>
                  <w:divsChild>
                    <w:div w:id="1627854664">
                      <w:marLeft w:val="0"/>
                      <w:marRight w:val="0"/>
                      <w:marTop w:val="0"/>
                      <w:marBottom w:val="0"/>
                      <w:divBdr>
                        <w:top w:val="none" w:sz="0" w:space="0" w:color="auto"/>
                        <w:left w:val="none" w:sz="0" w:space="0" w:color="auto"/>
                        <w:bottom w:val="none" w:sz="0" w:space="0" w:color="auto"/>
                        <w:right w:val="none" w:sz="0" w:space="0" w:color="auto"/>
                      </w:divBdr>
                      <w:divsChild>
                        <w:div w:id="1220171091">
                          <w:marLeft w:val="0"/>
                          <w:marRight w:val="0"/>
                          <w:marTop w:val="0"/>
                          <w:marBottom w:val="0"/>
                          <w:divBdr>
                            <w:top w:val="none" w:sz="0" w:space="0" w:color="auto"/>
                            <w:left w:val="none" w:sz="0" w:space="0" w:color="auto"/>
                            <w:bottom w:val="none" w:sz="0" w:space="0" w:color="auto"/>
                            <w:right w:val="none" w:sz="0" w:space="0" w:color="auto"/>
                          </w:divBdr>
                          <w:divsChild>
                            <w:div w:id="1198472242">
                              <w:marLeft w:val="0"/>
                              <w:marRight w:val="0"/>
                              <w:marTop w:val="0"/>
                              <w:marBottom w:val="0"/>
                              <w:divBdr>
                                <w:top w:val="none" w:sz="0" w:space="0" w:color="auto"/>
                                <w:left w:val="none" w:sz="0" w:space="0" w:color="auto"/>
                                <w:bottom w:val="none" w:sz="0" w:space="0" w:color="auto"/>
                                <w:right w:val="none" w:sz="0" w:space="0" w:color="auto"/>
                              </w:divBdr>
                              <w:divsChild>
                                <w:div w:id="12554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231730">
      <w:bodyDiv w:val="1"/>
      <w:marLeft w:val="0"/>
      <w:marRight w:val="0"/>
      <w:marTop w:val="0"/>
      <w:marBottom w:val="0"/>
      <w:divBdr>
        <w:top w:val="none" w:sz="0" w:space="0" w:color="auto"/>
        <w:left w:val="none" w:sz="0" w:space="0" w:color="auto"/>
        <w:bottom w:val="none" w:sz="0" w:space="0" w:color="auto"/>
        <w:right w:val="none" w:sz="0" w:space="0" w:color="auto"/>
      </w:divBdr>
    </w:div>
    <w:div w:id="184805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footer" Target="footer1.xml" Id="rId9" /></Relationships>
</file>

<file path=word/_rels/endnotes.xml.rels><?xml version="1.0" encoding="UTF-8" standalone="yes"?>
<Relationships xmlns="http://schemas.openxmlformats.org/package/2006/relationships"><Relationship Id="rId1" Type="http://schemas.openxmlformats.org/officeDocument/2006/relationships/hyperlink" Target="https://insolvencynotices.as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3084</Words>
  <Characters>15609</Characters>
  <Application>Microsoft Office Word</Application>
  <DocSecurity>0</DocSecurity>
  <Lines>289</Lines>
  <Paragraphs>173</Paragraphs>
  <ScaleCrop>false</ScaleCrop>
  <HeadingPairs>
    <vt:vector size="2" baseType="variant">
      <vt:variant>
        <vt:lpstr>Title</vt:lpstr>
      </vt:variant>
      <vt:variant>
        <vt:i4>1</vt:i4>
      </vt:variant>
    </vt:vector>
  </HeadingPairs>
  <LinksUpToDate>false</LinksUpToDate>
  <CharactersWithSpaces>18520</CharactersWithSpaces>
  <SharedDoc>false</SharedDoc>
  <HLinks>
    <vt:vector size="6" baseType="variant">
      <vt:variant>
        <vt:i4>7536680</vt:i4>
      </vt:variant>
      <vt:variant>
        <vt:i4>36</vt:i4>
      </vt:variant>
      <vt:variant>
        <vt:i4>0</vt:i4>
      </vt:variant>
      <vt:variant>
        <vt:i4>5</vt:i4>
      </vt:variant>
      <vt:variant>
        <vt:lpwstr>https://insolvencynotices.asic.gov.au/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2016-09-07T06:21:00Z</dcterms:created>
  <dcterms:modified xsi:type="dcterms:W3CDTF">2016-09-07T06:21:00Z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gFAA2RjfPKrF47gdmqmJAQr2myUH5/R7nSPZGOxlQREejw/Go5q+4FiEcX1gJZuCymxKPiUW8o9r1Mc3_x000d_
nyxXTjlDUNrR1rCiWEtlcz1KPyhwbvRDHBkQ+bY0TljZI8f4Naw5ICNYk94rc9AHQe6o+kJrV0jH_x000d_
/3h0Og9NEMCIxlw9NbL/J9tXvXsCCoVe7A2jNyU2iuDPPLpuXwPwLmRkpwzeMxgXYIKQ/k+bXmRL_x000d_
ptFg7xiWwbYfj5YM1</vt:lpwstr>
  </property>
  <property fmtid="{D5CDD505-2E9C-101B-9397-08002B2CF9AE}" pid="3" name="MAIL_MSG_ID2">
    <vt:lpwstr>xAEsdTiXo+hjIddQvi9ua/MAYiDFc5ITb4yv+F26PL8r2W8jIlgYSX1lzAU_x000d_
hso9dzcMEbHSkmG8CpGAb7Uy84+6C23u4757kw==</vt:lpwstr>
  </property>
  <property fmtid="{D5CDD505-2E9C-101B-9397-08002B2CF9AE}" pid="4" name="RESPONSE_SENDER_NAME">
    <vt:lpwstr>sAAAE34RQVAK31mBa23/Kz99Jim/hmFoJ1V7HiytPQurd2c=</vt:lpwstr>
  </property>
  <property fmtid="{D5CDD505-2E9C-101B-9397-08002B2CF9AE}" pid="5" name="EMAIL_OWNER_ADDRESS">
    <vt:lpwstr>ABAAdnH19QYq2YXndbfX+Lg4SrbOi2st9DckeE6PBrlRed+6zaoYyN0Kk1F6CszQLcgB</vt:lpwstr>
  </property>
  <property fmtid="{D5CDD505-2E9C-101B-9397-08002B2CF9AE}" pid="6" name="DOCSFooter">
    <vt:lpwstr>dzvs A0135802378v1 120269030 </vt:lpwstr>
  </property>
  <property fmtid="{D5CDD505-2E9C-101B-9397-08002B2CF9AE}" pid="7" name="DOCSDocNumber">
    <vt:lpwstr>35802378</vt:lpwstr>
  </property>
  <property fmtid="{D5CDD505-2E9C-101B-9397-08002B2CF9AE}" pid="8" name="DOCSDocumentID">
    <vt:lpwstr>A0135802378</vt:lpwstr>
  </property>
  <property fmtid="{D5CDD505-2E9C-101B-9397-08002B2CF9AE}" pid="9" name="DOCSDocName">
    <vt:lpwstr>BFSLA - Opinion (Secured) PUBLISHED December 2015 version + sentence linking to note on individual obligors</vt:lpwstr>
  </property>
  <property fmtid="{D5CDD505-2E9C-101B-9397-08002B2CF9AE}" pid="10" name="DOCSAuthorID">
    <vt:lpwstr>dzvs</vt:lpwstr>
  </property>
  <property fmtid="{D5CDD505-2E9C-101B-9397-08002B2CF9AE}" pid="11" name="DOCSAuthorName">
    <vt:lpwstr>Vranesevic, Darko</vt:lpwstr>
  </property>
  <property fmtid="{D5CDD505-2E9C-101B-9397-08002B2CF9AE}" pid="12" name="DOCSMatterID">
    <vt:lpwstr>120269030</vt:lpwstr>
  </property>
  <property fmtid="{D5CDD505-2E9C-101B-9397-08002B2CF9AE}" pid="13" name="DOCSMatterName">
    <vt:lpwstr>General Advice</vt:lpwstr>
  </property>
  <property fmtid="{D5CDD505-2E9C-101B-9397-08002B2CF9AE}" pid="14" name="DOCSTypistID">
    <vt:lpwstr>dzvs</vt:lpwstr>
  </property>
  <property fmtid="{D5CDD505-2E9C-101B-9397-08002B2CF9AE}" pid="15" name="DOCSTypistName">
    <vt:lpwstr>Vranesevic, Darko</vt:lpwstr>
  </property>
  <property fmtid="{D5CDD505-2E9C-101B-9397-08002B2CF9AE}" pid="16" name="DOCSDocTypeID">
    <vt:lpwstr>Document</vt:lpwstr>
  </property>
  <property fmtid="{D5CDD505-2E9C-101B-9397-08002B2CF9AE}" pid="17" name="DOCSCreationDate">
    <vt:filetime>2016-03-18T06:01:53Z</vt:filetime>
  </property>
  <property fmtid="{D5CDD505-2E9C-101B-9397-08002B2CF9AE}" pid="18" name="DOCSLastEditDate">
    <vt:filetime>2016-03-18T06:01:56Z</vt:filetime>
  </property>
  <property fmtid="{D5CDD505-2E9C-101B-9397-08002B2CF9AE}" pid="19" name="DOCSClientID">
    <vt:lpwstr>1149743</vt:lpwstr>
  </property>
  <property fmtid="{D5CDD505-2E9C-101B-9397-08002B2CF9AE}" pid="20" name="DOCSClientName">
    <vt:lpwstr>Banking and Financial Services Law Assoc</vt:lpwstr>
  </property>
  <property fmtid="{D5CDD505-2E9C-101B-9397-08002B2CF9AE}" pid="21" name="DOCSPrecedentID">
    <vt:lpwstr/>
  </property>
  <property fmtid="{D5CDD505-2E9C-101B-9397-08002B2CF9AE}" pid="22" name="DOCSProjectName">
    <vt:lpwstr/>
  </property>
  <property fmtid="{D5CDD505-2E9C-101B-9397-08002B2CF9AE}" pid="23" name="DOCSVersionNumber">
    <vt:lpwstr>1</vt:lpwstr>
  </property>
</Properties>
</file>