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AB4C" w14:textId="77777777" w:rsidR="001F5307" w:rsidRDefault="00000000">
      <w:pPr>
        <w:pStyle w:val="Nadpis1"/>
        <w:spacing w:after="200"/>
      </w:pPr>
      <w:r>
        <w:rPr>
          <w:rFonts w:ascii="Arial" w:eastAsia="Arial" w:hAnsi="Arial" w:cs="Arial"/>
          <w:b/>
          <w:bCs/>
          <w:color w:val="1D4321"/>
          <w:sz w:val="34"/>
          <w:szCs w:val="34"/>
        </w:rPr>
        <w:t>Financování</w:t>
      </w:r>
    </w:p>
    <w:p w14:paraId="366A564E" w14:textId="77777777" w:rsidR="001F5307" w:rsidRDefault="00000000">
      <w:pPr>
        <w:spacing w:before="100" w:after="200"/>
      </w:pPr>
      <w:r>
        <w:rPr>
          <w:rFonts w:ascii="Arial" w:eastAsia="Arial" w:hAnsi="Arial" w:cs="Arial"/>
          <w:b/>
          <w:bCs/>
          <w:color w:val="1D4321"/>
          <w:sz w:val="26"/>
          <w:szCs w:val="26"/>
        </w:rPr>
        <w:t>Průběžné financování</w:t>
      </w:r>
    </w:p>
    <w:p w14:paraId="287DC40E" w14:textId="77777777" w:rsidR="001F5307" w:rsidRDefault="00000000">
      <w:pPr>
        <w:spacing w:after="200" w:line="300" w:lineRule="auto"/>
      </w:pPr>
      <w:r>
        <w:rPr>
          <w:rFonts w:ascii="Arial" w:eastAsia="Arial" w:hAnsi="Arial" w:cs="Arial"/>
          <w:color w:val="1D1D1D"/>
          <w:sz w:val="22"/>
          <w:szCs w:val="22"/>
        </w:rPr>
        <w:t>Kupní cenu bytu hradíte postupně v průběhu výstavby, a to ve čtyřech splátkách navázaných na konkrétní fáze realizace projektu. Nemusíte tak celou kupní cenu platit najednou, ale postupně podle toho, jak stavba pokračuje.</w:t>
      </w:r>
    </w:p>
    <w:p w14:paraId="7BD71F21" w14:textId="77777777" w:rsidR="001F5307" w:rsidRDefault="00000000">
      <w:pPr>
        <w:spacing w:before="100" w:after="200"/>
      </w:pPr>
      <w:r>
        <w:rPr>
          <w:rFonts w:ascii="Arial" w:eastAsia="Arial" w:hAnsi="Arial" w:cs="Arial"/>
          <w:b/>
          <w:bCs/>
          <w:color w:val="1D4321"/>
          <w:sz w:val="26"/>
          <w:szCs w:val="26"/>
        </w:rPr>
        <w:t>Rezervace</w:t>
      </w:r>
    </w:p>
    <w:p w14:paraId="06D23139" w14:textId="77777777" w:rsidR="001F5307" w:rsidRDefault="00000000">
      <w:pPr>
        <w:pStyle w:val="Odstavecseseznamem"/>
        <w:numPr>
          <w:ilvl w:val="0"/>
          <w:numId w:val="1"/>
        </w:numPr>
        <w:spacing w:after="100" w:line="300" w:lineRule="auto"/>
      </w:pPr>
      <w:r>
        <w:rPr>
          <w:rFonts w:ascii="Arial" w:eastAsia="Arial" w:hAnsi="Arial" w:cs="Arial"/>
          <w:color w:val="1D1D1D"/>
          <w:sz w:val="22"/>
          <w:szCs w:val="22"/>
        </w:rPr>
        <w:t>Rezervační záloha ve výši 150 000 Kč je splatná do 5 dnů od uzavření rezervační smlouvy. Tato záloha se následně započítává do 1. splátky kupní ceny.</w:t>
      </w:r>
    </w:p>
    <w:p w14:paraId="48B7117A" w14:textId="77777777" w:rsidR="001F5307" w:rsidRDefault="001F5307">
      <w:pPr>
        <w:spacing w:after="200"/>
      </w:pPr>
    </w:p>
    <w:p w14:paraId="322650E2" w14:textId="77777777" w:rsidR="001F5307" w:rsidRDefault="00000000">
      <w:pPr>
        <w:spacing w:before="100" w:after="200"/>
      </w:pPr>
      <w:r>
        <w:rPr>
          <w:rFonts w:ascii="Arial" w:eastAsia="Arial" w:hAnsi="Arial" w:cs="Arial"/>
          <w:b/>
          <w:bCs/>
          <w:color w:val="1D4321"/>
          <w:sz w:val="26"/>
          <w:szCs w:val="26"/>
        </w:rPr>
        <w:t>Přehled splátek</w:t>
      </w:r>
    </w:p>
    <w:tbl>
      <w:tblPr>
        <w:tblW w:w="9638" w:type="dxa"/>
        <w:tblBorders>
          <w:top w:val="single" w:sz="4" w:space="0" w:color="D7DAC5"/>
          <w:left w:val="single" w:sz="4" w:space="0" w:color="D7DAC5"/>
          <w:bottom w:val="single" w:sz="4" w:space="0" w:color="D7DAC5"/>
          <w:right w:val="single" w:sz="4" w:space="0" w:color="D7DAC5"/>
          <w:insideH w:val="single" w:sz="4" w:space="0" w:color="D7DAC5"/>
          <w:insideV w:val="single" w:sz="4" w:space="0" w:color="D7DAC5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2"/>
        <w:gridCol w:w="2120"/>
        <w:gridCol w:w="5976"/>
      </w:tblGrid>
      <w:tr w:rsidR="001F5307" w14:paraId="6587DEA9" w14:textId="77777777">
        <w:trPr>
          <w:tblHeader/>
        </w:trPr>
        <w:tc>
          <w:tcPr>
            <w:tcW w:w="1542" w:type="dxa"/>
            <w:shd w:val="clear" w:color="auto" w:fill="1D432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F9C699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Splátka</w:t>
            </w:r>
          </w:p>
        </w:tc>
        <w:tc>
          <w:tcPr>
            <w:tcW w:w="2120" w:type="dxa"/>
            <w:shd w:val="clear" w:color="auto" w:fill="1D432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447C8D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Výše</w:t>
            </w:r>
          </w:p>
        </w:tc>
        <w:tc>
          <w:tcPr>
            <w:tcW w:w="5976" w:type="dxa"/>
            <w:shd w:val="clear" w:color="auto" w:fill="1D432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B0411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Kdy je splatná</w:t>
            </w:r>
          </w:p>
        </w:tc>
      </w:tr>
      <w:tr w:rsidR="001F5307" w14:paraId="6A6910D7" w14:textId="77777777">
        <w:tc>
          <w:tcPr>
            <w:tcW w:w="1542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5D51C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1. splátka</w:t>
            </w:r>
          </w:p>
        </w:tc>
        <w:tc>
          <w:tcPr>
            <w:tcW w:w="2120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7D533C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20 % kupní ceny (po odečtení rezervační zálohy)</w:t>
            </w:r>
          </w:p>
        </w:tc>
        <w:tc>
          <w:tcPr>
            <w:tcW w:w="5976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F0A40" w14:textId="77777777" w:rsidR="001F5307" w:rsidRDefault="00000000">
            <w:r>
              <w:rPr>
                <w:rFonts w:ascii="Arial" w:eastAsia="Arial" w:hAnsi="Arial" w:cs="Arial"/>
                <w:color w:val="1D1D1D"/>
              </w:rPr>
              <w:t>Do 10 dnů od podpisu smlouvy o smlouvě budoucí kupní (tzv. SOSB).</w:t>
            </w:r>
          </w:p>
        </w:tc>
      </w:tr>
      <w:tr w:rsidR="001F5307" w14:paraId="1651E868" w14:textId="77777777">
        <w:tc>
          <w:tcPr>
            <w:tcW w:w="154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B7EEE8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2. splátka</w:t>
            </w:r>
          </w:p>
        </w:tc>
        <w:tc>
          <w:tcPr>
            <w:tcW w:w="21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551C37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45 % kupní ceny</w:t>
            </w:r>
          </w:p>
        </w:tc>
        <w:tc>
          <w:tcPr>
            <w:tcW w:w="5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82CF7" w14:textId="77777777" w:rsidR="001F5307" w:rsidRDefault="00000000">
            <w:r>
              <w:rPr>
                <w:rFonts w:ascii="Arial" w:eastAsia="Arial" w:hAnsi="Arial" w:cs="Arial"/>
                <w:color w:val="1D1D1D"/>
              </w:rPr>
              <w:t>Do 10 dnů od oznámení o dokončení hrubé stavby budovy a současně zápisu prohlášení vlastníka do katastru nemovitostí.</w:t>
            </w:r>
          </w:p>
        </w:tc>
      </w:tr>
      <w:tr w:rsidR="001F5307" w14:paraId="16A39029" w14:textId="77777777">
        <w:tc>
          <w:tcPr>
            <w:tcW w:w="1542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DAE2D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3. splátka</w:t>
            </w:r>
          </w:p>
        </w:tc>
        <w:tc>
          <w:tcPr>
            <w:tcW w:w="2120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FF0BB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20 % kupní ceny</w:t>
            </w:r>
          </w:p>
        </w:tc>
        <w:tc>
          <w:tcPr>
            <w:tcW w:w="5976" w:type="dxa"/>
            <w:shd w:val="clear" w:color="auto" w:fill="F4F5E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62FD7D" w14:textId="77777777" w:rsidR="001F5307" w:rsidRDefault="00000000">
            <w:r>
              <w:rPr>
                <w:rFonts w:ascii="Arial" w:eastAsia="Arial" w:hAnsi="Arial" w:cs="Arial"/>
                <w:color w:val="1D1D1D"/>
              </w:rPr>
              <w:t>Do 10 dnů od oznámení o dokončení vnitřních omítek v bytě.</w:t>
            </w:r>
          </w:p>
        </w:tc>
      </w:tr>
      <w:tr w:rsidR="001F5307" w14:paraId="7BC33222" w14:textId="77777777">
        <w:tc>
          <w:tcPr>
            <w:tcW w:w="154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DE3004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4. splátka</w:t>
            </w:r>
          </w:p>
        </w:tc>
        <w:tc>
          <w:tcPr>
            <w:tcW w:w="21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4C8FE" w14:textId="77777777" w:rsidR="001F5307" w:rsidRDefault="00000000">
            <w:r>
              <w:rPr>
                <w:rFonts w:ascii="Arial" w:eastAsia="Arial" w:hAnsi="Arial" w:cs="Arial"/>
                <w:b/>
                <w:bCs/>
                <w:color w:val="1D1D1D"/>
              </w:rPr>
              <w:t>15 % kupní ceny</w:t>
            </w:r>
          </w:p>
        </w:tc>
        <w:tc>
          <w:tcPr>
            <w:tcW w:w="59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FF9350" w14:textId="77777777" w:rsidR="001F5307" w:rsidRDefault="00000000">
            <w:r>
              <w:rPr>
                <w:rFonts w:ascii="Arial" w:eastAsia="Arial" w:hAnsi="Arial" w:cs="Arial"/>
                <w:color w:val="1D1D1D"/>
              </w:rPr>
              <w:t>Do 10 dnů od zápisu dokončených jednotek do katastru nemovitostí a doručení kolaudačního rozhodnutí. Jde o poslední splátku, hrazenou před podpisem kupní smlouvy a předáním bytu.</w:t>
            </w:r>
          </w:p>
        </w:tc>
      </w:tr>
    </w:tbl>
    <w:p w14:paraId="0A674CE6" w14:textId="77777777" w:rsidR="001F5307" w:rsidRDefault="001F5307">
      <w:pPr>
        <w:spacing w:before="200" w:after="200"/>
      </w:pPr>
    </w:p>
    <w:p w14:paraId="37FDC17D" w14:textId="77777777" w:rsidR="001F5307" w:rsidRDefault="00000000">
      <w:pPr>
        <w:spacing w:after="200" w:line="300" w:lineRule="auto"/>
      </w:pPr>
      <w:r>
        <w:rPr>
          <w:rFonts w:ascii="Arial" w:eastAsia="Arial" w:hAnsi="Arial" w:cs="Arial"/>
          <w:color w:val="1D1D1D"/>
          <w:sz w:val="22"/>
          <w:szCs w:val="22"/>
        </w:rPr>
        <w:t>Všechny splátky se hradí bezhotovostním převodem na účet prodávajícího uvedený ve smlouvě.</w:t>
      </w:r>
    </w:p>
    <w:p w14:paraId="1CF49927" w14:textId="77777777" w:rsidR="001F5307" w:rsidRDefault="00000000">
      <w:pPr>
        <w:spacing w:before="100" w:after="200"/>
      </w:pPr>
      <w:r>
        <w:rPr>
          <w:rFonts w:ascii="Arial" w:eastAsia="Arial" w:hAnsi="Arial" w:cs="Arial"/>
          <w:b/>
          <w:bCs/>
          <w:color w:val="1D4321"/>
          <w:sz w:val="26"/>
          <w:szCs w:val="26"/>
        </w:rPr>
        <w:t>Financování prostřednictvím hypotečního úvěru</w:t>
      </w:r>
    </w:p>
    <w:p w14:paraId="6EA41E3E" w14:textId="77777777" w:rsidR="001F5307" w:rsidRDefault="00000000">
      <w:pPr>
        <w:spacing w:after="200" w:line="300" w:lineRule="auto"/>
        <w:rPr>
          <w:rFonts w:ascii="Arial" w:eastAsia="Arial" w:hAnsi="Arial" w:cs="Arial"/>
          <w:color w:val="1D1D1D"/>
          <w:sz w:val="22"/>
          <w:szCs w:val="22"/>
        </w:rPr>
      </w:pPr>
      <w:r>
        <w:rPr>
          <w:rFonts w:ascii="Arial" w:eastAsia="Arial" w:hAnsi="Arial" w:cs="Arial"/>
          <w:color w:val="1D1D1D"/>
          <w:sz w:val="22"/>
          <w:szCs w:val="22"/>
        </w:rPr>
        <w:t>Část kupní ceny je možné hradit i prostřednictvím hypotečního úvěru od financující banky. V takovém případě se k rezervované jednotce zřizuje zástavní právo ve prospěch banky a splatnost 2. splátky je navázána i na zahájení řízení o vkladu tohoto zástavního práva do katastru nemovitostí. Výše ani termíny ostatních splátek se tím nemění.</w:t>
      </w:r>
    </w:p>
    <w:p w14:paraId="4C6421BA" w14:textId="77777777" w:rsidR="00C21640" w:rsidRDefault="00C21640">
      <w:pPr>
        <w:spacing w:after="200" w:line="300" w:lineRule="auto"/>
        <w:rPr>
          <w:rFonts w:ascii="Arial" w:eastAsia="Arial" w:hAnsi="Arial" w:cs="Arial"/>
          <w:color w:val="1D1D1D"/>
          <w:sz w:val="22"/>
          <w:szCs w:val="22"/>
        </w:rPr>
      </w:pPr>
    </w:p>
    <w:p w14:paraId="06E848CA" w14:textId="77777777" w:rsidR="00C21640" w:rsidRPr="00C21640" w:rsidRDefault="00C21640" w:rsidP="00C21640">
      <w:pPr>
        <w:spacing w:after="200" w:line="30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21640">
        <w:rPr>
          <w:rFonts w:ascii="Arial" w:hAnsi="Arial" w:cs="Arial"/>
          <w:b/>
          <w:bCs/>
          <w:sz w:val="22"/>
          <w:szCs w:val="22"/>
        </w:rPr>
        <w:t>Pomůžeme vám financovat bydlení vašeho nového domova</w:t>
      </w:r>
    </w:p>
    <w:p w14:paraId="183D10E7" w14:textId="77777777" w:rsidR="00C21640" w:rsidRPr="00C21640" w:rsidRDefault="00C21640" w:rsidP="00C2164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  <w:r w:rsidRPr="00C21640">
        <w:rPr>
          <w:rFonts w:ascii="Arial" w:hAnsi="Arial" w:cs="Arial"/>
          <w:sz w:val="22"/>
          <w:szCs w:val="22"/>
        </w:rPr>
        <w:t>Připravili jsme pro vás exkluzivní nabídku financování vaší nové nemovitosti prostřednictvím produktu JRD HYPO. JRD HYPOTÉKA je rychlá, individuální a bez poplatků. V případě neschválení hypotečního úvěru Vám garantujeme vrácení rezervační zálohy.</w:t>
      </w:r>
    </w:p>
    <w:p w14:paraId="0AF9BB95" w14:textId="77777777" w:rsidR="00C21640" w:rsidRPr="00C21640" w:rsidRDefault="00C21640" w:rsidP="00C21640">
      <w:pPr>
        <w:spacing w:after="200" w:line="300" w:lineRule="auto"/>
        <w:jc w:val="both"/>
        <w:rPr>
          <w:rFonts w:ascii="Arial" w:hAnsi="Arial" w:cs="Arial"/>
          <w:sz w:val="22"/>
          <w:szCs w:val="22"/>
        </w:rPr>
      </w:pPr>
    </w:p>
    <w:sectPr w:rsidR="00C21640" w:rsidRPr="00C216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F96"/>
    <w:multiLevelType w:val="hybridMultilevel"/>
    <w:tmpl w:val="ED5463CE"/>
    <w:lvl w:ilvl="0" w:tplc="4F026BBC">
      <w:start w:val="1"/>
      <w:numFmt w:val="bullet"/>
      <w:lvlText w:val="●"/>
      <w:lvlJc w:val="left"/>
      <w:pPr>
        <w:ind w:left="720" w:hanging="360"/>
      </w:pPr>
    </w:lvl>
    <w:lvl w:ilvl="1" w:tplc="796ED5D4">
      <w:start w:val="1"/>
      <w:numFmt w:val="bullet"/>
      <w:lvlText w:val="○"/>
      <w:lvlJc w:val="left"/>
      <w:pPr>
        <w:ind w:left="1440" w:hanging="360"/>
      </w:pPr>
    </w:lvl>
    <w:lvl w:ilvl="2" w:tplc="CD1092A6">
      <w:start w:val="1"/>
      <w:numFmt w:val="bullet"/>
      <w:lvlText w:val="■"/>
      <w:lvlJc w:val="left"/>
      <w:pPr>
        <w:ind w:left="2160" w:hanging="360"/>
      </w:pPr>
    </w:lvl>
    <w:lvl w:ilvl="3" w:tplc="98E037CC">
      <w:start w:val="1"/>
      <w:numFmt w:val="bullet"/>
      <w:lvlText w:val="●"/>
      <w:lvlJc w:val="left"/>
      <w:pPr>
        <w:ind w:left="2880" w:hanging="360"/>
      </w:pPr>
    </w:lvl>
    <w:lvl w:ilvl="4" w:tplc="195E98D2">
      <w:start w:val="1"/>
      <w:numFmt w:val="bullet"/>
      <w:lvlText w:val="○"/>
      <w:lvlJc w:val="left"/>
      <w:pPr>
        <w:ind w:left="3600" w:hanging="360"/>
      </w:pPr>
    </w:lvl>
    <w:lvl w:ilvl="5" w:tplc="5680CF90">
      <w:start w:val="1"/>
      <w:numFmt w:val="bullet"/>
      <w:lvlText w:val="■"/>
      <w:lvlJc w:val="left"/>
      <w:pPr>
        <w:ind w:left="4320" w:hanging="360"/>
      </w:pPr>
    </w:lvl>
    <w:lvl w:ilvl="6" w:tplc="7F567C90">
      <w:start w:val="1"/>
      <w:numFmt w:val="bullet"/>
      <w:lvlText w:val="●"/>
      <w:lvlJc w:val="left"/>
      <w:pPr>
        <w:ind w:left="5040" w:hanging="360"/>
      </w:pPr>
    </w:lvl>
    <w:lvl w:ilvl="7" w:tplc="0F440BDA">
      <w:start w:val="1"/>
      <w:numFmt w:val="bullet"/>
      <w:lvlText w:val="●"/>
      <w:lvlJc w:val="left"/>
      <w:pPr>
        <w:ind w:left="5760" w:hanging="360"/>
      </w:pPr>
    </w:lvl>
    <w:lvl w:ilvl="8" w:tplc="3064E27C">
      <w:start w:val="1"/>
      <w:numFmt w:val="bullet"/>
      <w:lvlText w:val="●"/>
      <w:lvlJc w:val="left"/>
      <w:pPr>
        <w:ind w:left="6480" w:hanging="360"/>
      </w:pPr>
    </w:lvl>
  </w:abstractNum>
  <w:num w:numId="1" w16cid:durableId="937471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07"/>
    <w:rsid w:val="000A2BA3"/>
    <w:rsid w:val="001F5307"/>
    <w:rsid w:val="00441E87"/>
    <w:rsid w:val="00C2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4060"/>
  <w15:docId w15:val="{6E0F2000-BF6B-4D11-A5C1-4566E7A5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Jaroslava Vlková</cp:lastModifiedBy>
  <cp:revision>3</cp:revision>
  <dcterms:created xsi:type="dcterms:W3CDTF">2026-08-19T14:56:00Z</dcterms:created>
  <dcterms:modified xsi:type="dcterms:W3CDTF">2026-08-19T15:56:00Z</dcterms:modified>
</cp:coreProperties>
</file>